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2484" w:lineRule="exact"/>
        <w:ind w:left="17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3154679" cy="15773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54679" cy="1577340"/>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5"/>
        <w:rPr>
          <w:rFonts w:ascii="Times New Roman" w:hAnsi="Times New Roman" w:cs="Times New Roman" w:eastAsia="Times New Roman" w:hint="default"/>
          <w:sz w:val="7"/>
          <w:szCs w:val="7"/>
        </w:rPr>
      </w:pPr>
    </w:p>
    <w:p>
      <w:pPr>
        <w:spacing w:line="501" w:lineRule="exact" w:before="0"/>
        <w:ind w:left="1440" w:right="1443" w:firstLine="0"/>
        <w:jc w:val="center"/>
        <w:rPr>
          <w:rFonts w:ascii="宋体" w:hAnsi="宋体" w:cs="宋体" w:eastAsia="宋体" w:hint="default"/>
          <w:sz w:val="40"/>
          <w:szCs w:val="40"/>
        </w:rPr>
      </w:pPr>
      <w:r>
        <w:rPr>
          <w:rFonts w:ascii="宋体" w:hAnsi="宋体" w:cs="宋体" w:eastAsia="宋体" w:hint="default"/>
          <w:b/>
          <w:bCs/>
          <w:sz w:val="40"/>
          <w:szCs w:val="40"/>
        </w:rPr>
        <w:t>福建永福电力设计股份有限公司</w:t>
      </w:r>
      <w:r>
        <w:rPr>
          <w:rFonts w:ascii="宋体" w:hAnsi="宋体" w:cs="宋体" w:eastAsia="宋体" w:hint="default"/>
          <w:sz w:val="40"/>
          <w:szCs w:val="40"/>
        </w:rPr>
      </w:r>
    </w:p>
    <w:p>
      <w:pPr>
        <w:spacing w:before="118"/>
        <w:ind w:left="1440" w:right="144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7"/>
        <w:rPr>
          <w:rFonts w:ascii="宋体" w:hAnsi="宋体" w:cs="宋体" w:eastAsia="宋体" w:hint="default"/>
          <w:b/>
          <w:bCs/>
          <w:sz w:val="48"/>
          <w:szCs w:val="48"/>
        </w:rPr>
      </w:pPr>
    </w:p>
    <w:p>
      <w:pPr>
        <w:spacing w:before="0"/>
        <w:ind w:left="1440" w:right="1440" w:firstLine="0"/>
        <w:jc w:val="center"/>
        <w:rPr>
          <w:rFonts w:ascii="Times New Roman" w:hAnsi="Times New Roman" w:cs="Times New Roman" w:eastAsia="Times New Roman" w:hint="default"/>
          <w:sz w:val="28"/>
          <w:szCs w:val="28"/>
        </w:rPr>
      </w:pPr>
      <w:r>
        <w:rPr>
          <w:rFonts w:ascii="Times New Roman"/>
          <w:b/>
          <w:sz w:val="28"/>
        </w:rPr>
        <w:t>2018-017</w:t>
      </w:r>
      <w:r>
        <w:rPr>
          <w:rFonts w:ascii="Times New Roman"/>
          <w:sz w:val="28"/>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10"/>
        <w:rPr>
          <w:rFonts w:ascii="Times New Roman" w:hAnsi="Times New Roman" w:cs="Times New Roman" w:eastAsia="Times New Roman" w:hint="default"/>
          <w:b/>
          <w:bCs/>
          <w:sz w:val="24"/>
          <w:szCs w:val="24"/>
        </w:rPr>
      </w:pPr>
    </w:p>
    <w:p>
      <w:pPr>
        <w:spacing w:before="0"/>
        <w:ind w:left="1440" w:right="14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580" w:bottom="280" w:left="1680" w:right="1680"/>
        </w:sectPr>
      </w:pPr>
    </w:p>
    <w:p>
      <w:pPr>
        <w:spacing w:line="240" w:lineRule="auto" w:before="3"/>
        <w:rPr>
          <w:rFonts w:ascii="宋体" w:hAnsi="宋体" w:cs="宋体" w:eastAsia="宋体" w:hint="default"/>
          <w:b/>
          <w:bCs/>
          <w:sz w:val="23"/>
          <w:szCs w:val="23"/>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3"/>
        <w:rPr>
          <w:rFonts w:ascii="宋体" w:hAnsi="宋体" w:cs="宋体" w:eastAsia="宋体" w:hint="default"/>
          <w:b/>
          <w:bCs/>
          <w:sz w:val="30"/>
          <w:szCs w:val="30"/>
        </w:rPr>
      </w:pPr>
    </w:p>
    <w:p>
      <w:pPr>
        <w:spacing w:line="408" w:lineRule="auto" w:before="0"/>
        <w:ind w:left="152" w:right="25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217"/>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公司负责人林一文、主管会计工作负责人张善传及会计机构负责人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蒋昌敏声明：保证年度报告中财务报告的真实、准确、完整。</w:t>
      </w:r>
      <w:r>
        <w:rPr>
          <w:rFonts w:ascii="宋体" w:hAnsi="宋体" w:cs="宋体" w:eastAsia="宋体" w:hint="default"/>
          <w:sz w:val="28"/>
          <w:szCs w:val="28"/>
        </w:rPr>
      </w:r>
    </w:p>
    <w:p>
      <w:pPr>
        <w:spacing w:before="20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2936"/>
        <w:gridCol w:w="2210"/>
        <w:gridCol w:w="2213"/>
        <w:gridCol w:w="2211"/>
      </w:tblGrid>
      <w:tr>
        <w:trPr>
          <w:trHeight w:val="528"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528"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陈冲</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家庭原因</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胡继荣</w:t>
            </w:r>
          </w:p>
        </w:tc>
      </w:tr>
    </w:tbl>
    <w:p>
      <w:pPr>
        <w:spacing w:line="240" w:lineRule="auto" w:before="4"/>
        <w:rPr>
          <w:rFonts w:ascii="宋体" w:hAnsi="宋体" w:cs="宋体" w:eastAsia="宋体" w:hint="default"/>
          <w:b/>
          <w:bCs/>
          <w:sz w:val="9"/>
          <w:szCs w:val="9"/>
        </w:rPr>
      </w:pPr>
    </w:p>
    <w:p>
      <w:pPr>
        <w:spacing w:line="408" w:lineRule="auto" w:before="14"/>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本报告中如有涉及未来的计划、发展战略等方面的前瞻性陈述内容，均不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构成本公司对任何投资者的实质承诺。投资者均应对此保持足够的风险认识，</w:t>
      </w:r>
      <w:r>
        <w:rPr>
          <w:rFonts w:ascii="宋体" w:hAnsi="宋体" w:cs="宋体" w:eastAsia="宋体" w:hint="default"/>
          <w:b/>
          <w:bCs/>
          <w:w w:val="99"/>
          <w:sz w:val="28"/>
          <w:szCs w:val="28"/>
        </w:rPr>
        <w:t> </w:t>
      </w:r>
      <w:r>
        <w:rPr>
          <w:rFonts w:ascii="宋体" w:hAnsi="宋体" w:cs="宋体" w:eastAsia="宋体" w:hint="default"/>
          <w:b/>
          <w:bCs/>
          <w:sz w:val="28"/>
          <w:szCs w:val="28"/>
        </w:rPr>
        <w:t>并应当理解计划、预测与承诺之间的差异。</w:t>
      </w:r>
      <w:r>
        <w:rPr>
          <w:rFonts w:ascii="宋体" w:hAnsi="宋体" w:cs="宋体" w:eastAsia="宋体" w:hint="default"/>
          <w:sz w:val="28"/>
          <w:szCs w:val="28"/>
        </w:rPr>
      </w:r>
    </w:p>
    <w:p>
      <w:pPr>
        <w:spacing w:before="21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请投资者注意本报告第四节经营讨论与分析的相关风险提示。</w:t>
      </w:r>
      <w:r>
        <w:rPr>
          <w:rFonts w:ascii="宋体" w:hAnsi="宋体" w:cs="宋体" w:eastAsia="宋体" w:hint="default"/>
          <w:sz w:val="28"/>
          <w:szCs w:val="28"/>
        </w:rPr>
      </w:r>
    </w:p>
    <w:p>
      <w:pPr>
        <w:spacing w:line="240" w:lineRule="auto" w:before="8"/>
        <w:rPr>
          <w:rFonts w:ascii="宋体" w:hAnsi="宋体" w:cs="宋体" w:eastAsia="宋体" w:hint="default"/>
          <w:b/>
          <w:bCs/>
          <w:sz w:val="31"/>
          <w:szCs w:val="31"/>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140,080,000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6"/>
          <w:footerReference w:type="default" r:id="rId7"/>
          <w:pgSz w:w="11910" w:h="16840"/>
          <w:pgMar w:header="852" w:footer="979" w:top="1220" w:bottom="1160" w:left="980" w:right="880"/>
          <w:pgNumType w:start="2"/>
        </w:sectPr>
      </w:pPr>
    </w:p>
    <w:p>
      <w:pPr>
        <w:spacing w:line="240" w:lineRule="auto" w:before="2"/>
        <w:rPr>
          <w:rFonts w:ascii="宋体" w:hAnsi="宋体" w:cs="宋体" w:eastAsia="宋体" w:hint="default"/>
          <w:b/>
          <w:bCs/>
          <w:sz w:val="15"/>
          <w:szCs w:val="15"/>
        </w:rPr>
      </w:pPr>
    </w:p>
    <w:p>
      <w:pPr>
        <w:spacing w:line="460" w:lineRule="exact" w:before="0"/>
        <w:ind w:left="452" w:right="45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211</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852" w:footer="979" w:top="1260" w:bottom="1160" w:left="980" w:right="980"/>
        </w:sectPr>
      </w:pPr>
    </w:p>
    <w:p>
      <w:pPr>
        <w:spacing w:before="217"/>
        <w:ind w:left="4632" w:right="46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23"/>
          <w:szCs w:val="23"/>
        </w:rPr>
      </w:pPr>
    </w:p>
    <w:tbl>
      <w:tblPr>
        <w:tblW w:w="0" w:type="auto"/>
        <w:jc w:val="left"/>
        <w:tblInd w:w="181" w:type="dxa"/>
        <w:tblLayout w:type="fixed"/>
        <w:tblCellMar>
          <w:top w:w="0" w:type="dxa"/>
          <w:left w:w="0" w:type="dxa"/>
          <w:bottom w:w="0" w:type="dxa"/>
          <w:right w:w="0" w:type="dxa"/>
        </w:tblCellMar>
        <w:tblLook w:val="01E0"/>
      </w:tblPr>
      <w:tblGrid>
        <w:gridCol w:w="3476"/>
        <w:gridCol w:w="415"/>
        <w:gridCol w:w="5775"/>
      </w:tblGrid>
      <w:tr>
        <w:trPr>
          <w:trHeight w:val="629" w:hRule="exact"/>
        </w:trPr>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4"/>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638"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636"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国家能源局</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中华人民共和国国家能源局</w:t>
            </w:r>
          </w:p>
        </w:tc>
      </w:tr>
      <w:tr>
        <w:trPr>
          <w:trHeight w:val="946"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外经贸部</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6" w:right="65"/>
              <w:jc w:val="left"/>
              <w:rPr>
                <w:rFonts w:ascii="宋体" w:hAnsi="宋体" w:cs="宋体" w:eastAsia="宋体" w:hint="default"/>
                <w:sz w:val="18"/>
                <w:szCs w:val="18"/>
              </w:rPr>
            </w:pPr>
            <w:r>
              <w:rPr>
                <w:rFonts w:ascii="宋体" w:hAnsi="宋体" w:cs="宋体" w:eastAsia="宋体" w:hint="default"/>
                <w:sz w:val="18"/>
                <w:szCs w:val="18"/>
              </w:rPr>
              <w:t>原中华人民共和国对外经济贸易合作部，于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年整合为中华人民共和 国商务部</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永福股份、公司、本公司</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永福有限</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福建永福工程顾问有限公司，系福建永福电力设计股份有限公司前身</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636"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福建永福电力设计股份有限公司股东大会</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福建永福电力设计股份有限公司董事会</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福建永福电力设计股份有限公司监事会</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福建永福电力设计股份有限公司公司章程</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华创证券、保荐机构、保荐人、主承销商</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r>
      <w:tr>
        <w:trPr>
          <w:trHeight w:val="636"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会计师事务所、审计机构</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北京市中伦律师事务所</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永福集团</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上海电气</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上海电气集团股份有限公司及其子公司</w:t>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财务报表</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本公司报告期的合并及母公司资产负债表、利润表、现金流量表、股东</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6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477"/>
        <w:gridCol w:w="414"/>
        <w:gridCol w:w="5775"/>
      </w:tblGrid>
      <w:tr>
        <w:trPr>
          <w:trHeight w:val="478" w:hRule="exact"/>
        </w:trPr>
        <w:tc>
          <w:tcPr>
            <w:tcW w:w="347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权益变动表及相关报表附注</w:t>
            </w:r>
          </w:p>
        </w:tc>
      </w:tr>
      <w:tr>
        <w:trPr>
          <w:trHeight w:val="634"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6" w:right="158"/>
              <w:jc w:val="left"/>
              <w:rPr>
                <w:rFonts w:ascii="宋体" w:hAnsi="宋体" w:cs="宋体" w:eastAsia="宋体" w:hint="default"/>
                <w:sz w:val="18"/>
                <w:szCs w:val="18"/>
              </w:rPr>
            </w:pPr>
            <w:r>
              <w:rPr>
                <w:rFonts w:ascii="宋体" w:hAnsi="宋体" w:cs="宋体" w:eastAsia="宋体" w:hint="default"/>
                <w:sz w:val="18"/>
                <w:szCs w:val="18"/>
              </w:rPr>
              <w:t>财政部颁布的《企业会计准则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基本准则》和具体企业会计准则、企 业会计准则应用指南、企业会计准则解释及其他相关规定</w:t>
            </w:r>
          </w:p>
        </w:tc>
      </w:tr>
      <w:tr>
        <w:trPr>
          <w:trHeight w:val="63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业主</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工程建设项目的投资人或投资人专门为工程建设项目设立的单位。</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分包商</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7"/>
              <w:jc w:val="left"/>
              <w:rPr>
                <w:rFonts w:ascii="宋体" w:hAnsi="宋体" w:cs="宋体" w:eastAsia="宋体" w:hint="default"/>
                <w:sz w:val="18"/>
                <w:szCs w:val="18"/>
              </w:rPr>
            </w:pPr>
            <w:r>
              <w:rPr>
                <w:rFonts w:ascii="宋体" w:hAnsi="宋体" w:cs="宋体" w:eastAsia="宋体" w:hint="default"/>
                <w:sz w:val="18"/>
                <w:szCs w:val="18"/>
              </w:rPr>
              <w:t>不与业主或业主代理人有合同关系，而由总承包商雇佣来完成部分专项 工程的，具备相应资质的承包商。</w:t>
            </w:r>
          </w:p>
        </w:tc>
      </w:tr>
      <w:tr>
        <w:trPr>
          <w:trHeight w:val="1882"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工程咨询</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66"/>
              <w:jc w:val="left"/>
              <w:rPr>
                <w:rFonts w:ascii="宋体" w:hAnsi="宋体" w:cs="宋体" w:eastAsia="宋体" w:hint="default"/>
                <w:sz w:val="18"/>
                <w:szCs w:val="18"/>
              </w:rPr>
            </w:pPr>
            <w:r>
              <w:rPr>
                <w:rFonts w:ascii="宋体" w:hAnsi="宋体" w:cs="宋体" w:eastAsia="宋体" w:hint="default"/>
                <w:sz w:val="18"/>
                <w:szCs w:val="18"/>
              </w:rPr>
              <w:t>为建设工程提供从投资决策到建设实施及运营维护全过程、专业化的智 力服务活动，包括前期立项阶段咨询（含规划、项目建议书、可行性研 </w:t>
            </w:r>
            <w:r>
              <w:rPr>
                <w:rFonts w:ascii="宋体" w:hAnsi="宋体" w:cs="宋体" w:eastAsia="宋体" w:hint="default"/>
                <w:spacing w:val="-3"/>
                <w:sz w:val="18"/>
                <w:szCs w:val="18"/>
              </w:rPr>
              <w:t>究报告、项目申请报告、资金申请报告的编制、咨询及评估），以及勘察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设计阶段的咨询与评估、工程项目管理（含全过程策划和准备阶段管 理）的咨询、投产或交付使用后的评价等工作。</w:t>
            </w:r>
          </w:p>
        </w:tc>
      </w:tr>
      <w:tr>
        <w:trPr>
          <w:trHeight w:val="157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工程勘察</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57"/>
              <w:jc w:val="both"/>
              <w:rPr>
                <w:rFonts w:ascii="宋体" w:hAnsi="宋体" w:cs="宋体" w:eastAsia="宋体" w:hint="default"/>
                <w:sz w:val="18"/>
                <w:szCs w:val="18"/>
              </w:rPr>
            </w:pPr>
            <w:r>
              <w:rPr>
                <w:rFonts w:ascii="宋体" w:hAnsi="宋体" w:cs="宋体" w:eastAsia="宋体" w:hint="default"/>
                <w:sz w:val="18"/>
                <w:szCs w:val="18"/>
              </w:rPr>
              <w:t>为工程建设的规划、设计、施工、运营及综合治理等目的，对地形、地 质及水文等要素进行测绘、勘测、测试及综合评定，并提供可行性评价 与建设所需要的勘察成果数据，以及进行岩土工程勘测、设计、处理、 检测的活动。</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7"/>
              <w:jc w:val="left"/>
              <w:rPr>
                <w:rFonts w:ascii="宋体" w:hAnsi="宋体" w:cs="宋体" w:eastAsia="宋体" w:hint="default"/>
                <w:sz w:val="18"/>
                <w:szCs w:val="18"/>
              </w:rPr>
            </w:pPr>
            <w:r>
              <w:rPr>
                <w:rFonts w:ascii="宋体" w:hAnsi="宋体" w:cs="宋体" w:eastAsia="宋体" w:hint="default"/>
                <w:sz w:val="18"/>
                <w:szCs w:val="18"/>
              </w:rPr>
              <w:t>根据建设工程的要求，对建设工程所需的技术、经济、资源、环境等条 件进行综合分析、论证，编制建设工程设计文件的活动。</w:t>
            </w:r>
          </w:p>
        </w:tc>
      </w:tr>
      <w:tr>
        <w:trPr>
          <w:trHeight w:val="250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26" w:right="122"/>
              <w:jc w:val="both"/>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Engineering</w:t>
            </w:r>
            <w:r>
              <w:rPr>
                <w:rFonts w:ascii="宋体" w:hAnsi="宋体" w:cs="宋体" w:eastAsia="宋体" w:hint="default"/>
                <w:spacing w:val="-4"/>
                <w:w w:val="99"/>
                <w:sz w:val="18"/>
                <w:szCs w:val="18"/>
              </w:rPr>
              <w:t>（工程设计）、</w:t>
            </w:r>
            <w:r>
              <w:rPr>
                <w:rFonts w:ascii="Times New Roman" w:hAnsi="Times New Roman" w:cs="Times New Roman" w:eastAsia="Times New Roman" w:hint="default"/>
                <w:spacing w:val="-4"/>
                <w:w w:val="99"/>
                <w:sz w:val="18"/>
                <w:szCs w:val="18"/>
              </w:rPr>
              <w:t>Procurement</w:t>
            </w:r>
            <w:r>
              <w:rPr>
                <w:rFonts w:ascii="宋体" w:hAnsi="宋体" w:cs="宋体" w:eastAsia="宋体" w:hint="default"/>
                <w:spacing w:val="-4"/>
                <w:w w:val="99"/>
                <w:sz w:val="18"/>
                <w:szCs w:val="18"/>
              </w:rPr>
              <w:t>（设备采购）、</w:t>
            </w:r>
            <w:r>
              <w:rPr>
                <w:rFonts w:ascii="Times New Roman" w:hAnsi="Times New Roman" w:cs="Times New Roman" w:eastAsia="Times New Roman" w:hint="default"/>
                <w:spacing w:val="-4"/>
                <w:w w:val="99"/>
                <w:sz w:val="18"/>
                <w:szCs w:val="18"/>
              </w:rPr>
              <w:t>Construction</w:t>
            </w:r>
            <w:r>
              <w:rPr>
                <w:rFonts w:ascii="宋体" w:hAnsi="宋体" w:cs="宋体" w:eastAsia="宋体" w:hint="default"/>
                <w:spacing w:val="-4"/>
                <w:w w:val="99"/>
                <w:sz w:val="18"/>
                <w:szCs w:val="18"/>
              </w:rPr>
              <w:t>（主持</w:t>
            </w:r>
            <w:r>
              <w:rPr>
                <w:rFonts w:ascii="宋体" w:hAnsi="宋体" w:cs="宋体" w:eastAsia="宋体" w:hint="default"/>
                <w:spacing w:val="-73"/>
                <w:w w:val="99"/>
                <w:sz w:val="18"/>
                <w:szCs w:val="18"/>
              </w:rPr>
              <w:t> </w:t>
            </w:r>
            <w:r>
              <w:rPr>
                <w:rFonts w:ascii="宋体" w:hAnsi="宋体" w:cs="宋体" w:eastAsia="宋体" w:hint="default"/>
                <w:sz w:val="18"/>
                <w:szCs w:val="18"/>
              </w:rPr>
              <w:t>建设）的英文缩写，又称设计采购施工或交钥匙工程总承包，指工程总</w:t>
            </w:r>
            <w:r>
              <w:rPr>
                <w:rFonts w:ascii="宋体" w:hAnsi="宋体" w:cs="宋体" w:eastAsia="宋体" w:hint="default"/>
                <w:w w:val="99"/>
                <w:sz w:val="18"/>
                <w:szCs w:val="18"/>
              </w:rPr>
              <w:t> </w:t>
            </w:r>
            <w:r>
              <w:rPr>
                <w:rFonts w:ascii="宋体" w:hAnsi="宋体" w:cs="宋体" w:eastAsia="宋体" w:hint="default"/>
                <w:sz w:val="18"/>
                <w:szCs w:val="18"/>
              </w:rPr>
              <w:t>承包企业按照合同约定，承担工程项目的设计、采购、施工、试运行服</w:t>
            </w:r>
            <w:r>
              <w:rPr>
                <w:rFonts w:ascii="宋体" w:hAnsi="宋体" w:cs="宋体" w:eastAsia="宋体" w:hint="default"/>
                <w:w w:val="99"/>
                <w:sz w:val="18"/>
                <w:szCs w:val="18"/>
              </w:rPr>
              <w:t> </w:t>
            </w:r>
            <w:r>
              <w:rPr>
                <w:rFonts w:ascii="宋体" w:hAnsi="宋体" w:cs="宋体" w:eastAsia="宋体" w:hint="default"/>
                <w:sz w:val="18"/>
                <w:szCs w:val="18"/>
              </w:rPr>
              <w:t>务等工作，并对承包工程的质量、安全、工期、造价全面负责。该类总</w:t>
            </w:r>
            <w:r>
              <w:rPr>
                <w:rFonts w:ascii="宋体" w:hAnsi="宋体" w:cs="宋体" w:eastAsia="宋体" w:hint="default"/>
                <w:w w:val="99"/>
                <w:sz w:val="18"/>
                <w:szCs w:val="18"/>
              </w:rPr>
              <w:t> </w:t>
            </w:r>
            <w:r>
              <w:rPr>
                <w:rFonts w:ascii="宋体" w:hAnsi="宋体" w:cs="宋体" w:eastAsia="宋体" w:hint="default"/>
                <w:sz w:val="18"/>
                <w:szCs w:val="18"/>
              </w:rPr>
              <w:t>承包模式强调设计在项目承接以及工程建设过程中的主导作用，有利于</w:t>
            </w:r>
            <w:r>
              <w:rPr>
                <w:rFonts w:ascii="宋体" w:hAnsi="宋体" w:cs="宋体" w:eastAsia="宋体" w:hint="default"/>
                <w:w w:val="99"/>
                <w:sz w:val="18"/>
                <w:szCs w:val="18"/>
              </w:rPr>
              <w:t> </w:t>
            </w:r>
            <w:r>
              <w:rPr>
                <w:rFonts w:ascii="宋体" w:hAnsi="宋体" w:cs="宋体" w:eastAsia="宋体" w:hint="default"/>
                <w:sz w:val="18"/>
                <w:szCs w:val="18"/>
              </w:rPr>
              <w:t>工程项目建设整体方案的不断优化。公司实施的工程总承包业务为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r>
      <w:tr>
        <w:trPr>
          <w:trHeight w:val="126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初步设计</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7"/>
              <w:jc w:val="both"/>
              <w:rPr>
                <w:rFonts w:ascii="宋体" w:hAnsi="宋体" w:cs="宋体" w:eastAsia="宋体" w:hint="default"/>
                <w:sz w:val="18"/>
                <w:szCs w:val="18"/>
              </w:rPr>
            </w:pPr>
            <w:r>
              <w:rPr>
                <w:rFonts w:ascii="宋体" w:hAnsi="宋体" w:cs="宋体" w:eastAsia="宋体" w:hint="default"/>
                <w:sz w:val="18"/>
                <w:szCs w:val="18"/>
              </w:rPr>
              <w:t>根据批复的可行性研究报告或业主的要求，拟定建设原则，选定设计方 案、拟定施工方案，计算工程数量及主要材料数量，编制设计概算，提 供文字说明及图表资料的活动，目的是确定基本设计方案。</w:t>
            </w:r>
          </w:p>
        </w:tc>
      </w:tr>
      <w:tr>
        <w:trPr>
          <w:trHeight w:val="157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施工图设计</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7"/>
              <w:jc w:val="both"/>
              <w:rPr>
                <w:rFonts w:ascii="宋体" w:hAnsi="宋体" w:cs="宋体" w:eastAsia="宋体" w:hint="default"/>
                <w:sz w:val="18"/>
                <w:szCs w:val="18"/>
              </w:rPr>
            </w:pPr>
            <w:r>
              <w:rPr>
                <w:rFonts w:ascii="宋体" w:hAnsi="宋体" w:cs="宋体" w:eastAsia="宋体" w:hint="default"/>
                <w:sz w:val="18"/>
                <w:szCs w:val="18"/>
              </w:rPr>
              <w:t>根据初步设计批复意见或业主的要求，进一步对审定的建设原则、设计 方案、技术决定加以具体和深化，最终确定各项工程数量，提出文字说 明和适应施工需要的图表资料以及施工组织计划，并编制施工图预算的 活动。</w:t>
            </w:r>
          </w:p>
        </w:tc>
      </w:tr>
    </w:tbl>
    <w:p>
      <w:pPr>
        <w:spacing w:after="0" w:line="316" w:lineRule="auto"/>
        <w:jc w:val="both"/>
        <w:rPr>
          <w:rFonts w:ascii="宋体" w:hAnsi="宋体" w:cs="宋体" w:eastAsia="宋体" w:hint="default"/>
          <w:sz w:val="18"/>
          <w:szCs w:val="18"/>
        </w:rPr>
        <w:sectPr>
          <w:pgSz w:w="11910" w:h="16840"/>
          <w:pgMar w:header="852" w:footer="979" w:top="1260" w:bottom="1160" w:left="980" w:right="96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477"/>
        <w:gridCol w:w="414"/>
        <w:gridCol w:w="5775"/>
      </w:tblGrid>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竣工图设计</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7"/>
              <w:jc w:val="left"/>
              <w:rPr>
                <w:rFonts w:ascii="宋体" w:hAnsi="宋体" w:cs="宋体" w:eastAsia="宋体" w:hint="default"/>
                <w:sz w:val="18"/>
                <w:szCs w:val="18"/>
              </w:rPr>
            </w:pPr>
            <w:r>
              <w:rPr>
                <w:rFonts w:ascii="宋体" w:hAnsi="宋体" w:cs="宋体" w:eastAsia="宋体" w:hint="default"/>
                <w:sz w:val="18"/>
                <w:szCs w:val="18"/>
              </w:rPr>
              <w:t>根据实际完工情况，确定最终的工程数量、采用的设计方案、技术决定 等，并形成施工结果图表资料和工程决算。</w:t>
            </w:r>
          </w:p>
        </w:tc>
      </w:tr>
      <w:tr>
        <w:trPr>
          <w:trHeight w:val="157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6"/>
              <w:jc w:val="both"/>
              <w:rPr>
                <w:rFonts w:ascii="宋体" w:hAnsi="宋体" w:cs="宋体" w:eastAsia="宋体" w:hint="default"/>
                <w:sz w:val="18"/>
                <w:szCs w:val="18"/>
              </w:rPr>
            </w:pPr>
            <w:r>
              <w:rPr>
                <w:rFonts w:ascii="宋体" w:hAnsi="宋体" w:cs="宋体" w:eastAsia="宋体" w:hint="default"/>
                <w:sz w:val="18"/>
                <w:szCs w:val="18"/>
              </w:rPr>
              <w:t>是以特高压电网为骨干网架、各级电网协调发展的坚强网架为基础，以 通信信息平台为支撑，具有信息化、自动化、互动化特征，包含电力系 统的发电、输电、变电、配电、用电和调度各个环节，覆盖所有电压等 级，实现</w:t>
            </w:r>
            <w:r>
              <w:rPr>
                <w:rFonts w:ascii="Times New Roman" w:hAnsi="Times New Roman" w:cs="Times New Roman" w:eastAsia="Times New Roman" w:hint="default"/>
                <w:sz w:val="18"/>
                <w:szCs w:val="18"/>
              </w:rPr>
              <w:t>“</w:t>
            </w:r>
            <w:r>
              <w:rPr>
                <w:rFonts w:ascii="宋体" w:hAnsi="宋体" w:cs="宋体" w:eastAsia="宋体" w:hint="default"/>
                <w:sz w:val="18"/>
                <w:szCs w:val="18"/>
              </w:rPr>
              <w:t>电力流、信息流、业务流</w:t>
            </w:r>
            <w:r>
              <w:rPr>
                <w:rFonts w:ascii="Times New Roman" w:hAnsi="Times New Roman" w:cs="Times New Roman" w:eastAsia="Times New Roman" w:hint="default"/>
                <w:sz w:val="18"/>
                <w:szCs w:val="18"/>
              </w:rPr>
              <w:t>”</w:t>
            </w:r>
            <w:r>
              <w:rPr>
                <w:rFonts w:ascii="宋体" w:hAnsi="宋体" w:cs="宋体" w:eastAsia="宋体" w:hint="default"/>
                <w:sz w:val="18"/>
                <w:szCs w:val="18"/>
              </w:rPr>
              <w:t>的高度一体化融合的现代电网。</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清洁能源</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37"/>
              <w:jc w:val="left"/>
              <w:rPr>
                <w:rFonts w:ascii="宋体" w:hAnsi="宋体" w:cs="宋体" w:eastAsia="宋体" w:hint="default"/>
                <w:sz w:val="18"/>
                <w:szCs w:val="18"/>
              </w:rPr>
            </w:pPr>
            <w:r>
              <w:rPr>
                <w:rFonts w:ascii="宋体" w:hAnsi="宋体" w:cs="宋体" w:eastAsia="宋体" w:hint="default"/>
                <w:sz w:val="18"/>
                <w:szCs w:val="18"/>
              </w:rPr>
              <w:t>不排放污染物的能源，包括核能、太阳能、风能、水能、生物能（沼 </w:t>
            </w:r>
            <w:r>
              <w:rPr>
                <w:rFonts w:ascii="宋体" w:hAnsi="宋体" w:cs="宋体" w:eastAsia="宋体" w:hint="default"/>
                <w:spacing w:val="-12"/>
                <w:sz w:val="18"/>
                <w:szCs w:val="18"/>
              </w:rPr>
              <w:t>气）、海潮能等。</w:t>
            </w:r>
          </w:p>
        </w:tc>
      </w:tr>
      <w:tr>
        <w:trPr>
          <w:trHeight w:val="948"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可再生能源</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37"/>
              <w:jc w:val="left"/>
              <w:rPr>
                <w:rFonts w:ascii="宋体" w:hAnsi="宋体" w:cs="宋体" w:eastAsia="宋体" w:hint="default"/>
                <w:sz w:val="18"/>
                <w:szCs w:val="18"/>
              </w:rPr>
            </w:pPr>
            <w:r>
              <w:rPr>
                <w:rFonts w:ascii="宋体" w:hAnsi="宋体" w:cs="宋体" w:eastAsia="宋体" w:hint="default"/>
                <w:sz w:val="18"/>
                <w:szCs w:val="18"/>
              </w:rPr>
              <w:t>自然界中可以不断利用、循环再生的能源。可再生能源主要包括太阳 能、风能、水能、生物质能、地热能和海洋能等。</w:t>
            </w:r>
          </w:p>
        </w:tc>
      </w:tr>
      <w:tr>
        <w:trPr>
          <w:trHeight w:val="1258"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7"/>
              <w:jc w:val="both"/>
              <w:rPr>
                <w:rFonts w:ascii="宋体" w:hAnsi="宋体" w:cs="宋体" w:eastAsia="宋体" w:hint="default"/>
                <w:sz w:val="18"/>
                <w:szCs w:val="18"/>
              </w:rPr>
            </w:pPr>
            <w:r>
              <w:rPr>
                <w:rFonts w:ascii="宋体" w:hAnsi="宋体" w:cs="宋体" w:eastAsia="宋体" w:hint="default"/>
                <w:sz w:val="18"/>
                <w:szCs w:val="18"/>
              </w:rPr>
              <w:t>传统能源之外的各种能源形式。指刚开始开发利用或正在积极研究、有 待推广的能源，如太阳能、地热能、风能、海洋能、生物质能和核聚变 能等。</w:t>
            </w:r>
          </w:p>
        </w:tc>
      </w:tr>
      <w:tr>
        <w:trPr>
          <w:trHeight w:val="157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配电网</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26" w:right="84"/>
              <w:jc w:val="left"/>
              <w:rPr>
                <w:rFonts w:ascii="宋体" w:hAnsi="宋体" w:cs="宋体" w:eastAsia="宋体" w:hint="default"/>
                <w:sz w:val="18"/>
                <w:szCs w:val="18"/>
              </w:rPr>
            </w:pPr>
            <w:r>
              <w:rPr>
                <w:rFonts w:ascii="宋体" w:hAnsi="宋体" w:cs="宋体" w:eastAsia="宋体" w:hint="default"/>
                <w:sz w:val="18"/>
                <w:szCs w:val="18"/>
              </w:rPr>
              <w:t>由架空线路、电缆、杆塔、配电变压器、隔离开关、无功补偿器及一些 附属设施等组成的，在电力网中起重要分配电能作用的网络。按电压等 </w:t>
            </w:r>
            <w:r>
              <w:rPr>
                <w:rFonts w:ascii="宋体" w:hAnsi="宋体" w:cs="宋体" w:eastAsia="宋体" w:hint="default"/>
                <w:spacing w:val="-6"/>
                <w:w w:val="99"/>
                <w:sz w:val="18"/>
                <w:szCs w:val="18"/>
              </w:rPr>
              <w:t>级，可分为高压配电网（</w:t>
            </w:r>
            <w:r>
              <w:rPr>
                <w:rFonts w:ascii="Times New Roman" w:hAnsi="Times New Roman" w:cs="Times New Roman" w:eastAsia="Times New Roman" w:hint="default"/>
                <w:spacing w:val="-6"/>
                <w:w w:val="99"/>
                <w:sz w:val="18"/>
                <w:szCs w:val="18"/>
              </w:rPr>
              <w:t>35</w:t>
            </w:r>
            <w:r>
              <w:rPr>
                <w:rFonts w:ascii="Times New Roman" w:hAnsi="Times New Roman" w:cs="Times New Roman" w:eastAsia="Times New Roman" w:hint="default"/>
                <w:spacing w:val="-6"/>
                <w:w w:val="99"/>
                <w:sz w:val="18"/>
                <w:szCs w:val="18"/>
              </w:rPr>
              <w:t>—</w:t>
            </w:r>
            <w:r>
              <w:rPr>
                <w:rFonts w:ascii="Times New Roman" w:hAnsi="Times New Roman" w:cs="Times New Roman" w:eastAsia="Times New Roman" w:hint="default"/>
                <w:spacing w:val="-6"/>
                <w:w w:val="99"/>
                <w:sz w:val="18"/>
                <w:szCs w:val="18"/>
              </w:rPr>
              <w:t>110kV</w:t>
            </w:r>
            <w:r>
              <w:rPr>
                <w:rFonts w:ascii="宋体" w:hAnsi="宋体" w:cs="宋体" w:eastAsia="宋体" w:hint="default"/>
                <w:spacing w:val="-6"/>
                <w:w w:val="99"/>
                <w:sz w:val="18"/>
                <w:szCs w:val="18"/>
              </w:rPr>
              <w:t>），中压配电网（</w:t>
            </w:r>
            <w:r>
              <w:rPr>
                <w:rFonts w:ascii="Times New Roman" w:hAnsi="Times New Roman" w:cs="Times New Roman" w:eastAsia="Times New Roman" w:hint="default"/>
                <w:spacing w:val="-6"/>
                <w:w w:val="99"/>
                <w:sz w:val="18"/>
                <w:szCs w:val="18"/>
              </w:rPr>
              <w:t>6</w:t>
            </w:r>
            <w:r>
              <w:rPr>
                <w:rFonts w:ascii="Times New Roman" w:hAnsi="Times New Roman" w:cs="Times New Roman" w:eastAsia="Times New Roman" w:hint="default"/>
                <w:spacing w:val="-6"/>
                <w:w w:val="99"/>
                <w:sz w:val="18"/>
                <w:szCs w:val="18"/>
              </w:rPr>
              <w:t>—</w:t>
            </w:r>
            <w:r>
              <w:rPr>
                <w:rFonts w:ascii="Times New Roman" w:hAnsi="Times New Roman" w:cs="Times New Roman" w:eastAsia="Times New Roman" w:hint="default"/>
                <w:spacing w:val="-6"/>
                <w:w w:val="99"/>
                <w:sz w:val="18"/>
                <w:szCs w:val="18"/>
              </w:rPr>
              <w:t>20kV</w:t>
            </w:r>
            <w:r>
              <w:rPr>
                <w:rFonts w:ascii="宋体" w:hAnsi="宋体" w:cs="宋体" w:eastAsia="宋体" w:hint="default"/>
                <w:spacing w:val="-6"/>
                <w:w w:val="99"/>
                <w:sz w:val="18"/>
                <w:szCs w:val="18"/>
              </w:rPr>
              <w:t>），低压配</w:t>
            </w:r>
            <w:r>
              <w:rPr>
                <w:rFonts w:ascii="宋体" w:hAnsi="宋体" w:cs="宋体" w:eastAsia="宋体" w:hint="default"/>
                <w:spacing w:val="-56"/>
                <w:w w:val="99"/>
                <w:sz w:val="18"/>
                <w:szCs w:val="18"/>
              </w:rPr>
              <w:t> </w:t>
            </w:r>
            <w:r>
              <w:rPr>
                <w:rFonts w:ascii="宋体" w:hAnsi="宋体" w:cs="宋体" w:eastAsia="宋体" w:hint="default"/>
                <w:spacing w:val="-56"/>
                <w:w w:val="99"/>
                <w:sz w:val="18"/>
                <w:szCs w:val="18"/>
              </w:rPr>
            </w:r>
            <w:r>
              <w:rPr>
                <w:rFonts w:ascii="宋体" w:hAnsi="宋体" w:cs="宋体" w:eastAsia="宋体" w:hint="default"/>
                <w:spacing w:val="-15"/>
                <w:w w:val="99"/>
                <w:sz w:val="18"/>
                <w:szCs w:val="18"/>
              </w:rPr>
              <w:t>电网（</w:t>
            </w:r>
            <w:r>
              <w:rPr>
                <w:rFonts w:ascii="Times New Roman" w:hAnsi="Times New Roman" w:cs="Times New Roman" w:eastAsia="Times New Roman" w:hint="default"/>
                <w:spacing w:val="-15"/>
                <w:w w:val="99"/>
                <w:sz w:val="18"/>
                <w:szCs w:val="18"/>
              </w:rPr>
              <w:t>220/380V</w:t>
            </w:r>
            <w:r>
              <w:rPr>
                <w:rFonts w:ascii="宋体" w:hAnsi="宋体" w:cs="宋体" w:eastAsia="宋体" w:hint="default"/>
                <w:spacing w:val="-15"/>
                <w:w w:val="99"/>
                <w:sz w:val="18"/>
                <w:szCs w:val="18"/>
              </w:rPr>
              <w:t>）。</w:t>
            </w:r>
            <w:r>
              <w:rPr>
                <w:rFonts w:ascii="宋体" w:hAnsi="宋体" w:cs="宋体" w:eastAsia="宋体" w:hint="default"/>
                <w:w w:val="99"/>
                <w:sz w:val="18"/>
                <w:szCs w:val="18"/>
              </w:rPr>
            </w:r>
          </w:p>
        </w:tc>
      </w:tr>
      <w:tr>
        <w:trPr>
          <w:trHeight w:val="1882"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直流输电、交流输电</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6"/>
              <w:jc w:val="both"/>
              <w:rPr>
                <w:rFonts w:ascii="宋体" w:hAnsi="宋体" w:cs="宋体" w:eastAsia="宋体" w:hint="default"/>
                <w:sz w:val="18"/>
                <w:szCs w:val="18"/>
              </w:rPr>
            </w:pPr>
            <w:r>
              <w:rPr>
                <w:rFonts w:ascii="宋体" w:hAnsi="宋体" w:cs="宋体" w:eastAsia="宋体" w:hint="default"/>
                <w:sz w:val="18"/>
                <w:szCs w:val="18"/>
              </w:rPr>
              <w:t>直流输电是以直流电的方式实现电能传输。在送端需将交流电经整流器 变换成直流电输送至受电端，在受端再用逆变器将直流电变换成交流电 送到受端交流电网的一种输电方式。主要应用于远距离大功率输电和非 同步交流系统的联网。交流输电是以交流电流传输电能。其技术的发展 是以增加输送容量、扩大输送距离和提高输电线路电压等级为标志。</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高压、超高压、特高压</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在电力传输领域，</w:t>
            </w:r>
            <w:r>
              <w:rPr>
                <w:rFonts w:ascii="Times New Roman" w:hAnsi="Times New Roman" w:cs="Times New Roman" w:eastAsia="Times New Roman" w:hint="default"/>
                <w:sz w:val="18"/>
                <w:szCs w:val="18"/>
              </w:rPr>
              <w:t>110kV-220kV</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为高压、</w:t>
            </w:r>
            <w:r>
              <w:rPr>
                <w:rFonts w:ascii="Times New Roman" w:hAnsi="Times New Roman" w:cs="Times New Roman" w:eastAsia="Times New Roman" w:hint="default"/>
                <w:sz w:val="18"/>
                <w:szCs w:val="18"/>
              </w:rPr>
              <w:t>330kV-750kV</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为超高压、交流</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1000kV </w:t>
            </w:r>
            <w:r>
              <w:rPr>
                <w:rFonts w:ascii="宋体" w:hAnsi="宋体" w:cs="宋体" w:eastAsia="宋体" w:hint="default"/>
                <w:sz w:val="18"/>
                <w:szCs w:val="18"/>
              </w:rPr>
              <w:t>及以上电压和直流</w:t>
            </w:r>
            <w:r>
              <w:rPr>
                <w:rFonts w:ascii="Times New Roman" w:hAnsi="Times New Roman" w:cs="Times New Roman" w:eastAsia="Times New Roman" w:hint="default"/>
                <w:sz w:val="18"/>
                <w:szCs w:val="18"/>
              </w:rPr>
              <w:t>±800kV</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及以上电压为特高压。</w:t>
            </w:r>
          </w:p>
        </w:tc>
      </w:tr>
      <w:tr>
        <w:trPr>
          <w:trHeight w:val="946"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装机容量</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实际安装的发电机组额定的有功功率的总和，以千瓦</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k</w:t>
            </w:r>
            <w:r>
              <w:rPr>
                <w:rFonts w:ascii="Times New Roman" w:hAnsi="Times New Roman" w:cs="Times New Roman" w:eastAsia="Times New Roman" w:hint="default"/>
                <w:sz w:val="18"/>
                <w:szCs w:val="18"/>
              </w:rPr>
              <w:t>W</w:t>
            </w:r>
            <w:r>
              <w:rPr>
                <w:rFonts w:ascii="宋体" w:hAnsi="宋体" w:cs="宋体" w:eastAsia="宋体" w:hint="default"/>
                <w:spacing w:val="-89"/>
                <w:sz w:val="18"/>
                <w:szCs w:val="18"/>
              </w:rPr>
              <w:t>）</w:t>
            </w:r>
            <w:r>
              <w:rPr>
                <w:rFonts w:ascii="宋体" w:hAnsi="宋体" w:cs="宋体" w:eastAsia="宋体" w:hint="default"/>
                <w:sz w:val="18"/>
                <w:szCs w:val="18"/>
              </w:rPr>
              <w:t>、兆瓦</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2"/>
                <w:sz w:val="18"/>
                <w:szCs w:val="18"/>
              </w:rPr>
              <w:t>W</w:t>
            </w:r>
            <w:r>
              <w:rPr>
                <w:rFonts w:ascii="宋体" w:hAnsi="宋体" w:cs="宋体" w:eastAsia="宋体" w:hint="default"/>
                <w:sz w:val="18"/>
                <w:szCs w:val="18"/>
              </w:rPr>
              <w:t>，即百万瓦</w:t>
            </w:r>
            <w:r>
              <w:rPr>
                <w:rFonts w:ascii="宋体" w:hAnsi="宋体" w:cs="宋体" w:eastAsia="宋体" w:hint="default"/>
                <w:spacing w:val="-92"/>
                <w:sz w:val="18"/>
                <w:szCs w:val="18"/>
              </w:rPr>
              <w:t>）</w:t>
            </w:r>
            <w:r>
              <w:rPr>
                <w:rFonts w:ascii="宋体" w:hAnsi="宋体" w:cs="宋体" w:eastAsia="宋体" w:hint="default"/>
                <w:sz w:val="18"/>
                <w:szCs w:val="18"/>
              </w:rPr>
              <w:t>、吉瓦</w:t>
            </w:r>
            <w:r>
              <w:rPr>
                <w:rFonts w:ascii="宋体" w:hAnsi="宋体" w:cs="宋体" w:eastAsia="宋体" w:hint="default"/>
                <w:spacing w:val="2"/>
                <w:sz w:val="18"/>
                <w:szCs w:val="18"/>
              </w:rPr>
              <w:t>（</w:t>
            </w:r>
            <w:r>
              <w:rPr>
                <w:rFonts w:ascii="Times New Roman" w:hAnsi="Times New Roman" w:cs="Times New Roman" w:eastAsia="Times New Roman" w:hint="default"/>
                <w:spacing w:val="-1"/>
                <w:w w:val="99"/>
                <w:sz w:val="18"/>
                <w:szCs w:val="18"/>
              </w:rPr>
              <w:t>G</w:t>
            </w:r>
            <w:r>
              <w:rPr>
                <w:rFonts w:ascii="Times New Roman" w:hAnsi="Times New Roman" w:cs="Times New Roman" w:eastAsia="Times New Roman" w:hint="default"/>
                <w:spacing w:val="-2"/>
                <w:w w:val="99"/>
                <w:sz w:val="18"/>
                <w:szCs w:val="18"/>
              </w:rPr>
              <w:t>W</w:t>
            </w:r>
            <w:r>
              <w:rPr>
                <w:rFonts w:ascii="宋体" w:hAnsi="宋体" w:cs="宋体" w:eastAsia="宋体" w:hint="default"/>
                <w:sz w:val="18"/>
                <w:szCs w:val="18"/>
              </w:rPr>
              <w:t>，即百万千瓦</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948"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千瓦时</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37"/>
              <w:jc w:val="left"/>
              <w:rPr>
                <w:rFonts w:ascii="宋体" w:hAnsi="宋体" w:cs="宋体" w:eastAsia="宋体" w:hint="default"/>
                <w:sz w:val="18"/>
                <w:szCs w:val="18"/>
              </w:rPr>
            </w:pPr>
            <w:r>
              <w:rPr>
                <w:rFonts w:ascii="宋体" w:hAnsi="宋体" w:cs="宋体" w:eastAsia="宋体" w:hint="default"/>
                <w:sz w:val="18"/>
                <w:szCs w:val="18"/>
              </w:rPr>
              <w:t>能量量度单位，表示一个功率为一千瓦的电器使用一小时所消耗的能 量。</w:t>
            </w:r>
          </w:p>
        </w:tc>
      </w:tr>
      <w:tr>
        <w:trPr>
          <w:trHeight w:val="634"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储能</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指</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电能的储存。</w:t>
            </w:r>
          </w:p>
        </w:tc>
      </w:tr>
      <w:tr>
        <w:trPr>
          <w:trHeight w:val="634"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634"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52" w:footer="979" w:top="1260" w:bottom="1160" w:left="980" w:right="980"/>
        </w:sectPr>
      </w:pPr>
    </w:p>
    <w:p>
      <w:pPr>
        <w:spacing w:line="240" w:lineRule="auto" w:before="10"/>
        <w:rPr>
          <w:rFonts w:ascii="Times New Roman" w:hAnsi="Times New Roman" w:cs="Times New Roman" w:eastAsia="Times New Roman" w:hint="default"/>
          <w:sz w:val="18"/>
          <w:szCs w:val="18"/>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5"/>
        <w:gridCol w:w="2177"/>
      </w:tblGrid>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永福股份</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300712</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永福股份</w:t>
            </w:r>
          </w:p>
        </w:tc>
      </w:tr>
      <w:tr>
        <w:trPr>
          <w:trHeight w:val="637"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Fujian </w:t>
            </w:r>
            <w:r>
              <w:rPr>
                <w:rFonts w:ascii="Times New Roman"/>
                <w:spacing w:val="-5"/>
                <w:sz w:val="18"/>
              </w:rPr>
              <w:t>Yongfu </w:t>
            </w:r>
            <w:r>
              <w:rPr>
                <w:rFonts w:ascii="Times New Roman"/>
                <w:sz w:val="18"/>
              </w:rPr>
              <w:t>Power Engineering</w:t>
            </w:r>
            <w:r>
              <w:rPr>
                <w:rFonts w:ascii="Times New Roman"/>
                <w:spacing w:val="-3"/>
                <w:sz w:val="18"/>
              </w:rPr>
              <w:t> </w:t>
            </w:r>
            <w:r>
              <w:rPr>
                <w:rFonts w:ascii="Times New Roman"/>
                <w:sz w:val="18"/>
              </w:rPr>
              <w:t>Co.,Ltd.</w:t>
            </w:r>
          </w:p>
        </w:tc>
      </w:tr>
      <w:tr>
        <w:trPr>
          <w:trHeight w:val="946"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pacing w:val="-4"/>
                <w:sz w:val="18"/>
              </w:rPr>
              <w:t>Yongfu</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林一文</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福建省福州市闽侯县上街镇海西科技园高新大道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350108</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福建省福州市闽侯县上街镇海西科技园高新大道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636"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350108</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8">
              <w:r>
                <w:rPr>
                  <w:rFonts w:ascii="Times New Roman"/>
                  <w:sz w:val="18"/>
                </w:rPr>
                <w:t>www.fjyfdl.com</w:t>
              </w:r>
            </w:hyperlink>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9">
              <w:r>
                <w:rPr>
                  <w:rFonts w:ascii="Times New Roman"/>
                  <w:sz w:val="18"/>
                </w:rPr>
                <w:t>yfdb@fjyongfu.com</w:t>
              </w:r>
            </w:hyperlink>
          </w:p>
        </w:tc>
      </w:tr>
    </w:tbl>
    <w:p>
      <w:pPr>
        <w:spacing w:line="240" w:lineRule="auto" w:before="11"/>
        <w:rPr>
          <w:rFonts w:ascii="宋体" w:hAnsi="宋体" w:cs="宋体" w:eastAsia="宋体" w:hint="default"/>
          <w:b/>
          <w:bCs/>
          <w:sz w:val="6"/>
          <w:szCs w:val="6"/>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吴轶群</w:t>
            </w:r>
          </w:p>
        </w:tc>
      </w:tr>
      <w:tr>
        <w:trPr>
          <w:trHeight w:val="16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 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 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62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0591-86124969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0591-86124969</w:t>
            </w: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0591-86124969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0591-86124969</w:t>
            </w: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9">
              <w:r>
                <w:rPr>
                  <w:rFonts w:ascii="Times New Roman"/>
                  <w:sz w:val="18"/>
                </w:rPr>
                <w:t>yfdb@fjyongfu.com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9">
              <w:r>
                <w:rPr>
                  <w:rFonts w:ascii="Times New Roman"/>
                  <w:sz w:val="18"/>
                </w:rPr>
                <w:t>yfdb@fjyongfu.com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980"/>
        </w:sectPr>
      </w:pPr>
    </w:p>
    <w:p>
      <w:pPr>
        <w:pStyle w:val="Heading2"/>
        <w:spacing w:line="240" w:lineRule="auto" w:before="125"/>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63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63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http://www.cninfo.com.cn</w:t>
              </w:r>
            </w:hyperlink>
          </w:p>
        </w:tc>
      </w:tr>
      <w:tr>
        <w:trPr>
          <w:trHeight w:val="636"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1"/>
        <w:rPr>
          <w:rFonts w:ascii="宋体" w:hAnsi="宋体" w:cs="宋体" w:eastAsia="宋体" w:hint="default"/>
          <w:b/>
          <w:bCs/>
          <w:sz w:val="6"/>
          <w:szCs w:val="6"/>
        </w:rPr>
      </w:pPr>
    </w:p>
    <w:p>
      <w:pPr>
        <w:pStyle w:val="Heading2"/>
        <w:spacing w:line="240" w:lineRule="auto" w:before="26"/>
        <w:ind w:right="0"/>
        <w:jc w:val="left"/>
        <w:rPr>
          <w:b w:val="0"/>
          <w:bCs w:val="0"/>
        </w:rPr>
      </w:pPr>
      <w:r>
        <w:rPr/>
        <w:t>四、其他有关资料</w:t>
      </w:r>
      <w:r>
        <w:rPr>
          <w:b w:val="0"/>
          <w:bCs w:val="0"/>
        </w:rPr>
      </w:r>
    </w:p>
    <w:p>
      <w:pPr>
        <w:pStyle w:val="BodyText"/>
        <w:spacing w:line="240" w:lineRule="auto" w:before="202"/>
        <w:ind w:right="0"/>
        <w:jc w:val="left"/>
      </w:pPr>
      <w:r>
        <w:rPr/>
        <w:t>公司聘请的会计师事务所</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63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63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63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杨志平、瞿玉敏</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公司聘请的报告期内履行持续督导职责的保荐机构</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48"/>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94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6" w:right="101"/>
              <w:jc w:val="left"/>
              <w:rPr>
                <w:rFonts w:ascii="宋体" w:hAnsi="宋体" w:cs="宋体" w:eastAsia="宋体" w:hint="default"/>
                <w:sz w:val="18"/>
                <w:szCs w:val="18"/>
              </w:rPr>
            </w:pPr>
            <w:r>
              <w:rPr>
                <w:rFonts w:ascii="宋体" w:hAnsi="宋体" w:cs="宋体" w:eastAsia="宋体" w:hint="default"/>
                <w:sz w:val="18"/>
                <w:szCs w:val="18"/>
              </w:rPr>
              <w:t>北京市西城区锦什坊街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恒奥中心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层华创证券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陈仕强、陈勇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674"/>
              <w:jc w:val="right"/>
              <w:rPr>
                <w:rFonts w:ascii="Times New Roman" w:hAnsi="Times New Roman" w:cs="Times New Roman" w:eastAsia="Times New Roman" w:hint="default"/>
                <w:sz w:val="18"/>
                <w:szCs w:val="18"/>
              </w:rPr>
            </w:pPr>
            <w:r>
              <w:rPr>
                <w:rFonts w:ascii="Times New Roman"/>
                <w:spacing w:val="-1"/>
                <w:sz w:val="18"/>
              </w:rPr>
              <w:t>2017.10.31-2020.12.31</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公司聘请的报告期内履行持续督导职责的财务顾问</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五、主要会计数据和财务指标</w:t>
      </w:r>
      <w:r>
        <w:rPr>
          <w:b w:val="0"/>
          <w:bCs w:val="0"/>
        </w:rPr>
      </w:r>
    </w:p>
    <w:p>
      <w:pPr>
        <w:pStyle w:val="BodyText"/>
        <w:spacing w:line="240" w:lineRule="auto" w:before="202"/>
        <w:ind w:right="0"/>
        <w:jc w:val="left"/>
      </w:pPr>
      <w:r>
        <w:rPr/>
        <w:t>公司是否需追溯调整或重述以前年度会计数据</w:t>
      </w:r>
    </w:p>
    <w:p>
      <w:pPr>
        <w:spacing w:line="240" w:lineRule="auto" w:before="11"/>
        <w:rPr>
          <w:rFonts w:ascii="宋体" w:hAnsi="宋体" w:cs="宋体" w:eastAsia="宋体" w:hint="default"/>
          <w:sz w:val="17"/>
          <w:szCs w:val="17"/>
        </w:rPr>
      </w:pPr>
    </w:p>
    <w:p>
      <w:pPr>
        <w:pStyle w:val="BodyText"/>
        <w:spacing w:line="240" w:lineRule="auto"/>
        <w:ind w:right="0"/>
        <w:jc w:val="left"/>
      </w:pPr>
      <w:r>
        <w:rPr/>
        <w:t>□ 是 √</w:t>
      </w:r>
      <w:r>
        <w:rPr>
          <w:spacing w:val="3"/>
        </w:rPr>
        <w:t> </w:t>
      </w:r>
      <w:r>
        <w:rPr/>
        <w:t>否</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564,396,520.28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444,714,055.19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386,762,299.47</w:t>
            </w: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76,966,118.46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73,299,462.99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57,797,055.83</w:t>
            </w:r>
          </w:p>
        </w:tc>
      </w:tr>
      <w:tr>
        <w:trPr>
          <w:trHeight w:val="94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73,509,293.42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72,060,138.10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64,934,984.39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94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56,365,713.93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72,991,218.08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-22.78%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-6,447,201.48</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0.5680</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0.5680</w:t>
            </w:r>
          </w:p>
        </w:tc>
      </w:tr>
      <w:tr>
        <w:trPr>
          <w:trHeight w:val="63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20.79%</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1,202,239,854.29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806,582,943.77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618,934,163.22</w:t>
            </w: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870,398,416.27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419,342,297.81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107.56%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346,042,834.82</w:t>
            </w:r>
          </w:p>
        </w:tc>
      </w:tr>
    </w:tbl>
    <w:p>
      <w:pPr>
        <w:spacing w:line="240" w:lineRule="auto" w:before="11"/>
        <w:rPr>
          <w:rFonts w:ascii="宋体" w:hAnsi="宋体" w:cs="宋体" w:eastAsia="宋体" w:hint="default"/>
          <w:sz w:val="6"/>
          <w:szCs w:val="6"/>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621"/>
        <w:gridCol w:w="1741"/>
        <w:gridCol w:w="1738"/>
        <w:gridCol w:w="1741"/>
        <w:gridCol w:w="1730"/>
      </w:tblGrid>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63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109,655,503.02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154,714,733.58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134,938,188.59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165,088,095.09</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17,092,782.95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20,247,414.45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20,059,232.56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19,566,688.50</w:t>
            </w: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15,287,211.25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19,637,146.35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19,907,103.45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18,677,832.37</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-51,121,778.31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94,422,644.98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-42,001,088.12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55,065,935.38</w:t>
            </w:r>
          </w:p>
        </w:tc>
      </w:tr>
    </w:tbl>
    <w:p>
      <w:pPr>
        <w:spacing w:line="240" w:lineRule="auto" w:before="3"/>
        <w:rPr>
          <w:rFonts w:ascii="宋体" w:hAnsi="宋体" w:cs="宋体" w:eastAsia="宋体" w:hint="default"/>
          <w:sz w:val="9"/>
          <w:szCs w:val="9"/>
        </w:rPr>
      </w:pPr>
    </w:p>
    <w:p>
      <w:pPr>
        <w:pStyle w:val="BodyText"/>
        <w:spacing w:line="240" w:lineRule="auto" w:before="44"/>
        <w:ind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7"/>
          <w:szCs w:val="17"/>
        </w:rPr>
      </w:pPr>
    </w:p>
    <w:p>
      <w:pPr>
        <w:pStyle w:val="BodyText"/>
        <w:spacing w:line="240" w:lineRule="auto"/>
        <w:ind w:right="0"/>
        <w:jc w:val="left"/>
      </w:pPr>
      <w:r>
        <w:rPr/>
        <w:t>□ 是 √</w:t>
      </w:r>
      <w:r>
        <w:rPr>
          <w:spacing w:val="3"/>
        </w:rPr>
        <w:t> </w:t>
      </w:r>
      <w:r>
        <w:rPr/>
        <w:t>否</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七、境内外会计准则下会计数据差异</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465" w:lineRule="auto" w:before="198"/>
        <w:ind w:left="152" w:right="236"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、同时按照境外会计准则与按照中国会计准则披露的财务报告中净利润和净资产差异情况</w:t>
      </w:r>
      <w:r>
        <w:rPr>
          <w:rFonts w:ascii="宋体" w:hAnsi="宋体" w:cs="宋体" w:eastAsia="宋体" w:hint="default"/>
          <w:spacing w:val="-1"/>
          <w:sz w:val="21"/>
          <w:szCs w:val="21"/>
        </w:rPr>
      </w:r>
    </w:p>
    <w:p>
      <w:pPr>
        <w:pStyle w:val="BodyText"/>
        <w:spacing w:line="215" w:lineRule="exact"/>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right="0"/>
        <w:jc w:val="left"/>
      </w:pPr>
      <w:r>
        <w:rPr/>
        <w:t>公司报告期不存在按照境外会计准则与按照中国会计准则披露的财务报告中净利润和净资产差异情况。</w:t>
      </w:r>
    </w:p>
    <w:p>
      <w:pPr>
        <w:spacing w:after="0" w:line="240" w:lineRule="auto"/>
        <w:jc w:val="left"/>
        <w:sectPr>
          <w:pgSz w:w="11910" w:h="16840"/>
          <w:pgMar w:header="852" w:footer="979" w:top="1260" w:bottom="1160" w:left="980" w:right="980"/>
        </w:sectPr>
      </w:pPr>
    </w:p>
    <w:p>
      <w:pPr>
        <w:pStyle w:val="Heading2"/>
        <w:spacing w:line="240" w:lineRule="auto" w:before="125"/>
        <w:ind w:right="0"/>
        <w:jc w:val="left"/>
        <w:rPr>
          <w:b w:val="0"/>
          <w:bCs w:val="0"/>
        </w:rPr>
      </w:pPr>
      <w:r>
        <w:rPr/>
        <w:t>八、非经常性损益项目及金额</w:t>
      </w:r>
      <w:r>
        <w:rPr>
          <w:b w:val="0"/>
          <w:bCs w:val="0"/>
        </w:rPr>
      </w:r>
    </w:p>
    <w:p>
      <w:pPr>
        <w:pStyle w:val="BodyText"/>
        <w:spacing w:line="240" w:lineRule="auto" w:before="202"/>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63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2,335,488.91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-11,489.96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-91,534.62</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2" w:lineRule="auto"/>
              <w:ind w:left="23" w:right="53"/>
              <w:jc w:val="left"/>
              <w:rPr>
                <w:rFonts w:ascii="宋体" w:hAnsi="宋体" w:cs="宋体" w:eastAsia="宋体" w:hint="default"/>
                <w:sz w:val="18"/>
                <w:szCs w:val="18"/>
              </w:rPr>
            </w:pPr>
            <w:r>
              <w:rPr>
                <w:rFonts w:ascii="宋体" w:hAnsi="宋体" w:cs="宋体" w:eastAsia="宋体" w:hint="default"/>
                <w:sz w:val="18"/>
                <w:szCs w:val="18"/>
              </w:rPr>
              <w:t>主要原因是处置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年购置处于广 州的房产及其他固定 资产处置收益</w:t>
            </w:r>
          </w:p>
        </w:tc>
      </w:tr>
      <w:tr>
        <w:trPr>
          <w:trHeight w:val="93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125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441,611.52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3,243,925.00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各类财政补贴</w:t>
            </w:r>
          </w:p>
        </w:tc>
      </w:tr>
      <w:tr>
        <w:trPr>
          <w:trHeight w:val="188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638.00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378.23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1,257,825.00</w:t>
            </w:r>
          </w:p>
        </w:tc>
        <w:tc>
          <w:tcPr>
            <w:tcW w:w="1522"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53"/>
              <w:jc w:val="both"/>
              <w:rPr>
                <w:rFonts w:ascii="宋体" w:hAnsi="宋体" w:cs="宋体" w:eastAsia="宋体" w:hint="default"/>
                <w:sz w:val="18"/>
                <w:szCs w:val="18"/>
              </w:rPr>
            </w:pPr>
            <w:r>
              <w:rPr>
                <w:rFonts w:ascii="宋体" w:hAnsi="宋体" w:cs="宋体" w:eastAsia="宋体" w:hint="default"/>
                <w:sz w:val="18"/>
                <w:szCs w:val="18"/>
              </w:rPr>
              <w:t>鑫海冶金线路迁改工 程已单项全额计提减 值，债务重组后可收 回金额转回</w:t>
            </w:r>
          </w:p>
        </w:tc>
      </w:tr>
      <w:tr>
        <w:trPr>
          <w:trHeight w:val="93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63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43,456.25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-186,085.41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-3,849.00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-9,680,788.17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621,556.64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238,237.74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606,060.00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3,456,825.04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1,239,324.89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-7,137,928.56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3"/>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spacing w:line="240" w:lineRule="auto" w:before="4"/>
        <w:rPr>
          <w:rFonts w:ascii="宋体" w:hAnsi="宋体" w:cs="宋体" w:eastAsia="宋体" w:hint="default"/>
          <w:sz w:val="14"/>
          <w:szCs w:val="14"/>
        </w:rPr>
      </w:pPr>
    </w:p>
    <w:p>
      <w:pPr>
        <w:pStyle w:val="BodyText"/>
        <w:spacing w:line="240" w:lineRule="auto"/>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300" w:lineRule="auto"/>
        <w:ind w:right="235"/>
        <w:jc w:val="left"/>
      </w:pPr>
      <w:r>
        <w:rPr/>
        <w:t>公司报告期不存在将根据《公开发行证券的公司信息披露解释性公告第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非经常性损益》定义、列举的非经常性损 益项目界定为经常性损益的项目的情形。</w:t>
      </w:r>
    </w:p>
    <w:p>
      <w:pPr>
        <w:spacing w:after="0" w:line="300" w:lineRule="auto"/>
        <w:jc w:val="left"/>
        <w:sectPr>
          <w:pgSz w:w="11910" w:h="16840"/>
          <w:pgMar w:header="852" w:footer="979" w:top="1260" w:bottom="1160" w:left="980" w:right="980"/>
        </w:sectPr>
      </w:pPr>
    </w:p>
    <w:p>
      <w:pPr>
        <w:spacing w:line="240" w:lineRule="auto" w:before="7"/>
        <w:rPr>
          <w:rFonts w:ascii="宋体" w:hAnsi="宋体" w:cs="宋体" w:eastAsia="宋体" w:hint="default"/>
          <w:sz w:val="16"/>
          <w:szCs w:val="16"/>
        </w:rPr>
      </w:pPr>
    </w:p>
    <w:p>
      <w:pPr>
        <w:pStyle w:val="Heading1"/>
        <w:spacing w:line="240" w:lineRule="auto"/>
        <w:ind w:right="453"/>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pStyle w:val="Heading2"/>
        <w:spacing w:line="240" w:lineRule="auto" w:before="270"/>
        <w:ind w:right="0"/>
        <w:jc w:val="left"/>
        <w:rPr>
          <w:b w:val="0"/>
          <w:bCs w:val="0"/>
        </w:rPr>
      </w:pPr>
      <w:r>
        <w:rPr/>
        <w:t>一、报告期内公司从事的主要业务</w:t>
      </w:r>
      <w:r>
        <w:rPr>
          <w:b w:val="0"/>
          <w:bCs w:val="0"/>
        </w:rPr>
      </w:r>
    </w:p>
    <w:p>
      <w:pPr>
        <w:pStyle w:val="BodyText"/>
        <w:spacing w:line="477" w:lineRule="auto" w:before="202"/>
        <w:ind w:right="6714"/>
        <w:jc w:val="left"/>
      </w:pPr>
      <w:r>
        <w:rPr/>
        <w:t>公司是否需要遵守特殊行业的披露要求 否</w:t>
      </w:r>
    </w:p>
    <w:p>
      <w:pPr>
        <w:pStyle w:val="Heading4"/>
        <w:spacing w:line="264" w:lineRule="auto" w:before="33"/>
        <w:ind w:right="260" w:firstLine="420"/>
        <w:jc w:val="left"/>
      </w:pPr>
      <w:r>
        <w:rPr/>
        <w:t>公司主营业务是提供电力工程规划咨询、勘察设计和</w:t>
      </w:r>
      <w:r>
        <w:rPr>
          <w:spacing w:val="-55"/>
        </w:rPr>
        <w:t> </w:t>
      </w:r>
      <w:r>
        <w:rPr>
          <w:rFonts w:ascii="Times New Roman" w:hAnsi="Times New Roman" w:cs="Times New Roman" w:eastAsia="Times New Roman" w:hint="default"/>
        </w:rPr>
        <w:t>EPC</w:t>
      </w:r>
      <w:r>
        <w:rPr>
          <w:rFonts w:ascii="Times New Roman" w:hAnsi="Times New Roman" w:cs="Times New Roman" w:eastAsia="Times New Roman" w:hint="default"/>
          <w:spacing w:val="-4"/>
        </w:rPr>
        <w:t> </w:t>
      </w:r>
      <w:r>
        <w:rPr/>
        <w:t>工程总承包等全寿命周期技术服务，业务</w:t>
      </w:r>
      <w:r>
        <w:rPr>
          <w:w w:val="100"/>
        </w:rPr>
        <w:t> </w:t>
      </w:r>
      <w:r>
        <w:rPr>
          <w:spacing w:val="-2"/>
        </w:rPr>
        <w:t>覆盖发电、输变电等类型，其中，发电业务涵盖核电、火力发电、燃气发电、风力发电、太阳能发电、</w:t>
      </w:r>
      <w:r>
        <w:rPr>
          <w:spacing w:val="-21"/>
        </w:rPr>
        <w:t> </w:t>
      </w:r>
      <w:r>
        <w:rPr>
          <w:spacing w:val="-21"/>
        </w:rPr>
      </w:r>
      <w:r>
        <w:rPr/>
        <w:t>生物质发电、分布式能源等业务，输变电业务涵盖</w:t>
      </w:r>
      <w:r>
        <w:rPr>
          <w:spacing w:val="-57"/>
        </w:rPr>
        <w:t> </w:t>
      </w:r>
      <w:r>
        <w:rPr>
          <w:rFonts w:ascii="Times New Roman" w:hAnsi="Times New Roman" w:cs="Times New Roman" w:eastAsia="Times New Roman" w:hint="default"/>
        </w:rPr>
        <w:t>220V</w:t>
      </w:r>
      <w:r>
        <w:rPr>
          <w:rFonts w:ascii="Times New Roman" w:hAnsi="Times New Roman" w:cs="Times New Roman" w:eastAsia="Times New Roman" w:hint="default"/>
        </w:rPr>
        <w:t>—</w:t>
      </w:r>
      <w:r>
        <w:rPr/>
        <w:t>±</w:t>
      </w:r>
      <w:r>
        <w:rPr>
          <w:rFonts w:ascii="Times New Roman" w:hAnsi="Times New Roman" w:cs="Times New Roman" w:eastAsia="Times New Roman" w:hint="default"/>
        </w:rPr>
        <w:t>1100kV</w:t>
      </w:r>
      <w:r>
        <w:rPr>
          <w:rFonts w:ascii="Times New Roman" w:hAnsi="Times New Roman" w:cs="Times New Roman" w:eastAsia="Times New Roman" w:hint="default"/>
          <w:spacing w:val="-1"/>
        </w:rPr>
        <w:t> </w:t>
      </w:r>
      <w:r>
        <w:rPr/>
        <w:t>全电压等级；主要服务于电力、石</w:t>
      </w:r>
      <w:r>
        <w:rPr>
          <w:w w:val="100"/>
        </w:rPr>
        <w:t> </w:t>
      </w:r>
      <w:r>
        <w:rPr>
          <w:spacing w:val="-2"/>
        </w:rPr>
        <w:t>油、化工和钢铁等领域；目前，公司市场布局覆盖全国二十余个省份及自治区，海外业务遍及东南亚、</w:t>
      </w:r>
      <w:r>
        <w:rPr>
          <w:spacing w:val="-21"/>
        </w:rPr>
        <w:t> </w:t>
      </w:r>
      <w:r>
        <w:rPr>
          <w:spacing w:val="-21"/>
        </w:rPr>
      </w:r>
      <w:r>
        <w:rPr/>
        <w:t>非洲、中东等十几个国家。</w:t>
      </w:r>
    </w:p>
    <w:p>
      <w:pPr>
        <w:pStyle w:val="Heading4"/>
        <w:spacing w:line="450" w:lineRule="atLeast" w:before="13"/>
        <w:ind w:left="573" w:right="0"/>
        <w:jc w:val="left"/>
      </w:pPr>
      <w:r>
        <w:rPr>
          <w:rFonts w:ascii="Times New Roman" w:hAnsi="Times New Roman" w:cs="Times New Roman" w:eastAsia="Times New Roman" w:hint="default"/>
        </w:rPr>
        <w:t>1</w:t>
      </w:r>
      <w:r>
        <w:rPr/>
        <w:t>、电力工程规划咨询业务</w:t>
      </w:r>
      <w:r>
        <w:rPr>
          <w:w w:val="100"/>
        </w:rPr>
        <w:t> </w:t>
      </w:r>
      <w:r>
        <w:rPr>
          <w:spacing w:val="-2"/>
        </w:rPr>
        <w:t>规划咨询为各级政府编制国家级、省级发展规划做参谋，促进经济社会又好又快发展；为项目投资</w:t>
      </w:r>
    </w:p>
    <w:p>
      <w:pPr>
        <w:pStyle w:val="Heading4"/>
        <w:spacing w:line="273" w:lineRule="auto" w:before="37"/>
        <w:ind w:right="236"/>
        <w:jc w:val="left"/>
        <w:rPr>
          <w:rFonts w:ascii="Times New Roman" w:hAnsi="Times New Roman" w:cs="Times New Roman" w:eastAsia="Times New Roman" w:hint="default"/>
        </w:rPr>
      </w:pPr>
      <w:r>
        <w:rPr>
          <w:spacing w:val="-2"/>
        </w:rPr>
        <w:t>人的投资决策充当第一把关人，优化项目建设方案，防范投资风险，减少和避免决策失误，提高投资效</w:t>
      </w:r>
      <w:r>
        <w:rPr>
          <w:spacing w:val="-21"/>
        </w:rPr>
        <w:t> </w:t>
      </w:r>
      <w:r>
        <w:rPr>
          <w:spacing w:val="-21"/>
        </w:rPr>
      </w:r>
      <w:r>
        <w:rPr/>
        <w:t>益</w:t>
      </w:r>
      <w:r>
        <w:rPr>
          <w:rFonts w:ascii="Times New Roman" w:hAnsi="Times New Roman" w:cs="Times New Roman" w:eastAsia="Times New Roman" w:hint="default"/>
        </w:rPr>
        <w:t>.</w:t>
      </w:r>
    </w:p>
    <w:p>
      <w:pPr>
        <w:pStyle w:val="Heading4"/>
        <w:spacing w:line="273" w:lineRule="auto" w:before="144"/>
        <w:ind w:right="0" w:firstLine="420"/>
        <w:jc w:val="left"/>
      </w:pPr>
      <w:r>
        <w:rPr>
          <w:spacing w:val="-2"/>
        </w:rPr>
        <w:t>公司在电力规划和工程建设前期咨询领域拥有核心技术，可为业主提供电力负荷预测、电源规划、</w:t>
      </w:r>
      <w:r>
        <w:rPr>
          <w:w w:val="100"/>
        </w:rPr>
        <w:t> </w:t>
      </w:r>
      <w:r>
        <w:rPr>
          <w:spacing w:val="-2"/>
        </w:rPr>
        <w:t>主干电网与配电网系统研究、电力设施布局规划、电源和用户接入系统设计、电力通信网系统研究、项</w:t>
      </w:r>
      <w:r>
        <w:rPr>
          <w:spacing w:val="-21"/>
        </w:rPr>
        <w:t> </w:t>
      </w:r>
      <w:r>
        <w:rPr>
          <w:spacing w:val="-21"/>
        </w:rPr>
      </w:r>
      <w:r>
        <w:rPr/>
        <w:t>目投资机会研究、项目建议书、初步可行性研究报告、可行性研究报告、项目申请报告等规划咨询业</w:t>
      </w:r>
      <w:r>
        <w:rPr>
          <w:w w:val="100"/>
        </w:rPr>
        <w:t> </w:t>
      </w:r>
      <w:r>
        <w:rPr/>
        <w:t>务，以及对以上业务的评估工作。</w:t>
      </w:r>
    </w:p>
    <w:p>
      <w:pPr>
        <w:pStyle w:val="Heading4"/>
        <w:spacing w:line="450" w:lineRule="atLeast" w:before="5"/>
        <w:ind w:left="573" w:right="0"/>
        <w:jc w:val="left"/>
      </w:pPr>
      <w:r>
        <w:rPr>
          <w:rFonts w:ascii="Times New Roman" w:hAnsi="Times New Roman" w:cs="Times New Roman" w:eastAsia="Times New Roman" w:hint="default"/>
        </w:rPr>
        <w:t>2</w:t>
      </w:r>
      <w:r>
        <w:rPr/>
        <w:t>、 勘察设计业务</w:t>
      </w:r>
      <w:r>
        <w:rPr>
          <w:spacing w:val="-104"/>
        </w:rPr>
        <w:t> </w:t>
      </w:r>
      <w:r>
        <w:rPr>
          <w:spacing w:val="-104"/>
        </w:rPr>
      </w:r>
      <w:r>
        <w:rPr>
          <w:spacing w:val="-2"/>
        </w:rPr>
        <w:t>电力工程勘察设计是指根据电力工程的建设要求，对工程所需的技术、经济、资源、环境等条件进</w:t>
      </w:r>
    </w:p>
    <w:p>
      <w:pPr>
        <w:pStyle w:val="Heading4"/>
        <w:spacing w:line="273" w:lineRule="auto" w:before="37"/>
        <w:ind w:right="0"/>
        <w:jc w:val="left"/>
      </w:pPr>
      <w:r>
        <w:rPr>
          <w:spacing w:val="-2"/>
        </w:rPr>
        <w:t>行综合分析、论证，编制建设工程设计文件的业务。公司从事的电力工程勘察设计业务主要包括发电工</w:t>
      </w:r>
      <w:r>
        <w:rPr>
          <w:spacing w:val="-21"/>
        </w:rPr>
        <w:t> </w:t>
      </w:r>
      <w:r>
        <w:rPr>
          <w:spacing w:val="-21"/>
        </w:rPr>
      </w:r>
      <w:r>
        <w:rPr/>
        <w:t>程和输变电工程勘察设计业务。</w:t>
      </w:r>
    </w:p>
    <w:p>
      <w:pPr>
        <w:pStyle w:val="Heading4"/>
        <w:spacing w:line="468" w:lineRule="exact" w:before="34"/>
        <w:ind w:left="573" w:right="0"/>
        <w:jc w:val="left"/>
      </w:pPr>
      <w:r>
        <w:rPr/>
        <w:t>①发电工程勘察设计</w:t>
      </w:r>
      <w:r>
        <w:rPr>
          <w:w w:val="100"/>
        </w:rPr>
        <w:t> </w:t>
      </w:r>
      <w:r>
        <w:rPr>
          <w:spacing w:val="-2"/>
        </w:rPr>
        <w:t>发电厂为人类社会提供源源不断的电力能源，也是电力行业中涉及建设要求最高、专业配置最多、</w:t>
      </w:r>
    </w:p>
    <w:p>
      <w:pPr>
        <w:pStyle w:val="Heading4"/>
        <w:spacing w:line="248" w:lineRule="exact"/>
        <w:ind w:right="0"/>
        <w:jc w:val="left"/>
      </w:pPr>
      <w:r>
        <w:rPr/>
        <w:t>技术最复杂的业务，先进综合的发电勘察设计技术是公司的核心竞争力；发电工程勘察设计主要包括核</w:t>
      </w:r>
    </w:p>
    <w:p>
      <w:pPr>
        <w:pStyle w:val="Heading4"/>
        <w:spacing w:line="273" w:lineRule="auto" w:before="37"/>
        <w:ind w:right="236"/>
        <w:jc w:val="left"/>
      </w:pPr>
      <w:r>
        <w:rPr>
          <w:spacing w:val="-2"/>
        </w:rPr>
        <w:t>电、火力发电、燃气发电、风力发电、太阳能发电、生物质发电、分布式能源等发电工程的勘察设计工</w:t>
      </w:r>
      <w:r>
        <w:rPr>
          <w:spacing w:val="-21"/>
        </w:rPr>
        <w:t> </w:t>
      </w:r>
      <w:r>
        <w:rPr>
          <w:spacing w:val="-21"/>
        </w:rPr>
      </w:r>
      <w:r>
        <w:rPr/>
        <w:t>作。</w:t>
      </w:r>
    </w:p>
    <w:p>
      <w:pPr>
        <w:pStyle w:val="Heading4"/>
        <w:spacing w:line="273" w:lineRule="auto" w:before="163"/>
        <w:ind w:right="333" w:firstLine="420"/>
        <w:jc w:val="both"/>
      </w:pPr>
      <w:r>
        <w:rPr>
          <w:spacing w:val="-2"/>
        </w:rPr>
        <w:t>公司重点发展国家提倡的“清洁低碳、安全高效”的清洁能源及新能源领域，大力发展大型燃气电</w:t>
      </w:r>
      <w:r>
        <w:rPr>
          <w:w w:val="100"/>
        </w:rPr>
        <w:t> </w:t>
      </w:r>
      <w:r>
        <w:rPr>
          <w:spacing w:val="-2"/>
        </w:rPr>
        <w:t>站、风力发电、太阳能发电、分布式能源业务，并把海上风电业务作为公司战略发展方向，加大技术研</w:t>
      </w:r>
      <w:r>
        <w:rPr>
          <w:spacing w:val="-21"/>
        </w:rPr>
        <w:t> </w:t>
      </w:r>
      <w:r>
        <w:rPr>
          <w:spacing w:val="-21"/>
        </w:rPr>
      </w:r>
      <w:r>
        <w:rPr>
          <w:spacing w:val="-2"/>
        </w:rPr>
        <w:t>发力度，进一步提升核心竞争力。业务已经遍及国内多个省份和东南亚、非洲等几个国家。将来，在国</w:t>
      </w:r>
      <w:r>
        <w:rPr>
          <w:spacing w:val="-21"/>
        </w:rPr>
        <w:t> </w:t>
      </w:r>
      <w:r>
        <w:rPr>
          <w:spacing w:val="-21"/>
        </w:rPr>
      </w:r>
      <w:r>
        <w:rPr>
          <w:spacing w:val="-2"/>
        </w:rPr>
        <w:t>内市场业务重点发展海上风电业务，立足于福建沿海，往国内沿海其他省份发展；积极参与国家走出去</w:t>
      </w:r>
      <w:r>
        <w:rPr>
          <w:spacing w:val="-21"/>
        </w:rPr>
        <w:t> </w:t>
      </w:r>
      <w:r>
        <w:rPr>
          <w:spacing w:val="-21"/>
        </w:rPr>
      </w:r>
      <w:r>
        <w:rPr/>
        <w:t>战略，进一步提升海外市场和执行能力，深耕海外业务。</w:t>
      </w:r>
    </w:p>
    <w:p>
      <w:pPr>
        <w:pStyle w:val="Heading4"/>
        <w:spacing w:line="468" w:lineRule="exact" w:before="34"/>
        <w:ind w:left="573" w:right="0"/>
        <w:jc w:val="left"/>
      </w:pPr>
      <w:r>
        <w:rPr/>
        <w:t>②输变电工程勘察设计</w:t>
      </w:r>
      <w:r>
        <w:rPr>
          <w:w w:val="100"/>
        </w:rPr>
        <w:t> </w:t>
      </w:r>
      <w:r>
        <w:rPr>
          <w:spacing w:val="-2"/>
        </w:rPr>
        <w:t>电力能源通过电网网架传输到全社会的每一个用户，保障电力可靠供应和系统安全稳定运行，实现</w:t>
      </w:r>
    </w:p>
    <w:p>
      <w:pPr>
        <w:pStyle w:val="Heading4"/>
        <w:spacing w:line="248" w:lineRule="exact"/>
        <w:ind w:right="0"/>
        <w:jc w:val="left"/>
      </w:pPr>
      <w:r>
        <w:rPr/>
        <w:t>电力供需动态平衡：公司在电网网架设计技术中的特高压（世界最高等级）、柔性直流、高压电缆（包</w:t>
      </w:r>
    </w:p>
    <w:p>
      <w:pPr>
        <w:pStyle w:val="Heading4"/>
        <w:spacing w:line="273" w:lineRule="auto" w:before="37"/>
        <w:ind w:right="0"/>
        <w:jc w:val="left"/>
      </w:pPr>
      <w:r>
        <w:rPr>
          <w:spacing w:val="-2"/>
        </w:rPr>
        <w:t>含陆揽、海底电缆和桥揽）、智能变电站等领域具备核心竞争力。输变电工程勘察设计包括从特高压到</w:t>
      </w:r>
      <w:r>
        <w:rPr>
          <w:spacing w:val="-21"/>
        </w:rPr>
        <w:t> </w:t>
      </w:r>
      <w:r>
        <w:rPr>
          <w:spacing w:val="-21"/>
        </w:rPr>
      </w:r>
      <w:r>
        <w:rPr/>
        <w:t>低压配网的全电压等级输电、变电、配电工程的勘察设计工作。</w:t>
      </w:r>
    </w:p>
    <w:p>
      <w:pPr>
        <w:spacing w:after="0" w:line="273" w:lineRule="auto"/>
        <w:jc w:val="left"/>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4"/>
        <w:spacing w:line="266" w:lineRule="auto" w:before="36"/>
        <w:ind w:right="288" w:firstLine="420"/>
        <w:jc w:val="both"/>
      </w:pPr>
      <w:r>
        <w:rPr/>
        <w:t>公司在确保</w:t>
      </w:r>
      <w:r>
        <w:rPr>
          <w:spacing w:val="-57"/>
        </w:rPr>
        <w:t> </w:t>
      </w:r>
      <w:r>
        <w:rPr>
          <w:rFonts w:ascii="Times New Roman" w:hAnsi="Times New Roman" w:cs="Times New Roman" w:eastAsia="Times New Roman" w:hint="default"/>
        </w:rPr>
        <w:t>220kV</w:t>
      </w:r>
      <w:r>
        <w:rPr>
          <w:rFonts w:ascii="Times New Roman" w:hAnsi="Times New Roman" w:cs="Times New Roman" w:eastAsia="Times New Roman" w:hint="default"/>
          <w:spacing w:val="-3"/>
        </w:rPr>
        <w:t> </w:t>
      </w:r>
      <w:r>
        <w:rPr/>
        <w:t>及以上电压等级主网设计业务稳定发展的基础上，积极响应国家配电网建设改造</w:t>
      </w:r>
      <w:r>
        <w:rPr>
          <w:w w:val="100"/>
        </w:rPr>
        <w:t> </w:t>
      </w:r>
      <w:r>
        <w:rPr>
          <w:spacing w:val="-2"/>
        </w:rPr>
        <w:t>行动计划，大力发展智能配电业务，重点在配电网新材料、新技术、新工艺、新标准等领域加大研发力</w:t>
      </w:r>
      <w:r>
        <w:rPr>
          <w:spacing w:val="-21"/>
        </w:rPr>
        <w:t> </w:t>
      </w:r>
      <w:r>
        <w:rPr>
          <w:spacing w:val="-21"/>
        </w:rPr>
      </w:r>
      <w:r>
        <w:rPr>
          <w:spacing w:val="-2"/>
        </w:rPr>
        <w:t>度，努力成为福建省内的智能配电网领域的技术引领者，并在增量配电网、小微电网和充电基础设施等</w:t>
      </w:r>
      <w:r>
        <w:rPr>
          <w:spacing w:val="-21"/>
        </w:rPr>
        <w:t> </w:t>
      </w:r>
      <w:r>
        <w:rPr>
          <w:spacing w:val="-21"/>
        </w:rPr>
      </w:r>
      <w:r>
        <w:rPr/>
        <w:t>领域积极布局。</w:t>
      </w:r>
    </w:p>
    <w:p>
      <w:pPr>
        <w:pStyle w:val="Heading4"/>
        <w:spacing w:line="450" w:lineRule="atLeast" w:before="10"/>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EPC</w:t>
      </w:r>
      <w:r>
        <w:rPr>
          <w:rFonts w:ascii="Times New Roman" w:hAnsi="Times New Roman" w:cs="Times New Roman" w:eastAsia="Times New Roman" w:hint="default"/>
          <w:spacing w:val="-2"/>
        </w:rPr>
        <w:t> </w:t>
      </w:r>
      <w:r>
        <w:rPr/>
        <w:t>工程总承包业务</w:t>
      </w:r>
      <w:r>
        <w:rPr>
          <w:w w:val="100"/>
        </w:rPr>
        <w:t> </w:t>
      </w:r>
      <w:r>
        <w:rPr>
          <w:spacing w:val="-2"/>
        </w:rPr>
        <w:t>公司拥有电力行业甲级设计资质，可从事资质证书许可范围内相应的电力工程总承包业务、项目管</w:t>
      </w:r>
    </w:p>
    <w:p>
      <w:pPr>
        <w:pStyle w:val="Heading4"/>
        <w:spacing w:line="273" w:lineRule="auto" w:before="37"/>
        <w:ind w:right="0"/>
        <w:jc w:val="left"/>
      </w:pPr>
      <w:r>
        <w:rPr>
          <w:spacing w:val="-2"/>
        </w:rPr>
        <w:t>理及相关技术与管理服务。工程总承包是对电力工程项目的勘察、设计、采购、施工、调试、验收等实</w:t>
      </w:r>
      <w:r>
        <w:rPr>
          <w:spacing w:val="-21"/>
        </w:rPr>
        <w:t> </w:t>
      </w:r>
      <w:r>
        <w:rPr>
          <w:spacing w:val="-21"/>
        </w:rPr>
      </w:r>
      <w:r>
        <w:rPr/>
        <w:t>行全过程承包的建设模式，是当前国家重点推进的工程建设模式。</w:t>
      </w:r>
    </w:p>
    <w:p>
      <w:pPr>
        <w:pStyle w:val="Heading4"/>
        <w:spacing w:line="268" w:lineRule="auto" w:before="163"/>
        <w:ind w:right="191" w:firstLine="420"/>
        <w:jc w:val="left"/>
      </w:pPr>
      <w:r>
        <w:rPr/>
        <w:t>公司实施</w:t>
      </w:r>
      <w:r>
        <w:rPr>
          <w:spacing w:val="-56"/>
        </w:rPr>
        <w:t> </w:t>
      </w:r>
      <w:r>
        <w:rPr>
          <w:rFonts w:ascii="Times New Roman" w:hAnsi="Times New Roman" w:cs="Times New Roman" w:eastAsia="Times New Roman" w:hint="default"/>
        </w:rPr>
        <w:t>EPC </w:t>
      </w:r>
      <w:r>
        <w:rPr/>
        <w:t>工程总承包，可以充分发挥设计企业在</w:t>
      </w:r>
      <w:r>
        <w:rPr>
          <w:spacing w:val="-53"/>
        </w:rPr>
        <w:t> </w:t>
      </w:r>
      <w:r>
        <w:rPr>
          <w:rFonts w:ascii="Times New Roman" w:hAnsi="Times New Roman" w:cs="Times New Roman" w:eastAsia="Times New Roman" w:hint="default"/>
        </w:rPr>
        <w:t>EPC</w:t>
      </w:r>
      <w:r>
        <w:rPr>
          <w:rFonts w:ascii="Times New Roman" w:hAnsi="Times New Roman" w:cs="Times New Roman" w:eastAsia="Times New Roman" w:hint="default"/>
          <w:spacing w:val="-3"/>
        </w:rPr>
        <w:t> </w:t>
      </w:r>
      <w:r>
        <w:rPr/>
        <w:t>总承包价值链最核心环节</w:t>
      </w:r>
      <w:r>
        <w:rPr>
          <w:rFonts w:ascii="Times New Roman" w:hAnsi="Times New Roman" w:cs="Times New Roman" w:eastAsia="Times New Roman" w:hint="default"/>
        </w:rPr>
        <w:t>——</w:t>
      </w:r>
      <w:r>
        <w:rPr/>
        <w:t>设计、采购</w:t>
      </w:r>
      <w:r>
        <w:rPr>
          <w:w w:val="100"/>
        </w:rPr>
        <w:t> </w:t>
      </w:r>
      <w:r>
        <w:rPr/>
        <w:t>和项目管理的能力和优势，建设资源节约型和环境友好型工程；确保项目建设全过程设计优化，充分贯</w:t>
      </w:r>
      <w:r>
        <w:rPr>
          <w:w w:val="100"/>
        </w:rPr>
        <w:t> </w:t>
      </w:r>
      <w:r>
        <w:rPr/>
        <w:t>彻设计理念和意图，实现最优工程建设效果；实现设计与采购、施工的合理交叉和有机融合，实现进</w:t>
      </w:r>
      <w:r>
        <w:rPr>
          <w:w w:val="100"/>
        </w:rPr>
        <w:t> </w:t>
      </w:r>
      <w:r>
        <w:rPr/>
        <w:t>度、成本和质量等方面的精确控制，确保项目获得良好的投资效益。</w:t>
      </w:r>
    </w:p>
    <w:p>
      <w:pPr>
        <w:pStyle w:val="Heading4"/>
        <w:spacing w:line="273" w:lineRule="auto" w:before="168"/>
        <w:ind w:right="333" w:firstLine="420"/>
        <w:jc w:val="both"/>
      </w:pPr>
      <w:r>
        <w:rPr>
          <w:spacing w:val="-2"/>
        </w:rPr>
        <w:t>公司大力发展国内新能源、火电环保技改和高压输变电用户项目、配网项目总承包业务，并积极向</w:t>
      </w:r>
      <w:r>
        <w:rPr>
          <w:w w:val="100"/>
        </w:rPr>
        <w:t> </w:t>
      </w:r>
      <w:r>
        <w:rPr>
          <w:spacing w:val="-2"/>
        </w:rPr>
        <w:t>东南亚布局，经过近几年的发展，已经建立了完整的总承包管理制度，管理理念先进，专业配置齐全，</w:t>
      </w:r>
      <w:r>
        <w:rPr>
          <w:spacing w:val="-21"/>
        </w:rPr>
        <w:t> </w:t>
      </w:r>
      <w:r>
        <w:rPr>
          <w:spacing w:val="-21"/>
        </w:rPr>
      </w:r>
      <w:r>
        <w:rPr/>
        <w:t>综合能力明显提升，取得了良好的经济效益。</w:t>
      </w:r>
    </w:p>
    <w:p>
      <w:pPr>
        <w:pStyle w:val="Heading2"/>
        <w:spacing w:line="240" w:lineRule="auto" w:before="136"/>
        <w:ind w:right="0"/>
        <w:jc w:val="left"/>
        <w:rPr>
          <w:b w:val="0"/>
          <w:bCs w:val="0"/>
        </w:rPr>
      </w:pPr>
      <w:r>
        <w:rPr/>
        <w:t>二、主要资产重大变化情况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051"/>
        <w:gridCol w:w="6517"/>
      </w:tblGrid>
      <w:tr>
        <w:trPr>
          <w:trHeight w:val="24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42"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3" w:right="166"/>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，主要原因为新增投资参股公司福建永帆风电科技有限公司 </w:t>
            </w:r>
            <w:r>
              <w:rPr>
                <w:rFonts w:ascii="Times New Roman" w:hAnsi="Times New Roman" w:cs="Times New Roman" w:eastAsia="Times New Roman" w:hint="default"/>
                <w:sz w:val="18"/>
                <w:szCs w:val="18"/>
              </w:rPr>
              <w:t>190 </w:t>
            </w:r>
            <w:r>
              <w:rPr>
                <w:rFonts w:ascii="宋体" w:hAnsi="宋体" w:cs="宋体" w:eastAsia="宋体" w:hint="default"/>
                <w:sz w:val="18"/>
                <w:szCs w:val="18"/>
              </w:rPr>
              <w:t>万元，所占股比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62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94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23" w:right="75"/>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73.02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，主要原因是本报告期内公司收到首发募集资金及本报告 期的净现金流增加的货币资金。</w:t>
            </w:r>
          </w:p>
        </w:tc>
      </w:tr>
      <w:tr>
        <w:trPr>
          <w:trHeight w:val="94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3" w:right="30"/>
              <w:jc w:val="left"/>
              <w:rPr>
                <w:rFonts w:ascii="宋体" w:hAnsi="宋体" w:cs="宋体" w:eastAsia="宋体" w:hint="default"/>
                <w:sz w:val="18"/>
                <w:szCs w:val="18"/>
              </w:rPr>
            </w:pPr>
            <w:r>
              <w:rPr>
                <w:rFonts w:ascii="宋体" w:hAnsi="宋体" w:cs="宋体" w:eastAsia="宋体" w:hint="default"/>
                <w:sz w:val="18"/>
                <w:szCs w:val="18"/>
              </w:rPr>
              <w:t>期末较年初下降 </w:t>
            </w:r>
            <w:r>
              <w:rPr>
                <w:rFonts w:ascii="Times New Roman" w:hAnsi="Times New Roman" w:cs="Times New Roman" w:eastAsia="Times New Roman" w:hint="default"/>
                <w:sz w:val="18"/>
                <w:szCs w:val="18"/>
              </w:rPr>
              <w:t>99.32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，主要原因是上年末收到总包项目银行承兑汇票，尚未到 期，故上年期末余额较大。</w:t>
            </w:r>
          </w:p>
        </w:tc>
      </w:tr>
      <w:tr>
        <w:trPr>
          <w:trHeight w:val="125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9" w:lineRule="auto"/>
              <w:ind w:left="23" w:right="75"/>
              <w:jc w:val="left"/>
              <w:rPr>
                <w:rFonts w:ascii="宋体" w:hAnsi="宋体" w:cs="宋体" w:eastAsia="宋体" w:hint="default"/>
                <w:sz w:val="18"/>
                <w:szCs w:val="18"/>
              </w:rPr>
            </w:pPr>
            <w:r>
              <w:rPr>
                <w:rFonts w:ascii="宋体" w:hAnsi="宋体" w:cs="宋体" w:eastAsia="宋体" w:hint="default"/>
                <w:sz w:val="18"/>
                <w:szCs w:val="18"/>
              </w:rPr>
              <w:t>期末较年初下降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60.45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，主要原因一是上年末预付总承包工程的施工分包及设备 款余额较多；二是以前年度预付中介机构上市期间发行费用，上市后募集资金到 位，置换了原已支付的上市期间发行费用。</w:t>
            </w:r>
          </w:p>
        </w:tc>
      </w:tr>
      <w:tr>
        <w:trPr>
          <w:trHeight w:val="63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期末较年初下降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85.71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，主要原因为办公大楼等待摊费用余额逐年减少。</w:t>
            </w:r>
          </w:p>
        </w:tc>
      </w:tr>
      <w:tr>
        <w:trPr>
          <w:trHeight w:val="94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3" w:right="166"/>
              <w:jc w:val="left"/>
              <w:rPr>
                <w:rFonts w:ascii="宋体" w:hAnsi="宋体" w:cs="宋体" w:eastAsia="宋体" w:hint="default"/>
                <w:sz w:val="18"/>
                <w:szCs w:val="18"/>
              </w:rPr>
            </w:pPr>
            <w:r>
              <w:rPr>
                <w:rFonts w:ascii="宋体" w:hAnsi="宋体" w:cs="宋体" w:eastAsia="宋体" w:hint="default"/>
                <w:sz w:val="18"/>
                <w:szCs w:val="18"/>
              </w:rPr>
              <w:t>期末较年初增加 </w:t>
            </w:r>
            <w:r>
              <w:rPr>
                <w:rFonts w:ascii="Times New Roman" w:hAnsi="Times New Roman" w:cs="Times New Roman" w:eastAsia="Times New Roman" w:hint="default"/>
                <w:sz w:val="18"/>
                <w:szCs w:val="18"/>
              </w:rPr>
              <w:t>161,335.74</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，主要原因报告期内利用暂时闲置的募集资金购买 结构性存款。</w:t>
            </w:r>
          </w:p>
        </w:tc>
      </w:tr>
    </w:tbl>
    <w:p>
      <w:pPr>
        <w:spacing w:after="0" w:line="30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13"/>
        <w:rPr>
          <w:rFonts w:ascii="宋体" w:hAnsi="宋体" w:cs="宋体" w:eastAsia="宋体" w:hint="default"/>
          <w:b/>
          <w:bCs/>
          <w:sz w:val="8"/>
          <w:szCs w:val="8"/>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pStyle w:val="BodyText"/>
        <w:spacing w:line="240" w:lineRule="auto" w:before="19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3"/>
          <w:szCs w:val="13"/>
        </w:rPr>
      </w:pPr>
    </w:p>
    <w:p>
      <w:pPr>
        <w:pStyle w:val="Heading2"/>
        <w:spacing w:line="240" w:lineRule="auto"/>
        <w:ind w:right="0"/>
        <w:jc w:val="both"/>
        <w:rPr>
          <w:b w:val="0"/>
          <w:bCs w:val="0"/>
        </w:rPr>
      </w:pPr>
      <w:r>
        <w:rPr/>
        <w:t>三、核心竞争力分析</w:t>
      </w:r>
      <w:r>
        <w:rPr>
          <w:b w:val="0"/>
          <w:bCs w:val="0"/>
        </w:rPr>
      </w:r>
    </w:p>
    <w:p>
      <w:pPr>
        <w:pStyle w:val="BodyText"/>
        <w:spacing w:line="477" w:lineRule="auto" w:before="202"/>
        <w:ind w:right="6774"/>
        <w:jc w:val="left"/>
      </w:pPr>
      <w:r>
        <w:rPr/>
        <w:t>公司是否需要遵守特殊行业的披露要求 否</w:t>
      </w:r>
    </w:p>
    <w:p>
      <w:pPr>
        <w:pStyle w:val="Heading4"/>
        <w:spacing w:line="240" w:lineRule="auto" w:before="33"/>
        <w:ind w:left="633" w:right="6774"/>
        <w:jc w:val="left"/>
      </w:pPr>
      <w:r>
        <w:rPr>
          <w:rFonts w:ascii="Times New Roman" w:hAnsi="Times New Roman" w:cs="Times New Roman" w:eastAsia="Times New Roman" w:hint="default"/>
        </w:rPr>
        <w:t>1</w:t>
      </w:r>
      <w:r>
        <w:rPr/>
        <w:t>、资质和平台优势</w:t>
      </w:r>
    </w:p>
    <w:p>
      <w:pPr>
        <w:pStyle w:val="Heading4"/>
        <w:spacing w:line="268" w:lineRule="auto" w:before="177"/>
        <w:ind w:right="206" w:firstLine="420"/>
        <w:jc w:val="both"/>
      </w:pPr>
      <w:r>
        <w:rPr>
          <w:spacing w:val="-2"/>
        </w:rPr>
        <w:t>公司拥有工程设计（电力行业）甲级、工程勘察专业类甲级、工程咨询（火电及新能源专业）甲级等</w:t>
      </w:r>
      <w:r>
        <w:rPr>
          <w:w w:val="100"/>
        </w:rPr>
        <w:t> </w:t>
      </w:r>
      <w:r>
        <w:rPr>
          <w:spacing w:val="-2"/>
        </w:rPr>
        <w:t>资质，可以不受规模限制地从事电力行业建设工程项目主体工程及其配套工程的勘察设计及相应的</w:t>
      </w:r>
      <w:r>
        <w:rPr>
          <w:rFonts w:ascii="Times New Roman" w:hAnsi="Times New Roman" w:cs="Times New Roman" w:eastAsia="Times New Roman" w:hint="default"/>
          <w:spacing w:val="-2"/>
        </w:rPr>
        <w:t>EPC</w:t>
      </w:r>
      <w:r>
        <w:rPr>
          <w:spacing w:val="-2"/>
        </w:rPr>
        <w:t>总</w:t>
      </w:r>
      <w:r>
        <w:rPr>
          <w:spacing w:val="-6"/>
        </w:rPr>
        <w:t> </w:t>
      </w:r>
      <w:r>
        <w:rPr>
          <w:spacing w:val="-2"/>
        </w:rPr>
        <w:t>承包业务。公司专业种类齐全、专业协同度高、管理体系完善，拥有全过程咨询服务能力，能胜任资金技</w:t>
      </w:r>
      <w:r>
        <w:rPr>
          <w:spacing w:val="-43"/>
        </w:rPr>
        <w:t> </w:t>
      </w:r>
      <w:r>
        <w:rPr>
          <w:spacing w:val="-43"/>
        </w:rPr>
      </w:r>
      <w:r>
        <w:rPr>
          <w:spacing w:val="-2"/>
        </w:rPr>
        <w:t>术密集型的大型电力建设工程勘察设计任务，并具备了相应的工程业绩，在清洁能源及新能源发电（包括</w:t>
      </w:r>
      <w:r>
        <w:rPr>
          <w:spacing w:val="-44"/>
        </w:rPr>
        <w:t> </w:t>
      </w:r>
      <w:r>
        <w:rPr>
          <w:spacing w:val="-44"/>
        </w:rPr>
      </w:r>
      <w:r>
        <w:rPr>
          <w:spacing w:val="-2"/>
        </w:rPr>
        <w:t>大型燃机及分布式能源站、风力发电、太阳能发电、生物质发电、核电等）、特高压及以下输变电、配电</w:t>
      </w:r>
      <w:r>
        <w:rPr>
          <w:spacing w:val="-45"/>
        </w:rPr>
        <w:t> </w:t>
      </w:r>
      <w:r>
        <w:rPr>
          <w:spacing w:val="-45"/>
        </w:rPr>
      </w:r>
      <w:r>
        <w:rPr/>
        <w:t>以及工程总承包等领域积累了丰富经验。</w:t>
      </w:r>
    </w:p>
    <w:p>
      <w:pPr>
        <w:pStyle w:val="Heading4"/>
        <w:spacing w:line="468" w:lineRule="exact" w:before="39"/>
        <w:ind w:left="573" w:right="0" w:firstLine="60"/>
        <w:jc w:val="left"/>
      </w:pPr>
      <w:r>
        <w:rPr>
          <w:rFonts w:ascii="Times New Roman" w:hAnsi="Times New Roman" w:cs="Times New Roman" w:eastAsia="Times New Roman" w:hint="default"/>
        </w:rPr>
        <w:t>2</w:t>
      </w:r>
      <w:r>
        <w:rPr/>
        <w:t>、技术创新优势</w:t>
      </w:r>
      <w:r>
        <w:rPr>
          <w:w w:val="100"/>
        </w:rPr>
        <w:t> </w:t>
      </w:r>
      <w:r>
        <w:rPr>
          <w:spacing w:val="-4"/>
        </w:rPr>
        <w:t>公司高度重视技术创新和研发投入，为国家高新技术企业，</w:t>
      </w:r>
      <w:r>
        <w:rPr>
          <w:rFonts w:ascii="Times New Roman" w:hAnsi="Times New Roman" w:cs="Times New Roman" w:eastAsia="Times New Roman" w:hint="default"/>
          <w:spacing w:val="-4"/>
        </w:rPr>
        <w:t>2015</w:t>
      </w:r>
      <w:r>
        <w:rPr>
          <w:spacing w:val="-4"/>
        </w:rPr>
        <w:t>年获得福建省科学技术厅的</w:t>
      </w:r>
      <w:r>
        <w:rPr>
          <w:rFonts w:ascii="Times New Roman" w:hAnsi="Times New Roman" w:cs="Times New Roman" w:eastAsia="Times New Roman" w:hint="default"/>
          <w:spacing w:val="-4"/>
        </w:rPr>
        <w:t>“</w:t>
      </w:r>
      <w:r>
        <w:rPr>
          <w:spacing w:val="-4"/>
        </w:rPr>
        <w:t>福建省电</w:t>
      </w:r>
    </w:p>
    <w:p>
      <w:pPr>
        <w:pStyle w:val="Heading4"/>
        <w:spacing w:line="264" w:lineRule="exact"/>
        <w:ind w:right="0"/>
        <w:jc w:val="both"/>
      </w:pPr>
      <w:r>
        <w:rPr/>
        <w:t>力设计企业工程技术研究中心</w:t>
      </w:r>
      <w:r>
        <w:rPr>
          <w:rFonts w:ascii="Times New Roman" w:hAnsi="Times New Roman" w:cs="Times New Roman" w:eastAsia="Times New Roman" w:hint="default"/>
        </w:rPr>
        <w:t>”</w:t>
      </w:r>
      <w:r>
        <w:rPr/>
        <w:t>及福建省知识产权局的</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授牌。公司通过与行业</w:t>
      </w:r>
    </w:p>
    <w:p>
      <w:pPr>
        <w:pStyle w:val="Heading4"/>
        <w:spacing w:line="268" w:lineRule="auto" w:before="21"/>
        <w:ind w:right="206"/>
        <w:jc w:val="both"/>
      </w:pPr>
      <w:r>
        <w:rPr>
          <w:spacing w:val="-2"/>
        </w:rPr>
        <w:t>内及行业间相关企业多层次广泛的学习交流，形成了先进的设计及服务理念，在风电、太阳能发电、燃气</w:t>
      </w:r>
      <w:r>
        <w:rPr>
          <w:spacing w:val="-44"/>
        </w:rPr>
        <w:t> </w:t>
      </w:r>
      <w:r>
        <w:rPr>
          <w:spacing w:val="-44"/>
        </w:rPr>
      </w:r>
      <w:r>
        <w:rPr>
          <w:spacing w:val="-2"/>
        </w:rPr>
        <w:t>发电等发电工程勘察设计以及高压、超高压、特高压输变电工程勘察设计方面具有专业优势，设计与研究</w:t>
      </w:r>
      <w:r>
        <w:rPr>
          <w:spacing w:val="-45"/>
        </w:rPr>
        <w:t> </w:t>
      </w:r>
      <w:r>
        <w:rPr>
          <w:spacing w:val="-45"/>
        </w:rPr>
      </w:r>
      <w:r>
        <w:rPr>
          <w:spacing w:val="-4"/>
        </w:rPr>
        <w:t>项目获省部级以上奖项几十项。公司历来注重科技研发，以新技术的开发来推动企业的科技进步，自主</w:t>
      </w:r>
      <w:r>
        <w:rPr>
          <w:rFonts w:ascii="Times New Roman" w:hAnsi="Times New Roman" w:cs="Times New Roman" w:eastAsia="Times New Roman" w:hint="default"/>
          <w:spacing w:val="-4"/>
        </w:rPr>
        <w:t>/</w:t>
      </w:r>
      <w:r>
        <w:rPr>
          <w:spacing w:val="-4"/>
        </w:rPr>
        <w:t>合</w:t>
      </w:r>
      <w:r>
        <w:rPr>
          <w:spacing w:val="-13"/>
        </w:rPr>
        <w:t> </w:t>
      </w:r>
      <w:r>
        <w:rPr/>
        <w:t>作开发了</w:t>
      </w:r>
      <w:r>
        <w:rPr>
          <w:rFonts w:ascii="Times New Roman" w:hAnsi="Times New Roman" w:cs="Times New Roman" w:eastAsia="Times New Roman" w:hint="default"/>
        </w:rPr>
        <w:t>72</w:t>
      </w:r>
      <w:r>
        <w:rPr/>
        <w:t>项专利技术。</w:t>
      </w:r>
      <w:r>
        <w:rPr>
          <w:rFonts w:ascii="Times New Roman" w:hAnsi="Times New Roman" w:cs="Times New Roman" w:eastAsia="Times New Roman" w:hint="default"/>
        </w:rPr>
        <w:t>2017</w:t>
      </w:r>
      <w:r>
        <w:rPr/>
        <w:t>年公司共获得发明和实用新型专利</w:t>
      </w:r>
      <w:r>
        <w:rPr>
          <w:rFonts w:ascii="Times New Roman" w:hAnsi="Times New Roman" w:cs="Times New Roman" w:eastAsia="Times New Roman" w:hint="default"/>
        </w:rPr>
        <w:t>15</w:t>
      </w:r>
      <w:r>
        <w:rPr/>
        <w:t>项。</w:t>
      </w:r>
    </w:p>
    <w:p>
      <w:pPr>
        <w:pStyle w:val="Heading4"/>
        <w:spacing w:line="264" w:lineRule="auto" w:before="149"/>
        <w:ind w:right="0" w:firstLine="420"/>
        <w:jc w:val="left"/>
      </w:pPr>
      <w:r>
        <w:rPr>
          <w:rFonts w:ascii="Times New Roman" w:hAnsi="Times New Roman" w:cs="Times New Roman" w:eastAsia="Times New Roman" w:hint="default"/>
          <w:spacing w:val="-2"/>
        </w:rPr>
        <w:t>2017</w:t>
      </w:r>
      <w:r>
        <w:rPr>
          <w:spacing w:val="-2"/>
        </w:rPr>
        <w:t>年，公司数字化技术研究中心开始筹备，该中心以实现公司全业务、全专业、全过程数字化三维</w:t>
      </w:r>
      <w:r>
        <w:rPr>
          <w:w w:val="100"/>
        </w:rPr>
        <w:t> </w:t>
      </w:r>
      <w:r>
        <w:rPr>
          <w:spacing w:val="-2"/>
        </w:rPr>
        <w:t>协同设计和工程数字化产品在全生命周期管理的应用为目标，跟踪最新的数字化技术发展趋势，研究其对</w:t>
      </w:r>
      <w:r>
        <w:rPr>
          <w:spacing w:val="-42"/>
        </w:rPr>
        <w:t> </w:t>
      </w:r>
      <w:r>
        <w:rPr>
          <w:spacing w:val="-42"/>
        </w:rPr>
      </w:r>
      <w:r>
        <w:rPr>
          <w:spacing w:val="-2"/>
        </w:rPr>
        <w:t>公司各业务领域的应用价值并落地实施，推进工程设计技术与数字化设计技术相结合。公司获得国家电网</w:t>
      </w:r>
      <w:r>
        <w:rPr>
          <w:spacing w:val="-42"/>
        </w:rPr>
        <w:t> </w:t>
      </w:r>
      <w:r>
        <w:rPr>
          <w:spacing w:val="-42"/>
        </w:rPr>
      </w:r>
      <w:r>
        <w:rPr>
          <w:spacing w:val="-2"/>
        </w:rPr>
        <w:t>公司</w:t>
      </w:r>
      <w:r>
        <w:rPr>
          <w:rFonts w:ascii="Times New Roman" w:hAnsi="Times New Roman" w:cs="Times New Roman" w:eastAsia="Times New Roman" w:hint="default"/>
          <w:spacing w:val="-2"/>
        </w:rPr>
        <w:t>2017</w:t>
      </w:r>
      <w:r>
        <w:rPr>
          <w:spacing w:val="-2"/>
        </w:rPr>
        <w:t>年变电站三维设计竞赛中获三等奖。未来，公司将进一步加大在数字化设计技术领域的资金和人</w:t>
      </w:r>
      <w:r>
        <w:rPr>
          <w:spacing w:val="-40"/>
        </w:rPr>
        <w:t> </w:t>
      </w:r>
      <w:r>
        <w:rPr>
          <w:spacing w:val="-40"/>
        </w:rPr>
      </w:r>
      <w:r>
        <w:rPr>
          <w:spacing w:val="-2"/>
        </w:rPr>
        <w:t>员投入，充分利用先进的工程数字化设计技术，在提高设计效率和设计质量的同时，将丰富的工程数字化</w:t>
      </w:r>
      <w:r>
        <w:rPr>
          <w:spacing w:val="-43"/>
        </w:rPr>
        <w:t> </w:t>
      </w:r>
      <w:r>
        <w:rPr>
          <w:spacing w:val="-43"/>
        </w:rPr>
      </w:r>
      <w:r>
        <w:rPr>
          <w:spacing w:val="-2"/>
        </w:rPr>
        <w:t>成果转化为业主期望的加快建设周期、降低项目建设成本、提高运维效率和资产管理水平的有力工具，攻</w:t>
      </w:r>
      <w:r>
        <w:rPr>
          <w:spacing w:val="-42"/>
        </w:rPr>
        <w:t> </w:t>
      </w:r>
      <w:r>
        <w:rPr>
          <w:spacing w:val="-42"/>
        </w:rPr>
      </w:r>
      <w:r>
        <w:rPr>
          <w:spacing w:val="-2"/>
        </w:rPr>
        <w:t>克相关的技术难关，提升核心竞争力。公司紧跟国家战略，依托福建省风能资源优越的地理优势，抓住福</w:t>
      </w:r>
      <w:r>
        <w:rPr>
          <w:spacing w:val="-50"/>
        </w:rPr>
        <w:t> </w:t>
      </w:r>
      <w:r>
        <w:rPr>
          <w:spacing w:val="-50"/>
        </w:rPr>
      </w:r>
      <w:r>
        <w:rPr/>
        <w:t>建海上风电大力发展的机会，牵头组建国家能源局复函支持的</w:t>
      </w:r>
      <w:r>
        <w:rPr>
          <w:rFonts w:ascii="Times New Roman" w:hAnsi="Times New Roman" w:cs="Times New Roman" w:eastAsia="Times New Roman" w:hint="default"/>
        </w:rPr>
        <w:t>“</w:t>
      </w:r>
      <w:r>
        <w:rPr/>
        <w:t>福建省海上风电研发中心</w:t>
      </w:r>
      <w:r>
        <w:rPr>
          <w:rFonts w:ascii="Times New Roman" w:hAnsi="Times New Roman" w:cs="Times New Roman" w:eastAsia="Times New Roman" w:hint="default"/>
        </w:rPr>
        <w:t>”</w:t>
      </w:r>
      <w:r>
        <w:rPr/>
        <w:t>，积极开展海上</w:t>
      </w:r>
      <w:r>
        <w:rPr>
          <w:w w:val="100"/>
        </w:rPr>
        <w:t> </w:t>
      </w:r>
      <w:r>
        <w:rPr>
          <w:spacing w:val="-2"/>
        </w:rPr>
        <w:t>风电关键技术研发，着力突破海上风电桩基、施工、机组、检测、运维等关键技术，逐步形成公司海上风</w:t>
      </w:r>
      <w:r>
        <w:rPr>
          <w:spacing w:val="-45"/>
        </w:rPr>
        <w:t> </w:t>
      </w:r>
      <w:r>
        <w:rPr>
          <w:spacing w:val="-45"/>
        </w:rPr>
      </w:r>
      <w:r>
        <w:rPr>
          <w:spacing w:val="-4"/>
        </w:rPr>
        <w:t>电的核心技术。报告期内重点开展</w:t>
      </w:r>
      <w:r>
        <w:rPr>
          <w:rFonts w:ascii="Times New Roman" w:hAnsi="Times New Roman" w:cs="Times New Roman" w:eastAsia="Times New Roman" w:hint="default"/>
          <w:spacing w:val="-4"/>
        </w:rPr>
        <w:t>“</w:t>
      </w:r>
      <w:r>
        <w:rPr>
          <w:spacing w:val="-4"/>
        </w:rPr>
        <w:t>海上风电场风机设备选型研究</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海上风力发电机组基础设计关键技术</w:t>
      </w:r>
      <w:r>
        <w:rPr>
          <w:spacing w:val="-21"/>
        </w:rPr>
        <w:t> </w:t>
      </w:r>
      <w:r>
        <w:rPr>
          <w:spacing w:val="-21"/>
        </w:rPr>
      </w:r>
      <w:r>
        <w:rPr>
          <w:spacing w:val="-3"/>
        </w:rPr>
        <w:t>研究</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海上风电单桩基础设计研究</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海上风电桩基冲刷及防护研究</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海上风电基础防撞设计研究</w:t>
      </w:r>
      <w:r>
        <w:rPr>
          <w:rFonts w:ascii="Times New Roman" w:hAnsi="Times New Roman" w:cs="Times New Roman" w:eastAsia="Times New Roman" w:hint="default"/>
          <w:spacing w:val="-3"/>
        </w:rPr>
        <w:t>”</w:t>
      </w:r>
      <w:r>
        <w:rPr>
          <w:spacing w:val="-3"/>
        </w:rPr>
        <w:t>等</w:t>
      </w:r>
      <w:r>
        <w:rPr>
          <w:spacing w:val="-11"/>
        </w:rPr>
        <w:t> </w:t>
      </w:r>
      <w:r>
        <w:rPr>
          <w:spacing w:val="-3"/>
        </w:rPr>
        <w:t>关键技术研究，取得了</w:t>
      </w:r>
      <w:r>
        <w:rPr>
          <w:rFonts w:ascii="Times New Roman" w:hAnsi="Times New Roman" w:cs="Times New Roman" w:eastAsia="Times New Roman" w:hint="default"/>
          <w:spacing w:val="-3"/>
        </w:rPr>
        <w:t>“</w:t>
      </w:r>
      <w:r>
        <w:rPr>
          <w:spacing w:val="-3"/>
        </w:rPr>
        <w:t>海上风电基础防撞系统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一种过渡段套多桩的海上风电桩基础</w:t>
      </w:r>
      <w:r>
        <w:rPr>
          <w:rFonts w:ascii="Times New Roman" w:hAnsi="Times New Roman" w:cs="Times New Roman" w:eastAsia="Times New Roman" w:hint="default"/>
          <w:spacing w:val="-3"/>
        </w:rPr>
        <w:t>”</w:t>
      </w:r>
      <w:r>
        <w:rPr>
          <w:spacing w:val="-3"/>
        </w:rPr>
        <w:t>等</w:t>
      </w:r>
      <w:r>
        <w:rPr>
          <w:rFonts w:ascii="Times New Roman" w:hAnsi="Times New Roman" w:cs="Times New Roman" w:eastAsia="Times New Roman" w:hint="default"/>
          <w:spacing w:val="-3"/>
        </w:rPr>
        <w:t>8</w:t>
      </w:r>
      <w:r>
        <w:rPr>
          <w:spacing w:val="-3"/>
        </w:rPr>
        <w:t>项实用新型专</w:t>
      </w:r>
      <w:r>
        <w:rPr>
          <w:spacing w:val="-47"/>
        </w:rPr>
        <w:t> </w:t>
      </w:r>
      <w:r>
        <w:rPr>
          <w:spacing w:val="-47"/>
        </w:rPr>
      </w:r>
      <w:r>
        <w:rPr>
          <w:spacing w:val="-2"/>
        </w:rPr>
        <w:t>利授权，海上风电累计获得</w:t>
      </w:r>
      <w:r>
        <w:rPr>
          <w:rFonts w:ascii="Times New Roman" w:hAnsi="Times New Roman" w:cs="Times New Roman" w:eastAsia="Times New Roman" w:hint="default"/>
          <w:spacing w:val="-2"/>
        </w:rPr>
        <w:t>19</w:t>
      </w:r>
      <w:r>
        <w:rPr>
          <w:spacing w:val="-2"/>
        </w:rPr>
        <w:t>项实用新型专利，多项发明专利进入实质性审查，研发了海上风电复合单桩</w:t>
      </w:r>
      <w:r>
        <w:rPr>
          <w:spacing w:val="-42"/>
        </w:rPr>
        <w:t> </w:t>
      </w:r>
      <w:r>
        <w:rPr>
          <w:spacing w:val="-42"/>
        </w:rPr>
      </w:r>
      <w:r>
        <w:rPr>
          <w:spacing w:val="-2"/>
        </w:rPr>
        <w:t>基础、漂浮式防撞、软体排仿生防冲刷系统等专有技术。参与国家能源行业标准《海上风电场风能资源小</w:t>
      </w:r>
      <w:r>
        <w:rPr>
          <w:spacing w:val="-47"/>
        </w:rPr>
        <w:t> </w:t>
      </w:r>
      <w:r>
        <w:rPr>
          <w:spacing w:val="-47"/>
        </w:rPr>
      </w:r>
      <w:r>
        <w:rPr/>
        <w:t>尺度数值模拟技术规程》、福建省标准《福建省海上风电场平台与船舶接口设计要求规程》的编制工作。</w:t>
      </w:r>
      <w:r>
        <w:rPr>
          <w:spacing w:val="-24"/>
        </w:rPr>
        <w:t> </w:t>
      </w:r>
      <w:r>
        <w:rPr>
          <w:spacing w:val="-24"/>
        </w:rPr>
      </w:r>
      <w:r>
        <w:rPr>
          <w:spacing w:val="-4"/>
        </w:rPr>
        <w:t>积极与国内外海上风电施工企业、装备制造企业合作，组织举办了国内首次的</w:t>
      </w:r>
      <w:r>
        <w:rPr>
          <w:rFonts w:ascii="Times New Roman" w:hAnsi="Times New Roman" w:cs="Times New Roman" w:eastAsia="Times New Roman" w:hint="default"/>
          <w:spacing w:val="-4"/>
        </w:rPr>
        <w:t>“</w:t>
      </w:r>
      <w:r>
        <w:rPr>
          <w:spacing w:val="-4"/>
        </w:rPr>
        <w:t>中国福州海上风电嵌岩技术</w:t>
      </w:r>
      <w:r>
        <w:rPr>
          <w:spacing w:val="-41"/>
        </w:rPr>
        <w:t> </w:t>
      </w:r>
      <w:r>
        <w:rPr>
          <w:spacing w:val="-41"/>
        </w:rPr>
      </w:r>
      <w:r>
        <w:rPr>
          <w:spacing w:val="-4"/>
        </w:rPr>
        <w:t>国际研讨会</w:t>
      </w:r>
      <w:r>
        <w:rPr>
          <w:rFonts w:ascii="Times New Roman" w:hAnsi="Times New Roman" w:cs="Times New Roman" w:eastAsia="Times New Roman" w:hint="default"/>
          <w:spacing w:val="-4"/>
        </w:rPr>
        <w:t>”</w:t>
      </w:r>
      <w:r>
        <w:rPr>
          <w:spacing w:val="-4"/>
        </w:rPr>
        <w:t>，以及</w:t>
      </w:r>
      <w:r>
        <w:rPr>
          <w:rFonts w:ascii="Times New Roman" w:hAnsi="Times New Roman" w:cs="Times New Roman" w:eastAsia="Times New Roman" w:hint="default"/>
          <w:spacing w:val="-4"/>
        </w:rPr>
        <w:t>“</w:t>
      </w:r>
      <w:r>
        <w:rPr>
          <w:spacing w:val="-4"/>
        </w:rPr>
        <w:t>中荷海上风电合作研讨会 </w:t>
      </w:r>
      <w:r>
        <w:rPr>
          <w:rFonts w:ascii="Times New Roman" w:hAnsi="Times New Roman" w:cs="Times New Roman" w:eastAsia="Times New Roman" w:hint="default"/>
          <w:spacing w:val="-7"/>
        </w:rPr>
        <w:t>2017</w:t>
      </w:r>
      <w:r>
        <w:rPr>
          <w:spacing w:val="-7"/>
        </w:rPr>
        <w:t>（福州）</w:t>
      </w:r>
      <w:r>
        <w:rPr>
          <w:rFonts w:ascii="Times New Roman" w:hAnsi="Times New Roman" w:cs="Times New Roman" w:eastAsia="Times New Roman" w:hint="default"/>
          <w:spacing w:val="-7"/>
        </w:rPr>
        <w:t>”</w:t>
      </w:r>
      <w:r>
        <w:rPr>
          <w:spacing w:val="-7"/>
        </w:rPr>
        <w:t>等国际会议，逐步取得海上风电嵌岩、灌浆、</w:t>
      </w:r>
      <w:r>
        <w:rPr>
          <w:spacing w:val="-26"/>
        </w:rPr>
        <w:t> </w:t>
      </w:r>
      <w:r>
        <w:rPr>
          <w:spacing w:val="-26"/>
        </w:rPr>
      </w:r>
      <w:r>
        <w:rPr>
          <w:spacing w:val="-7"/>
        </w:rPr>
        <w:t>防撞等关键技术难点突破。公司通过产学研相结合，积极参与海上风电工程、检测、装备、运维技术研发，</w:t>
      </w:r>
      <w:r>
        <w:rPr>
          <w:spacing w:val="-22"/>
        </w:rPr>
        <w:t> </w:t>
      </w:r>
      <w:r>
        <w:rPr>
          <w:spacing w:val="-22"/>
        </w:rPr>
      </w:r>
      <w:r>
        <w:rPr>
          <w:spacing w:val="-2"/>
        </w:rPr>
        <w:t>使得公司海上风电技术覆盖全产业链，快速形成具有特色与领先的海上风电核心技术。</w:t>
      </w:r>
      <w:r>
        <w:rPr>
          <w:rFonts w:ascii="Times New Roman" w:hAnsi="Times New Roman" w:cs="Times New Roman" w:eastAsia="Times New Roman" w:hint="default"/>
          <w:spacing w:val="-2"/>
        </w:rPr>
        <w:t>2017</w:t>
      </w:r>
      <w:r>
        <w:rPr>
          <w:spacing w:val="-2"/>
        </w:rPr>
        <w:t>年公司中标了</w:t>
      </w:r>
      <w:r>
        <w:rPr>
          <w:spacing w:val="-39"/>
        </w:rPr>
        <w:t> </w:t>
      </w:r>
      <w:r>
        <w:rPr>
          <w:spacing w:val="-39"/>
        </w:rPr>
      </w:r>
      <w:r>
        <w:rPr>
          <w:spacing w:val="-2"/>
        </w:rPr>
        <w:t>国内目前规模最大的福建长乐外海</w:t>
      </w:r>
      <w:r>
        <w:rPr>
          <w:rFonts w:ascii="Times New Roman" w:hAnsi="Times New Roman" w:cs="Times New Roman" w:eastAsia="Times New Roman" w:hint="default"/>
          <w:spacing w:val="-2"/>
        </w:rPr>
        <w:t>ABC</w:t>
      </w:r>
      <w:r>
        <w:rPr>
          <w:spacing w:val="-2"/>
        </w:rPr>
        <w:t>区海上风电场（总装机规模</w:t>
      </w:r>
      <w:r>
        <w:rPr>
          <w:rFonts w:ascii="Times New Roman" w:hAnsi="Times New Roman" w:cs="Times New Roman" w:eastAsia="Times New Roman" w:hint="default"/>
          <w:spacing w:val="-2"/>
        </w:rPr>
        <w:t>110</w:t>
      </w:r>
      <w:r>
        <w:rPr>
          <w:spacing w:val="-2"/>
        </w:rPr>
        <w:t>万</w:t>
      </w:r>
      <w:r>
        <w:rPr>
          <w:rFonts w:ascii="Times New Roman" w:hAnsi="Times New Roman" w:cs="Times New Roman" w:eastAsia="Times New Roman" w:hint="default"/>
          <w:spacing w:val="-2"/>
        </w:rPr>
        <w:t>kW</w:t>
      </w:r>
      <w:r>
        <w:rPr>
          <w:spacing w:val="-2"/>
        </w:rPr>
        <w:t>）预可研、可研和施工图勘测</w:t>
      </w:r>
      <w:r>
        <w:rPr>
          <w:spacing w:val="-43"/>
        </w:rPr>
        <w:t> </w:t>
      </w:r>
      <w:r>
        <w:rPr>
          <w:spacing w:val="-43"/>
        </w:rPr>
      </w:r>
      <w:r>
        <w:rPr>
          <w:spacing w:val="-5"/>
        </w:rPr>
        <w:t>设计工作，大大提升了公司在国内海上风电市场的品牌影响力。公司作为海上风电技术创新的主要推动者，</w:t>
      </w:r>
    </w:p>
    <w:p>
      <w:pPr>
        <w:spacing w:after="0" w:line="264" w:lineRule="auto"/>
        <w:jc w:val="left"/>
        <w:sectPr>
          <w:pgSz w:w="11910" w:h="16840"/>
          <w:pgMar w:header="852" w:footer="979" w:top="1260" w:bottom="1160" w:left="980" w:right="920"/>
        </w:sectPr>
      </w:pPr>
    </w:p>
    <w:p>
      <w:pPr>
        <w:spacing w:line="240" w:lineRule="auto" w:before="13"/>
        <w:rPr>
          <w:rFonts w:ascii="宋体" w:hAnsi="宋体" w:cs="宋体" w:eastAsia="宋体" w:hint="default"/>
          <w:sz w:val="8"/>
          <w:szCs w:val="8"/>
        </w:rPr>
      </w:pPr>
    </w:p>
    <w:p>
      <w:pPr>
        <w:pStyle w:val="Heading4"/>
        <w:spacing w:line="240" w:lineRule="auto" w:before="36"/>
        <w:ind w:right="0"/>
        <w:jc w:val="both"/>
      </w:pPr>
      <w:r>
        <w:rPr/>
        <w:t>逐步树立起永福风电品牌。</w:t>
      </w:r>
    </w:p>
    <w:p>
      <w:pPr>
        <w:spacing w:line="240" w:lineRule="auto" w:before="10"/>
        <w:rPr>
          <w:rFonts w:ascii="宋体" w:hAnsi="宋体" w:cs="宋体" w:eastAsia="宋体" w:hint="default"/>
          <w:sz w:val="14"/>
          <w:szCs w:val="14"/>
        </w:rPr>
      </w:pPr>
    </w:p>
    <w:p>
      <w:pPr>
        <w:pStyle w:val="Heading4"/>
        <w:spacing w:line="273" w:lineRule="auto"/>
        <w:ind w:right="206" w:firstLine="480"/>
        <w:jc w:val="both"/>
      </w:pPr>
      <w:r>
        <w:rPr>
          <w:spacing w:val="-4"/>
        </w:rPr>
        <w:t>同时，公司紧跟国内外先进技术，积极开展多能互补、新能源微电网、储能、智能充电站等智慧能源</w:t>
      </w:r>
      <w:r>
        <w:rPr>
          <w:w w:val="100"/>
        </w:rPr>
        <w:t> </w:t>
      </w:r>
      <w:r>
        <w:rPr/>
        <w:t>领域技术的研究，为开拓新的市场奠定基础。</w:t>
      </w:r>
    </w:p>
    <w:p>
      <w:pPr>
        <w:pStyle w:val="Heading4"/>
        <w:spacing w:line="256" w:lineRule="auto" w:before="163"/>
        <w:ind w:right="0" w:firstLine="48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日，公司拥有技术人员</w:t>
      </w:r>
      <w:r>
        <w:rPr>
          <w:rFonts w:ascii="Times New Roman" w:hAnsi="Times New Roman" w:cs="Times New Roman" w:eastAsia="Times New Roman" w:hint="default"/>
        </w:rPr>
        <w:t>404</w:t>
      </w:r>
      <w:r>
        <w:rPr/>
        <w:t>人，占员工总数的</w:t>
      </w:r>
      <w:r>
        <w:rPr>
          <w:rFonts w:ascii="Times New Roman" w:hAnsi="Times New Roman" w:cs="Times New Roman" w:eastAsia="Times New Roman" w:hint="default"/>
        </w:rPr>
        <w:t>64%</w:t>
      </w:r>
      <w:r>
        <w:rPr/>
        <w:t>。工程师及以上职称员工</w:t>
      </w:r>
      <w:r>
        <w:rPr>
          <w:rFonts w:ascii="Times New Roman" w:hAnsi="Times New Roman" w:cs="Times New Roman" w:eastAsia="Times New Roman" w:hint="default"/>
        </w:rPr>
        <w:t>270</w:t>
      </w:r>
      <w:r>
        <w:rPr/>
        <w:t>人，</w:t>
      </w:r>
      <w:r>
        <w:rPr>
          <w:spacing w:val="2"/>
          <w:w w:val="100"/>
        </w:rPr>
        <w:t> </w:t>
      </w:r>
      <w:r>
        <w:rPr>
          <w:spacing w:val="-4"/>
        </w:rPr>
        <w:t>占员工总数的</w:t>
      </w:r>
      <w:r>
        <w:rPr>
          <w:rFonts w:ascii="Times New Roman" w:hAnsi="Times New Roman" w:cs="Times New Roman" w:eastAsia="Times New Roman" w:hint="default"/>
          <w:spacing w:val="-4"/>
        </w:rPr>
        <w:t>43%</w:t>
      </w:r>
      <w:r>
        <w:rPr>
          <w:spacing w:val="-4"/>
        </w:rPr>
        <w:t>，其中高级工程师</w:t>
      </w:r>
      <w:r>
        <w:rPr>
          <w:rFonts w:ascii="Times New Roman" w:hAnsi="Times New Roman" w:cs="Times New Roman" w:eastAsia="Times New Roman" w:hint="default"/>
          <w:spacing w:val="-4"/>
        </w:rPr>
        <w:t>100</w:t>
      </w:r>
      <w:r>
        <w:rPr>
          <w:spacing w:val="-4"/>
        </w:rPr>
        <w:t>人，教授级高级工程师</w:t>
      </w:r>
      <w:r>
        <w:rPr>
          <w:rFonts w:ascii="Times New Roman" w:hAnsi="Times New Roman" w:cs="Times New Roman" w:eastAsia="Times New Roman" w:hint="default"/>
          <w:spacing w:val="-4"/>
        </w:rPr>
        <w:t>2</w:t>
      </w:r>
      <w:r>
        <w:rPr>
          <w:spacing w:val="-4"/>
        </w:rPr>
        <w:t>人，各类国家注册师</w:t>
      </w:r>
      <w:r>
        <w:rPr>
          <w:rFonts w:ascii="Times New Roman" w:hAnsi="Times New Roman" w:cs="Times New Roman" w:eastAsia="Times New Roman" w:hint="default"/>
          <w:spacing w:val="-4"/>
        </w:rPr>
        <w:t>118</w:t>
      </w:r>
      <w:r>
        <w:rPr>
          <w:spacing w:val="-4"/>
        </w:rPr>
        <w:t>人。高素质的管理 </w:t>
      </w:r>
      <w:r>
        <w:rPr/>
        <w:t>人员和技术人才队伍为公司的技术研发和持续快速发展提供了有力保障。</w:t>
      </w:r>
    </w:p>
    <w:p>
      <w:pPr>
        <w:pStyle w:val="Heading4"/>
        <w:spacing w:line="450" w:lineRule="atLeast" w:before="19"/>
        <w:ind w:left="633" w:right="0"/>
        <w:jc w:val="left"/>
      </w:pPr>
      <w:r>
        <w:rPr>
          <w:rFonts w:ascii="Times New Roman" w:hAnsi="Times New Roman" w:cs="Times New Roman" w:eastAsia="Times New Roman" w:hint="default"/>
        </w:rPr>
        <w:t>3</w:t>
      </w:r>
      <w:r>
        <w:rPr/>
        <w:t>、品牌和信誉优势</w:t>
      </w:r>
      <w:r>
        <w:rPr>
          <w:w w:val="100"/>
        </w:rPr>
        <w:t> </w:t>
      </w:r>
      <w:r>
        <w:rPr>
          <w:spacing w:val="-4"/>
          <w:w w:val="100"/>
        </w:rPr>
        <w:t>公司是福建省建筑业龙头企业和国家高新技术企业，是目前国内少数能够从事大型发电及输变电工程</w:t>
      </w:r>
    </w:p>
    <w:p>
      <w:pPr>
        <w:pStyle w:val="Heading4"/>
        <w:spacing w:line="264" w:lineRule="auto" w:before="37"/>
        <w:ind w:right="206"/>
        <w:jc w:val="both"/>
      </w:pPr>
      <w:r>
        <w:rPr>
          <w:spacing w:val="-2"/>
        </w:rPr>
        <w:t>勘察设计（含规划咨询）和</w:t>
      </w:r>
      <w:r>
        <w:rPr>
          <w:rFonts w:ascii="Times New Roman" w:hAnsi="Times New Roman" w:cs="Times New Roman" w:eastAsia="Times New Roman" w:hint="default"/>
          <w:spacing w:val="-2"/>
        </w:rPr>
        <w:t>EPC</w:t>
      </w:r>
      <w:r>
        <w:rPr>
          <w:spacing w:val="-2"/>
        </w:rPr>
        <w:t>工程总承包的企业之一，也是目前国内同类电力行业甲级勘察设计单位中</w:t>
      </w:r>
      <w:r>
        <w:rPr>
          <w:spacing w:val="-5"/>
        </w:rPr>
        <w:t> </w:t>
      </w:r>
      <w:r>
        <w:rPr>
          <w:spacing w:val="-5"/>
        </w:rPr>
      </w:r>
      <w:r>
        <w:rPr>
          <w:spacing w:val="-2"/>
        </w:rPr>
        <w:t>少数上市公司之一。公司同国网、大型发电集团、上海电气等大型国有企业及其下属公司等重要客户建立</w:t>
      </w:r>
      <w:r>
        <w:rPr>
          <w:spacing w:val="-41"/>
        </w:rPr>
        <w:t> </w:t>
      </w:r>
      <w:r>
        <w:rPr>
          <w:spacing w:val="-41"/>
        </w:rPr>
      </w:r>
      <w:r>
        <w:rPr>
          <w:spacing w:val="-2"/>
        </w:rPr>
        <w:t>了稳定的合作关系，承接的项目覆盖了煤电、风电、太阳能发电、大型燃机及分布式能源站、高压、特高</w:t>
      </w:r>
      <w:r>
        <w:rPr>
          <w:spacing w:val="-42"/>
        </w:rPr>
        <w:t> </w:t>
      </w:r>
      <w:r>
        <w:rPr>
          <w:spacing w:val="-42"/>
        </w:rPr>
      </w:r>
      <w:r>
        <w:rPr>
          <w:spacing w:val="-1"/>
        </w:rPr>
        <w:t>压输变电、配电以及工程总承包等领域。经过</w:t>
      </w:r>
      <w:r>
        <w:rPr>
          <w:rFonts w:ascii="Times New Roman" w:hAnsi="Times New Roman" w:cs="Times New Roman" w:eastAsia="Times New Roman" w:hint="default"/>
          <w:spacing w:val="-1"/>
        </w:rPr>
        <w:t>20</w:t>
      </w:r>
      <w:r>
        <w:rPr>
          <w:spacing w:val="-1"/>
        </w:rPr>
        <w:t>余年的发展，公司积累了丰富的电力工程勘察设计及</w:t>
      </w:r>
      <w:r>
        <w:rPr>
          <w:rFonts w:ascii="Times New Roman" w:hAnsi="Times New Roman" w:cs="Times New Roman" w:eastAsia="Times New Roman" w:hint="default"/>
          <w:spacing w:val="-1"/>
        </w:rPr>
        <w:t>EPC</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工程总承包经验，形成较为明显的品牌影响力。</w:t>
      </w:r>
    </w:p>
    <w:p>
      <w:pPr>
        <w:pStyle w:val="Heading4"/>
        <w:spacing w:line="256" w:lineRule="auto" w:before="172"/>
        <w:ind w:right="206" w:firstLine="480"/>
        <w:jc w:val="both"/>
      </w:pPr>
      <w:r>
        <w:rPr/>
        <w:t>公司历年在中国电力规划设计协会组织的电力勘测设计行业企业信用评价均为最高等级</w:t>
      </w:r>
      <w:r>
        <w:rPr>
          <w:rFonts w:ascii="Times New Roman" w:hAnsi="Times New Roman" w:cs="Times New Roman" w:eastAsia="Times New Roman" w:hint="default"/>
        </w:rPr>
        <w:t>AAA</w:t>
      </w:r>
      <w:r>
        <w:rPr/>
        <w:t>级，长</w:t>
      </w:r>
      <w:r>
        <w:rPr>
          <w:w w:val="100"/>
        </w:rPr>
        <w:t> </w:t>
      </w:r>
      <w:r>
        <w:rPr>
          <w:spacing w:val="-2"/>
        </w:rPr>
        <w:t>期位于全国电力设计行业企业的前列。</w:t>
      </w:r>
      <w:r>
        <w:rPr>
          <w:rFonts w:ascii="Times New Roman" w:hAnsi="Times New Roman" w:cs="Times New Roman" w:eastAsia="Times New Roman" w:hint="default"/>
          <w:spacing w:val="-2"/>
        </w:rPr>
        <w:t>2017</w:t>
      </w:r>
      <w:r>
        <w:rPr>
          <w:spacing w:val="-2"/>
        </w:rPr>
        <w:t>年福建省发展和改革委员会、福建省重点项目建设领导小组办</w:t>
      </w:r>
      <w:r>
        <w:rPr>
          <w:spacing w:val="-40"/>
        </w:rPr>
        <w:t> </w:t>
      </w:r>
      <w:r>
        <w:rPr>
          <w:spacing w:val="-40"/>
        </w:rPr>
      </w:r>
      <w:r>
        <w:rPr>
          <w:spacing w:val="-1"/>
        </w:rPr>
        <w:t>公室组织对全省重点项目参建单位进行业绩信誉评价，永福股份被评为</w:t>
      </w:r>
      <w:r>
        <w:rPr>
          <w:rFonts w:ascii="Times New Roman" w:hAnsi="Times New Roman" w:cs="Times New Roman" w:eastAsia="Times New Roman" w:hint="default"/>
          <w:spacing w:val="-1"/>
        </w:rPr>
        <w:t>A</w:t>
      </w:r>
      <w:r>
        <w:rPr>
          <w:spacing w:val="-1"/>
        </w:rPr>
        <w:t>级（最高等级）勘测设计单位，</w:t>
      </w:r>
      <w:r>
        <w:rPr>
          <w:spacing w:val="-27"/>
        </w:rPr>
        <w:t> </w:t>
      </w:r>
      <w:r>
        <w:rPr>
          <w:spacing w:val="-27"/>
        </w:rPr>
      </w:r>
      <w:r>
        <w:rPr/>
        <w:t>获得政府建设、发展主管部门的高度认可。</w:t>
      </w:r>
    </w:p>
    <w:p>
      <w:pPr>
        <w:pStyle w:val="Heading4"/>
        <w:spacing w:line="261" w:lineRule="auto" w:before="178"/>
        <w:ind w:right="207" w:firstLine="480"/>
        <w:jc w:val="both"/>
      </w:pPr>
      <w:r>
        <w:rPr>
          <w:spacing w:val="-4"/>
        </w:rPr>
        <w:t>目前，公司已完成了上千个项目，在清洁能源及新能源发电（包括大型燃机及分布式能源站、风力发</w:t>
      </w:r>
      <w:r>
        <w:rPr>
          <w:w w:val="100"/>
        </w:rPr>
        <w:t> </w:t>
      </w:r>
      <w:r>
        <w:rPr>
          <w:spacing w:val="-2"/>
        </w:rPr>
        <w:t>电、太阳能发电、生物质发电、核电等）、特高压及以下输变电、配电以及工程总承包等领域积累了丰富</w:t>
      </w:r>
      <w:r>
        <w:rPr>
          <w:spacing w:val="-42"/>
        </w:rPr>
        <w:t> </w:t>
      </w:r>
      <w:r>
        <w:rPr>
          <w:spacing w:val="-42"/>
        </w:rPr>
      </w:r>
      <w:r>
        <w:rPr>
          <w:spacing w:val="-4"/>
        </w:rPr>
        <w:t>经验。此外，公司还承担或参与了</w:t>
      </w:r>
      <w:r>
        <w:rPr>
          <w:rFonts w:ascii="Times New Roman" w:hAnsi="Times New Roman" w:cs="Times New Roman" w:eastAsia="Times New Roman" w:hint="default"/>
          <w:spacing w:val="-4"/>
        </w:rPr>
        <w:t>100</w:t>
      </w:r>
      <w:r>
        <w:rPr>
          <w:spacing w:val="-4"/>
        </w:rPr>
        <w:t>多项国家与省级重点工程的勘察设计任务，以及多项国家或行业标准</w:t>
      </w:r>
      <w:r>
        <w:rPr>
          <w:spacing w:val="-49"/>
        </w:rPr>
        <w:t> </w:t>
      </w:r>
      <w:r>
        <w:rPr>
          <w:spacing w:val="-49"/>
        </w:rPr>
      </w:r>
      <w:r>
        <w:rPr>
          <w:spacing w:val="-2"/>
        </w:rPr>
        <w:t>编制任务，多次获得国家及省部级优质工程奖项。报告期内，公司获得各级奖项</w:t>
      </w:r>
      <w:r>
        <w:rPr>
          <w:rFonts w:ascii="Times New Roman" w:hAnsi="Times New Roman" w:cs="Times New Roman" w:eastAsia="Times New Roman" w:hint="default"/>
          <w:spacing w:val="-2"/>
        </w:rPr>
        <w:t>11</w:t>
      </w:r>
      <w:r>
        <w:rPr>
          <w:spacing w:val="-2"/>
        </w:rPr>
        <w:t>项，其中省部级以上奖</w:t>
      </w:r>
      <w:r>
        <w:rPr>
          <w:spacing w:val="-48"/>
        </w:rPr>
        <w:t> </w:t>
      </w:r>
      <w:r>
        <w:rPr>
          <w:spacing w:val="-48"/>
        </w:rPr>
      </w:r>
      <w:r>
        <w:rPr>
          <w:spacing w:val="-3"/>
        </w:rPr>
        <w:t>项</w:t>
      </w:r>
      <w:r>
        <w:rPr>
          <w:rFonts w:ascii="Times New Roman" w:hAnsi="Times New Roman" w:cs="Times New Roman" w:eastAsia="Times New Roman" w:hint="default"/>
          <w:spacing w:val="-3"/>
        </w:rPr>
        <w:t>10</w:t>
      </w:r>
      <w:r>
        <w:rPr>
          <w:spacing w:val="-3"/>
        </w:rPr>
        <w:t>项：</w:t>
      </w:r>
      <w:r>
        <w:rPr>
          <w:rFonts w:ascii="Times New Roman" w:hAnsi="Times New Roman" w:cs="Times New Roman" w:eastAsia="Times New Roman" w:hint="default"/>
          <w:spacing w:val="-3"/>
        </w:rPr>
        <w:t>“</w:t>
      </w:r>
      <w:r>
        <w:rPr>
          <w:spacing w:val="-3"/>
        </w:rPr>
        <w:t>厦门柔性直流输电科技示范工程</w:t>
      </w:r>
      <w:r>
        <w:rPr>
          <w:rFonts w:ascii="Times New Roman" w:hAnsi="Times New Roman" w:cs="Times New Roman" w:eastAsia="Times New Roman" w:hint="default"/>
          <w:spacing w:val="-3"/>
        </w:rPr>
        <w:t>”</w:t>
      </w:r>
      <w:r>
        <w:rPr>
          <w:spacing w:val="-3"/>
        </w:rPr>
        <w:t>分别获得</w:t>
      </w:r>
      <w:r>
        <w:rPr>
          <w:rFonts w:ascii="Times New Roman" w:hAnsi="Times New Roman" w:cs="Times New Roman" w:eastAsia="Times New Roman" w:hint="default"/>
          <w:spacing w:val="-3"/>
        </w:rPr>
        <w:t>2016-2017</w:t>
      </w:r>
      <w:r>
        <w:rPr>
          <w:spacing w:val="-3"/>
        </w:rPr>
        <w:t>年度国家优质工程奖、</w:t>
      </w:r>
      <w:r>
        <w:rPr>
          <w:rFonts w:ascii="Times New Roman" w:hAnsi="Times New Roman" w:cs="Times New Roman" w:eastAsia="Times New Roman" w:hint="default"/>
          <w:spacing w:val="-3"/>
        </w:rPr>
        <w:t>2017</w:t>
      </w:r>
      <w:r>
        <w:rPr>
          <w:spacing w:val="-3"/>
        </w:rPr>
        <w:t>年度中国电力优</w:t>
      </w:r>
      <w:r>
        <w:rPr>
          <w:spacing w:val="-24"/>
        </w:rPr>
        <w:t> </w:t>
      </w:r>
      <w:r>
        <w:rPr>
          <w:spacing w:val="-24"/>
        </w:rPr>
      </w:r>
      <w:r>
        <w:rPr>
          <w:spacing w:val="-1"/>
        </w:rPr>
        <w:t>质工程奖、</w:t>
      </w:r>
      <w:r>
        <w:rPr>
          <w:rFonts w:ascii="Times New Roman" w:hAnsi="Times New Roman" w:cs="Times New Roman" w:eastAsia="Times New Roman" w:hint="default"/>
          <w:spacing w:val="-1"/>
        </w:rPr>
        <w:t>2016</w:t>
      </w:r>
      <w:r>
        <w:rPr>
          <w:spacing w:val="-1"/>
        </w:rPr>
        <w:t>年度电力行业优秀工程设计一等奖；</w:t>
      </w:r>
      <w:r>
        <w:rPr>
          <w:rFonts w:ascii="Times New Roman" w:hAnsi="Times New Roman" w:cs="Times New Roman" w:eastAsia="Times New Roman" w:hint="default"/>
          <w:spacing w:val="-1"/>
        </w:rPr>
        <w:t>“</w:t>
      </w:r>
      <w:r>
        <w:rPr>
          <w:spacing w:val="-1"/>
        </w:rPr>
        <w:t>灵州</w:t>
      </w:r>
      <w:r>
        <w:rPr>
          <w:rFonts w:ascii="Times New Roman" w:hAnsi="Times New Roman" w:cs="Times New Roman" w:eastAsia="Times New Roman" w:hint="default"/>
          <w:spacing w:val="-1"/>
        </w:rPr>
        <w:t>~</w:t>
      </w:r>
      <w:r>
        <w:rPr>
          <w:spacing w:val="-1"/>
        </w:rPr>
        <w:t>绍兴</w:t>
      </w:r>
      <w:r>
        <w:rPr>
          <w:rFonts w:ascii="Times New Roman" w:hAnsi="Times New Roman" w:cs="Times New Roman" w:eastAsia="Times New Roman" w:hint="default"/>
          <w:spacing w:val="-1"/>
        </w:rPr>
        <w:t>±800kV</w:t>
      </w:r>
      <w:r>
        <w:rPr>
          <w:spacing w:val="-1"/>
        </w:rPr>
        <w:t>特高压直流输电线路</w:t>
      </w:r>
      <w:r>
        <w:rPr>
          <w:rFonts w:ascii="Times New Roman" w:hAnsi="Times New Roman" w:cs="Times New Roman" w:eastAsia="Times New Roman" w:hint="default"/>
          <w:spacing w:val="-1"/>
        </w:rPr>
        <w:t>”</w:t>
      </w:r>
      <w:r>
        <w:rPr>
          <w:spacing w:val="-1"/>
        </w:rPr>
        <w:t>获得</w:t>
      </w:r>
      <w:r>
        <w:rPr>
          <w:rFonts w:ascii="Times New Roman" w:hAnsi="Times New Roman" w:cs="Times New Roman" w:eastAsia="Times New Roman" w:hint="default"/>
          <w:spacing w:val="-1"/>
        </w:rPr>
        <w:t>2016</w:t>
      </w:r>
      <w:r>
        <w:rPr>
          <w:spacing w:val="-1"/>
        </w:rPr>
        <w:t>年</w:t>
      </w:r>
      <w:r>
        <w:rPr>
          <w:spacing w:val="-15"/>
        </w:rPr>
        <w:t> </w:t>
      </w:r>
      <w:r>
        <w:rPr>
          <w:spacing w:val="-2"/>
        </w:rPr>
        <w:t>度电力行业优秀工程设计一等奖；</w:t>
      </w:r>
      <w:r>
        <w:rPr>
          <w:rFonts w:ascii="Times New Roman" w:hAnsi="Times New Roman" w:cs="Times New Roman" w:eastAsia="Times New Roman" w:hint="default"/>
          <w:spacing w:val="-2"/>
        </w:rPr>
        <w:t>“</w:t>
      </w:r>
      <w:r>
        <w:rPr>
          <w:spacing w:val="-2"/>
        </w:rPr>
        <w:t>安溪龙门风电场工程</w:t>
      </w:r>
      <w:r>
        <w:rPr>
          <w:rFonts w:ascii="Times New Roman" w:hAnsi="Times New Roman" w:cs="Times New Roman" w:eastAsia="Times New Roman" w:hint="default"/>
          <w:spacing w:val="-2"/>
        </w:rPr>
        <w:t>”</w:t>
      </w:r>
      <w:r>
        <w:rPr>
          <w:spacing w:val="-2"/>
        </w:rPr>
        <w:t>获得</w:t>
      </w:r>
      <w:r>
        <w:rPr>
          <w:rFonts w:ascii="Times New Roman" w:hAnsi="Times New Roman" w:cs="Times New Roman" w:eastAsia="Times New Roman" w:hint="default"/>
          <w:spacing w:val="-2"/>
        </w:rPr>
        <w:t>2017</w:t>
      </w:r>
      <w:r>
        <w:rPr>
          <w:spacing w:val="-2"/>
        </w:rPr>
        <w:t>年度福建省优秀工程设计二等奖。公司</w:t>
      </w:r>
      <w:r>
        <w:rPr>
          <w:spacing w:val="-16"/>
        </w:rPr>
        <w:t> </w:t>
      </w:r>
      <w:r>
        <w:rPr>
          <w:spacing w:val="-16"/>
        </w:rPr>
      </w:r>
      <w:r>
        <w:rPr/>
        <w:t>的品牌和信誉优势为公司业务拓展打下了良好的基础。</w:t>
      </w:r>
    </w:p>
    <w:p>
      <w:pPr>
        <w:pStyle w:val="Heading4"/>
        <w:spacing w:line="256" w:lineRule="auto" w:before="174"/>
        <w:ind w:right="206" w:firstLine="480"/>
        <w:jc w:val="both"/>
      </w:pPr>
      <w:r>
        <w:rPr>
          <w:spacing w:val="-3"/>
        </w:rPr>
        <w:t>报告期内，公司取得了中核集团投资的福建南安高嵛山</w:t>
      </w:r>
      <w:r>
        <w:rPr>
          <w:rFonts w:ascii="Times New Roman" w:hAnsi="Times New Roman" w:cs="Times New Roman" w:eastAsia="Times New Roman" w:hint="default"/>
          <w:spacing w:val="-3"/>
        </w:rPr>
        <w:t>70MW</w:t>
      </w:r>
      <w:r>
        <w:rPr>
          <w:spacing w:val="-3"/>
        </w:rPr>
        <w:t>风电场和三峡新能源投资的福建永安贡</w:t>
      </w:r>
      <w:r>
        <w:rPr>
          <w:w w:val="100"/>
        </w:rPr>
        <w:t> </w:t>
      </w:r>
      <w:r>
        <w:rPr/>
        <w:t>川</w:t>
      </w:r>
      <w:r>
        <w:rPr>
          <w:rFonts w:ascii="Times New Roman" w:hAnsi="Times New Roman" w:cs="Times New Roman" w:eastAsia="Times New Roman" w:hint="default"/>
        </w:rPr>
        <w:t>48MW</w:t>
      </w:r>
      <w:r>
        <w:rPr/>
        <w:t>风电场的</w:t>
      </w:r>
      <w:r>
        <w:rPr>
          <w:rFonts w:ascii="Times New Roman" w:hAnsi="Times New Roman" w:cs="Times New Roman" w:eastAsia="Times New Roman" w:hint="default"/>
        </w:rPr>
        <w:t>EPC</w:t>
      </w:r>
      <w:r>
        <w:rPr/>
        <w:t>总承包合同，在新能源总承包业务领域取得新的突破，拓展了原来以送变电工程为</w:t>
      </w:r>
      <w:r>
        <w:rPr>
          <w:spacing w:val="-58"/>
        </w:rPr>
        <w:t> </w:t>
      </w:r>
      <w:r>
        <w:rPr>
          <w:spacing w:val="-58"/>
        </w:rPr>
      </w:r>
      <w:r>
        <w:rPr>
          <w:spacing w:val="-1"/>
        </w:rPr>
        <w:t>主的</w:t>
      </w:r>
      <w:r>
        <w:rPr>
          <w:rFonts w:ascii="Times New Roman" w:hAnsi="Times New Roman" w:cs="Times New Roman" w:eastAsia="Times New Roman" w:hint="default"/>
          <w:spacing w:val="-1"/>
        </w:rPr>
        <w:t>EPC</w:t>
      </w:r>
      <w:r>
        <w:rPr>
          <w:spacing w:val="-1"/>
        </w:rPr>
        <w:t>工程总承包项目类型，为公司开拓新能源总承包市场打下坚实基础。</w:t>
      </w:r>
      <w:r>
        <w:rPr>
          <w:rFonts w:ascii="Times New Roman" w:hAnsi="Times New Roman" w:cs="Times New Roman" w:eastAsia="Times New Roman" w:hint="default"/>
          <w:spacing w:val="-1"/>
        </w:rPr>
        <w:t>2017</w:t>
      </w:r>
      <w:r>
        <w:rPr>
          <w:spacing w:val="-1"/>
        </w:rPr>
        <w:t>年公司承接了孟加拉锡</w:t>
      </w:r>
      <w:r>
        <w:rPr>
          <w:spacing w:val="-51"/>
        </w:rPr>
        <w:t> </w:t>
      </w:r>
      <w:r>
        <w:rPr>
          <w:spacing w:val="-51"/>
        </w:rPr>
      </w:r>
      <w:r>
        <w:rPr>
          <w:spacing w:val="-1"/>
        </w:rPr>
        <w:t>莱特燃气电厂联合循环升级工程的勘测设计工作及中海油伊拉克米桑油田配套</w:t>
      </w:r>
      <w:r>
        <w:rPr>
          <w:rFonts w:ascii="Times New Roman" w:hAnsi="Times New Roman" w:cs="Times New Roman" w:eastAsia="Times New Roman" w:hint="default"/>
          <w:spacing w:val="-1"/>
        </w:rPr>
        <w:t>132kV</w:t>
      </w:r>
      <w:r>
        <w:rPr>
          <w:spacing w:val="-1"/>
        </w:rPr>
        <w:t>输变电工程的勘测设</w:t>
      </w:r>
      <w:r>
        <w:rPr>
          <w:spacing w:val="-27"/>
        </w:rPr>
        <w:t> </w:t>
      </w:r>
      <w:r>
        <w:rPr>
          <w:spacing w:val="-27"/>
        </w:rPr>
      </w:r>
      <w:r>
        <w:rPr>
          <w:spacing w:val="-2"/>
        </w:rPr>
        <w:t>计工作。这些项目的顺利承接和开展，为公司在海外市场和</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项目的建设上进一步积累了业绩和</w:t>
      </w:r>
      <w:r>
        <w:rPr>
          <w:spacing w:val="-17"/>
        </w:rPr>
        <w:t> </w:t>
      </w:r>
      <w:r>
        <w:rPr>
          <w:spacing w:val="-17"/>
        </w:rPr>
      </w:r>
      <w:r>
        <w:rPr/>
        <w:t>经验。</w:t>
      </w:r>
    </w:p>
    <w:p>
      <w:pPr>
        <w:pStyle w:val="Heading4"/>
        <w:spacing w:line="450" w:lineRule="atLeast" w:before="19"/>
        <w:ind w:left="633" w:right="0"/>
        <w:jc w:val="left"/>
      </w:pPr>
      <w:r>
        <w:rPr>
          <w:rFonts w:ascii="Times New Roman" w:hAnsi="Times New Roman" w:cs="Times New Roman" w:eastAsia="Times New Roman" w:hint="default"/>
        </w:rPr>
        <w:t>4</w:t>
      </w:r>
      <w:r>
        <w:rPr/>
        <w:t>、管理和机制优势</w:t>
      </w:r>
      <w:r>
        <w:rPr>
          <w:w w:val="100"/>
        </w:rPr>
        <w:t> </w:t>
      </w:r>
      <w:r>
        <w:rPr>
          <w:spacing w:val="-4"/>
        </w:rPr>
        <w:t>公司取得中电联（北京）认证中心有限责任公司颁布的质量管理体系、环境管理体系、职业健康安全</w:t>
      </w:r>
    </w:p>
    <w:p>
      <w:pPr>
        <w:pStyle w:val="Heading4"/>
        <w:spacing w:line="273" w:lineRule="auto" w:before="37"/>
        <w:ind w:right="206"/>
        <w:jc w:val="both"/>
      </w:pPr>
      <w:r>
        <w:rPr>
          <w:spacing w:val="-2"/>
        </w:rPr>
        <w:t>管理体系认证证书，并保持有效运行和持续改进；公司根据相关法律法规的要求，结合自身实际情况，建</w:t>
      </w:r>
      <w:r>
        <w:rPr>
          <w:spacing w:val="-47"/>
        </w:rPr>
        <w:t> </w:t>
      </w:r>
      <w:r>
        <w:rPr>
          <w:spacing w:val="-47"/>
        </w:rPr>
      </w:r>
      <w:r>
        <w:rPr>
          <w:spacing w:val="-2"/>
        </w:rPr>
        <w:t>立了完善的内部控制体系，并结合公司的发展和上市公司的要求不断改进，公司逐步实现了企业管理模式</w:t>
      </w:r>
      <w:r>
        <w:rPr>
          <w:spacing w:val="-43"/>
        </w:rPr>
        <w:t> </w:t>
      </w:r>
      <w:r>
        <w:rPr>
          <w:spacing w:val="-43"/>
        </w:rPr>
      </w:r>
      <w:r>
        <w:rPr>
          <w:spacing w:val="-2"/>
        </w:rPr>
        <w:t>的现代化、标准化、科学化、体系化。公司逐步引入并完善了包括市场经营管理、设计项目管理、总包工</w:t>
      </w:r>
      <w:r>
        <w:rPr>
          <w:spacing w:val="-42"/>
        </w:rPr>
        <w:t> </w:t>
      </w:r>
      <w:r>
        <w:rPr>
          <w:spacing w:val="-42"/>
        </w:rPr>
      </w:r>
      <w:r>
        <w:rPr>
          <w:spacing w:val="-2"/>
        </w:rPr>
        <w:t>程管理等信息化综合管理系统，通过信息技术平台，加强生产过程中的有效监控，提高管理效率，提升了</w:t>
      </w:r>
      <w:r>
        <w:rPr>
          <w:spacing w:val="-47"/>
        </w:rPr>
        <w:t> </w:t>
      </w:r>
      <w:r>
        <w:rPr>
          <w:spacing w:val="-47"/>
        </w:rPr>
      </w:r>
      <w:r>
        <w:rPr/>
        <w:t>公司创新能力和竞争能力。</w:t>
      </w:r>
    </w:p>
    <w:p>
      <w:pPr>
        <w:pStyle w:val="Heading4"/>
        <w:spacing w:line="240" w:lineRule="auto" w:before="164"/>
        <w:ind w:left="633" w:right="0"/>
        <w:jc w:val="left"/>
      </w:pPr>
      <w:r>
        <w:rPr>
          <w:rFonts w:ascii="Times New Roman" w:hAnsi="Times New Roman" w:cs="Times New Roman" w:eastAsia="Times New Roman" w:hint="default"/>
          <w:spacing w:val="-4"/>
        </w:rPr>
        <w:t>2017</w:t>
      </w:r>
      <w:r>
        <w:rPr>
          <w:spacing w:val="-4"/>
        </w:rPr>
        <w:t>年，公司生产管理信息系统应用的深度和广度大幅提升，实现工程项目设计全过程高效协同，从</w:t>
      </w:r>
    </w:p>
    <w:p>
      <w:pPr>
        <w:spacing w:after="0" w:line="240" w:lineRule="auto"/>
        <w:jc w:val="left"/>
        <w:sectPr>
          <w:pgSz w:w="11910" w:h="16840"/>
          <w:pgMar w:header="852" w:footer="979" w:top="1260" w:bottom="1160" w:left="980" w:right="920"/>
        </w:sectPr>
      </w:pPr>
    </w:p>
    <w:p>
      <w:pPr>
        <w:spacing w:line="240" w:lineRule="auto" w:before="13"/>
        <w:rPr>
          <w:rFonts w:ascii="宋体" w:hAnsi="宋体" w:cs="宋体" w:eastAsia="宋体" w:hint="default"/>
          <w:sz w:val="8"/>
          <w:szCs w:val="8"/>
        </w:rPr>
      </w:pPr>
    </w:p>
    <w:p>
      <w:pPr>
        <w:pStyle w:val="Heading4"/>
        <w:spacing w:line="264" w:lineRule="auto" w:before="36"/>
        <w:ind w:right="0"/>
        <w:jc w:val="left"/>
      </w:pPr>
      <w:r>
        <w:rPr>
          <w:spacing w:val="-3"/>
        </w:rPr>
        <w:t>设计到出版全流程可实现无纸化作业，校审记录等表单在信息化平台自动生成、即时归档</w:t>
      </w:r>
      <w:r>
        <w:rPr>
          <w:rFonts w:ascii="Times New Roman" w:hAnsi="Times New Roman" w:cs="Times New Roman" w:eastAsia="Times New Roman" w:hint="default"/>
          <w:spacing w:val="-3"/>
        </w:rPr>
        <w:t>,</w:t>
      </w:r>
      <w:r>
        <w:rPr>
          <w:spacing w:val="-3"/>
        </w:rPr>
        <w:t>并实现生产计划</w:t>
      </w:r>
      <w:r>
        <w:rPr>
          <w:spacing w:val="-45"/>
        </w:rPr>
        <w:t> </w:t>
      </w:r>
      <w:r>
        <w:rPr>
          <w:spacing w:val="-45"/>
        </w:rPr>
      </w:r>
      <w:r>
        <w:rPr/>
        <w:t>在部室、专业层面的矩阵式在线跟踪管理。平台的应用处于同行业领先水平，全面提高了设计工作效率，</w:t>
      </w:r>
      <w:r>
        <w:rPr>
          <w:spacing w:val="-21"/>
        </w:rPr>
        <w:t> </w:t>
      </w:r>
      <w:r>
        <w:rPr>
          <w:spacing w:val="-21"/>
        </w:rPr>
      </w:r>
      <w:r>
        <w:rPr/>
        <w:t>计划管理的刚性和执行力得到强化，通过对设校审过程意见进行分析和提炼，提升了公司知识管理水平。</w:t>
      </w:r>
    </w:p>
    <w:p>
      <w:pPr>
        <w:pStyle w:val="Heading4"/>
        <w:spacing w:line="273" w:lineRule="auto" w:before="172"/>
        <w:ind w:right="0" w:firstLine="480"/>
        <w:jc w:val="left"/>
      </w:pPr>
      <w:r>
        <w:rPr>
          <w:spacing w:val="-4"/>
          <w:w w:val="100"/>
        </w:rPr>
        <w:t>作为目前国内同类电力行业甲级勘察设计单位中少数上市公司之一，公司拥有完全的企业自主经营权，</w:t>
      </w:r>
      <w:r>
        <w:rPr>
          <w:w w:val="100"/>
        </w:rPr>
        <w:t> </w:t>
      </w:r>
      <w:r>
        <w:rPr/>
        <w:t>经营决策灵活高效，能更快地对市场的需求做出反应，并根据市场的变化及时调整经营策略；公司机构精</w:t>
      </w:r>
      <w:r>
        <w:rPr>
          <w:w w:val="100"/>
        </w:rPr>
        <w:t> </w:t>
      </w:r>
      <w:r>
        <w:rPr/>
        <w:t>简、负担轻，管理成本低，能够最大限度降低运营成本，提高公司竞争力；能够制定更为灵活的人才激励</w:t>
      </w:r>
      <w:r>
        <w:rPr>
          <w:w w:val="100"/>
        </w:rPr>
        <w:t> </w:t>
      </w:r>
      <w:r>
        <w:rPr/>
        <w:t>和淘汰机制，充分调动员工的积极性，实现企业及员工价值的最大化。</w:t>
      </w:r>
    </w:p>
    <w:p>
      <w:pPr>
        <w:pStyle w:val="Heading4"/>
        <w:spacing w:line="273" w:lineRule="auto" w:before="163"/>
        <w:ind w:right="0" w:firstLine="422"/>
        <w:jc w:val="left"/>
      </w:pPr>
      <w:r>
        <w:rPr>
          <w:spacing w:val="-7"/>
        </w:rPr>
        <w:t>公司自成立之初就一直非常重视团队建设及人才培养。公司现已建立了一支团结、忠诚、敬业、务实、</w:t>
      </w:r>
      <w:r>
        <w:rPr>
          <w:w w:val="100"/>
        </w:rPr>
        <w:t> </w:t>
      </w:r>
      <w:r>
        <w:rPr>
          <w:spacing w:val="-2"/>
        </w:rPr>
        <w:t>高效的高素质管理团队和技术、销售队伍，为保持公司持续稳定发展奠定了基础。公司核心管理人员大都</w:t>
      </w:r>
      <w:r>
        <w:rPr>
          <w:spacing w:val="-44"/>
        </w:rPr>
        <w:t> </w:t>
      </w:r>
      <w:r>
        <w:rPr>
          <w:spacing w:val="-44"/>
        </w:rPr>
      </w:r>
      <w:r>
        <w:rPr>
          <w:spacing w:val="-2"/>
        </w:rPr>
        <w:t>具有深厚的专业背景和丰富的行业经验，能够敏锐把握市场机会，确保公司在激烈的市场竞争中不断发展</w:t>
      </w:r>
      <w:r>
        <w:rPr>
          <w:spacing w:val="-42"/>
        </w:rPr>
        <w:t> </w:t>
      </w:r>
      <w:r>
        <w:rPr>
          <w:spacing w:val="-42"/>
        </w:rPr>
      </w:r>
      <w:r>
        <w:rPr/>
        <w:t>壮大。公司制定了形式多样的激励政策和绩效考核制度，并为员工提供了多元化的发展通道及成长机会。</w:t>
      </w:r>
      <w:r>
        <w:rPr>
          <w:spacing w:val="-24"/>
        </w:rPr>
        <w:t> </w:t>
      </w:r>
      <w:r>
        <w:rPr>
          <w:spacing w:val="-24"/>
        </w:rPr>
      </w:r>
      <w:r>
        <w:rPr>
          <w:spacing w:val="-2"/>
        </w:rPr>
        <w:t>通过持股制度安排，实现员工共享企业发展成果，进而充分调动员工积极主动性，增强企业的凝聚力和创</w:t>
      </w:r>
      <w:r>
        <w:rPr>
          <w:spacing w:val="-43"/>
        </w:rPr>
        <w:t> </w:t>
      </w:r>
      <w:r>
        <w:rPr>
          <w:spacing w:val="-43"/>
        </w:rPr>
      </w:r>
      <w:r>
        <w:rPr/>
        <w:t>新能力，吸引更多优秀人才，为公司的快速发展奠定坚实的基础。</w:t>
      </w:r>
    </w:p>
    <w:p>
      <w:pPr>
        <w:spacing w:after="0" w:line="273" w:lineRule="auto"/>
        <w:jc w:val="left"/>
        <w:sectPr>
          <w:pgSz w:w="11910" w:h="16840"/>
          <w:pgMar w:header="852" w:footer="979" w:top="1260" w:bottom="1160" w:left="980" w:right="800"/>
        </w:sectPr>
      </w:pPr>
    </w:p>
    <w:p>
      <w:pPr>
        <w:spacing w:line="240" w:lineRule="auto" w:before="7"/>
        <w:rPr>
          <w:rFonts w:ascii="宋体" w:hAnsi="宋体" w:cs="宋体" w:eastAsia="宋体" w:hint="default"/>
          <w:sz w:val="16"/>
          <w:szCs w:val="16"/>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一、概述</w:t>
      </w:r>
      <w:r>
        <w:rPr>
          <w:b w:val="0"/>
          <w:bCs w:val="0"/>
        </w:rPr>
      </w:r>
    </w:p>
    <w:p>
      <w:pPr>
        <w:pStyle w:val="Heading4"/>
        <w:spacing w:line="268" w:lineRule="auto" w:before="181"/>
        <w:ind w:right="146" w:firstLine="420"/>
        <w:jc w:val="both"/>
      </w:pPr>
      <w:r>
        <w:rPr>
          <w:rFonts w:ascii="Times New Roman" w:hAnsi="Times New Roman" w:cs="Times New Roman" w:eastAsia="Times New Roman" w:hint="default"/>
        </w:rPr>
        <w:t>2017 </w:t>
      </w:r>
      <w:r>
        <w:rPr/>
        <w:t>年我国经济社会发展延续稳中有进的发展态势，全年国内生产总值同比增长</w:t>
      </w:r>
      <w:r>
        <w:rPr>
          <w:spacing w:val="-46"/>
        </w:rPr>
        <w:t> </w:t>
      </w:r>
      <w:r>
        <w:rPr>
          <w:rFonts w:ascii="Times New Roman" w:hAnsi="Times New Roman" w:cs="Times New Roman" w:eastAsia="Times New Roman" w:hint="default"/>
        </w:rPr>
        <w:t>6.9%</w:t>
      </w:r>
      <w:r>
        <w:rPr/>
        <w:t>。在宏观经济</w:t>
      </w:r>
      <w:r>
        <w:rPr>
          <w:w w:val="100"/>
        </w:rPr>
        <w:t> </w:t>
      </w:r>
      <w:r>
        <w:rPr>
          <w:spacing w:val="-2"/>
        </w:rPr>
        <w:t>向好等因素拉动下，电力消费增速提高，电力供应能力持续增强。随着国家持续推动能源生产和利用方式</w:t>
      </w:r>
      <w:r>
        <w:rPr>
          <w:spacing w:val="-44"/>
        </w:rPr>
        <w:t> </w:t>
      </w:r>
      <w:r>
        <w:rPr>
          <w:spacing w:val="-44"/>
        </w:rPr>
      </w:r>
      <w:r>
        <w:rPr>
          <w:spacing w:val="-2"/>
        </w:rPr>
        <w:t>变革，调整优化能源结构，电力工业不断向结构优化、资源节约化的方向迈进。电源建设呈现煤电投资下</w:t>
      </w:r>
      <w:r>
        <w:rPr>
          <w:spacing w:val="-50"/>
        </w:rPr>
        <w:t> </w:t>
      </w:r>
      <w:r>
        <w:rPr>
          <w:spacing w:val="-50"/>
        </w:rPr>
      </w:r>
      <w:r>
        <w:rPr>
          <w:spacing w:val="-2"/>
        </w:rPr>
        <w:t>降明显、重点向非化石能源方向倾斜的特征，电网建设呈现投资向配网及农网倾斜、多条特高压交直流工</w:t>
      </w:r>
      <w:r>
        <w:rPr>
          <w:spacing w:val="-42"/>
        </w:rPr>
        <w:t> </w:t>
      </w:r>
      <w:r>
        <w:rPr>
          <w:spacing w:val="-42"/>
        </w:rPr>
      </w:r>
      <w:r>
        <w:rPr>
          <w:spacing w:val="-7"/>
        </w:rPr>
        <w:t>程投产后资源优化配置能力提升的特征。国家扎实稳健实施“一带一路”倡议，积极推进电力装备、技术、</w:t>
      </w:r>
      <w:r>
        <w:rPr>
          <w:spacing w:val="-24"/>
        </w:rPr>
        <w:t> </w:t>
      </w:r>
      <w:r>
        <w:rPr>
          <w:spacing w:val="-24"/>
        </w:rPr>
      </w:r>
      <w:r>
        <w:rPr/>
        <w:t>标准和工程服务国际合作。</w:t>
      </w:r>
    </w:p>
    <w:p>
      <w:pPr>
        <w:pStyle w:val="Heading4"/>
        <w:spacing w:line="273" w:lineRule="auto" w:before="168"/>
        <w:ind w:right="146" w:firstLine="420"/>
        <w:jc w:val="right"/>
      </w:pPr>
      <w:r>
        <w:rPr>
          <w:spacing w:val="-2"/>
        </w:rPr>
        <w:t>公司管理层在董事会的领导下紧密围绕公司发展战略和年度经营计划开展工作，积极应对国内外经济</w:t>
      </w:r>
      <w:r>
        <w:rPr>
          <w:w w:val="100"/>
        </w:rPr>
        <w:t> </w:t>
      </w:r>
      <w:r>
        <w:rPr>
          <w:spacing w:val="-7"/>
        </w:rPr>
        <w:t>新形势和行业竞争态势，响应国家宏观能源投资政策，持续不断地推进新技术研发，提升公司核心竞争力。</w:t>
      </w:r>
    </w:p>
    <w:p>
      <w:pPr>
        <w:pStyle w:val="Heading4"/>
        <w:spacing w:line="256" w:lineRule="auto" w:before="163"/>
        <w:ind w:right="146" w:firstLine="420"/>
        <w:jc w:val="both"/>
      </w:pPr>
      <w:r>
        <w:rPr/>
        <w:t>报告期内，公司实现营业收入</w:t>
      </w:r>
      <w:r>
        <w:rPr>
          <w:spacing w:val="-52"/>
        </w:rPr>
        <w:t> </w:t>
      </w:r>
      <w:r>
        <w:rPr>
          <w:rFonts w:ascii="Times New Roman" w:hAnsi="Times New Roman" w:cs="Times New Roman" w:eastAsia="Times New Roman" w:hint="default"/>
        </w:rPr>
        <w:t>56,439.65</w:t>
      </w:r>
      <w:r>
        <w:rPr>
          <w:rFonts w:ascii="Times New Roman" w:hAnsi="Times New Roman" w:cs="Times New Roman" w:eastAsia="Times New Roman" w:hint="default"/>
          <w:spacing w:val="2"/>
        </w:rPr>
        <w:t> </w:t>
      </w:r>
      <w:r>
        <w:rPr/>
        <w:t>万元，较上年增长</w:t>
      </w:r>
      <w:r>
        <w:rPr>
          <w:spacing w:val="-50"/>
        </w:rPr>
        <w:t> </w:t>
      </w:r>
      <w:r>
        <w:rPr>
          <w:rFonts w:ascii="Times New Roman" w:hAnsi="Times New Roman" w:cs="Times New Roman" w:eastAsia="Times New Roman" w:hint="default"/>
        </w:rPr>
        <w:t>26.91%</w:t>
      </w:r>
      <w:r>
        <w:rPr/>
        <w:t>；其中电力工程勘察设计（含规划</w:t>
      </w:r>
      <w:r>
        <w:rPr>
          <w:w w:val="100"/>
        </w:rPr>
        <w:t> </w:t>
      </w:r>
      <w:r>
        <w:rPr>
          <w:spacing w:val="-5"/>
        </w:rPr>
        <w:t>咨询）收入</w:t>
      </w:r>
      <w:r>
        <w:rPr>
          <w:spacing w:val="-44"/>
        </w:rPr>
        <w:t> </w:t>
      </w:r>
      <w:r>
        <w:rPr>
          <w:rFonts w:ascii="Times New Roman" w:hAnsi="Times New Roman" w:cs="Times New Roman" w:eastAsia="Times New Roman" w:hint="default"/>
        </w:rPr>
        <w:t>25,465.13</w:t>
      </w:r>
      <w:r>
        <w:rPr>
          <w:rFonts w:ascii="Times New Roman" w:hAnsi="Times New Roman" w:cs="Times New Roman" w:eastAsia="Times New Roman" w:hint="default"/>
          <w:spacing w:val="8"/>
        </w:rPr>
        <w:t> </w:t>
      </w:r>
      <w:r>
        <w:rPr>
          <w:spacing w:val="-4"/>
        </w:rPr>
        <w:t>万元，较上年下降</w:t>
      </w:r>
      <w:r>
        <w:rPr>
          <w:spacing w:val="-48"/>
        </w:rPr>
        <w:t> </w:t>
      </w:r>
      <w:r>
        <w:rPr>
          <w:rFonts w:ascii="Times New Roman" w:hAnsi="Times New Roman" w:cs="Times New Roman" w:eastAsia="Times New Roman" w:hint="default"/>
          <w:spacing w:val="-3"/>
        </w:rPr>
        <w:t>2.26%</w:t>
      </w:r>
      <w:r>
        <w:rPr>
          <w:spacing w:val="-3"/>
        </w:rPr>
        <w:t>，</w:t>
      </w:r>
      <w:r>
        <w:rPr>
          <w:rFonts w:ascii="Times New Roman" w:hAnsi="Times New Roman" w:cs="Times New Roman" w:eastAsia="Times New Roman" w:hint="default"/>
          <w:spacing w:val="-3"/>
        </w:rPr>
        <w:t>EPC</w:t>
      </w:r>
      <w:r>
        <w:rPr>
          <w:rFonts w:ascii="Times New Roman" w:hAnsi="Times New Roman" w:cs="Times New Roman" w:eastAsia="Times New Roman" w:hint="default"/>
          <w:spacing w:val="9"/>
        </w:rPr>
        <w:t> </w:t>
      </w:r>
      <w:r>
        <w:rPr/>
        <w:t>总承包收入</w:t>
      </w:r>
      <w:r>
        <w:rPr>
          <w:spacing w:val="-48"/>
        </w:rPr>
        <w:t> </w:t>
      </w:r>
      <w:r>
        <w:rPr>
          <w:rFonts w:ascii="Times New Roman" w:hAnsi="Times New Roman" w:cs="Times New Roman" w:eastAsia="Times New Roman" w:hint="default"/>
        </w:rPr>
        <w:t>30,573.99</w:t>
      </w:r>
      <w:r>
        <w:rPr>
          <w:rFonts w:ascii="Times New Roman" w:hAnsi="Times New Roman" w:cs="Times New Roman" w:eastAsia="Times New Roman" w:hint="default"/>
          <w:spacing w:val="4"/>
        </w:rPr>
        <w:t> </w:t>
      </w:r>
      <w:r>
        <w:rPr>
          <w:spacing w:val="-4"/>
        </w:rPr>
        <w:t>万元，较上年增长</w:t>
      </w:r>
      <w:r>
        <w:rPr>
          <w:spacing w:val="-44"/>
        </w:rPr>
        <w:t> </w:t>
      </w:r>
      <w:r>
        <w:rPr>
          <w:rFonts w:ascii="Times New Roman" w:hAnsi="Times New Roman" w:cs="Times New Roman" w:eastAsia="Times New Roman" w:hint="default"/>
          <w:spacing w:val="-6"/>
        </w:rPr>
        <w:t>68.97%</w:t>
      </w:r>
      <w:r>
        <w:rPr>
          <w:spacing w:val="-6"/>
        </w:rPr>
        <w:t>。营</w:t>
      </w:r>
      <w:r>
        <w:rPr>
          <w:spacing w:val="-98"/>
        </w:rPr>
        <w:t> </w:t>
      </w:r>
      <w:r>
        <w:rPr>
          <w:spacing w:val="-1"/>
          <w:w w:val="100"/>
        </w:rPr>
        <w:t>业利润</w:t>
      </w:r>
      <w:r>
        <w:rPr>
          <w:spacing w:val="-59"/>
          <w:w w:val="100"/>
        </w:rPr>
        <w:t> </w:t>
      </w:r>
      <w:r>
        <w:rPr>
          <w:rFonts w:ascii="Times New Roman" w:hAnsi="Times New Roman" w:cs="Times New Roman" w:eastAsia="Times New Roman" w:hint="default"/>
          <w:spacing w:val="-1"/>
          <w:w w:val="100"/>
        </w:rPr>
        <w:t>8,972.63</w:t>
      </w:r>
      <w:r>
        <w:rPr>
          <w:rFonts w:ascii="Times New Roman" w:hAnsi="Times New Roman" w:cs="Times New Roman" w:eastAsia="Times New Roman" w:hint="default"/>
          <w:spacing w:val="-9"/>
          <w:w w:val="100"/>
        </w:rPr>
        <w:t> </w:t>
      </w:r>
      <w:r>
        <w:rPr>
          <w:spacing w:val="-15"/>
          <w:w w:val="100"/>
        </w:rPr>
        <w:t>万元，较上年增长</w:t>
      </w:r>
      <w:r>
        <w:rPr>
          <w:spacing w:val="-59"/>
          <w:w w:val="100"/>
        </w:rPr>
        <w:t> </w:t>
      </w:r>
      <w:r>
        <w:rPr>
          <w:rFonts w:ascii="Times New Roman" w:hAnsi="Times New Roman" w:cs="Times New Roman" w:eastAsia="Times New Roman" w:hint="default"/>
          <w:spacing w:val="-7"/>
          <w:w w:val="100"/>
        </w:rPr>
        <w:t>6.19%</w:t>
      </w:r>
      <w:r>
        <w:rPr>
          <w:spacing w:val="-7"/>
          <w:w w:val="100"/>
        </w:rPr>
        <w:t>；归属于上市公司股东净利润为</w:t>
      </w:r>
      <w:r>
        <w:rPr>
          <w:spacing w:val="-59"/>
          <w:w w:val="100"/>
        </w:rPr>
        <w:t> </w:t>
      </w:r>
      <w:r>
        <w:rPr>
          <w:rFonts w:ascii="Times New Roman" w:hAnsi="Times New Roman" w:cs="Times New Roman" w:eastAsia="Times New Roman" w:hint="default"/>
          <w:spacing w:val="-1"/>
          <w:w w:val="100"/>
        </w:rPr>
        <w:t>7,696.61</w:t>
      </w:r>
      <w:r>
        <w:rPr>
          <w:rFonts w:ascii="Times New Roman" w:hAnsi="Times New Roman" w:cs="Times New Roman" w:eastAsia="Times New Roman" w:hint="default"/>
          <w:spacing w:val="-7"/>
          <w:w w:val="100"/>
        </w:rPr>
        <w:t> </w:t>
      </w:r>
      <w:r>
        <w:rPr>
          <w:spacing w:val="-15"/>
          <w:w w:val="100"/>
        </w:rPr>
        <w:t>万元，较上年增长</w:t>
      </w:r>
      <w:r>
        <w:rPr>
          <w:spacing w:val="-59"/>
          <w:w w:val="100"/>
        </w:rPr>
        <w:t> </w:t>
      </w:r>
      <w:r>
        <w:rPr>
          <w:rFonts w:ascii="Times New Roman" w:hAnsi="Times New Roman" w:cs="Times New Roman" w:eastAsia="Times New Roman" w:hint="default"/>
          <w:spacing w:val="-2"/>
          <w:w w:val="100"/>
        </w:rPr>
        <w:t>5.00%</w:t>
      </w:r>
      <w:r>
        <w:rPr>
          <w:spacing w:val="-2"/>
          <w:w w:val="100"/>
        </w:rPr>
        <w:t>。</w:t>
      </w:r>
    </w:p>
    <w:p>
      <w:pPr>
        <w:pStyle w:val="Heading4"/>
        <w:spacing w:line="240" w:lineRule="auto" w:before="161"/>
        <w:ind w:left="573" w:right="0"/>
        <w:jc w:val="left"/>
      </w:pPr>
      <w:r>
        <w:rPr/>
        <w:t>（一）契合国家和地方能源投资政策，逐步推进业务结构转型</w:t>
      </w:r>
    </w:p>
    <w:p>
      <w:pPr>
        <w:pStyle w:val="Heading4"/>
        <w:spacing w:line="450" w:lineRule="atLeast" w:before="34"/>
        <w:ind w:left="573" w:right="0"/>
        <w:jc w:val="left"/>
      </w:pPr>
      <w:r>
        <w:rPr>
          <w:rFonts w:ascii="Times New Roman" w:hAnsi="Times New Roman" w:cs="Times New Roman" w:eastAsia="Times New Roman" w:hint="default"/>
        </w:rPr>
        <w:t>1</w:t>
      </w:r>
      <w:r>
        <w:rPr/>
        <w:t>、</w:t>
      </w:r>
      <w:r>
        <w:rPr>
          <w:spacing w:val="-1"/>
        </w:rPr>
        <w:t> </w:t>
      </w:r>
      <w:r>
        <w:rPr/>
        <w:t>勘察设计（含规划咨询）业务</w:t>
      </w:r>
      <w:r>
        <w:rPr>
          <w:w w:val="100"/>
        </w:rPr>
        <w:t> </w:t>
      </w:r>
      <w:r>
        <w:rPr>
          <w:spacing w:val="-3"/>
        </w:rPr>
        <w:t>近几年，公司紧跟国家和地方能源投资政策，在稳定发展高压、特高压业务的基础上，重点发展智能</w:t>
      </w:r>
    </w:p>
    <w:p>
      <w:pPr>
        <w:pStyle w:val="Heading4"/>
        <w:spacing w:line="240" w:lineRule="auto" w:before="37"/>
        <w:ind w:right="0"/>
        <w:jc w:val="left"/>
      </w:pPr>
      <w:r>
        <w:rPr/>
        <w:t>配电网、清洁能源和新能源发电业务。</w:t>
      </w:r>
    </w:p>
    <w:p>
      <w:pPr>
        <w:spacing w:line="240" w:lineRule="auto" w:before="10"/>
        <w:rPr>
          <w:rFonts w:ascii="宋体" w:hAnsi="宋体" w:cs="宋体" w:eastAsia="宋体" w:hint="default"/>
          <w:sz w:val="14"/>
          <w:szCs w:val="14"/>
        </w:rPr>
      </w:pPr>
    </w:p>
    <w:p>
      <w:pPr>
        <w:pStyle w:val="Heading4"/>
        <w:spacing w:line="264" w:lineRule="auto"/>
        <w:ind w:right="146" w:firstLine="420"/>
        <w:jc w:val="both"/>
      </w:pPr>
      <w:r>
        <w:rPr>
          <w:spacing w:val="-9"/>
          <w:w w:val="100"/>
        </w:rPr>
        <w:t>电网方面，受益于国家电力发展“十三五”规划（</w:t>
      </w:r>
      <w:r>
        <w:rPr>
          <w:rFonts w:ascii="Times New Roman" w:hAnsi="Times New Roman" w:cs="Times New Roman" w:eastAsia="Times New Roman" w:hint="default"/>
          <w:spacing w:val="-9"/>
          <w:w w:val="100"/>
        </w:rPr>
        <w:t>2016-2020</w:t>
      </w:r>
      <w:r>
        <w:rPr>
          <w:rFonts w:ascii="Times New Roman" w:hAnsi="Times New Roman" w:cs="Times New Roman" w:eastAsia="Times New Roman" w:hint="default"/>
          <w:spacing w:val="16"/>
          <w:w w:val="100"/>
        </w:rPr>
        <w:t> </w:t>
      </w:r>
      <w:r>
        <w:rPr>
          <w:spacing w:val="-10"/>
          <w:w w:val="100"/>
        </w:rPr>
        <w:t>年）、配电网建设改造行动计划（</w:t>
      </w:r>
      <w:r>
        <w:rPr>
          <w:rFonts w:ascii="Times New Roman" w:hAnsi="Times New Roman" w:cs="Times New Roman" w:eastAsia="Times New Roman" w:hint="default"/>
          <w:spacing w:val="-10"/>
          <w:w w:val="100"/>
        </w:rPr>
        <w:t>2015-2020</w:t>
      </w:r>
      <w:r>
        <w:rPr>
          <w:rFonts w:ascii="Times New Roman" w:hAnsi="Times New Roman" w:cs="Times New Roman" w:eastAsia="Times New Roman" w:hint="default"/>
          <w:w w:val="100"/>
        </w:rPr>
        <w:t> </w:t>
      </w:r>
      <w:r>
        <w:rPr>
          <w:spacing w:val="-2"/>
        </w:rPr>
        <w:t>年）等相关政策的实施，公司高压、特高压业务收入整体保持在高位；公司大力发展智能配电业务，重点</w:t>
      </w:r>
      <w:r>
        <w:rPr>
          <w:spacing w:val="-43"/>
        </w:rPr>
        <w:t> </w:t>
      </w:r>
      <w:r>
        <w:rPr>
          <w:spacing w:val="-43"/>
        </w:rPr>
      </w:r>
      <w:r>
        <w:rPr>
          <w:spacing w:val="-2"/>
        </w:rPr>
        <w:t>在配电网新材料、新技术、新工艺、新标准等领域加大研发力度，努力成为福建省的智能配电网领域的技</w:t>
      </w:r>
      <w:r>
        <w:rPr>
          <w:spacing w:val="-47"/>
        </w:rPr>
        <w:t> </w:t>
      </w:r>
      <w:r>
        <w:rPr>
          <w:spacing w:val="-47"/>
        </w:rPr>
      </w:r>
      <w:r>
        <w:rPr/>
        <w:t>术引领者，持续提升公司在该领域的核心竞争力，配网业务呈现快速增长态势，实现营业收入 </w:t>
      </w:r>
      <w:r>
        <w:rPr>
          <w:rFonts w:ascii="Times New Roman" w:hAnsi="Times New Roman" w:cs="Times New Roman" w:eastAsia="Times New Roman" w:hint="default"/>
        </w:rPr>
        <w:t>3304.64</w:t>
      </w:r>
      <w:r>
        <w:rPr>
          <w:rFonts w:ascii="Times New Roman" w:hAnsi="Times New Roman" w:cs="Times New Roman" w:eastAsia="Times New Roman" w:hint="default"/>
          <w:spacing w:val="-29"/>
        </w:rPr>
        <w:t> </w:t>
      </w:r>
      <w:r>
        <w:rPr/>
        <w:t>万</w:t>
      </w:r>
      <w:r>
        <w:rPr>
          <w:w w:val="100"/>
        </w:rPr>
        <w:t> </w:t>
      </w:r>
      <w:r>
        <w:rPr/>
        <w:t>元，同比增长</w:t>
      </w:r>
      <w:r>
        <w:rPr>
          <w:spacing w:val="-53"/>
        </w:rPr>
        <w:t> </w:t>
      </w:r>
      <w:r>
        <w:rPr>
          <w:rFonts w:ascii="Times New Roman" w:hAnsi="Times New Roman" w:cs="Times New Roman" w:eastAsia="Times New Roman" w:hint="default"/>
        </w:rPr>
        <w:t>136.88%</w:t>
      </w:r>
      <w:r>
        <w:rPr/>
        <w:t>。</w:t>
      </w:r>
    </w:p>
    <w:p>
      <w:pPr>
        <w:pStyle w:val="Heading4"/>
        <w:spacing w:line="261" w:lineRule="auto" w:before="154"/>
        <w:ind w:right="146" w:firstLine="420"/>
        <w:jc w:val="both"/>
      </w:pPr>
      <w:r>
        <w:rPr>
          <w:spacing w:val="-4"/>
        </w:rPr>
        <w:t>电源方面，公司紧跟行业发展趋势，着力发展清洁能源和新能源相关业务。</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0"/>
        </w:rPr>
        <w:t> </w:t>
      </w:r>
      <w:r>
        <w:rPr/>
        <w:t>年公司实现清洁能源</w:t>
      </w:r>
      <w:r>
        <w:rPr>
          <w:w w:val="100"/>
        </w:rPr>
        <w:t> </w:t>
      </w:r>
      <w:r>
        <w:rPr/>
        <w:t>和新能源业务收入</w:t>
      </w:r>
      <w:r>
        <w:rPr>
          <w:spacing w:val="-52"/>
        </w:rPr>
        <w:t> </w:t>
      </w:r>
      <w:r>
        <w:rPr>
          <w:rFonts w:ascii="Times New Roman" w:hAnsi="Times New Roman" w:cs="Times New Roman" w:eastAsia="Times New Roman" w:hint="default"/>
        </w:rPr>
        <w:t>5,965.7 </w:t>
      </w:r>
      <w:r>
        <w:rPr/>
        <w:t>万元，占公司电源勘测设计收入</w:t>
      </w:r>
      <w:r>
        <w:rPr>
          <w:spacing w:val="-50"/>
        </w:rPr>
        <w:t> </w:t>
      </w:r>
      <w:r>
        <w:rPr>
          <w:rFonts w:ascii="Times New Roman" w:hAnsi="Times New Roman" w:cs="Times New Roman" w:eastAsia="Times New Roman" w:hint="default"/>
        </w:rPr>
        <w:t>87.89%</w:t>
      </w:r>
      <w:r>
        <w:rPr/>
        <w:t>，受部分陆上风电外部建设条件的影响</w:t>
      </w:r>
      <w:r>
        <w:rPr>
          <w:w w:val="100"/>
        </w:rPr>
        <w:t> </w:t>
      </w:r>
      <w:r>
        <w:rPr>
          <w:spacing w:val="-2"/>
        </w:rPr>
        <w:t>以及海上风电建设工期长和建设条件复杂等因素影响，报告期内清洁能源和新能源业务收入略有下降。但</w:t>
      </w:r>
      <w:r>
        <w:rPr>
          <w:spacing w:val="-44"/>
        </w:rPr>
        <w:t> </w:t>
      </w:r>
      <w:r>
        <w:rPr>
          <w:spacing w:val="-44"/>
        </w:rPr>
      </w:r>
      <w:r>
        <w:rPr>
          <w:spacing w:val="-3"/>
        </w:rPr>
        <w:t>随着国家沿海海上风电建设的大力推进，</w:t>
      </w:r>
      <w:r>
        <w:rPr>
          <w:rFonts w:ascii="Times New Roman" w:hAnsi="Times New Roman" w:cs="Times New Roman" w:eastAsia="Times New Roman" w:hint="default"/>
          <w:spacing w:val="-3"/>
        </w:rPr>
        <w:t>2017 </w:t>
      </w:r>
      <w:r>
        <w:rPr>
          <w:spacing w:val="-4"/>
        </w:rPr>
        <w:t>年下半年，公司已中标平海湾 </w:t>
      </w:r>
      <w:r>
        <w:rPr>
          <w:rFonts w:ascii="Times New Roman" w:hAnsi="Times New Roman" w:cs="Times New Roman" w:eastAsia="Times New Roman" w:hint="default"/>
        </w:rPr>
        <w:t>F </w:t>
      </w:r>
      <w:r>
        <w:rPr>
          <w:spacing w:val="-4"/>
        </w:rPr>
        <w:t>区、长乐外海两个大型海上</w:t>
      </w:r>
      <w:r>
        <w:rPr>
          <w:spacing w:val="-84"/>
        </w:rPr>
        <w:t> </w:t>
      </w:r>
      <w:r>
        <w:rPr>
          <w:spacing w:val="-84"/>
        </w:rPr>
      </w:r>
      <w:r>
        <w:rPr/>
        <w:t>风电勘察设计项目，合同金额达</w:t>
      </w:r>
      <w:r>
        <w:rPr>
          <w:spacing w:val="-55"/>
        </w:rPr>
        <w:t> </w:t>
      </w:r>
      <w:r>
        <w:rPr>
          <w:rFonts w:ascii="Times New Roman" w:hAnsi="Times New Roman" w:cs="Times New Roman" w:eastAsia="Times New Roman" w:hint="default"/>
        </w:rPr>
        <w:t>1.29</w:t>
      </w:r>
      <w:r>
        <w:rPr>
          <w:rFonts w:ascii="Times New Roman" w:hAnsi="Times New Roman" w:cs="Times New Roman" w:eastAsia="Times New Roman" w:hint="default"/>
          <w:spacing w:val="-3"/>
        </w:rPr>
        <w:t> </w:t>
      </w:r>
      <w:r>
        <w:rPr/>
        <w:t>亿元，预计</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年清洁能源和新能源业务将继续保持增长态势。</w:t>
      </w:r>
    </w:p>
    <w:p>
      <w:pPr>
        <w:pStyle w:val="Heading4"/>
        <w:spacing w:line="273" w:lineRule="auto" w:before="156"/>
        <w:ind w:right="146" w:firstLine="420"/>
        <w:jc w:val="both"/>
      </w:pPr>
      <w:r>
        <w:rPr>
          <w:spacing w:val="-2"/>
        </w:rPr>
        <w:t>未来，随着公司业务结构调整的进一步到位，公司新签合同额还会继续保持增长态势，这将为公司未</w:t>
      </w:r>
      <w:r>
        <w:rPr>
          <w:w w:val="100"/>
        </w:rPr>
        <w:t> </w:t>
      </w:r>
      <w:r>
        <w:rPr/>
        <w:t>来勘察设计业务收入的增长打下良好的基础。</w:t>
      </w:r>
    </w:p>
    <w:p>
      <w:pPr>
        <w:pStyle w:val="Heading4"/>
        <w:spacing w:line="240" w:lineRule="auto" w:before="163"/>
        <w:ind w:left="573" w:right="0"/>
        <w:jc w:val="left"/>
      </w:pPr>
      <w:r>
        <w:rPr>
          <w:rFonts w:ascii="Times New Roman" w:hAnsi="Times New Roman" w:cs="Times New Roman" w:eastAsia="Times New Roman" w:hint="default"/>
        </w:rPr>
        <w:t>2</w:t>
      </w:r>
      <w:r>
        <w:rPr/>
        <w:t>、 </w:t>
      </w:r>
      <w:r>
        <w:rPr>
          <w:rFonts w:ascii="Times New Roman" w:hAnsi="Times New Roman" w:cs="Times New Roman" w:eastAsia="Times New Roman" w:hint="default"/>
        </w:rPr>
        <w:t>EPC </w:t>
      </w:r>
      <w:r>
        <w:rPr/>
        <w:t>工程总承包业务</w:t>
      </w:r>
    </w:p>
    <w:p>
      <w:pPr>
        <w:pStyle w:val="Heading4"/>
        <w:spacing w:line="264" w:lineRule="auto" w:before="177"/>
        <w:ind w:right="146" w:firstLine="420"/>
        <w:jc w:val="both"/>
      </w:pPr>
      <w:r>
        <w:rPr>
          <w:rFonts w:ascii="Times New Roman" w:hAnsi="Times New Roman" w:cs="Times New Roman" w:eastAsia="Times New Roman" w:hint="default"/>
        </w:rPr>
        <w:t>2016 </w:t>
      </w:r>
      <w:r>
        <w:rPr>
          <w:spacing w:val="-4"/>
        </w:rPr>
        <w:t>年开始国家开始大力推进工程总承包，促进企业做优做强，推动产业转型升级。在新形势下，公</w:t>
      </w:r>
      <w:r>
        <w:rPr>
          <w:w w:val="100"/>
        </w:rPr>
        <w:t> </w:t>
      </w:r>
      <w:r>
        <w:rPr>
          <w:spacing w:val="-2"/>
        </w:rPr>
        <w:t>司积极发展国内新能源、火电环保技改和高压输变电用户项目工程总承包业务，并积极向东南亚布局，总</w:t>
      </w:r>
      <w:r>
        <w:rPr>
          <w:spacing w:val="-42"/>
        </w:rPr>
        <w:t> </w:t>
      </w:r>
      <w:r>
        <w:rPr>
          <w:spacing w:val="-42"/>
        </w:rPr>
      </w:r>
      <w:r>
        <w:rPr/>
        <w:t>承包业务呈现快速增长态势，</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年公司实现业务收入</w:t>
      </w:r>
      <w:r>
        <w:rPr>
          <w:spacing w:val="-54"/>
        </w:rPr>
        <w:t> </w:t>
      </w:r>
      <w:r>
        <w:rPr>
          <w:rFonts w:ascii="Times New Roman" w:hAnsi="Times New Roman" w:cs="Times New Roman" w:eastAsia="Times New Roman" w:hint="default"/>
        </w:rPr>
        <w:t>30,573.99</w:t>
      </w:r>
      <w:r>
        <w:rPr>
          <w:rFonts w:ascii="Times New Roman" w:hAnsi="Times New Roman" w:cs="Times New Roman" w:eastAsia="Times New Roman" w:hint="default"/>
          <w:spacing w:val="-3"/>
        </w:rPr>
        <w:t> </w:t>
      </w:r>
      <w:r>
        <w:rPr/>
        <w:t>万元，同比增长</w:t>
      </w:r>
      <w:r>
        <w:rPr>
          <w:spacing w:val="-54"/>
        </w:rPr>
        <w:t> </w:t>
      </w:r>
      <w:r>
        <w:rPr>
          <w:rFonts w:ascii="Times New Roman" w:hAnsi="Times New Roman" w:cs="Times New Roman" w:eastAsia="Times New Roman" w:hint="default"/>
        </w:rPr>
        <w:t>68.97%</w:t>
      </w:r>
      <w:r>
        <w:rPr/>
        <w:t>。</w:t>
      </w:r>
    </w:p>
    <w:p>
      <w:pPr>
        <w:pStyle w:val="Heading4"/>
        <w:spacing w:line="240" w:lineRule="auto" w:before="154"/>
        <w:ind w:left="573" w:right="0"/>
        <w:jc w:val="left"/>
      </w:pPr>
      <w:r>
        <w:rPr/>
        <w:t>（二）加大技术研发投入，提升核心技术竞争力</w:t>
      </w:r>
    </w:p>
    <w:p>
      <w:pPr>
        <w:spacing w:line="240" w:lineRule="auto" w:before="10"/>
        <w:rPr>
          <w:rFonts w:ascii="宋体" w:hAnsi="宋体" w:cs="宋体" w:eastAsia="宋体" w:hint="default"/>
          <w:sz w:val="14"/>
          <w:szCs w:val="14"/>
        </w:rPr>
      </w:pPr>
    </w:p>
    <w:p>
      <w:pPr>
        <w:pStyle w:val="Heading4"/>
        <w:spacing w:line="386" w:lineRule="auto"/>
        <w:ind w:left="573" w:right="0"/>
        <w:jc w:val="left"/>
      </w:pPr>
      <w:r>
        <w:rPr>
          <w:rFonts w:ascii="Times New Roman" w:hAnsi="Times New Roman" w:cs="Times New Roman" w:eastAsia="Times New Roman" w:hint="default"/>
        </w:rPr>
        <w:t>1</w:t>
      </w:r>
      <w:r>
        <w:rPr/>
        <w:t>、 发电技术研发</w:t>
      </w:r>
      <w:r>
        <w:rPr>
          <w:w w:val="100"/>
        </w:rPr>
        <w:t> </w:t>
      </w:r>
      <w:r>
        <w:rPr>
          <w:spacing w:val="-7"/>
          <w:w w:val="100"/>
        </w:rPr>
        <w:t>在发电技术方面，公司牵头组建国家能源局复函支持的“福建省海上风电研发中心”，积极开展海上风</w:t>
      </w:r>
    </w:p>
    <w:p>
      <w:pPr>
        <w:spacing w:after="0" w:line="386" w:lineRule="auto"/>
        <w:jc w:val="left"/>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4"/>
        <w:spacing w:line="264" w:lineRule="auto" w:before="36"/>
        <w:ind w:right="146"/>
        <w:jc w:val="both"/>
      </w:pPr>
      <w:r>
        <w:rPr>
          <w:spacing w:val="-2"/>
        </w:rPr>
        <w:t>电关键技术研发，着力突破海上风电桩基、施工、机组、检测、运维等关键技术，逐步形成公司海上风电</w:t>
      </w:r>
      <w:r>
        <w:rPr>
          <w:spacing w:val="-42"/>
        </w:rPr>
        <w:t> </w:t>
      </w:r>
      <w:r>
        <w:rPr>
          <w:spacing w:val="-42"/>
        </w:rPr>
      </w:r>
      <w:r>
        <w:rPr/>
        <w:t>的核心技术，报告期内获得</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项实用新型专利授权，累计获得</w:t>
      </w:r>
      <w:r>
        <w:rPr>
          <w:spacing w:val="-34"/>
        </w:rPr>
        <w:t> </w:t>
      </w:r>
      <w:r>
        <w:rPr>
          <w:rFonts w:ascii="Times New Roman" w:hAnsi="Times New Roman" w:cs="Times New Roman" w:eastAsia="Times New Roman" w:hint="default"/>
        </w:rPr>
        <w:t>19</w:t>
      </w:r>
      <w:r>
        <w:rPr>
          <w:rFonts w:ascii="Times New Roman" w:hAnsi="Times New Roman" w:cs="Times New Roman" w:eastAsia="Times New Roman" w:hint="default"/>
          <w:spacing w:val="18"/>
        </w:rPr>
        <w:t> </w:t>
      </w:r>
      <w:r>
        <w:rPr/>
        <w:t>项实用新型专利，为开展海上风电业务</w:t>
      </w:r>
      <w:r>
        <w:rPr>
          <w:w w:val="100"/>
        </w:rPr>
        <w:t> </w:t>
      </w:r>
      <w:r>
        <w:rPr/>
        <w:t>夯实基础；同时，继续开展燃气电厂以及清洁能源和新能源核心技术的研发。</w:t>
      </w:r>
    </w:p>
    <w:p>
      <w:pPr>
        <w:pStyle w:val="Heading4"/>
        <w:spacing w:line="468" w:lineRule="exact" w:before="43"/>
        <w:ind w:left="573" w:right="145"/>
        <w:jc w:val="left"/>
      </w:pPr>
      <w:r>
        <w:rPr>
          <w:rFonts w:ascii="Times New Roman" w:hAnsi="Times New Roman" w:cs="Times New Roman" w:eastAsia="Times New Roman" w:hint="default"/>
        </w:rPr>
        <w:t>2</w:t>
      </w:r>
      <w:r>
        <w:rPr/>
        <w:t>、 电网技术研发</w:t>
      </w:r>
      <w:r>
        <w:rPr>
          <w:w w:val="100"/>
        </w:rPr>
        <w:t> </w:t>
      </w:r>
      <w:r>
        <w:rPr/>
        <w:t>在电网技术方面，加大新技术研发投入，总结提升电网设计技术；开展双列一体式</w:t>
      </w:r>
      <w:r>
        <w:rPr>
          <w:spacing w:val="-52"/>
        </w:rPr>
        <w:t> </w:t>
      </w:r>
      <w:r>
        <w:rPr>
          <w:rFonts w:ascii="Times New Roman" w:hAnsi="Times New Roman" w:cs="Times New Roman" w:eastAsia="Times New Roman" w:hint="default"/>
        </w:rPr>
        <w:t>HGIS</w:t>
      </w:r>
      <w:r>
        <w:rPr>
          <w:rFonts w:ascii="Times New Roman" w:hAnsi="Times New Roman" w:cs="Times New Roman" w:eastAsia="Times New Roman" w:hint="default"/>
          <w:spacing w:val="2"/>
        </w:rPr>
        <w:t> </w:t>
      </w:r>
      <w:r>
        <w:rPr/>
        <w:t>新型配电装</w:t>
      </w:r>
    </w:p>
    <w:p>
      <w:pPr>
        <w:pStyle w:val="Heading4"/>
        <w:spacing w:line="248" w:lineRule="exact"/>
        <w:ind w:right="0"/>
        <w:jc w:val="both"/>
      </w:pPr>
      <w:r>
        <w:rPr/>
        <w:t>置、非对称铁塔构件结构设计等项目的研发，持续开展标准化设计；在配电网智能化、五防差异化、防灾</w:t>
      </w:r>
    </w:p>
    <w:p>
      <w:pPr>
        <w:pStyle w:val="Heading4"/>
        <w:spacing w:line="240" w:lineRule="auto" w:before="37"/>
        <w:ind w:right="0"/>
        <w:jc w:val="both"/>
      </w:pPr>
      <w:r>
        <w:rPr/>
        <w:t>减灾、增量配电网接入方案、标准化等方面加大研究力度，进一步巩固和提升在福建省内的技术优势。</w:t>
      </w:r>
    </w:p>
    <w:p>
      <w:pPr>
        <w:pStyle w:val="Heading4"/>
        <w:spacing w:line="450" w:lineRule="atLeast" w:before="34"/>
        <w:ind w:left="573" w:right="0"/>
        <w:jc w:val="left"/>
      </w:pPr>
      <w:r>
        <w:rPr>
          <w:rFonts w:ascii="Times New Roman" w:hAnsi="Times New Roman" w:cs="Times New Roman" w:eastAsia="Times New Roman" w:hint="default"/>
        </w:rPr>
        <w:t>3</w:t>
      </w:r>
      <w:r>
        <w:rPr/>
        <w:t>、 数字化设计技术研发</w:t>
      </w:r>
      <w:r>
        <w:rPr>
          <w:w w:val="100"/>
        </w:rPr>
        <w:t> </w:t>
      </w:r>
      <w:r>
        <w:rPr>
          <w:spacing w:val="-2"/>
        </w:rPr>
        <w:t>公司筹备成立数字化技术研究中心，该中心以实现公司全业务、全专业、全过程数字化三维协同设计</w:t>
      </w:r>
    </w:p>
    <w:p>
      <w:pPr>
        <w:pStyle w:val="Heading4"/>
        <w:spacing w:line="273" w:lineRule="auto" w:before="37"/>
        <w:ind w:right="146"/>
        <w:jc w:val="both"/>
      </w:pPr>
      <w:r>
        <w:rPr>
          <w:spacing w:val="-2"/>
        </w:rPr>
        <w:t>和工程数字化产品在全生命周期管理的应用为目标，跟踪最新的数字化技术发展趋势，开展智能运维、全</w:t>
      </w:r>
      <w:r>
        <w:rPr>
          <w:spacing w:val="-44"/>
        </w:rPr>
        <w:t> </w:t>
      </w:r>
      <w:r>
        <w:rPr>
          <w:spacing w:val="-44"/>
        </w:rPr>
      </w:r>
      <w:r>
        <w:rPr>
          <w:spacing w:val="-2"/>
        </w:rPr>
        <w:t>过程数字化、存量系统再数字化、基于物联网的信息化等数字化技术研究，快速培育电力能源数字化、信</w:t>
      </w:r>
      <w:r>
        <w:rPr>
          <w:spacing w:val="-47"/>
        </w:rPr>
        <w:t> </w:t>
      </w:r>
      <w:r>
        <w:rPr>
          <w:spacing w:val="-47"/>
        </w:rPr>
      </w:r>
      <w:r>
        <w:rPr/>
        <w:t>息化等新兴技术。</w:t>
      </w:r>
    </w:p>
    <w:p>
      <w:pPr>
        <w:pStyle w:val="Heading4"/>
        <w:spacing w:line="450" w:lineRule="atLeast" w:before="4"/>
        <w:ind w:left="573" w:right="0"/>
        <w:jc w:val="left"/>
      </w:pPr>
      <w:r>
        <w:rPr>
          <w:rFonts w:ascii="Times New Roman" w:hAnsi="Times New Roman" w:cs="Times New Roman" w:eastAsia="Times New Roman" w:hint="default"/>
        </w:rPr>
        <w:t>4</w:t>
      </w:r>
      <w:r>
        <w:rPr/>
        <w:t>、 海外工程勘察设计能力提升</w:t>
      </w:r>
      <w:r>
        <w:rPr>
          <w:w w:val="100"/>
        </w:rPr>
        <w:t> </w:t>
      </w:r>
      <w:r>
        <w:rPr>
          <w:spacing w:val="-2"/>
        </w:rPr>
        <w:t>提高海外工程勘察设计能力。深入研究国外项目执行程序、国际标准及国际惯例，加强与海外经验丰</w:t>
      </w:r>
    </w:p>
    <w:p>
      <w:pPr>
        <w:pStyle w:val="Heading4"/>
        <w:spacing w:line="273" w:lineRule="auto" w:before="37"/>
        <w:ind w:right="0"/>
        <w:jc w:val="left"/>
      </w:pPr>
      <w:r>
        <w:rPr>
          <w:spacing w:val="-2"/>
        </w:rPr>
        <w:t>富的咨询公司合作，实质性推进设计成品国际化，全面提升海外业务执行能力，紧跟国家“一带一路”倡</w:t>
      </w:r>
      <w:r>
        <w:rPr>
          <w:spacing w:val="-43"/>
        </w:rPr>
        <w:t> </w:t>
      </w:r>
      <w:r>
        <w:rPr>
          <w:spacing w:val="-43"/>
        </w:rPr>
      </w:r>
      <w:r>
        <w:rPr/>
        <w:t>议，促进海外业务开拓。</w:t>
      </w:r>
    </w:p>
    <w:p>
      <w:pPr>
        <w:pStyle w:val="Heading4"/>
        <w:spacing w:line="468" w:lineRule="exact" w:before="34"/>
        <w:ind w:left="573" w:right="0"/>
        <w:jc w:val="left"/>
      </w:pPr>
      <w:r>
        <w:rPr/>
        <w:t>（三）储备前瞻性技术，培育新的业务增长点</w:t>
      </w:r>
      <w:r>
        <w:rPr>
          <w:w w:val="100"/>
        </w:rPr>
        <w:t> </w:t>
      </w:r>
      <w:r>
        <w:rPr>
          <w:spacing w:val="-7"/>
        </w:rPr>
        <w:t>公司筹备成立智慧能源研发部，跟踪智慧能源新技术的发展方向，积极开展多能互补、新能源微电网、</w:t>
      </w:r>
    </w:p>
    <w:p>
      <w:pPr>
        <w:pStyle w:val="Heading4"/>
        <w:spacing w:line="248" w:lineRule="exact"/>
        <w:ind w:right="0"/>
        <w:jc w:val="both"/>
      </w:pPr>
      <w:r>
        <w:rPr/>
        <w:t>储能、智能充电站等智慧能源领域新技术的研究，为公司培育新的业务增长点。</w:t>
      </w:r>
    </w:p>
    <w:p>
      <w:pPr>
        <w:pStyle w:val="Heading2"/>
        <w:spacing w:line="240" w:lineRule="auto" w:before="165"/>
        <w:ind w:right="0"/>
        <w:jc w:val="both"/>
        <w:rPr>
          <w:b w:val="0"/>
          <w:bCs w:val="0"/>
        </w:rPr>
      </w:pPr>
      <w:r>
        <w:rPr/>
        <w:t>二、主营业务分析</w:t>
      </w:r>
      <w:r>
        <w:rPr>
          <w:b w:val="0"/>
          <w:bCs w:val="0"/>
        </w:rPr>
      </w:r>
    </w:p>
    <w:p>
      <w:pPr>
        <w:spacing w:line="417" w:lineRule="auto" w:before="181"/>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5"/>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pStyle w:val="BodyText"/>
        <w:spacing w:line="477" w:lineRule="auto" w:before="198"/>
        <w:ind w:right="5994"/>
        <w:jc w:val="left"/>
      </w:pPr>
      <w:r>
        <w:rPr/>
        <w:t>公司是否需要遵守光伏产业链相关业的披露要求 否</w:t>
      </w:r>
    </w:p>
    <w:p>
      <w:pPr>
        <w:pStyle w:val="BodyText"/>
        <w:spacing w:line="451" w:lineRule="auto" w:before="54"/>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51" w:lineRule="auto" w:before="74"/>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451" w:lineRule="auto" w:before="74"/>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240" w:lineRule="auto" w:before="74"/>
        <w:ind w:right="0"/>
        <w:jc w:val="both"/>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w:t>
      </w:r>
    </w:p>
    <w:p>
      <w:pPr>
        <w:spacing w:after="0" w:line="240" w:lineRule="auto"/>
        <w:jc w:val="both"/>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477" w:lineRule="auto" w:before="44"/>
        <w:ind w:right="8334"/>
        <w:jc w:val="left"/>
      </w:pPr>
      <w:r>
        <w:rPr/>
        <w:t>否 营业收入整体情况</w:t>
      </w:r>
    </w:p>
    <w:p>
      <w:pPr>
        <w:pStyle w:val="BodyText"/>
        <w:spacing w:line="240" w:lineRule="auto" w:before="5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634"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64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564,396,520.28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444,714,055.19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26.91%</w:t>
            </w:r>
          </w:p>
        </w:tc>
      </w:tr>
      <w:tr>
        <w:trPr>
          <w:trHeight w:val="62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560,391,150.90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441,476,291.03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26.94%</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4,005,369.38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3,237,764.16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23.71%</w:t>
            </w:r>
          </w:p>
        </w:tc>
      </w:tr>
      <w:tr>
        <w:trPr>
          <w:trHeight w:val="63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电力工程勘察设计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（含规划咨询）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254,651,256.23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45.12%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260,530,789.81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58.58%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-2.26%</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305,739,894.67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180,945,501.22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68.97%</w:t>
            </w:r>
          </w:p>
        </w:tc>
      </w:tr>
      <w:tr>
        <w:trPr>
          <w:trHeight w:val="6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4,005,369.38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3,237,764.16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23.71%</w:t>
            </w:r>
          </w:p>
        </w:tc>
      </w:tr>
      <w:tr>
        <w:trPr>
          <w:trHeight w:val="63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中国福建省内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398,607,841.79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190,251,139.43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109.52%</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中国福建省外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159,822,972.40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231,600,629.81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-30.99%</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5,965,706.09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22,862,285.95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-73.91%</w:t>
            </w:r>
          </w:p>
        </w:tc>
      </w:tr>
    </w:tbl>
    <w:p>
      <w:pPr>
        <w:spacing w:line="240" w:lineRule="auto" w:before="3"/>
        <w:rPr>
          <w:rFonts w:ascii="宋体" w:hAnsi="宋体" w:cs="宋体" w:eastAsia="宋体" w:hint="default"/>
          <w:sz w:val="8"/>
          <w:szCs w:val="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pStyle w:val="BodyText"/>
        <w:spacing w:line="463" w:lineRule="auto" w:before="198"/>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pStyle w:val="BodyText"/>
        <w:spacing w:line="240" w:lineRule="auto" w:before="65"/>
        <w:ind w:left="0" w:right="151"/>
        <w:jc w:val="right"/>
      </w:pPr>
      <w:r>
        <w:rPr/>
        <w:t>单位：元</w:t>
      </w:r>
    </w:p>
    <w:p>
      <w:pPr>
        <w:spacing w:line="240" w:lineRule="auto" w:before="3"/>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5"/>
      </w:tblGrid>
      <w:tr>
        <w:trPr>
          <w:trHeight w:val="63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47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63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63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560,391,150.90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373,121,098.56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43.42%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w:t>
            </w:r>
          </w:p>
        </w:tc>
      </w:tr>
      <w:tr>
        <w:trPr>
          <w:trHeight w:val="635"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125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z w:val="18"/>
                <w:szCs w:val="18"/>
              </w:rPr>
              <w:t>电力工程勘察设 计（含规划咨 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254,651,256.23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112,631,159.96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r>
      <w:tr>
        <w:trPr>
          <w:trHeight w:val="63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305,739,894.67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260,489,938.60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73.38%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r>
      <w:tr>
        <w:trPr>
          <w:trHeight w:val="63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63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中国福建省内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398,607,841.79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275,084,640.57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-26.01%</w:t>
            </w:r>
          </w:p>
        </w:tc>
      </w:tr>
      <w:tr>
        <w:trPr>
          <w:trHeight w:val="63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中国福建省外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159,822,972.40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95,791,672.01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w:t>
            </w:r>
          </w:p>
        </w:tc>
      </w:tr>
      <w:tr>
        <w:trPr>
          <w:trHeight w:val="63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5,965,706.09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4,803,781.74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spacing w:line="240" w:lineRule="auto" w:before="9"/>
        <w:rPr>
          <w:rFonts w:ascii="宋体" w:hAnsi="宋体" w:cs="宋体" w:eastAsia="宋体" w:hint="default"/>
          <w:sz w:val="16"/>
          <w:szCs w:val="16"/>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198"/>
        <w:ind w:right="0"/>
        <w:jc w:val="left"/>
      </w:pPr>
      <w:r>
        <w:rPr/>
        <w:t>□ 是 √</w:t>
      </w:r>
      <w:r>
        <w:rPr>
          <w:spacing w:val="3"/>
        </w:rPr>
        <w:t> </w:t>
      </w:r>
      <w:r>
        <w:rPr/>
        <w:t>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477" w:lineRule="auto" w:before="198"/>
        <w:ind w:right="8241"/>
        <w:jc w:val="left"/>
      </w:pPr>
      <w:r>
        <w:rPr/>
        <w:t>√ 适用 □</w:t>
      </w:r>
      <w:r>
        <w:rPr>
          <w:spacing w:val="3"/>
        </w:rPr>
        <w:t> </w:t>
      </w:r>
      <w:r>
        <w:rPr/>
        <w:t>不适用</w:t>
      </w:r>
      <w:r>
        <w:rPr/>
        <w:t> 否</w:t>
      </w:r>
    </w:p>
    <w:p>
      <w:pPr>
        <w:pStyle w:val="BodyText"/>
        <w:spacing w:line="304" w:lineRule="auto" w:before="54"/>
        <w:ind w:right="21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04</w:t>
      </w:r>
      <w:r>
        <w:rPr/>
        <w:t>月，由公司作为牵头方与中国能源建设集团广东火电工程有限公司以联合体方式与福建中核高嵛山风电有限 公司签署了《中核汇能福建南安高嵛山</w:t>
      </w:r>
      <w:r>
        <w:rPr>
          <w:rFonts w:ascii="Times New Roman" w:hAnsi="Times New Roman" w:cs="Times New Roman" w:eastAsia="Times New Roman" w:hint="default"/>
        </w:rPr>
        <w:t>70MW</w:t>
      </w:r>
      <w:r>
        <w:rPr/>
        <w:t>风电工程</w:t>
      </w:r>
      <w:r>
        <w:rPr>
          <w:rFonts w:ascii="Times New Roman" w:hAnsi="Times New Roman" w:cs="Times New Roman" w:eastAsia="Times New Roman" w:hint="default"/>
        </w:rPr>
        <w:t>EPC</w:t>
      </w:r>
      <w:r>
        <w:rPr/>
        <w:t>总承包合同》，主要工作包括：风电场微观选址、风电场工程 地质详细勘察及地形图测绘、升压站工程地质详细勘察及地形图测绘、风电场初步设计、升压站初步设计、用于招标的各 类技术规范及工程量清单编制、风电场施工图设计、升压站施工图设计、风电场及升压站竣工图、风电场概（预）算编制 等；风电场设备（除风机外）与材料采购，全部设备的试验、安装与调试；风电场土建工程施工</w:t>
      </w:r>
      <w:r>
        <w:rPr>
          <w:rFonts w:ascii="Times New Roman" w:hAnsi="Times New Roman" w:cs="Times New Roman" w:eastAsia="Times New Roman" w:hint="default"/>
        </w:rPr>
        <w:t>110kV</w:t>
      </w:r>
      <w:r>
        <w:rPr/>
        <w:t>新建升压站施工、 </w:t>
      </w:r>
      <w:r>
        <w:rPr>
          <w:rFonts w:ascii="Times New Roman" w:hAnsi="Times New Roman" w:cs="Times New Roman" w:eastAsia="Times New Roman" w:hint="default"/>
        </w:rPr>
        <w:t>35kV</w:t>
      </w:r>
      <w:r>
        <w:rPr/>
        <w:t>集电线路架设、可靠性运行及质量保证期内的服务和建设管理，以及经批准的水土保持、环境保护方案的实施。目前 该项目处于施工阶段。合同总金额为</w:t>
      </w:r>
      <w:r>
        <w:rPr>
          <w:rFonts w:ascii="Times New Roman" w:hAnsi="Times New Roman" w:cs="Times New Roman" w:eastAsia="Times New Roman" w:hint="default"/>
        </w:rPr>
        <w:t>26,842.87</w:t>
      </w:r>
      <w:r>
        <w:rPr/>
        <w:t>万元，其中归属永福股份合同金额</w:t>
      </w:r>
      <w:r>
        <w:rPr>
          <w:rFonts w:ascii="Times New Roman" w:hAnsi="Times New Roman" w:cs="Times New Roman" w:eastAsia="Times New Roman" w:hint="default"/>
        </w:rPr>
        <w:t>24,336.1333</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该项目实现营业收入</w:t>
      </w:r>
      <w:r>
        <w:rPr>
          <w:rFonts w:ascii="Times New Roman" w:hAnsi="Times New Roman" w:cs="Times New Roman" w:eastAsia="Times New Roman" w:hint="default"/>
        </w:rPr>
        <w:t>8,780.72</w:t>
      </w:r>
      <w:r>
        <w:rPr/>
        <w:t>万元。</w:t>
      </w:r>
    </w:p>
    <w:p>
      <w:pPr>
        <w:spacing w:after="0" w:line="304" w:lineRule="auto"/>
        <w:jc w:val="both"/>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pStyle w:val="BodyText"/>
        <w:spacing w:line="240" w:lineRule="auto" w:before="198"/>
        <w:ind w:right="0"/>
        <w:jc w:val="left"/>
      </w:pPr>
      <w:r>
        <w:rPr/>
        <w:t>产品分类</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63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勘察设计业务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74"/>
              <w:jc w:val="both"/>
              <w:rPr>
                <w:rFonts w:ascii="宋体" w:hAnsi="宋体" w:cs="宋体" w:eastAsia="宋体" w:hint="default"/>
                <w:sz w:val="18"/>
                <w:szCs w:val="18"/>
              </w:rPr>
            </w:pPr>
            <w:r>
              <w:rPr>
                <w:rFonts w:ascii="宋体" w:hAnsi="宋体" w:cs="宋体" w:eastAsia="宋体" w:hint="default"/>
                <w:sz w:val="18"/>
                <w:szCs w:val="18"/>
              </w:rPr>
              <w:t>人工成本、服务 采购、费用、其 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112,631,159.96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109,922,753.97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w:t>
            </w:r>
          </w:p>
        </w:tc>
      </w:tr>
      <w:tr>
        <w:trPr>
          <w:trHeight w:val="12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人工成本、采购 成本、分包成 本、其他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260,489,938.60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150,244,235.75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73.38%</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2,558,995.76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2,057,907.80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24.35%</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EPC</w:t>
      </w:r>
      <w:r>
        <w:rPr/>
        <w:t>工程总承包成本较上年度增长</w:t>
      </w:r>
      <w:r>
        <w:rPr>
          <w:rFonts w:ascii="Times New Roman" w:hAnsi="Times New Roman" w:cs="Times New Roman" w:eastAsia="Times New Roman" w:hint="default"/>
        </w:rPr>
        <w:t>73.38%</w:t>
      </w:r>
      <w:r>
        <w:rPr/>
        <w:t>，主要原因是</w:t>
      </w:r>
      <w:r>
        <w:rPr>
          <w:rFonts w:ascii="Times New Roman" w:hAnsi="Times New Roman" w:cs="Times New Roman" w:eastAsia="Times New Roman" w:hint="default"/>
        </w:rPr>
        <w:t>EPC</w:t>
      </w:r>
      <w:r>
        <w:rPr/>
        <w:t>总承包业务收入较上年度增加</w:t>
      </w:r>
      <w:r>
        <w:rPr>
          <w:rFonts w:ascii="Times New Roman" w:hAnsi="Times New Roman" w:cs="Times New Roman" w:eastAsia="Times New Roman" w:hint="default"/>
        </w:rPr>
        <w:t>68.97%</w:t>
      </w:r>
      <w:r>
        <w:rPr/>
        <w:t>。</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pStyle w:val="BodyText"/>
        <w:spacing w:line="240" w:lineRule="auto" w:before="198"/>
        <w:ind w:right="0"/>
        <w:jc w:val="left"/>
      </w:pPr>
      <w:r>
        <w:rPr/>
        <w:t>□ 是 √</w:t>
      </w:r>
      <w:r>
        <w:rPr>
          <w:spacing w:val="3"/>
        </w:rPr>
        <w:t> </w:t>
      </w:r>
      <w:r>
        <w:rPr/>
        <w:t>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pStyle w:val="BodyText"/>
        <w:spacing w:line="240" w:lineRule="auto" w:before="198"/>
        <w:ind w:right="0"/>
        <w:jc w:val="left"/>
      </w:pPr>
      <w:r>
        <w:rPr/>
        <w:t>公司主要销售客户情况</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63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245,151,450.49</w:t>
            </w:r>
          </w:p>
        </w:tc>
      </w:tr>
      <w:tr>
        <w:trPr>
          <w:trHeight w:val="63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43.44%</w:t>
            </w:r>
          </w:p>
        </w:tc>
      </w:tr>
      <w:tr>
        <w:trPr>
          <w:trHeight w:val="94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9.77%</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福建中核高嵛山风电有限公司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87,807,213.26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55,120,410.20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9.77%</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山西天惠聚源能源有限公司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41,771,806.61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中核国电漳州能源有限公司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32,337,869.47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w:t>
            </w:r>
          </w:p>
        </w:tc>
      </w:tr>
      <w:tr>
        <w:trPr>
          <w:trHeight w:val="636"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28,114,150.95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r>
      <w:tr>
        <w:trPr>
          <w:trHeight w:val="63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245,151,450.49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43.44%</w:t>
            </w:r>
          </w:p>
        </w:tc>
      </w:tr>
    </w:tbl>
    <w:p>
      <w:pPr>
        <w:spacing w:line="240" w:lineRule="auto" w:before="3"/>
        <w:rPr>
          <w:rFonts w:ascii="宋体" w:hAnsi="宋体" w:cs="宋体" w:eastAsia="宋体" w:hint="default"/>
          <w:sz w:val="9"/>
          <w:szCs w:val="9"/>
        </w:rPr>
      </w:pPr>
    </w:p>
    <w:p>
      <w:pPr>
        <w:pStyle w:val="BodyText"/>
        <w:spacing w:line="240" w:lineRule="auto" w:before="44"/>
        <w:ind w:right="0"/>
        <w:jc w:val="left"/>
      </w:pPr>
      <w:r>
        <w:rPr/>
        <w:t>主要客户其他情况说明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300" w:lineRule="auto"/>
        <w:ind w:right="233" w:firstLine="362"/>
        <w:jc w:val="both"/>
      </w:pPr>
      <w:r>
        <w:rPr/>
        <w:t>公司控股股东控制的福建永福集团有限公司参股漳浦国电投光伏有限公司，持有其</w:t>
      </w:r>
      <w:r>
        <w:rPr>
          <w:spacing w:val="-47"/>
        </w:rPr>
        <w:t> </w:t>
      </w:r>
      <w:r>
        <w:rPr>
          <w:rFonts w:ascii="Times New Roman" w:hAnsi="Times New Roman" w:cs="Times New Roman" w:eastAsia="Times New Roman" w:hint="default"/>
        </w:rPr>
        <w:t>30%</w:t>
      </w:r>
      <w:r>
        <w:rPr/>
        <w:t>的股份。除此之外，公司与前 五名其他客户不存在关联关系，公司董事、监事、高级管理人员、核心技术人员、持股 </w:t>
      </w:r>
      <w:r>
        <w:rPr>
          <w:rFonts w:ascii="Times New Roman" w:hAnsi="Times New Roman" w:cs="Times New Roman" w:eastAsia="Times New Roman" w:hint="default"/>
        </w:rPr>
        <w:t>5%</w:t>
      </w:r>
      <w:r>
        <w:rPr/>
        <w:t>以上股东、实际控制人和其他 关联方在前五名其他客户中不存在直接或间接拥有利益等情况。</w:t>
      </w:r>
    </w:p>
    <w:p>
      <w:pPr>
        <w:spacing w:line="240" w:lineRule="auto" w:before="4"/>
        <w:rPr>
          <w:rFonts w:ascii="宋体" w:hAnsi="宋体" w:cs="宋体" w:eastAsia="宋体" w:hint="default"/>
          <w:sz w:val="14"/>
          <w:szCs w:val="14"/>
        </w:rPr>
      </w:pPr>
    </w:p>
    <w:p>
      <w:pPr>
        <w:pStyle w:val="BodyText"/>
        <w:spacing w:line="240" w:lineRule="auto"/>
        <w:ind w:right="0"/>
        <w:jc w:val="left"/>
      </w:pPr>
      <w:r>
        <w:rPr/>
        <w:t>公司主要供应商情况</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63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131,465,320.93</w:t>
            </w:r>
          </w:p>
        </w:tc>
      </w:tr>
      <w:tr>
        <w:trPr>
          <w:trHeight w:val="63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48.81%</w:t>
            </w:r>
          </w:p>
        </w:tc>
      </w:tr>
      <w:tr>
        <w:trPr>
          <w:trHeight w:val="94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福建省南联新能源科技有限公司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51,094,339.26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18.97%</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常州亿晶光电科技有限公司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27,808,704.02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10.32%</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泉州市协胜工程建设有限公司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22,930,900.90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福建省三安机电工程有限公司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17,582,514.43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r>
      <w:tr>
        <w:trPr>
          <w:trHeight w:val="636"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福建宏能电力工程有限公司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12,048,862.32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w:t>
            </w:r>
          </w:p>
        </w:tc>
      </w:tr>
      <w:tr>
        <w:trPr>
          <w:trHeight w:val="63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131,465,320.93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48.81%</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主要供应商其他情况说明</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√适用 □</w:t>
      </w:r>
      <w:r>
        <w:rPr>
          <w:spacing w:val="2"/>
        </w:rPr>
        <w:t> </w:t>
      </w:r>
      <w:r>
        <w:rPr/>
        <w:t>不适用</w:t>
      </w:r>
    </w:p>
    <w:p>
      <w:pPr>
        <w:spacing w:line="240" w:lineRule="auto" w:before="10"/>
        <w:rPr>
          <w:rFonts w:ascii="宋体" w:hAnsi="宋体" w:cs="宋体" w:eastAsia="宋体" w:hint="default"/>
          <w:sz w:val="17"/>
          <w:szCs w:val="17"/>
        </w:rPr>
      </w:pPr>
    </w:p>
    <w:p>
      <w:pPr>
        <w:pStyle w:val="BodyText"/>
        <w:spacing w:line="300" w:lineRule="auto"/>
        <w:ind w:right="263" w:firstLine="360"/>
        <w:jc w:val="left"/>
      </w:pPr>
      <w:r>
        <w:rPr/>
        <w:t>公司与前五名供应商不存在关联关系，公司董事、监事、高级管理人员、核心技术人员、持股</w:t>
      </w:r>
      <w:r>
        <w:rPr>
          <w:spacing w:val="1"/>
        </w:rPr>
        <w:t> </w:t>
      </w:r>
      <w:r>
        <w:rPr>
          <w:rFonts w:ascii="Times New Roman" w:hAnsi="Times New Roman" w:cs="Times New Roman" w:eastAsia="Times New Roman" w:hint="default"/>
        </w:rPr>
        <w:t>5%</w:t>
      </w:r>
      <w:r>
        <w:rPr/>
        <w:t>以上股东、实际控 制人和其他关联方在主要供应商中不存在直接或间接拥有利益等情况。</w:t>
      </w: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pStyle w:val="BodyText"/>
        <w:spacing w:line="240" w:lineRule="auto" w:before="198"/>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63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25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18,309,322.09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16,516,706.64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182"/>
              <w:jc w:val="left"/>
              <w:rPr>
                <w:rFonts w:ascii="宋体" w:hAnsi="宋体" w:cs="宋体" w:eastAsia="宋体" w:hint="default"/>
                <w:sz w:val="18"/>
                <w:szCs w:val="18"/>
              </w:rPr>
            </w:pPr>
            <w:r>
              <w:rPr>
                <w:rFonts w:ascii="宋体" w:hAnsi="宋体" w:cs="宋体" w:eastAsia="宋体" w:hint="default"/>
                <w:sz w:val="18"/>
                <w:szCs w:val="18"/>
              </w:rPr>
              <w:t>主要原因是报告期内随着公司业务 增长而相应增加职工薪酬、办公 费、车辆费、业务招待费。</w:t>
            </w:r>
          </w:p>
        </w:tc>
      </w:tr>
      <w:tr>
        <w:trPr>
          <w:trHeight w:val="125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63,199,082.29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57,053,853.97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80"/>
              <w:jc w:val="both"/>
              <w:rPr>
                <w:rFonts w:ascii="宋体" w:hAnsi="宋体" w:cs="宋体" w:eastAsia="宋体" w:hint="default"/>
                <w:sz w:val="18"/>
                <w:szCs w:val="18"/>
              </w:rPr>
            </w:pPr>
            <w:r>
              <w:rPr>
                <w:rFonts w:ascii="宋体" w:hAnsi="宋体" w:cs="宋体" w:eastAsia="宋体" w:hint="default"/>
                <w:sz w:val="18"/>
                <w:szCs w:val="18"/>
              </w:rPr>
              <w:t>主要原因为是报告期内职能部门人 工成本增加及上市期间交通费、差 旅费、会务费等费用增加。</w:t>
            </w:r>
          </w:p>
        </w:tc>
      </w:tr>
      <w:tr>
        <w:trPr>
          <w:trHeight w:val="63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10,062,830.59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10,039,622.33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8"/>
          <w:szCs w:val="8"/>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pStyle w:val="BodyText"/>
        <w:spacing w:line="468" w:lineRule="exact" w:before="34"/>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本年度公司紧紧围绕公司战略与发展目标，结合未来的产业政策和发展趋势，在规划咨询、发电技术、变电技术、送电</w:t>
      </w:r>
    </w:p>
    <w:p>
      <w:pPr>
        <w:pStyle w:val="BodyText"/>
        <w:spacing w:line="312" w:lineRule="auto" w:before="8"/>
        <w:ind w:right="150"/>
        <w:jc w:val="both"/>
      </w:pPr>
      <w:r>
        <w:rPr>
          <w:spacing w:val="-2"/>
        </w:rPr>
        <w:t>技术、配电网建设改造技术等方面持续进行了研发投入。在规划咨询方面，开展了配电网低电压判别和预警研究等项目的研</w:t>
      </w:r>
      <w:r>
        <w:rPr>
          <w:spacing w:val="-63"/>
        </w:rPr>
        <w:t> </w:t>
      </w:r>
      <w:r>
        <w:rPr>
          <w:spacing w:val="-63"/>
        </w:rPr>
      </w:r>
      <w:r>
        <w:rPr>
          <w:spacing w:val="-1"/>
        </w:rPr>
        <w:t>发，目标是在低电压预警中提出压降</w:t>
      </w:r>
      <w:r>
        <w:rPr>
          <w:rFonts w:ascii="Times New Roman" w:hAnsi="Times New Roman" w:cs="Times New Roman" w:eastAsia="Times New Roman" w:hint="default"/>
          <w:spacing w:val="-1"/>
        </w:rPr>
        <w:t>-</w:t>
      </w:r>
      <w:r>
        <w:rPr>
          <w:spacing w:val="-1"/>
        </w:rPr>
        <w:t>负荷灵敏度的辅助分析方法，并建立基于负荷</w:t>
      </w:r>
      <w:r>
        <w:rPr>
          <w:rFonts w:ascii="Times New Roman" w:hAnsi="Times New Roman" w:cs="Times New Roman" w:eastAsia="Times New Roman" w:hint="default"/>
          <w:spacing w:val="-1"/>
        </w:rPr>
        <w:t>-</w:t>
      </w:r>
      <w:r>
        <w:rPr>
          <w:spacing w:val="-1"/>
        </w:rPr>
        <w:t>电压关系的全时域多目标低电压预警系</w:t>
      </w:r>
      <w:r>
        <w:rPr>
          <w:spacing w:val="-58"/>
        </w:rPr>
        <w:t> </w:t>
      </w:r>
      <w:r>
        <w:rPr>
          <w:spacing w:val="-2"/>
        </w:rPr>
        <w:t>统等；在发电技术方面，结合能源产业政策调整及优化，积极开展了燃气发电、风电、光伏发电等新能源、清洁能源发电技</w:t>
      </w:r>
      <w:r>
        <w:rPr>
          <w:spacing w:val="-68"/>
        </w:rPr>
        <w:t> </w:t>
      </w:r>
      <w:r>
        <w:rPr>
          <w:spacing w:val="-68"/>
        </w:rPr>
      </w:r>
      <w:r>
        <w:rPr>
          <w:spacing w:val="-2"/>
        </w:rPr>
        <w:t>术的研发，目标是提升新能源和清洁能源方面的技术水平，同时为拓展新业务增加技术储备；在变电技术方面，开展了双列</w:t>
      </w:r>
      <w:r>
        <w:rPr>
          <w:spacing w:val="-64"/>
        </w:rPr>
        <w:t> </w:t>
      </w:r>
      <w:r>
        <w:rPr>
          <w:spacing w:val="-64"/>
        </w:rPr>
      </w:r>
      <w:r>
        <w:rPr>
          <w:spacing w:val="-1"/>
        </w:rPr>
        <w:t>一体式</w:t>
      </w:r>
      <w:r>
        <w:rPr>
          <w:rFonts w:ascii="Times New Roman" w:hAnsi="Times New Roman" w:cs="Times New Roman" w:eastAsia="Times New Roman" w:hint="default"/>
          <w:spacing w:val="-1"/>
        </w:rPr>
        <w:t>HGIS</w:t>
      </w:r>
      <w:r>
        <w:rPr>
          <w:spacing w:val="-1"/>
        </w:rPr>
        <w:t>新型配电装置技术研究、变电站模块化建筑结构体系等项目的研发，目标是研究设计一种基于双列一体式</w:t>
      </w:r>
      <w:r>
        <w:rPr>
          <w:rFonts w:ascii="Times New Roman" w:hAnsi="Times New Roman" w:cs="Times New Roman" w:eastAsia="Times New Roman" w:hint="default"/>
          <w:spacing w:val="-1"/>
        </w:rPr>
        <w:t>HGIS</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设备的新型配电装置，提出双列一体化</w:t>
      </w:r>
      <w:r>
        <w:rPr>
          <w:rFonts w:ascii="Times New Roman" w:hAnsi="Times New Roman" w:cs="Times New Roman" w:eastAsia="Times New Roman" w:hint="default"/>
        </w:rPr>
        <w:t>HGIS</w:t>
      </w:r>
      <w:r>
        <w:rPr/>
        <w:t>设备模块化、标准化方案，及提高工厂预制比例，加快现场建筑安装的速度，</w:t>
      </w:r>
      <w:r>
        <w:rPr>
          <w:spacing w:val="-59"/>
        </w:rPr>
        <w:t> </w:t>
      </w:r>
      <w:r>
        <w:rPr>
          <w:spacing w:val="-59"/>
        </w:rPr>
      </w:r>
      <w:r>
        <w:rPr>
          <w:spacing w:val="-2"/>
        </w:rPr>
        <w:t>提升建筑物成品质量，同时通过发挥规模生产的经济效益，进一步降低工程造价；在送电技术方面，开展了非对称铁塔构件</w:t>
      </w:r>
      <w:r>
        <w:rPr>
          <w:spacing w:val="-64"/>
        </w:rPr>
        <w:t> </w:t>
      </w:r>
      <w:r>
        <w:rPr>
          <w:spacing w:val="-64"/>
        </w:rPr>
      </w:r>
      <w:r>
        <w:rPr>
          <w:spacing w:val="-2"/>
        </w:rPr>
        <w:t>结构设计技术、输电杆塔锚杆嵌岩桩基础设计技术等项目的研发，目标是有效提升输电线路技术水平；在配电网建设改造方</w:t>
      </w:r>
      <w:r>
        <w:rPr>
          <w:spacing w:val="-63"/>
        </w:rPr>
        <w:t> </w:t>
      </w:r>
      <w:r>
        <w:rPr>
          <w:spacing w:val="-63"/>
        </w:rPr>
      </w:r>
      <w:r>
        <w:rPr/>
        <w:t>面，开展了配电网架空线路开关架模块化等项目的研发，目标是实现配网工程标准化管理、铸造精品工程等。</w:t>
      </w:r>
    </w:p>
    <w:p>
      <w:pPr>
        <w:spacing w:line="240" w:lineRule="auto" w:before="8"/>
        <w:rPr>
          <w:rFonts w:ascii="宋体" w:hAnsi="宋体" w:cs="宋体" w:eastAsia="宋体" w:hint="default"/>
          <w:sz w:val="13"/>
          <w:szCs w:val="13"/>
        </w:rPr>
      </w:pPr>
    </w:p>
    <w:p>
      <w:pPr>
        <w:pStyle w:val="BodyText"/>
        <w:spacing w:line="312" w:lineRule="auto"/>
        <w:ind w:right="148" w:firstLine="360"/>
        <w:jc w:val="both"/>
      </w:pPr>
      <w:r>
        <w:rPr>
          <w:spacing w:val="-2"/>
        </w:rPr>
        <w:t>本年度各项研发项目均按计划有效开展，年末部分项目已结题并应用于业务实践中。通过历年的研发投入，本年度授权</w:t>
      </w:r>
      <w:r>
        <w:rPr/>
        <w:t> </w:t>
      </w:r>
      <w:r>
        <w:rPr>
          <w:spacing w:val="-2"/>
        </w:rPr>
        <w:t>专利新增</w:t>
      </w:r>
      <w:r>
        <w:rPr>
          <w:rFonts w:ascii="Times New Roman" w:hAnsi="Times New Roman" w:cs="Times New Roman" w:eastAsia="Times New Roman" w:hint="default"/>
          <w:spacing w:val="-2"/>
        </w:rPr>
        <w:t>15</w:t>
      </w:r>
      <w:r>
        <w:rPr>
          <w:spacing w:val="-2"/>
        </w:rPr>
        <w:t>项，其中发明专利</w:t>
      </w:r>
      <w:r>
        <w:rPr>
          <w:rFonts w:ascii="Times New Roman" w:hAnsi="Times New Roman" w:cs="Times New Roman" w:eastAsia="Times New Roman" w:hint="default"/>
          <w:spacing w:val="-2"/>
        </w:rPr>
        <w:t>6</w:t>
      </w:r>
      <w:r>
        <w:rPr>
          <w:spacing w:val="-2"/>
        </w:rPr>
        <w:t>项，实用新型专利</w:t>
      </w:r>
      <w:r>
        <w:rPr>
          <w:rFonts w:ascii="Times New Roman" w:hAnsi="Times New Roman" w:cs="Times New Roman" w:eastAsia="Times New Roman" w:hint="default"/>
          <w:spacing w:val="-2"/>
        </w:rPr>
        <w:t>9</w:t>
      </w:r>
      <w:r>
        <w:rPr>
          <w:spacing w:val="-2"/>
        </w:rPr>
        <w:t>项，截至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日拥有有效专利共</w:t>
      </w:r>
      <w:r>
        <w:rPr>
          <w:rFonts w:ascii="Times New Roman" w:hAnsi="Times New Roman" w:cs="Times New Roman" w:eastAsia="Times New Roman" w:hint="default"/>
          <w:spacing w:val="-2"/>
        </w:rPr>
        <w:t>72</w:t>
      </w:r>
      <w:r>
        <w:rPr>
          <w:spacing w:val="-2"/>
        </w:rPr>
        <w:t>项（其中发明专利</w:t>
      </w:r>
      <w:r>
        <w:rPr>
          <w:rFonts w:ascii="Times New Roman" w:hAnsi="Times New Roman" w:cs="Times New Roman" w:eastAsia="Times New Roman" w:hint="default"/>
          <w:spacing w:val="-2"/>
        </w:rPr>
        <w:t>15</w:t>
      </w:r>
      <w:r>
        <w:rPr>
          <w:spacing w:val="-2"/>
        </w:rPr>
        <w:t>项），这</w:t>
      </w:r>
      <w:r>
        <w:rPr>
          <w:spacing w:val="-55"/>
        </w:rPr>
        <w:t> </w:t>
      </w:r>
      <w:r>
        <w:rPr>
          <w:spacing w:val="-55"/>
        </w:rPr>
      </w:r>
      <w:r>
        <w:rPr>
          <w:spacing w:val="-2"/>
        </w:rPr>
        <w:t>些研发成果有助于公司在清洁能源及新能源发电、智能电网、微电网、数字化设计等领域全面提升技术能力，进一步推动设</w:t>
      </w:r>
      <w:r>
        <w:rPr>
          <w:spacing w:val="-64"/>
        </w:rPr>
        <w:t> </w:t>
      </w:r>
      <w:r>
        <w:rPr>
          <w:spacing w:val="-64"/>
        </w:rPr>
      </w:r>
      <w:r>
        <w:rPr/>
        <w:t>计理念和技术创新，提升公司品牌价值，带动省内市场、省外市场和海外市场的全面布局、均衡发展。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right="0"/>
        <w:jc w:val="both"/>
      </w:pPr>
      <w:r>
        <w:rPr/>
        <w:t>近三年公司研发投入金额及占营业收入的比例</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11.54%</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14,855,522.17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14,592,615.54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13,837,252.81</w:t>
            </w:r>
          </w:p>
        </w:tc>
      </w:tr>
      <w:tr>
        <w:trPr>
          <w:trHeight w:val="63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w:t>
            </w:r>
          </w:p>
        </w:tc>
      </w:tr>
      <w:tr>
        <w:trPr>
          <w:trHeight w:val="94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r>
      <w:tr>
        <w:trPr>
          <w:trHeight w:val="94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研发投入总额占营业收入的比重较上年发生显著变化的原因</w:t>
      </w:r>
    </w:p>
    <w:p>
      <w:pPr>
        <w:spacing w:line="240" w:lineRule="auto" w:before="10"/>
        <w:rPr>
          <w:rFonts w:ascii="宋体" w:hAnsi="宋体" w:cs="宋体" w:eastAsia="宋体" w:hint="default"/>
          <w:sz w:val="17"/>
          <w:szCs w:val="17"/>
        </w:rPr>
      </w:pPr>
    </w:p>
    <w:p>
      <w:pPr>
        <w:pStyle w:val="BodyText"/>
        <w:spacing w:line="477" w:lineRule="auto"/>
        <w:ind w:right="5814"/>
        <w:jc w:val="left"/>
      </w:pPr>
      <w:r>
        <w:rPr/>
        <w:t>□ 适用 √</w:t>
      </w:r>
      <w:r>
        <w:rPr>
          <w:spacing w:val="3"/>
        </w:rPr>
        <w:t> </w:t>
      </w:r>
      <w:r>
        <w:rPr/>
        <w:t>不适用</w:t>
      </w:r>
      <w:r>
        <w:rPr/>
        <w:t> 研发投入资本化率大幅变动的原因及其合理性说明</w:t>
      </w:r>
    </w:p>
    <w:p>
      <w:pPr>
        <w:pStyle w:val="BodyText"/>
        <w:spacing w:line="240" w:lineRule="auto" w:before="54"/>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493,454,662.99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335,718,653.40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46.98%</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437,088,949.06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262,727,435.32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66.37%</w:t>
            </w:r>
          </w:p>
        </w:tc>
      </w:tr>
      <w:tr>
        <w:trPr>
          <w:trHeight w:val="94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56,365,713.93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72,991,218.08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-22.78%</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7,681,783.00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1,129,638.00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580.02%</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306,523,728.98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8,284,325.84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3,600.04%</w:t>
            </w:r>
          </w:p>
        </w:tc>
      </w:tr>
      <w:tr>
        <w:trPr>
          <w:trHeight w:val="94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-298,841,945.98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-7,154,687.84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4,076.87%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545,336,415.09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227,749,746.78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139.45%</w:t>
            </w:r>
          </w:p>
        </w:tc>
      </w:tr>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199,962,986.94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250,975,846.04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-20.33%</w:t>
            </w:r>
          </w:p>
        </w:tc>
      </w:tr>
      <w:tr>
        <w:trPr>
          <w:trHeight w:val="94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345,373,428.15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-23,226,099.26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-1,587.01%</w:t>
            </w:r>
          </w:p>
        </w:tc>
      </w:tr>
      <w:tr>
        <w:trPr>
          <w:trHeight w:val="63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102,870,052.63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42,602,788.14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141.46%</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相关数据同比发生重大变动的主要影响因素说明</w:t>
      </w:r>
    </w:p>
    <w:p>
      <w:pPr>
        <w:spacing w:line="240" w:lineRule="auto" w:before="11"/>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w:t>
      </w:r>
      <w:r>
        <w:rPr/>
        <w:t>、经营活动现金流入较上年度增长</w:t>
      </w:r>
      <w:r>
        <w:rPr>
          <w:rFonts w:ascii="Times New Roman" w:hAnsi="Times New Roman" w:cs="Times New Roman" w:eastAsia="Times New Roman" w:hint="default"/>
        </w:rPr>
        <w:t>46.98%</w:t>
      </w:r>
      <w:r>
        <w:rPr/>
        <w:t>，主要原因是总承包工程业务增长致营业收入规模增长。</w:t>
      </w:r>
    </w:p>
    <w:p>
      <w:pPr>
        <w:spacing w:line="240" w:lineRule="auto" w:before="9"/>
        <w:rPr>
          <w:rFonts w:ascii="宋体" w:hAnsi="宋体" w:cs="宋体" w:eastAsia="宋体" w:hint="default"/>
          <w:sz w:val="16"/>
          <w:szCs w:val="16"/>
        </w:rPr>
      </w:pPr>
    </w:p>
    <w:p>
      <w:pPr>
        <w:pStyle w:val="BodyText"/>
        <w:spacing w:line="300" w:lineRule="auto"/>
        <w:ind w:right="0"/>
        <w:jc w:val="left"/>
      </w:pPr>
      <w:r>
        <w:rPr>
          <w:rFonts w:ascii="Times New Roman" w:hAnsi="Times New Roman" w:cs="Times New Roman" w:eastAsia="Times New Roman" w:hint="default"/>
          <w:spacing w:val="-1"/>
        </w:rPr>
        <w:t>2</w:t>
      </w:r>
      <w:r>
        <w:rPr>
          <w:spacing w:val="-1"/>
        </w:rPr>
        <w:t>、经营活动现金流出较上年度增长</w:t>
      </w:r>
      <w:r>
        <w:rPr>
          <w:rFonts w:ascii="Times New Roman" w:hAnsi="Times New Roman" w:cs="Times New Roman" w:eastAsia="Times New Roman" w:hint="default"/>
          <w:spacing w:val="-1"/>
        </w:rPr>
        <w:t>66.37%</w:t>
      </w:r>
      <w:r>
        <w:rPr>
          <w:spacing w:val="-1"/>
        </w:rPr>
        <w:t>，主要原因是公司总承包工程业务增长，支付购买设备、施工分包现金增加，以</w:t>
      </w:r>
      <w:r>
        <w:rPr>
          <w:spacing w:val="-43"/>
        </w:rPr>
        <w:t> </w:t>
      </w:r>
      <w:r>
        <w:rPr>
          <w:spacing w:val="-43"/>
        </w:rPr>
      </w:r>
      <w:r>
        <w:rPr/>
        <w:t>及因业务规模增加支付税金增加所致。</w:t>
      </w:r>
    </w:p>
    <w:p>
      <w:pPr>
        <w:spacing w:line="240" w:lineRule="auto" w:before="4"/>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、投资活动现金流入较上年度增加</w:t>
      </w:r>
      <w:r>
        <w:rPr>
          <w:rFonts w:ascii="Times New Roman" w:hAnsi="Times New Roman" w:cs="Times New Roman" w:eastAsia="Times New Roman" w:hint="default"/>
        </w:rPr>
        <w:t>580.02%</w:t>
      </w:r>
      <w:r>
        <w:rPr/>
        <w:t>，主要原因是处置</w:t>
      </w:r>
      <w:r>
        <w:rPr>
          <w:rFonts w:ascii="Times New Roman" w:hAnsi="Times New Roman" w:cs="Times New Roman" w:eastAsia="Times New Roman" w:hint="default"/>
        </w:rPr>
        <w:t>2010</w:t>
      </w:r>
      <w:r>
        <w:rPr/>
        <w:t>年购置的处于广州的房产收回的现金。</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、投资活动现金流出较上年度增加</w:t>
      </w:r>
      <w:r>
        <w:rPr>
          <w:rFonts w:ascii="Times New Roman" w:hAnsi="Times New Roman" w:cs="Times New Roman" w:eastAsia="Times New Roman" w:hint="default"/>
        </w:rPr>
        <w:t>3600.04%</w:t>
      </w:r>
      <w:r>
        <w:rPr/>
        <w:t>，主要原因是本报告期利用暂时闲置募集资金购买结构性存款。</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、筹资活动现金流入较上年度增加</w:t>
      </w:r>
      <w:r>
        <w:rPr>
          <w:rFonts w:ascii="Times New Roman" w:hAnsi="Times New Roman" w:cs="Times New Roman" w:eastAsia="Times New Roman" w:hint="default"/>
        </w:rPr>
        <w:t>139.45%</w:t>
      </w:r>
      <w:r>
        <w:rPr/>
        <w:t>，主要原因是本报告期内公司收到首发募集资金款。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三、非主营业务情况</w:t>
      </w:r>
      <w:r>
        <w:rPr>
          <w:b w:val="0"/>
          <w:bCs w:val="0"/>
        </w:rPr>
      </w:r>
    </w:p>
    <w:p>
      <w:pPr>
        <w:pStyle w:val="BodyText"/>
        <w:spacing w:line="240" w:lineRule="auto" w:before="202"/>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22"/>
        <w:gridCol w:w="1918"/>
        <w:gridCol w:w="1622"/>
        <w:gridCol w:w="2165"/>
        <w:gridCol w:w="2341"/>
      </w:tblGrid>
      <w:tr>
        <w:trPr>
          <w:trHeight w:val="63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94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5,765,891.26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6.41%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根据应收账款政策计提的 坏账准备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177,461.57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5,670.58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固定资产损毁报废损失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307,611.52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0.34%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与本公司日常活动相关的 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2,341,154.17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固定资产出售处置收益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pStyle w:val="Heading2"/>
        <w:spacing w:line="240" w:lineRule="auto" w:before="125"/>
        <w:ind w:right="0"/>
        <w:jc w:val="left"/>
        <w:rPr>
          <w:b w:val="0"/>
          <w:bCs w:val="0"/>
        </w:rPr>
      </w:pPr>
      <w:r>
        <w:rPr/>
        <w:t>四、资产及负债状况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900"/>
        <w:gridCol w:w="1368"/>
        <w:gridCol w:w="891"/>
        <w:gridCol w:w="797"/>
        <w:gridCol w:w="2984"/>
      </w:tblGrid>
      <w:tr>
        <w:trPr>
          <w:trHeight w:val="528" w:hRule="exact"/>
        </w:trPr>
        <w:tc>
          <w:tcPr>
            <w:tcW w:w="1277" w:type="dxa"/>
            <w:vMerge w:val="restart"/>
            <w:tcBorders>
              <w:top w:val="single" w:sz="4" w:space="0" w:color="7E7E7E"/>
              <w:left w:val="single" w:sz="4" w:space="0" w:color="7E7E7E"/>
              <w:right w:val="single" w:sz="4" w:space="0" w:color="7E7E7E"/>
            </w:tcBorders>
            <w:shd w:val="clear" w:color="auto" w:fill="D9D9D9"/>
          </w:tcPr>
          <w:p>
            <w:pPr/>
          </w:p>
        </w:tc>
        <w:tc>
          <w:tcPr>
            <w:tcW w:w="2319" w:type="dxa"/>
            <w:gridSpan w:val="2"/>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259" w:type="dxa"/>
            <w:gridSpan w:val="2"/>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74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797" w:type="dxa"/>
            <w:vMerge w:val="restart"/>
            <w:tcBorders>
              <w:top w:val="single" w:sz="4" w:space="0" w:color="7E7E7E"/>
              <w:left w:val="single" w:sz="4" w:space="0" w:color="7E7E7E"/>
              <w:right w:val="single" w:sz="4" w:space="0" w:color="7E7E7E"/>
            </w:tcBorders>
            <w:shd w:val="clear" w:color="auto" w:fill="D9D9D9"/>
          </w:tcPr>
          <w:p>
            <w:pPr>
              <w:pStyle w:val="TableParagraph"/>
              <w:spacing w:line="316" w:lineRule="auto" w:before="58"/>
              <w:ind w:left="304" w:right="120" w:hanging="183"/>
              <w:jc w:val="left"/>
              <w:rPr>
                <w:rFonts w:ascii="宋体" w:hAnsi="宋体" w:cs="宋体" w:eastAsia="宋体" w:hint="default"/>
                <w:sz w:val="18"/>
                <w:szCs w:val="18"/>
              </w:rPr>
            </w:pPr>
            <w:r>
              <w:rPr>
                <w:rFonts w:ascii="宋体" w:hAnsi="宋体" w:cs="宋体" w:eastAsia="宋体" w:hint="default"/>
                <w:b/>
                <w:bCs/>
                <w:sz w:val="18"/>
                <w:szCs w:val="18"/>
              </w:rPr>
              <w:t>比重增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2984" w:type="dxa"/>
            <w:vMerge w:val="restart"/>
            <w:tcBorders>
              <w:top w:val="single" w:sz="4" w:space="0" w:color="7E7E7E"/>
              <w:left w:val="single" w:sz="4" w:space="0" w:color="7E7E7E"/>
              <w:right w:val="single" w:sz="4" w:space="0" w:color="7E7E7E"/>
            </w:tcBorders>
            <w:shd w:val="clear" w:color="auto" w:fill="D9D9D9"/>
          </w:tcPr>
          <w:p>
            <w:pPr>
              <w:pStyle w:val="TableParagraph"/>
              <w:spacing w:line="240" w:lineRule="auto" w:before="58"/>
              <w:ind w:left="945"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840" w:hRule="exact"/>
        </w:trPr>
        <w:tc>
          <w:tcPr>
            <w:tcW w:w="1277" w:type="dxa"/>
            <w:vMerge/>
            <w:tcBorders>
              <w:left w:val="single" w:sz="4" w:space="0" w:color="7E7E7E"/>
              <w:bottom w:val="single" w:sz="4" w:space="0" w:color="7E7E7E"/>
              <w:right w:val="single" w:sz="4" w:space="0" w:color="7E7E7E"/>
            </w:tcBorders>
            <w:shd w:val="clear" w:color="auto" w:fill="D9D9D9"/>
          </w:tcPr>
          <w:p>
            <w:pPr/>
          </w:p>
        </w:tc>
        <w:tc>
          <w:tcPr>
            <w:tcW w:w="1419"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316" w:lineRule="auto" w:before="58"/>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8"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316" w:lineRule="auto" w:before="58"/>
              <w:ind w:left="170" w:right="16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7" w:type="dxa"/>
            <w:vMerge/>
            <w:tcBorders>
              <w:left w:val="single" w:sz="4" w:space="0" w:color="7E7E7E"/>
              <w:bottom w:val="single" w:sz="4" w:space="0" w:color="7E7E7E"/>
              <w:right w:val="single" w:sz="4" w:space="0" w:color="7E7E7E"/>
            </w:tcBorders>
            <w:shd w:val="clear" w:color="auto" w:fill="D9D9D9"/>
          </w:tcPr>
          <w:p>
            <w:pPr/>
          </w:p>
        </w:tc>
        <w:tc>
          <w:tcPr>
            <w:tcW w:w="2984" w:type="dxa"/>
            <w:vMerge/>
            <w:tcBorders>
              <w:left w:val="single" w:sz="4" w:space="0" w:color="7E7E7E"/>
              <w:bottom w:val="single" w:sz="4" w:space="0" w:color="7E7E7E"/>
              <w:right w:val="single" w:sz="4" w:space="0" w:color="7E7E7E"/>
            </w:tcBorders>
            <w:shd w:val="clear" w:color="auto" w:fill="D9D9D9"/>
          </w:tcPr>
          <w:p>
            <w:pPr/>
          </w:p>
        </w:tc>
      </w:tr>
      <w:tr>
        <w:trPr>
          <w:trHeight w:val="1153"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202,617,016.85</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16.85%</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117,106,156.50</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14.52%</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2.33%</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9" w:lineRule="auto" w:before="58"/>
              <w:ind w:left="105" w:right="166"/>
              <w:jc w:val="both"/>
              <w:rPr>
                <w:rFonts w:ascii="宋体" w:hAnsi="宋体" w:cs="宋体" w:eastAsia="宋体" w:hint="default"/>
                <w:sz w:val="18"/>
                <w:szCs w:val="18"/>
              </w:rPr>
            </w:pPr>
            <w:r>
              <w:rPr>
                <w:rFonts w:ascii="宋体" w:hAnsi="宋体" w:cs="宋体" w:eastAsia="宋体" w:hint="default"/>
                <w:sz w:val="18"/>
                <w:szCs w:val="18"/>
              </w:rPr>
              <w:t>主要原因是本报告期内公司收到首 发募集资金及本报告期的净现金流 增加的货币资金。</w:t>
            </w:r>
          </w:p>
        </w:tc>
      </w:tr>
      <w:tr>
        <w:trPr>
          <w:trHeight w:val="840"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296,065,867.14</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24.63%</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232,324,118.86</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28.80%</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-4.17%</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主要原因是报告期内随营业收入增 长而增长。</w:t>
            </w:r>
          </w:p>
        </w:tc>
      </w:tr>
      <w:tr>
        <w:trPr>
          <w:trHeight w:val="840"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143,126,022.64</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11.90%</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125,403,727.99</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15.55%</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-3.65%</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主要原因是报告期内随业务规模增 长而增长。</w:t>
            </w:r>
          </w:p>
        </w:tc>
      </w:tr>
      <w:tr>
        <w:trPr>
          <w:trHeight w:val="840"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316" w:lineRule="auto" w:before="58"/>
              <w:ind w:left="103" w:right="260"/>
              <w:jc w:val="left"/>
              <w:rPr>
                <w:rFonts w:ascii="宋体" w:hAnsi="宋体" w:cs="宋体" w:eastAsia="宋体" w:hint="default"/>
                <w:sz w:val="18"/>
                <w:szCs w:val="18"/>
              </w:rPr>
            </w:pPr>
            <w:r>
              <w:rPr>
                <w:rFonts w:ascii="宋体" w:hAnsi="宋体" w:cs="宋体" w:eastAsia="宋体" w:hint="default"/>
                <w:b/>
                <w:bCs/>
                <w:sz w:val="18"/>
                <w:szCs w:val="18"/>
              </w:rPr>
              <w:t>投资性房地</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7,357,650.79</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0.61%</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7,759,775.24</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0.96%</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-0.35%</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840"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215,769,432.68</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17.95%</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231,115,864.26</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28.65%</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362" w:lineRule="auto" w:before="100"/>
              <w:ind w:left="132" w:right="95" w:firstLine="49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10.70%</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464" w:hRule="exact"/>
        </w:trPr>
        <w:tc>
          <w:tcPr>
            <w:tcW w:w="1277"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134,410,000.00</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11.18%</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157,199,746.78</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19.49%</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-8.31%</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2"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主要原因是报告期内募集资金贷款 项目资金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万元已全部用于归 还短期借款，至短期借款规模下 降。</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43,994,047.00</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5.45%</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-5.43%</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z w:val="18"/>
                <w:szCs w:val="18"/>
              </w:rPr>
              <w:t>主要原因是上年末收到总包项目银 行承兑汇票，尚未到期，故上年期 末余额较大。</w:t>
            </w:r>
          </w:p>
        </w:tc>
      </w:tr>
      <w:tr>
        <w:trPr>
          <w:trHeight w:val="2089"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7,162,993.34</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18,112,919.67</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2.25%</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z w:val="18"/>
              </w:rPr>
              <w:t>-1.65%</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9"/>
              <w:ind w:left="105" w:right="166"/>
              <w:jc w:val="left"/>
              <w:rPr>
                <w:rFonts w:ascii="宋体" w:hAnsi="宋体" w:cs="宋体" w:eastAsia="宋体" w:hint="default"/>
                <w:sz w:val="18"/>
                <w:szCs w:val="18"/>
              </w:rPr>
            </w:pPr>
            <w:r>
              <w:rPr>
                <w:rFonts w:ascii="宋体" w:hAnsi="宋体" w:cs="宋体" w:eastAsia="宋体" w:hint="default"/>
                <w:sz w:val="18"/>
                <w:szCs w:val="18"/>
              </w:rPr>
              <w:t>主要原因一是上年末预付总承包工 程的施工分包及设备款余额较多； 二是以前年度预付中介机构上市期 间发行费用，上市后募集资金到 位，置换了原已支付的上市期间发 行费用。</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3" w:right="260"/>
              <w:jc w:val="left"/>
              <w:rPr>
                <w:rFonts w:ascii="宋体" w:hAnsi="宋体" w:cs="宋体" w:eastAsia="宋体" w:hint="default"/>
                <w:sz w:val="18"/>
                <w:szCs w:val="18"/>
              </w:rPr>
            </w:pPr>
            <w:r>
              <w:rPr>
                <w:rFonts w:ascii="宋体" w:hAnsi="宋体" w:cs="宋体" w:eastAsia="宋体" w:hint="default"/>
                <w:b/>
                <w:bCs/>
                <w:sz w:val="18"/>
                <w:szCs w:val="18"/>
              </w:rPr>
              <w:t>可供出售金</w:t>
            </w:r>
            <w:r>
              <w:rPr>
                <w:rFonts w:ascii="宋体" w:hAnsi="宋体" w:cs="宋体" w:eastAsia="宋体" w:hint="default"/>
                <w:b/>
                <w:bCs/>
                <w:w w:val="99"/>
                <w:sz w:val="18"/>
                <w:szCs w:val="18"/>
              </w:rPr>
              <w:t> </w:t>
            </w:r>
            <w:r>
              <w:rPr>
                <w:rFonts w:ascii="宋体" w:hAnsi="宋体" w:cs="宋体" w:eastAsia="宋体" w:hint="default"/>
                <w:b/>
                <w:bCs/>
                <w:sz w:val="18"/>
                <w:szCs w:val="18"/>
              </w:rPr>
              <w:t>融资产</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5,700,000.00</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3,800,000.00</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0.47%</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0.00%</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09" w:lineRule="auto" w:before="58"/>
              <w:ind w:left="105" w:right="165"/>
              <w:jc w:val="both"/>
              <w:rPr>
                <w:rFonts w:ascii="宋体" w:hAnsi="宋体" w:cs="宋体" w:eastAsia="宋体" w:hint="default"/>
                <w:sz w:val="18"/>
                <w:szCs w:val="18"/>
              </w:rPr>
            </w:pPr>
            <w:r>
              <w:rPr>
                <w:rFonts w:ascii="宋体" w:hAnsi="宋体" w:cs="宋体" w:eastAsia="宋体" w:hint="default"/>
                <w:sz w:val="18"/>
                <w:szCs w:val="18"/>
              </w:rPr>
              <w:t>主要原因为新增投资参股公司福建 永帆风电科技有限公司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所占股比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528"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b/>
                <w:bCs/>
                <w:sz w:val="18"/>
                <w:szCs w:val="18"/>
              </w:rPr>
              <w:t>长期待摊费</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110,330.42</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772,311.98</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0.10%</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z w:val="18"/>
              </w:rPr>
              <w:t>-0.09%</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主要原因为办公大楼等待摊费用余</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900"/>
        <w:gridCol w:w="1368"/>
        <w:gridCol w:w="891"/>
        <w:gridCol w:w="797"/>
        <w:gridCol w:w="2984"/>
      </w:tblGrid>
      <w:tr>
        <w:trPr>
          <w:trHeight w:val="478"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w w:val="99"/>
                <w:sz w:val="18"/>
                <w:szCs w:val="18"/>
              </w:rPr>
              <w:t>用</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
        </w:tc>
        <w:tc>
          <w:tcPr>
            <w:tcW w:w="900" w:type="dxa"/>
            <w:tcBorders>
              <w:top w:val="single" w:sz="4" w:space="0" w:color="7E7E7E"/>
              <w:left w:val="single" w:sz="4" w:space="0" w:color="7E7E7E"/>
              <w:bottom w:val="single" w:sz="4" w:space="0" w:color="7E7E7E"/>
              <w:right w:val="single" w:sz="4" w:space="0" w:color="7E7E7E"/>
            </w:tcBorders>
          </w:tcPr>
          <w:p>
            <w:pPr/>
          </w:p>
        </w:tc>
        <w:tc>
          <w:tcPr>
            <w:tcW w:w="1368" w:type="dxa"/>
            <w:tcBorders>
              <w:top w:val="single" w:sz="4" w:space="0" w:color="7E7E7E"/>
              <w:left w:val="single" w:sz="4" w:space="0" w:color="7E7E7E"/>
              <w:bottom w:val="single" w:sz="4" w:space="0" w:color="7E7E7E"/>
              <w:right w:val="single" w:sz="4" w:space="0" w:color="7E7E7E"/>
            </w:tcBorders>
          </w:tcPr>
          <w:p>
            <w:pPr/>
          </w:p>
        </w:tc>
        <w:tc>
          <w:tcPr>
            <w:tcW w:w="891" w:type="dxa"/>
            <w:tcBorders>
              <w:top w:val="single" w:sz="4" w:space="0" w:color="7E7E7E"/>
              <w:left w:val="single" w:sz="4" w:space="0" w:color="7E7E7E"/>
              <w:bottom w:val="single" w:sz="4" w:space="0" w:color="7E7E7E"/>
              <w:right w:val="single" w:sz="4" w:space="0" w:color="7E7E7E"/>
            </w:tcBorders>
          </w:tcPr>
          <w:p>
            <w:pPr/>
          </w:p>
        </w:tc>
        <w:tc>
          <w:tcPr>
            <w:tcW w:w="797" w:type="dxa"/>
            <w:tcBorders>
              <w:top w:val="single" w:sz="4" w:space="0" w:color="7E7E7E"/>
              <w:left w:val="single" w:sz="4" w:space="0" w:color="7E7E7E"/>
              <w:bottom w:val="single" w:sz="4" w:space="0" w:color="7E7E7E"/>
              <w:right w:val="single" w:sz="4" w:space="0" w:color="7E7E7E"/>
            </w:tcBorders>
          </w:tcPr>
          <w:p>
            <w:pP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额逐年减少。</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应付票据</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28,118,901.36</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2.34%</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89,607,570.58</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3"/>
                <w:sz w:val="18"/>
              </w:rPr>
              <w:t>11.11%</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-8.77%</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z w:val="18"/>
                <w:szCs w:val="18"/>
              </w:rPr>
              <w:t>主要原因是本报告期支付分包商、 设备供应商未到期银行承兑汇票余 额减少。</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10,454,808.66</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17,974,477.94</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-1.36%</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主要原因是上年度预收的工程款 项，本报告期陆续形成营业收入， 致使期末预收账款余额减少。</w:t>
            </w:r>
          </w:p>
        </w:tc>
      </w:tr>
      <w:tr>
        <w:trPr>
          <w:trHeight w:val="841"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3" w:right="260"/>
              <w:jc w:val="left"/>
              <w:rPr>
                <w:rFonts w:ascii="宋体" w:hAnsi="宋体" w:cs="宋体" w:eastAsia="宋体" w:hint="default"/>
                <w:sz w:val="18"/>
                <w:szCs w:val="18"/>
              </w:rPr>
            </w:pPr>
            <w:r>
              <w:rPr>
                <w:rFonts w:ascii="宋体" w:hAnsi="宋体" w:cs="宋体" w:eastAsia="宋体" w:hint="default"/>
                <w:b/>
                <w:bCs/>
                <w:sz w:val="18"/>
                <w:szCs w:val="18"/>
              </w:rPr>
              <w:t>其他流动资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300,296,629.67</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24.98%</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186,016.20</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24.96%</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主要原因报告期内利用暂时闲置的 募集资金购买结构性存款。</w:t>
            </w:r>
          </w:p>
        </w:tc>
      </w:tr>
      <w:tr>
        <w:trPr>
          <w:trHeight w:val="840"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3" w:right="260"/>
              <w:jc w:val="left"/>
              <w:rPr>
                <w:rFonts w:ascii="宋体" w:hAnsi="宋体" w:cs="宋体" w:eastAsia="宋体" w:hint="default"/>
                <w:sz w:val="18"/>
                <w:szCs w:val="18"/>
              </w:rPr>
            </w:pPr>
            <w:r>
              <w:rPr>
                <w:rFonts w:ascii="宋体" w:hAnsi="宋体" w:cs="宋体" w:eastAsia="宋体" w:hint="default"/>
                <w:b/>
                <w:bCs/>
                <w:sz w:val="18"/>
                <w:szCs w:val="18"/>
              </w:rPr>
              <w:t>应付职工薪</w:t>
            </w:r>
            <w:r>
              <w:rPr>
                <w:rFonts w:ascii="宋体" w:hAnsi="宋体" w:cs="宋体" w:eastAsia="宋体" w:hint="default"/>
                <w:b/>
                <w:bCs/>
                <w:w w:val="99"/>
                <w:sz w:val="18"/>
                <w:szCs w:val="18"/>
              </w:rPr>
              <w:t> </w:t>
            </w:r>
            <w:r>
              <w:rPr>
                <w:rFonts w:ascii="宋体" w:hAnsi="宋体" w:cs="宋体" w:eastAsia="宋体" w:hint="default"/>
                <w:b/>
                <w:bCs/>
                <w:sz w:val="18"/>
                <w:szCs w:val="18"/>
              </w:rPr>
              <w:t>酬</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7,492,959.53</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3,568,410.54</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0.18%</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主要原因是报告期内已计提，考核 结算未完成尚未发放的奖金。</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181,311.16</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262,847.88</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-0.01%</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z w:val="18"/>
                <w:szCs w:val="18"/>
              </w:rPr>
              <w:t>主要原因是报告期内使用募集资金 偿还短期借款，期末短期借款规模 较上年度下降。</w:t>
            </w:r>
          </w:p>
        </w:tc>
      </w:tr>
      <w:tr>
        <w:trPr>
          <w:trHeight w:val="1152" w:hRule="exact"/>
        </w:trPr>
        <w:tc>
          <w:tcPr>
            <w:tcW w:w="127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41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10,653,750.01</w:t>
            </w:r>
          </w:p>
        </w:tc>
        <w:tc>
          <w:tcPr>
            <w:tcW w:w="90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5,960,701.99</w:t>
            </w:r>
          </w:p>
        </w:tc>
        <w:tc>
          <w:tcPr>
            <w:tcW w:w="89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0.15%</w:t>
            </w:r>
          </w:p>
        </w:tc>
        <w:tc>
          <w:tcPr>
            <w:tcW w:w="2984" w:type="dxa"/>
            <w:tcBorders>
              <w:top w:val="single" w:sz="4" w:space="0" w:color="7E7E7E"/>
              <w:left w:val="single" w:sz="4" w:space="0" w:color="7E7E7E"/>
              <w:bottom w:val="single" w:sz="4" w:space="0" w:color="7E7E7E"/>
              <w:right w:val="single" w:sz="4" w:space="0" w:color="7E7E7E"/>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z w:val="18"/>
                <w:szCs w:val="18"/>
              </w:rPr>
              <w:t>主要原因是已代收期末尚未支付的 工程联合总包参与方工程款等款项 增加。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pStyle w:val="BodyText"/>
        <w:spacing w:line="300" w:lineRule="auto" w:before="198"/>
        <w:ind w:right="234" w:firstLine="360"/>
        <w:jc w:val="left"/>
      </w:pPr>
      <w:r>
        <w:rPr/>
        <w:t>因公司经营业务需要在银行开具的银行保函及银行承兑汇票需要的保证金属于限制性货币性资金。截止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日其他货币资金保证金余额</w:t>
      </w:r>
      <w:r>
        <w:rPr>
          <w:rFonts w:ascii="Times New Roman" w:hAnsi="Times New Roman" w:cs="Times New Roman" w:eastAsia="Times New Roman" w:hint="default"/>
        </w:rPr>
        <w:t>17,849,537.77</w:t>
      </w:r>
      <w:r>
        <w:rPr/>
        <w:t>元，具体情况如下：</w:t>
      </w:r>
    </w:p>
    <w:p>
      <w:pPr>
        <w:spacing w:line="240" w:lineRule="auto" w:before="12"/>
        <w:rPr>
          <w:rFonts w:ascii="宋体" w:hAnsi="宋体" w:cs="宋体" w:eastAsia="宋体" w:hint="default"/>
          <w:sz w:val="12"/>
          <w:szCs w:val="12"/>
        </w:rPr>
      </w:pPr>
    </w:p>
    <w:p>
      <w:pPr>
        <w:pStyle w:val="BodyText"/>
        <w:spacing w:line="240" w:lineRule="auto"/>
        <w:ind w:left="0" w:right="151"/>
        <w:jc w:val="right"/>
      </w:pPr>
      <w:r>
        <w:rPr/>
        <w:t>单位：元</w:t>
      </w:r>
    </w:p>
    <w:p>
      <w:pPr>
        <w:spacing w:line="240" w:lineRule="auto" w:before="0"/>
        <w:rPr>
          <w:rFonts w:ascii="宋体" w:hAnsi="宋体" w:cs="宋体" w:eastAsia="宋体" w:hint="default"/>
          <w:sz w:val="18"/>
          <w:szCs w:val="18"/>
        </w:rPr>
      </w:pPr>
    </w:p>
    <w:tbl>
      <w:tblPr>
        <w:tblW w:w="0" w:type="auto"/>
        <w:jc w:val="left"/>
        <w:tblInd w:w="162" w:type="dxa"/>
        <w:tblLayout w:type="fixed"/>
        <w:tblCellMar>
          <w:top w:w="0" w:type="dxa"/>
          <w:left w:w="0" w:type="dxa"/>
          <w:bottom w:w="0" w:type="dxa"/>
          <w:right w:w="0" w:type="dxa"/>
        </w:tblCellMar>
        <w:tblLook w:val="01E0"/>
      </w:tblPr>
      <w:tblGrid>
        <w:gridCol w:w="3210"/>
        <w:gridCol w:w="3209"/>
        <w:gridCol w:w="3207"/>
      </w:tblGrid>
      <w:tr>
        <w:trPr>
          <w:trHeight w:val="644" w:hRule="exact"/>
        </w:trPr>
        <w:tc>
          <w:tcPr>
            <w:tcW w:w="32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0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0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3" w:hRule="exact"/>
        </w:trPr>
        <w:tc>
          <w:tcPr>
            <w:tcW w:w="32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保函保证金（元）</w:t>
            </w:r>
          </w:p>
        </w:tc>
        <w:tc>
          <w:tcPr>
            <w:tcW w:w="32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16,735,713.77</w:t>
            </w:r>
          </w:p>
        </w:tc>
        <w:tc>
          <w:tcPr>
            <w:tcW w:w="320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10,647,731.46</w:t>
            </w:r>
          </w:p>
        </w:tc>
      </w:tr>
      <w:tr>
        <w:trPr>
          <w:trHeight w:val="655" w:hRule="exact"/>
        </w:trPr>
        <w:tc>
          <w:tcPr>
            <w:tcW w:w="32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银行承兑汇票保证金（元）</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1,113,824.00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24,560,998.59</w:t>
            </w:r>
          </w:p>
        </w:tc>
      </w:tr>
      <w:tr>
        <w:trPr>
          <w:trHeight w:val="653" w:hRule="exact"/>
        </w:trPr>
        <w:tc>
          <w:tcPr>
            <w:tcW w:w="32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17,849,537.77</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35,208,730.05</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60" w:bottom="1160" w:left="980" w:right="980"/>
        </w:sectPr>
      </w:pPr>
    </w:p>
    <w:p>
      <w:pPr>
        <w:pStyle w:val="Heading2"/>
        <w:spacing w:line="240" w:lineRule="auto" w:before="125"/>
        <w:ind w:right="0"/>
        <w:jc w:val="left"/>
        <w:rPr>
          <w:b w:val="0"/>
          <w:bCs w:val="0"/>
        </w:rPr>
      </w:pPr>
      <w:r>
        <w:rPr/>
        <w:t>五、投资状况分析</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、总体情况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63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w:t>
            </w:r>
          </w:p>
        </w:tc>
      </w:tr>
    </w:tbl>
    <w:p>
      <w:pPr>
        <w:spacing w:line="240" w:lineRule="auto" w:before="3"/>
        <w:rPr>
          <w:rFonts w:ascii="宋体" w:hAnsi="宋体" w:cs="宋体" w:eastAsia="宋体" w:hint="default"/>
          <w:sz w:val="8"/>
          <w:szCs w:val="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pStyle w:val="BodyText"/>
        <w:spacing w:line="240" w:lineRule="auto" w:before="198"/>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704"/>
        <w:gridCol w:w="1135"/>
        <w:gridCol w:w="768"/>
        <w:gridCol w:w="869"/>
        <w:gridCol w:w="871"/>
        <w:gridCol w:w="869"/>
        <w:gridCol w:w="869"/>
        <w:gridCol w:w="871"/>
        <w:gridCol w:w="869"/>
        <w:gridCol w:w="960"/>
        <w:gridCol w:w="820"/>
      </w:tblGrid>
      <w:tr>
        <w:trPr>
          <w:trHeight w:val="1883" w:hRule="exact"/>
        </w:trPr>
        <w:tc>
          <w:tcPr>
            <w:tcW w:w="704"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68" w:right="158"/>
              <w:jc w:val="left"/>
              <w:rPr>
                <w:rFonts w:ascii="宋体" w:hAnsi="宋体" w:cs="宋体" w:eastAsia="宋体" w:hint="default"/>
                <w:sz w:val="18"/>
                <w:szCs w:val="18"/>
              </w:rPr>
            </w:pPr>
            <w:r>
              <w:rPr>
                <w:rFonts w:ascii="宋体" w:hAnsi="宋体" w:cs="宋体" w:eastAsia="宋体" w:hint="default"/>
                <w:b/>
                <w:bCs/>
                <w:sz w:val="18"/>
                <w:szCs w:val="18"/>
              </w:rPr>
              <w:t>募集</w:t>
            </w:r>
            <w:r>
              <w:rPr>
                <w:rFonts w:ascii="宋体" w:hAnsi="宋体" w:cs="宋体" w:eastAsia="宋体" w:hint="default"/>
                <w:b/>
                <w:bCs/>
                <w:spacing w:val="-89"/>
                <w:sz w:val="18"/>
                <w:szCs w:val="18"/>
              </w:rPr>
              <w:t> </w:t>
            </w:r>
            <w:r>
              <w:rPr>
                <w:rFonts w:ascii="宋体" w:hAnsi="宋体" w:cs="宋体" w:eastAsia="宋体" w:hint="default"/>
                <w:b/>
                <w:bCs/>
                <w:sz w:val="18"/>
                <w:szCs w:val="18"/>
              </w:rPr>
              <w:t>年份</w:t>
            </w:r>
            <w:r>
              <w:rPr>
                <w:rFonts w:ascii="宋体" w:hAnsi="宋体" w:cs="宋体" w:eastAsia="宋体" w:hint="default"/>
                <w:sz w:val="18"/>
                <w:szCs w:val="18"/>
              </w:rPr>
            </w:r>
          </w:p>
        </w:tc>
        <w:tc>
          <w:tcPr>
            <w:tcW w:w="1135"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募集方式</w:t>
            </w:r>
            <w:r>
              <w:rPr>
                <w:rFonts w:ascii="宋体" w:hAnsi="宋体" w:cs="宋体" w:eastAsia="宋体" w:hint="default"/>
                <w:sz w:val="18"/>
                <w:szCs w:val="18"/>
              </w:rPr>
            </w:r>
          </w:p>
        </w:tc>
        <w:tc>
          <w:tcPr>
            <w:tcW w:w="768"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b/>
                <w:bCs/>
                <w:sz w:val="18"/>
                <w:szCs w:val="18"/>
              </w:rPr>
              <w:t>募集资</w:t>
            </w:r>
            <w:r>
              <w:rPr>
                <w:rFonts w:ascii="宋体" w:hAnsi="宋体" w:cs="宋体" w:eastAsia="宋体" w:hint="default"/>
                <w:b/>
                <w:bCs/>
                <w:w w:val="99"/>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869"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9" w:right="156"/>
              <w:jc w:val="both"/>
              <w:rPr>
                <w:rFonts w:ascii="宋体" w:hAnsi="宋体" w:cs="宋体" w:eastAsia="宋体" w:hint="default"/>
                <w:sz w:val="18"/>
                <w:szCs w:val="18"/>
              </w:rPr>
            </w:pPr>
            <w:r>
              <w:rPr>
                <w:rFonts w:ascii="宋体" w:hAnsi="宋体" w:cs="宋体" w:eastAsia="宋体" w:hint="default"/>
                <w:b/>
                <w:bCs/>
                <w:sz w:val="18"/>
                <w:szCs w:val="18"/>
              </w:rPr>
              <w:t>本期已</w:t>
            </w:r>
            <w:r>
              <w:rPr>
                <w:rFonts w:ascii="宋体" w:hAnsi="宋体" w:cs="宋体" w:eastAsia="宋体" w:hint="default"/>
                <w:b/>
                <w:bCs/>
                <w:w w:val="99"/>
                <w:sz w:val="18"/>
                <w:szCs w:val="18"/>
              </w:rPr>
              <w:t> </w:t>
            </w:r>
            <w:r>
              <w:rPr>
                <w:rFonts w:ascii="宋体" w:hAnsi="宋体" w:cs="宋体" w:eastAsia="宋体" w:hint="default"/>
                <w:b/>
                <w:bCs/>
                <w:sz w:val="18"/>
                <w:szCs w:val="18"/>
              </w:rPr>
              <w:t>使用募</w:t>
            </w:r>
            <w:r>
              <w:rPr>
                <w:rFonts w:ascii="宋体" w:hAnsi="宋体" w:cs="宋体" w:eastAsia="宋体" w:hint="default"/>
                <w:b/>
                <w:bCs/>
                <w:w w:val="99"/>
                <w:sz w:val="18"/>
                <w:szCs w:val="18"/>
              </w:rPr>
              <w:t> </w:t>
            </w:r>
            <w:r>
              <w:rPr>
                <w:rFonts w:ascii="宋体" w:hAnsi="宋体" w:cs="宋体" w:eastAsia="宋体" w:hint="default"/>
                <w:b/>
                <w:bCs/>
                <w:sz w:val="18"/>
                <w:szCs w:val="18"/>
              </w:rPr>
              <w:t>集资金</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71"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b/>
                <w:bCs/>
                <w:sz w:val="18"/>
                <w:szCs w:val="18"/>
              </w:rPr>
              <w:t>已累计</w:t>
            </w:r>
            <w:r>
              <w:rPr>
                <w:rFonts w:ascii="宋体" w:hAnsi="宋体" w:cs="宋体" w:eastAsia="宋体" w:hint="default"/>
                <w:b/>
                <w:bCs/>
                <w:w w:val="99"/>
                <w:sz w:val="18"/>
                <w:szCs w:val="18"/>
              </w:rPr>
              <w:t> </w:t>
            </w:r>
            <w:r>
              <w:rPr>
                <w:rFonts w:ascii="宋体" w:hAnsi="宋体" w:cs="宋体" w:eastAsia="宋体" w:hint="default"/>
                <w:b/>
                <w:bCs/>
                <w:sz w:val="18"/>
                <w:szCs w:val="18"/>
              </w:rPr>
              <w:t>使用募</w:t>
            </w:r>
            <w:r>
              <w:rPr>
                <w:rFonts w:ascii="宋体" w:hAnsi="宋体" w:cs="宋体" w:eastAsia="宋体" w:hint="default"/>
                <w:b/>
                <w:bCs/>
                <w:w w:val="99"/>
                <w:sz w:val="18"/>
                <w:szCs w:val="18"/>
              </w:rPr>
              <w:t> </w:t>
            </w:r>
            <w:r>
              <w:rPr>
                <w:rFonts w:ascii="宋体" w:hAnsi="宋体" w:cs="宋体" w:eastAsia="宋体" w:hint="default"/>
                <w:b/>
                <w:bCs/>
                <w:sz w:val="18"/>
                <w:szCs w:val="18"/>
              </w:rPr>
              <w:t>集资金</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69"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8" w:right="157"/>
              <w:jc w:val="both"/>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w w:val="99"/>
                <w:sz w:val="18"/>
                <w:szCs w:val="18"/>
              </w:rPr>
              <w:t> </w:t>
            </w:r>
            <w:r>
              <w:rPr>
                <w:rFonts w:ascii="宋体" w:hAnsi="宋体" w:cs="宋体" w:eastAsia="宋体" w:hint="default"/>
                <w:b/>
                <w:bCs/>
                <w:sz w:val="18"/>
                <w:szCs w:val="18"/>
              </w:rPr>
              <w:t>内变更</w:t>
            </w:r>
            <w:r>
              <w:rPr>
                <w:rFonts w:ascii="宋体" w:hAnsi="宋体" w:cs="宋体" w:eastAsia="宋体" w:hint="default"/>
                <w:b/>
                <w:bCs/>
                <w:w w:val="99"/>
                <w:sz w:val="18"/>
                <w:szCs w:val="18"/>
              </w:rPr>
              <w:t> </w:t>
            </w:r>
            <w:r>
              <w:rPr>
                <w:rFonts w:ascii="宋体" w:hAnsi="宋体" w:cs="宋体" w:eastAsia="宋体" w:hint="default"/>
                <w:b/>
                <w:bCs/>
                <w:sz w:val="18"/>
                <w:szCs w:val="18"/>
              </w:rPr>
              <w:t>用途的</w:t>
            </w:r>
            <w:r>
              <w:rPr>
                <w:rFonts w:ascii="宋体" w:hAnsi="宋体" w:cs="宋体" w:eastAsia="宋体" w:hint="default"/>
                <w:b/>
                <w:bCs/>
                <w:w w:val="99"/>
                <w:sz w:val="18"/>
                <w:szCs w:val="18"/>
              </w:rPr>
              <w:t> </w:t>
            </w:r>
            <w:r>
              <w:rPr>
                <w:rFonts w:ascii="宋体" w:hAnsi="宋体" w:cs="宋体" w:eastAsia="宋体" w:hint="default"/>
                <w:b/>
                <w:bCs/>
                <w:sz w:val="18"/>
                <w:szCs w:val="18"/>
              </w:rPr>
              <w:t>募集资</w:t>
            </w:r>
            <w:r>
              <w:rPr>
                <w:rFonts w:ascii="宋体" w:hAnsi="宋体" w:cs="宋体" w:eastAsia="宋体" w:hint="default"/>
                <w:b/>
                <w:bCs/>
                <w:w w:val="99"/>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869"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8" w:right="156"/>
              <w:jc w:val="center"/>
              <w:rPr>
                <w:rFonts w:ascii="宋体" w:hAnsi="宋体" w:cs="宋体" w:eastAsia="宋体" w:hint="default"/>
                <w:sz w:val="18"/>
                <w:szCs w:val="18"/>
              </w:rPr>
            </w:pPr>
            <w:r>
              <w:rPr>
                <w:rFonts w:ascii="宋体" w:hAnsi="宋体" w:cs="宋体" w:eastAsia="宋体" w:hint="default"/>
                <w:b/>
                <w:bCs/>
                <w:sz w:val="18"/>
                <w:szCs w:val="18"/>
              </w:rPr>
              <w:t>累计变</w:t>
            </w:r>
            <w:r>
              <w:rPr>
                <w:rFonts w:ascii="宋体" w:hAnsi="宋体" w:cs="宋体" w:eastAsia="宋体" w:hint="default"/>
                <w:b/>
                <w:bCs/>
                <w:w w:val="99"/>
                <w:sz w:val="18"/>
                <w:szCs w:val="18"/>
              </w:rPr>
              <w:t> </w:t>
            </w:r>
            <w:r>
              <w:rPr>
                <w:rFonts w:ascii="宋体" w:hAnsi="宋体" w:cs="宋体" w:eastAsia="宋体" w:hint="default"/>
                <w:b/>
                <w:bCs/>
                <w:sz w:val="18"/>
                <w:szCs w:val="18"/>
              </w:rPr>
              <w:t>更用途</w:t>
            </w:r>
            <w:r>
              <w:rPr>
                <w:rFonts w:ascii="宋体" w:hAnsi="宋体" w:cs="宋体" w:eastAsia="宋体" w:hint="default"/>
                <w:b/>
                <w:bCs/>
                <w:w w:val="99"/>
                <w:sz w:val="18"/>
                <w:szCs w:val="18"/>
              </w:rPr>
              <w:t> </w:t>
            </w:r>
            <w:r>
              <w:rPr>
                <w:rFonts w:ascii="宋体" w:hAnsi="宋体" w:cs="宋体" w:eastAsia="宋体" w:hint="default"/>
                <w:b/>
                <w:bCs/>
                <w:sz w:val="18"/>
                <w:szCs w:val="18"/>
              </w:rPr>
              <w:t>的募集</w:t>
            </w:r>
            <w:r>
              <w:rPr>
                <w:rFonts w:ascii="宋体" w:hAnsi="宋体" w:cs="宋体" w:eastAsia="宋体" w:hint="default"/>
                <w:b/>
                <w:bCs/>
                <w:w w:val="99"/>
                <w:sz w:val="18"/>
                <w:szCs w:val="18"/>
              </w:rPr>
              <w:t> </w:t>
            </w:r>
            <w:r>
              <w:rPr>
                <w:rFonts w:ascii="宋体" w:hAnsi="宋体" w:cs="宋体" w:eastAsia="宋体" w:hint="default"/>
                <w:b/>
                <w:bCs/>
                <w:sz w:val="18"/>
                <w:szCs w:val="18"/>
              </w:rPr>
              <w:t>资金总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71"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60" w:right="156"/>
              <w:jc w:val="both"/>
              <w:rPr>
                <w:rFonts w:ascii="宋体" w:hAnsi="宋体" w:cs="宋体" w:eastAsia="宋体" w:hint="default"/>
                <w:sz w:val="18"/>
                <w:szCs w:val="18"/>
              </w:rPr>
            </w:pPr>
            <w:r>
              <w:rPr>
                <w:rFonts w:ascii="宋体" w:hAnsi="宋体" w:cs="宋体" w:eastAsia="宋体" w:hint="default"/>
                <w:b/>
                <w:bCs/>
                <w:sz w:val="18"/>
                <w:szCs w:val="18"/>
              </w:rPr>
              <w:t>累计变</w:t>
            </w:r>
            <w:r>
              <w:rPr>
                <w:rFonts w:ascii="宋体" w:hAnsi="宋体" w:cs="宋体" w:eastAsia="宋体" w:hint="default"/>
                <w:b/>
                <w:bCs/>
                <w:w w:val="99"/>
                <w:sz w:val="18"/>
                <w:szCs w:val="18"/>
              </w:rPr>
              <w:t> </w:t>
            </w:r>
            <w:r>
              <w:rPr>
                <w:rFonts w:ascii="宋体" w:hAnsi="宋体" w:cs="宋体" w:eastAsia="宋体" w:hint="default"/>
                <w:b/>
                <w:bCs/>
                <w:sz w:val="18"/>
                <w:szCs w:val="18"/>
              </w:rPr>
              <w:t>更用途</w:t>
            </w:r>
            <w:r>
              <w:rPr>
                <w:rFonts w:ascii="宋体" w:hAnsi="宋体" w:cs="宋体" w:eastAsia="宋体" w:hint="default"/>
                <w:b/>
                <w:bCs/>
                <w:w w:val="99"/>
                <w:sz w:val="18"/>
                <w:szCs w:val="18"/>
              </w:rPr>
              <w:t> </w:t>
            </w:r>
            <w:r>
              <w:rPr>
                <w:rFonts w:ascii="宋体" w:hAnsi="宋体" w:cs="宋体" w:eastAsia="宋体" w:hint="default"/>
                <w:b/>
                <w:bCs/>
                <w:sz w:val="18"/>
                <w:szCs w:val="18"/>
              </w:rPr>
              <w:t>的募集</w:t>
            </w:r>
            <w:r>
              <w:rPr>
                <w:rFonts w:ascii="宋体" w:hAnsi="宋体" w:cs="宋体" w:eastAsia="宋体" w:hint="default"/>
                <w:b/>
                <w:bCs/>
                <w:w w:val="99"/>
                <w:sz w:val="18"/>
                <w:szCs w:val="18"/>
              </w:rPr>
              <w:t> </w:t>
            </w:r>
            <w:r>
              <w:rPr>
                <w:rFonts w:ascii="宋体" w:hAnsi="宋体" w:cs="宋体" w:eastAsia="宋体" w:hint="default"/>
                <w:b/>
                <w:bCs/>
                <w:sz w:val="18"/>
                <w:szCs w:val="18"/>
              </w:rPr>
              <w:t>资金总</w:t>
            </w:r>
            <w:r>
              <w:rPr>
                <w:rFonts w:ascii="宋体" w:hAnsi="宋体" w:cs="宋体" w:eastAsia="宋体" w:hint="default"/>
                <w:b/>
                <w:bCs/>
                <w:w w:val="99"/>
                <w:sz w:val="18"/>
                <w:szCs w:val="18"/>
              </w:rPr>
              <w:t> </w:t>
            </w:r>
            <w:r>
              <w:rPr>
                <w:rFonts w:ascii="宋体" w:hAnsi="宋体" w:cs="宋体" w:eastAsia="宋体" w:hint="default"/>
                <w:b/>
                <w:bCs/>
                <w:sz w:val="18"/>
                <w:szCs w:val="18"/>
              </w:rPr>
              <w:t>额比例</w:t>
            </w:r>
            <w:r>
              <w:rPr>
                <w:rFonts w:ascii="宋体" w:hAnsi="宋体" w:cs="宋体" w:eastAsia="宋体" w:hint="default"/>
                <w:sz w:val="18"/>
                <w:szCs w:val="18"/>
              </w:rPr>
            </w:r>
          </w:p>
        </w:tc>
        <w:tc>
          <w:tcPr>
            <w:tcW w:w="869"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8" w:right="157"/>
              <w:jc w:val="center"/>
              <w:rPr>
                <w:rFonts w:ascii="宋体" w:hAnsi="宋体" w:cs="宋体" w:eastAsia="宋体" w:hint="default"/>
                <w:sz w:val="18"/>
                <w:szCs w:val="18"/>
              </w:rPr>
            </w:pPr>
            <w:r>
              <w:rPr>
                <w:rFonts w:ascii="宋体" w:hAnsi="宋体" w:cs="宋体" w:eastAsia="宋体" w:hint="default"/>
                <w:b/>
                <w:bCs/>
                <w:sz w:val="18"/>
                <w:szCs w:val="18"/>
              </w:rPr>
              <w:t>尚未使</w:t>
            </w:r>
            <w:r>
              <w:rPr>
                <w:rFonts w:ascii="宋体" w:hAnsi="宋体" w:cs="宋体" w:eastAsia="宋体" w:hint="default"/>
                <w:b/>
                <w:bCs/>
                <w:w w:val="99"/>
                <w:sz w:val="18"/>
                <w:szCs w:val="18"/>
              </w:rPr>
              <w:t> </w:t>
            </w:r>
            <w:r>
              <w:rPr>
                <w:rFonts w:ascii="宋体" w:hAnsi="宋体" w:cs="宋体" w:eastAsia="宋体" w:hint="default"/>
                <w:b/>
                <w:bCs/>
                <w:sz w:val="18"/>
                <w:szCs w:val="18"/>
              </w:rPr>
              <w:t>用募集</w:t>
            </w:r>
            <w:r>
              <w:rPr>
                <w:rFonts w:ascii="宋体" w:hAnsi="宋体" w:cs="宋体" w:eastAsia="宋体" w:hint="default"/>
                <w:b/>
                <w:bCs/>
                <w:w w:val="99"/>
                <w:sz w:val="18"/>
                <w:szCs w:val="18"/>
              </w:rPr>
              <w:t> </w:t>
            </w:r>
            <w:r>
              <w:rPr>
                <w:rFonts w:ascii="宋体" w:hAnsi="宋体" w:cs="宋体" w:eastAsia="宋体" w:hint="default"/>
                <w:b/>
                <w:bCs/>
                <w:sz w:val="18"/>
                <w:szCs w:val="18"/>
              </w:rPr>
              <w:t>资金总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0"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15" w:right="111"/>
              <w:jc w:val="center"/>
              <w:rPr>
                <w:rFonts w:ascii="宋体" w:hAnsi="宋体" w:cs="宋体" w:eastAsia="宋体" w:hint="default"/>
                <w:sz w:val="18"/>
                <w:szCs w:val="18"/>
              </w:rPr>
            </w:pPr>
            <w:r>
              <w:rPr>
                <w:rFonts w:ascii="宋体" w:hAnsi="宋体" w:cs="宋体" w:eastAsia="宋体" w:hint="default"/>
                <w:b/>
                <w:bCs/>
                <w:sz w:val="18"/>
                <w:szCs w:val="18"/>
              </w:rPr>
              <w:t>尚未使用</w:t>
            </w:r>
            <w:r>
              <w:rPr>
                <w:rFonts w:ascii="宋体" w:hAnsi="宋体" w:cs="宋体" w:eastAsia="宋体" w:hint="default"/>
                <w:b/>
                <w:bCs/>
                <w:w w:val="99"/>
                <w:sz w:val="18"/>
                <w:szCs w:val="18"/>
              </w:rPr>
              <w:t> </w:t>
            </w: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用途及去</w:t>
            </w:r>
            <w:r>
              <w:rPr>
                <w:rFonts w:ascii="宋体" w:hAnsi="宋体" w:cs="宋体" w:eastAsia="宋体" w:hint="default"/>
                <w:b/>
                <w:bCs/>
                <w:w w:val="99"/>
                <w:sz w:val="18"/>
                <w:szCs w:val="18"/>
              </w:rPr>
              <w:t> </w:t>
            </w:r>
            <w:r>
              <w:rPr>
                <w:rFonts w:ascii="宋体" w:hAnsi="宋体" w:cs="宋体" w:eastAsia="宋体" w:hint="default"/>
                <w:b/>
                <w:bCs/>
                <w:sz w:val="18"/>
                <w:szCs w:val="18"/>
              </w:rPr>
              <w:t>向</w:t>
            </w:r>
            <w:r>
              <w:rPr>
                <w:rFonts w:ascii="宋体" w:hAnsi="宋体" w:cs="宋体" w:eastAsia="宋体" w:hint="default"/>
                <w:sz w:val="18"/>
                <w:szCs w:val="18"/>
              </w:rPr>
            </w:r>
          </w:p>
        </w:tc>
        <w:tc>
          <w:tcPr>
            <w:tcW w:w="820"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5" w:right="109"/>
              <w:jc w:val="both"/>
              <w:rPr>
                <w:rFonts w:ascii="宋体" w:hAnsi="宋体" w:cs="宋体" w:eastAsia="宋体" w:hint="default"/>
                <w:sz w:val="18"/>
                <w:szCs w:val="18"/>
              </w:rPr>
            </w:pPr>
            <w:r>
              <w:rPr>
                <w:rFonts w:ascii="宋体" w:hAnsi="宋体" w:cs="宋体" w:eastAsia="宋体" w:hint="default"/>
                <w:b/>
                <w:bCs/>
                <w:sz w:val="18"/>
                <w:szCs w:val="18"/>
              </w:rPr>
              <w:t>闲置两</w:t>
            </w:r>
            <w:r>
              <w:rPr>
                <w:rFonts w:ascii="宋体" w:hAnsi="宋体" w:cs="宋体" w:eastAsia="宋体" w:hint="default"/>
                <w:b/>
                <w:bCs/>
                <w:w w:val="99"/>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b/>
                <w:bCs/>
                <w:sz w:val="18"/>
                <w:szCs w:val="18"/>
              </w:rPr>
              <w:t>募集资</w:t>
            </w:r>
            <w:r>
              <w:rPr>
                <w:rFonts w:ascii="宋体" w:hAnsi="宋体" w:cs="宋体" w:eastAsia="宋体" w:hint="default"/>
                <w:b/>
                <w:bCs/>
                <w:w w:val="99"/>
                <w:sz w:val="18"/>
                <w:szCs w:val="18"/>
              </w:rPr>
              <w:t> </w:t>
            </w:r>
            <w:r>
              <w:rPr>
                <w:rFonts w:ascii="宋体" w:hAnsi="宋体" w:cs="宋体" w:eastAsia="宋体" w:hint="default"/>
                <w:b/>
                <w:bCs/>
                <w:sz w:val="18"/>
                <w:szCs w:val="18"/>
              </w:rPr>
              <w:t>金金额</w:t>
            </w:r>
            <w:r>
              <w:rPr>
                <w:rFonts w:ascii="宋体" w:hAnsi="宋体" w:cs="宋体" w:eastAsia="宋体" w:hint="default"/>
                <w:sz w:val="18"/>
                <w:szCs w:val="18"/>
              </w:rPr>
            </w:r>
          </w:p>
        </w:tc>
      </w:tr>
      <w:tr>
        <w:trPr>
          <w:trHeight w:val="1258" w:hRule="exact"/>
        </w:trPr>
        <w:tc>
          <w:tcPr>
            <w:tcW w:w="704"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b/>
                <w:sz w:val="18"/>
              </w:rPr>
              <w:t>2017</w:t>
            </w:r>
            <w:r>
              <w:rPr>
                <w:rFonts w:ascii="Times New Roman"/>
                <w:sz w:val="18"/>
              </w:rPr>
            </w:r>
          </w:p>
        </w:tc>
        <w:tc>
          <w:tcPr>
            <w:tcW w:w="1135"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5" w:right="117"/>
              <w:jc w:val="both"/>
              <w:rPr>
                <w:rFonts w:ascii="宋体" w:hAnsi="宋体" w:cs="宋体" w:eastAsia="宋体" w:hint="default"/>
                <w:sz w:val="18"/>
                <w:szCs w:val="18"/>
              </w:rPr>
            </w:pPr>
            <w:r>
              <w:rPr>
                <w:rFonts w:ascii="宋体" w:hAnsi="宋体" w:cs="宋体" w:eastAsia="宋体" w:hint="default"/>
                <w:sz w:val="18"/>
                <w:szCs w:val="18"/>
              </w:rPr>
              <w:t>首次公开发 行股票并在 创业板上市</w:t>
            </w:r>
          </w:p>
        </w:tc>
        <w:tc>
          <w:tcPr>
            <w:tcW w:w="7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37,409</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2,376</w:t>
            </w:r>
          </w:p>
        </w:tc>
        <w:tc>
          <w:tcPr>
            <w:tcW w:w="87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2,376</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35,033</w:t>
            </w:r>
          </w:p>
        </w:tc>
        <w:tc>
          <w:tcPr>
            <w:tcW w:w="96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5" w:right="122"/>
              <w:jc w:val="both"/>
              <w:rPr>
                <w:rFonts w:ascii="宋体" w:hAnsi="宋体" w:cs="宋体" w:eastAsia="宋体" w:hint="default"/>
                <w:sz w:val="18"/>
                <w:szCs w:val="18"/>
              </w:rPr>
            </w:pPr>
            <w:r>
              <w:rPr>
                <w:rFonts w:ascii="宋体" w:hAnsi="宋体" w:cs="宋体" w:eastAsia="宋体" w:hint="default"/>
                <w:sz w:val="18"/>
                <w:szCs w:val="18"/>
              </w:rPr>
              <w:t>专户存储 或购买结 构性存款</w:t>
            </w:r>
          </w:p>
        </w:tc>
        <w:tc>
          <w:tcPr>
            <w:tcW w:w="82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704"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5"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37,409</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2,376</w:t>
            </w:r>
          </w:p>
        </w:tc>
        <w:tc>
          <w:tcPr>
            <w:tcW w:w="87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2,376</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35,033</w:t>
            </w:r>
          </w:p>
        </w:tc>
        <w:tc>
          <w:tcPr>
            <w:tcW w:w="960" w:type="dxa"/>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20" w:type="dxa"/>
            <w:tcBorders>
              <w:top w:val="single" w:sz="4" w:space="0" w:color="7E7E7E"/>
              <w:left w:val="single" w:sz="4" w:space="0" w:color="7E7E7E"/>
              <w:bottom w:val="single" w:sz="4" w:space="0" w:color="7E7E7E"/>
              <w:right w:val="single" w:sz="4" w:space="0" w:color="7E7E7E"/>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9606" w:type="dxa"/>
            <w:gridSpan w:val="11"/>
            <w:tcBorders>
              <w:top w:val="single" w:sz="4" w:space="0" w:color="7E7E7E"/>
              <w:left w:val="single" w:sz="4" w:space="0" w:color="7E7E7E"/>
              <w:bottom w:val="single" w:sz="4" w:space="0" w:color="7E7E7E"/>
              <w:right w:val="single" w:sz="4" w:space="0" w:color="7E7E7E"/>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b/>
                <w:bCs/>
                <w:sz w:val="18"/>
                <w:szCs w:val="18"/>
              </w:rPr>
              <w:t>募集资金总体使用情况说明</w:t>
            </w:r>
            <w:r>
              <w:rPr>
                <w:rFonts w:ascii="宋体" w:hAnsi="宋体" w:cs="宋体" w:eastAsia="宋体" w:hint="default"/>
                <w:sz w:val="18"/>
                <w:szCs w:val="18"/>
              </w:rPr>
            </w:r>
          </w:p>
        </w:tc>
      </w:tr>
      <w:tr>
        <w:trPr>
          <w:trHeight w:val="1414" w:hRule="exact"/>
        </w:trPr>
        <w:tc>
          <w:tcPr>
            <w:tcW w:w="9606" w:type="dxa"/>
            <w:gridSpan w:val="11"/>
            <w:tcBorders>
              <w:top w:val="single" w:sz="4" w:space="0" w:color="7E7E7E"/>
              <w:left w:val="single" w:sz="4" w:space="0" w:color="7E7E7E"/>
              <w:bottom w:val="single" w:sz="4" w:space="0" w:color="7E7E7E"/>
              <w:right w:val="single" w:sz="4" w:space="0" w:color="7E7E7E"/>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b/>
                <w:bCs/>
                <w:sz w:val="18"/>
                <w:szCs w:val="18"/>
              </w:rPr>
              <w:t>经中国证券监督管理委员会《关于核准福建永福电力设计股份有限公司首次公开发行股票的批复》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证监许可</w:t>
            </w:r>
            <w:r>
              <w:rPr>
                <w:rFonts w:ascii="宋体" w:hAnsi="宋体" w:cs="宋体" w:eastAsia="宋体" w:hint="default"/>
                <w:sz w:val="18"/>
                <w:szCs w:val="18"/>
              </w:rPr>
            </w:r>
          </w:p>
          <w:p>
            <w:pPr>
              <w:pStyle w:val="TableParagraph"/>
              <w:spacing w:line="240" w:lineRule="auto" w:before="63"/>
              <w:ind w:right="126"/>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[2017]1780</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核准，由主承销商华创证券有限责任公司采用网下询价配售与网上资金申购定价发行相结合的方式发行</w:t>
            </w:r>
            <w:r>
              <w:rPr>
                <w:rFonts w:ascii="宋体" w:hAnsi="宋体" w:cs="宋体" w:eastAsia="宋体" w:hint="default"/>
                <w:sz w:val="18"/>
                <w:szCs w:val="18"/>
              </w:rPr>
            </w:r>
          </w:p>
          <w:p>
            <w:pPr>
              <w:pStyle w:val="TableParagraph"/>
              <w:spacing w:line="240" w:lineRule="auto" w:before="63"/>
              <w:ind w:right="146"/>
              <w:jc w:val="center"/>
              <w:rPr>
                <w:rFonts w:ascii="宋体" w:hAnsi="宋体" w:cs="宋体" w:eastAsia="宋体" w:hint="default"/>
                <w:sz w:val="18"/>
                <w:szCs w:val="18"/>
              </w:rPr>
            </w:pPr>
            <w:r>
              <w:rPr>
                <w:rFonts w:ascii="宋体" w:hAnsi="宋体" w:cs="宋体" w:eastAsia="宋体" w:hint="default"/>
                <w:b/>
                <w:bCs/>
                <w:sz w:val="18"/>
                <w:szCs w:val="18"/>
              </w:rPr>
              <w:t>人民币普通股（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35,020,000.00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股，发行价格为每股</w:t>
            </w:r>
            <w:r>
              <w:rPr>
                <w:rFonts w:ascii="宋体" w:hAnsi="宋体" w:cs="宋体" w:eastAsia="宋体" w:hint="default"/>
                <w:b/>
                <w:bCs/>
                <w:spacing w:val="-47"/>
                <w:sz w:val="18"/>
                <w:szCs w:val="18"/>
              </w:rPr>
              <w:t> </w:t>
            </w:r>
            <w:r>
              <w:rPr>
                <w:rFonts w:ascii="Times New Roman" w:hAnsi="Times New Roman" w:cs="Times New Roman" w:eastAsia="Times New Roman" w:hint="default"/>
                <w:b/>
                <w:bCs/>
                <w:spacing w:val="-3"/>
                <w:sz w:val="18"/>
                <w:szCs w:val="18"/>
              </w:rPr>
              <w:t>11.82</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元。截至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日止，公司实际已向社会公</w:t>
            </w:r>
            <w:r>
              <w:rPr>
                <w:rFonts w:ascii="宋体" w:hAnsi="宋体" w:cs="宋体" w:eastAsia="宋体" w:hint="default"/>
                <w:sz w:val="18"/>
                <w:szCs w:val="18"/>
              </w:rPr>
            </w:r>
          </w:p>
          <w:p>
            <w:pPr>
              <w:pStyle w:val="TableParagraph"/>
              <w:spacing w:line="240" w:lineRule="auto" w:before="63"/>
              <w:ind w:right="227"/>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开发行人民币普通股（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35,020,000.00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股，募集资金总额</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413,936,400.00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元，扣除承销费和保荐费</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27,769,984.91</w:t>
            </w:r>
            <w:r>
              <w:rPr>
                <w:rFonts w:ascii="Times New Roman" w:hAnsi="Times New Roman" w:cs="Times New Roman" w:eastAsia="Times New Roman" w:hint="default"/>
                <w:sz w:val="18"/>
                <w:szCs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0"/>
        <w:rPr>
          <w:rFonts w:ascii="宋体" w:hAnsi="宋体" w:cs="宋体" w:eastAsia="宋体" w:hint="default"/>
          <w:sz w:val="13"/>
          <w:szCs w:val="13"/>
        </w:rPr>
      </w:pPr>
    </w:p>
    <w:p>
      <w:pPr>
        <w:spacing w:line="4066" w:lineRule="exact"/>
        <w:ind w:left="157" w:right="0" w:firstLine="0"/>
        <w:rPr>
          <w:rFonts w:ascii="宋体" w:hAnsi="宋体" w:cs="宋体" w:eastAsia="宋体" w:hint="default"/>
          <w:sz w:val="20"/>
          <w:szCs w:val="20"/>
        </w:rPr>
      </w:pPr>
      <w:r>
        <w:rPr>
          <w:rFonts w:ascii="宋体" w:hAnsi="宋体" w:cs="宋体" w:eastAsia="宋体" w:hint="default"/>
          <w:position w:val="-80"/>
          <w:sz w:val="20"/>
          <w:szCs w:val="20"/>
        </w:rPr>
        <w:pict>
          <v:shape style="width:478.3pt;height:203.35pt;mso-position-horizontal-relative:char;mso-position-vertical-relative:line" type="#_x0000_t202" filled="false" stroked="true" strokeweight=".47998pt" strokecolor="#7e7e7e">
            <w10:anchorlock/>
            <v:textbox inset="0,0,0,0">
              <w:txbxContent>
                <w:p>
                  <w:pPr>
                    <w:spacing w:line="300" w:lineRule="auto" w:before="8"/>
                    <w:ind w:left="105" w:right="115" w:firstLine="0"/>
                    <w:jc w:val="both"/>
                    <w:rPr>
                      <w:rFonts w:ascii="宋体" w:hAnsi="宋体" w:cs="宋体" w:eastAsia="宋体" w:hint="default"/>
                      <w:sz w:val="18"/>
                      <w:szCs w:val="18"/>
                    </w:rPr>
                  </w:pPr>
                  <w:r>
                    <w:rPr>
                      <w:rFonts w:ascii="宋体" w:hAnsi="宋体" w:cs="宋体" w:eastAsia="宋体" w:hint="default"/>
                      <w:b/>
                      <w:bCs/>
                      <w:sz w:val="18"/>
                      <w:szCs w:val="18"/>
                    </w:rPr>
                    <w:t>元后的募集资金为人民币</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386,166,415.09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元，已由华创证券有限责任公司于</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2017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日分别存入公司开立在招</w:t>
                  </w:r>
                  <w:r>
                    <w:rPr>
                      <w:rFonts w:ascii="宋体" w:hAnsi="宋体" w:cs="宋体" w:eastAsia="宋体" w:hint="default"/>
                      <w:b/>
                      <w:bCs/>
                      <w:w w:val="99"/>
                      <w:sz w:val="18"/>
                      <w:szCs w:val="18"/>
                    </w:rPr>
                    <w:t> </w:t>
                  </w:r>
                  <w:r>
                    <w:rPr>
                      <w:rFonts w:ascii="宋体" w:hAnsi="宋体" w:cs="宋体" w:eastAsia="宋体" w:hint="default"/>
                      <w:b/>
                      <w:bCs/>
                      <w:sz w:val="18"/>
                      <w:szCs w:val="18"/>
                    </w:rPr>
                    <w:t>商银行股份有限公司福州南门支行</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591903324810303</w:t>
                  </w:r>
                  <w:r>
                    <w:rPr>
                      <w:rFonts w:ascii="宋体" w:hAnsi="宋体" w:cs="宋体" w:eastAsia="宋体" w:hint="default"/>
                      <w:b/>
                      <w:bCs/>
                      <w:sz w:val="18"/>
                      <w:szCs w:val="18"/>
                    </w:rPr>
                    <w:t>；中国民生银行股份有限公司福州温泉支行</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605107102</w:t>
                  </w:r>
                  <w:r>
                    <w:rPr>
                      <w:rFonts w:ascii="宋体" w:hAnsi="宋体" w:cs="宋体" w:eastAsia="宋体" w:hint="default"/>
                      <w:b/>
                      <w:bCs/>
                      <w:sz w:val="18"/>
                      <w:szCs w:val="18"/>
                    </w:rPr>
                    <w:t>；兴业银行</w:t>
                  </w:r>
                  <w:r>
                    <w:rPr>
                      <w:rFonts w:ascii="宋体" w:hAnsi="宋体" w:cs="宋体" w:eastAsia="宋体" w:hint="default"/>
                      <w:b/>
                      <w:bCs/>
                      <w:w w:val="99"/>
                      <w:sz w:val="18"/>
                      <w:szCs w:val="18"/>
                    </w:rPr>
                    <w:t> </w:t>
                  </w:r>
                  <w:r>
                    <w:rPr>
                      <w:rFonts w:ascii="宋体" w:hAnsi="宋体" w:cs="宋体" w:eastAsia="宋体" w:hint="default"/>
                      <w:b/>
                      <w:bCs/>
                      <w:sz w:val="18"/>
                      <w:szCs w:val="18"/>
                    </w:rPr>
                    <w:t>股份有限公司福州华林支行</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117130100100255416</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的人民币账户里，支付其他发行费用人民币</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12,076,415.09</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元后，计募</w:t>
                  </w:r>
                  <w:r>
                    <w:rPr>
                      <w:rFonts w:ascii="宋体" w:hAnsi="宋体" w:cs="宋体" w:eastAsia="宋体" w:hint="default"/>
                      <w:sz w:val="18"/>
                      <w:szCs w:val="18"/>
                    </w:rPr>
                  </w:r>
                </w:p>
                <w:p>
                  <w:pPr>
                    <w:spacing w:before="13"/>
                    <w:ind w:left="105" w:right="0" w:firstLine="0"/>
                    <w:jc w:val="both"/>
                    <w:rPr>
                      <w:rFonts w:ascii="宋体" w:hAnsi="宋体" w:cs="宋体" w:eastAsia="宋体" w:hint="default"/>
                      <w:sz w:val="18"/>
                      <w:szCs w:val="18"/>
                    </w:rPr>
                  </w:pPr>
                  <w:r>
                    <w:rPr>
                      <w:rFonts w:ascii="宋体" w:hAnsi="宋体" w:cs="宋体" w:eastAsia="宋体" w:hint="default"/>
                      <w:b/>
                      <w:bCs/>
                      <w:spacing w:val="2"/>
                      <w:w w:val="99"/>
                      <w:sz w:val="18"/>
                      <w:szCs w:val="18"/>
                    </w:rPr>
                    <w:t>集</w:t>
                  </w:r>
                  <w:r>
                    <w:rPr>
                      <w:rFonts w:ascii="宋体" w:hAnsi="宋体" w:cs="宋体" w:eastAsia="宋体" w:hint="default"/>
                      <w:b/>
                      <w:bCs/>
                      <w:w w:val="99"/>
                      <w:sz w:val="18"/>
                      <w:szCs w:val="18"/>
                    </w:rPr>
                    <w:t>资金净</w:t>
                  </w:r>
                  <w:r>
                    <w:rPr>
                      <w:rFonts w:ascii="宋体" w:hAnsi="宋体" w:cs="宋体" w:eastAsia="宋体" w:hint="default"/>
                      <w:b/>
                      <w:bCs/>
                      <w:spacing w:val="2"/>
                      <w:w w:val="99"/>
                      <w:sz w:val="18"/>
                      <w:szCs w:val="18"/>
                    </w:rPr>
                    <w:t>额</w:t>
                  </w:r>
                  <w:r>
                    <w:rPr>
                      <w:rFonts w:ascii="宋体" w:hAnsi="宋体" w:cs="宋体" w:eastAsia="宋体" w:hint="default"/>
                      <w:b/>
                      <w:bCs/>
                      <w:w w:val="99"/>
                      <w:sz w:val="18"/>
                      <w:szCs w:val="18"/>
                    </w:rPr>
                    <w:t>为人</w:t>
                  </w:r>
                  <w:r>
                    <w:rPr>
                      <w:rFonts w:ascii="宋体" w:hAnsi="宋体" w:cs="宋体" w:eastAsia="宋体" w:hint="default"/>
                      <w:b/>
                      <w:bCs/>
                      <w:spacing w:val="2"/>
                      <w:w w:val="99"/>
                      <w:sz w:val="18"/>
                      <w:szCs w:val="18"/>
                    </w:rPr>
                    <w:t>民</w:t>
                  </w:r>
                  <w:r>
                    <w:rPr>
                      <w:rFonts w:ascii="宋体" w:hAnsi="宋体" w:cs="宋体" w:eastAsia="宋体" w:hint="default"/>
                      <w:b/>
                      <w:bCs/>
                      <w:w w:val="99"/>
                      <w:sz w:val="18"/>
                      <w:szCs w:val="18"/>
                    </w:rPr>
                    <w:t>币</w:t>
                  </w:r>
                  <w:r>
                    <w:rPr>
                      <w:rFonts w:ascii="宋体" w:hAnsi="宋体" w:cs="宋体" w:eastAsia="宋体" w:hint="default"/>
                      <w:b/>
                      <w:bCs/>
                      <w:spacing w:val="-44"/>
                      <w:sz w:val="18"/>
                      <w:szCs w:val="18"/>
                    </w:rPr>
                    <w:t> </w:t>
                  </w:r>
                  <w:r>
                    <w:rPr>
                      <w:rFonts w:ascii="Times New Roman" w:hAnsi="Times New Roman" w:cs="Times New Roman" w:eastAsia="Times New Roman" w:hint="default"/>
                      <w:b/>
                      <w:bCs/>
                      <w:spacing w:val="1"/>
                      <w:sz w:val="18"/>
                      <w:szCs w:val="18"/>
                    </w:rPr>
                    <w:t>3</w:t>
                  </w:r>
                  <w:r>
                    <w:rPr>
                      <w:rFonts w:ascii="Times New Roman" w:hAnsi="Times New Roman" w:cs="Times New Roman" w:eastAsia="Times New Roman" w:hint="default"/>
                      <w:b/>
                      <w:bCs/>
                      <w:spacing w:val="-2"/>
                      <w:sz w:val="18"/>
                      <w:szCs w:val="18"/>
                    </w:rPr>
                    <w:t>7</w:t>
                  </w:r>
                  <w:r>
                    <w:rPr>
                      <w:rFonts w:ascii="Times New Roman" w:hAnsi="Times New Roman" w:cs="Times New Roman" w:eastAsia="Times New Roman" w:hint="default"/>
                      <w:b/>
                      <w:bCs/>
                      <w:spacing w:val="1"/>
                      <w:sz w:val="18"/>
                      <w:szCs w:val="18"/>
                    </w:rPr>
                    <w:t>4</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b/>
                      <w:bCs/>
                      <w:spacing w:val="1"/>
                      <w:sz w:val="18"/>
                      <w:szCs w:val="18"/>
                    </w:rPr>
                    <w:t>0</w:t>
                  </w:r>
                  <w:r>
                    <w:rPr>
                      <w:rFonts w:ascii="Times New Roman" w:hAnsi="Times New Roman" w:cs="Times New Roman" w:eastAsia="Times New Roman" w:hint="default"/>
                      <w:b/>
                      <w:bCs/>
                      <w:spacing w:val="-2"/>
                      <w:sz w:val="18"/>
                      <w:szCs w:val="18"/>
                    </w:rPr>
                    <w:t>9</w:t>
                  </w:r>
                  <w:r>
                    <w:rPr>
                      <w:rFonts w:ascii="Times New Roman" w:hAnsi="Times New Roman" w:cs="Times New Roman" w:eastAsia="Times New Roman" w:hint="default"/>
                      <w:b/>
                      <w:bCs/>
                      <w:spacing w:val="1"/>
                      <w:sz w:val="18"/>
                      <w:szCs w:val="18"/>
                    </w:rPr>
                    <w:t>0</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
                      <w:sz w:val="18"/>
                      <w:szCs w:val="18"/>
                    </w:rPr>
                    <w:t>0</w:t>
                  </w:r>
                  <w:r>
                    <w:rPr>
                      <w:rFonts w:ascii="Times New Roman" w:hAnsi="Times New Roman" w:cs="Times New Roman" w:eastAsia="Times New Roman" w:hint="default"/>
                      <w:b/>
                      <w:bCs/>
                      <w:spacing w:val="1"/>
                      <w:sz w:val="18"/>
                      <w:szCs w:val="18"/>
                    </w:rPr>
                    <w:t>00</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b/>
                      <w:bCs/>
                      <w:spacing w:val="1"/>
                      <w:sz w:val="18"/>
                      <w:szCs w:val="18"/>
                    </w:rPr>
                    <w:t>0</w:t>
                  </w:r>
                  <w:r>
                    <w:rPr>
                      <w:rFonts w:ascii="Times New Roman" w:hAnsi="Times New Roman" w:cs="Times New Roman" w:eastAsia="Times New Roman" w:hint="default"/>
                      <w:b/>
                      <w:bCs/>
                      <w:sz w:val="18"/>
                      <w:szCs w:val="18"/>
                    </w:rPr>
                    <w:t>0</w:t>
                  </w:r>
                  <w:r>
                    <w:rPr>
                      <w:rFonts w:ascii="Times New Roman" w:hAnsi="Times New Roman" w:cs="Times New Roman" w:eastAsia="Times New Roman" w:hint="default"/>
                      <w:b/>
                      <w:bCs/>
                      <w:spacing w:val="1"/>
                      <w:sz w:val="18"/>
                      <w:szCs w:val="18"/>
                    </w:rPr>
                    <w:t> </w:t>
                  </w:r>
                  <w:r>
                    <w:rPr>
                      <w:rFonts w:ascii="宋体" w:hAnsi="宋体" w:cs="宋体" w:eastAsia="宋体" w:hint="default"/>
                      <w:b/>
                      <w:bCs/>
                      <w:w w:val="99"/>
                      <w:sz w:val="18"/>
                      <w:szCs w:val="18"/>
                    </w:rPr>
                    <w:t>元。</w:t>
                  </w:r>
                  <w:r>
                    <w:rPr>
                      <w:rFonts w:ascii="宋体" w:hAnsi="宋体" w:cs="宋体" w:eastAsia="宋体" w:hint="default"/>
                      <w:b/>
                      <w:bCs/>
                      <w:spacing w:val="2"/>
                      <w:w w:val="99"/>
                      <w:sz w:val="18"/>
                      <w:szCs w:val="18"/>
                    </w:rPr>
                    <w:t>上</w:t>
                  </w:r>
                  <w:r>
                    <w:rPr>
                      <w:rFonts w:ascii="宋体" w:hAnsi="宋体" w:cs="宋体" w:eastAsia="宋体" w:hint="default"/>
                      <w:b/>
                      <w:bCs/>
                      <w:w w:val="99"/>
                      <w:sz w:val="18"/>
                      <w:szCs w:val="18"/>
                    </w:rPr>
                    <w:t>述资</w:t>
                  </w: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到位</w:t>
                  </w:r>
                  <w:r>
                    <w:rPr>
                      <w:rFonts w:ascii="宋体" w:hAnsi="宋体" w:cs="宋体" w:eastAsia="宋体" w:hint="default"/>
                      <w:b/>
                      <w:bCs/>
                      <w:spacing w:val="2"/>
                      <w:w w:val="99"/>
                      <w:sz w:val="18"/>
                      <w:szCs w:val="18"/>
                    </w:rPr>
                    <w:t>情</w:t>
                  </w:r>
                  <w:r>
                    <w:rPr>
                      <w:rFonts w:ascii="宋体" w:hAnsi="宋体" w:cs="宋体" w:eastAsia="宋体" w:hint="default"/>
                      <w:b/>
                      <w:bCs/>
                      <w:w w:val="99"/>
                      <w:sz w:val="18"/>
                      <w:szCs w:val="18"/>
                    </w:rPr>
                    <w:t>况业</w:t>
                  </w:r>
                  <w:r>
                    <w:rPr>
                      <w:rFonts w:ascii="宋体" w:hAnsi="宋体" w:cs="宋体" w:eastAsia="宋体" w:hint="default"/>
                      <w:b/>
                      <w:bCs/>
                      <w:spacing w:val="2"/>
                      <w:w w:val="99"/>
                      <w:sz w:val="18"/>
                      <w:szCs w:val="18"/>
                    </w:rPr>
                    <w:t>经</w:t>
                  </w:r>
                  <w:r>
                    <w:rPr>
                      <w:rFonts w:ascii="宋体" w:hAnsi="宋体" w:cs="宋体" w:eastAsia="宋体" w:hint="default"/>
                      <w:b/>
                      <w:bCs/>
                      <w:w w:val="99"/>
                      <w:sz w:val="18"/>
                      <w:szCs w:val="18"/>
                    </w:rPr>
                    <w:t>大华会</w:t>
                  </w:r>
                  <w:r>
                    <w:rPr>
                      <w:rFonts w:ascii="宋体" w:hAnsi="宋体" w:cs="宋体" w:eastAsia="宋体" w:hint="default"/>
                      <w:b/>
                      <w:bCs/>
                      <w:spacing w:val="2"/>
                      <w:w w:val="99"/>
                      <w:sz w:val="18"/>
                      <w:szCs w:val="18"/>
                    </w:rPr>
                    <w:t>计</w:t>
                  </w:r>
                  <w:r>
                    <w:rPr>
                      <w:rFonts w:ascii="宋体" w:hAnsi="宋体" w:cs="宋体" w:eastAsia="宋体" w:hint="default"/>
                      <w:b/>
                      <w:bCs/>
                      <w:w w:val="99"/>
                      <w:sz w:val="18"/>
                      <w:szCs w:val="18"/>
                    </w:rPr>
                    <w:t>师事</w:t>
                  </w:r>
                  <w:r>
                    <w:rPr>
                      <w:rFonts w:ascii="宋体" w:hAnsi="宋体" w:cs="宋体" w:eastAsia="宋体" w:hint="default"/>
                      <w:b/>
                      <w:bCs/>
                      <w:spacing w:val="2"/>
                      <w:w w:val="99"/>
                      <w:sz w:val="18"/>
                      <w:szCs w:val="18"/>
                    </w:rPr>
                    <w:t>务</w:t>
                  </w:r>
                  <w:r>
                    <w:rPr>
                      <w:rFonts w:ascii="宋体" w:hAnsi="宋体" w:cs="宋体" w:eastAsia="宋体" w:hint="default"/>
                      <w:b/>
                      <w:bCs/>
                      <w:w w:val="99"/>
                      <w:sz w:val="18"/>
                      <w:szCs w:val="18"/>
                    </w:rPr>
                    <w:t>所（</w:t>
                  </w:r>
                  <w:r>
                    <w:rPr>
                      <w:rFonts w:ascii="宋体" w:hAnsi="宋体" w:cs="宋体" w:eastAsia="宋体" w:hint="default"/>
                      <w:b/>
                      <w:bCs/>
                      <w:spacing w:val="2"/>
                      <w:w w:val="99"/>
                      <w:sz w:val="18"/>
                      <w:szCs w:val="18"/>
                    </w:rPr>
                    <w:t>特</w:t>
                  </w:r>
                  <w:r>
                    <w:rPr>
                      <w:rFonts w:ascii="宋体" w:hAnsi="宋体" w:cs="宋体" w:eastAsia="宋体" w:hint="default"/>
                      <w:b/>
                      <w:bCs/>
                      <w:w w:val="99"/>
                      <w:sz w:val="18"/>
                      <w:szCs w:val="18"/>
                    </w:rPr>
                    <w:t>殊普</w:t>
                  </w:r>
                  <w:r>
                    <w:rPr>
                      <w:rFonts w:ascii="宋体" w:hAnsi="宋体" w:cs="宋体" w:eastAsia="宋体" w:hint="default"/>
                      <w:b/>
                      <w:bCs/>
                      <w:spacing w:val="2"/>
                      <w:w w:val="99"/>
                      <w:sz w:val="18"/>
                      <w:szCs w:val="18"/>
                    </w:rPr>
                    <w:t>通</w:t>
                  </w:r>
                  <w:r>
                    <w:rPr>
                      <w:rFonts w:ascii="宋体" w:hAnsi="宋体" w:cs="宋体" w:eastAsia="宋体" w:hint="default"/>
                      <w:b/>
                      <w:bCs/>
                      <w:w w:val="99"/>
                      <w:sz w:val="18"/>
                      <w:szCs w:val="18"/>
                    </w:rPr>
                    <w:t>合</w:t>
                  </w:r>
                  <w:r>
                    <w:rPr>
                      <w:rFonts w:ascii="宋体" w:hAnsi="宋体" w:cs="宋体" w:eastAsia="宋体" w:hint="default"/>
                      <w:b/>
                      <w:bCs/>
                      <w:spacing w:val="2"/>
                      <w:w w:val="99"/>
                      <w:sz w:val="18"/>
                      <w:szCs w:val="18"/>
                    </w:rPr>
                    <w:t>伙</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）验</w:t>
                  </w:r>
                  <w:r>
                    <w:rPr>
                      <w:rFonts w:ascii="宋体" w:hAnsi="宋体" w:cs="宋体" w:eastAsia="宋体" w:hint="default"/>
                      <w:b/>
                      <w:bCs/>
                      <w:spacing w:val="2"/>
                      <w:w w:val="99"/>
                      <w:sz w:val="18"/>
                      <w:szCs w:val="18"/>
                    </w:rPr>
                    <w:t>证</w:t>
                  </w:r>
                  <w:r>
                    <w:rPr>
                      <w:rFonts w:ascii="宋体" w:hAnsi="宋体" w:cs="宋体" w:eastAsia="宋体" w:hint="default"/>
                      <w:b/>
                      <w:bCs/>
                      <w:w w:val="99"/>
                      <w:sz w:val="18"/>
                      <w:szCs w:val="18"/>
                    </w:rPr>
                    <w:t>，并</w:t>
                  </w:r>
                  <w:r>
                    <w:rPr>
                      <w:rFonts w:ascii="宋体" w:hAnsi="宋体" w:cs="宋体" w:eastAsia="宋体" w:hint="default"/>
                      <w:b/>
                      <w:bCs/>
                      <w:spacing w:val="2"/>
                      <w:w w:val="99"/>
                      <w:sz w:val="18"/>
                      <w:szCs w:val="18"/>
                    </w:rPr>
                    <w:t>出</w:t>
                  </w:r>
                  <w:r>
                    <w:rPr>
                      <w:rFonts w:ascii="宋体" w:hAnsi="宋体" w:cs="宋体" w:eastAsia="宋体" w:hint="default"/>
                      <w:b/>
                      <w:bCs/>
                      <w:w w:val="99"/>
                      <w:sz w:val="18"/>
                      <w:szCs w:val="18"/>
                    </w:rPr>
                    <w:t>具了</w:t>
                  </w:r>
                  <w:r>
                    <w:rPr>
                      <w:rFonts w:ascii="宋体" w:hAnsi="宋体" w:cs="宋体" w:eastAsia="宋体" w:hint="default"/>
                      <w:sz w:val="18"/>
                      <w:szCs w:val="18"/>
                    </w:rPr>
                  </w:r>
                </w:p>
                <w:p>
                  <w:pPr>
                    <w:spacing w:before="63"/>
                    <w:ind w:left="105" w:right="0" w:firstLine="0"/>
                    <w:jc w:val="both"/>
                    <w:rPr>
                      <w:rFonts w:ascii="宋体" w:hAnsi="宋体" w:cs="宋体" w:eastAsia="宋体" w:hint="default"/>
                      <w:sz w:val="18"/>
                      <w:szCs w:val="18"/>
                    </w:rPr>
                  </w:pPr>
                  <w:r>
                    <w:rPr>
                      <w:rFonts w:ascii="宋体" w:hAnsi="宋体" w:cs="宋体" w:eastAsia="宋体" w:hint="default"/>
                      <w:b/>
                      <w:bCs/>
                      <w:sz w:val="18"/>
                      <w:szCs w:val="18"/>
                    </w:rPr>
                    <w:t>大华验字 </w:t>
                  </w:r>
                  <w:r>
                    <w:rPr>
                      <w:rFonts w:ascii="Times New Roman" w:hAnsi="Times New Roman" w:cs="Times New Roman" w:eastAsia="Times New Roman" w:hint="default"/>
                      <w:b/>
                      <w:bCs/>
                      <w:sz w:val="18"/>
                      <w:szCs w:val="18"/>
                    </w:rPr>
                    <w:t>[2017]000743</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号验资报告。</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before="0"/>
                    <w:ind w:left="466" w:right="0" w:firstLine="0"/>
                    <w:jc w:val="left"/>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日，公司对募集资金项目累计投入</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23,760,000.00 </w:t>
                  </w:r>
                  <w:r>
                    <w:rPr>
                      <w:rFonts w:ascii="宋体" w:hAnsi="宋体" w:cs="宋体" w:eastAsia="宋体" w:hint="default"/>
                      <w:b/>
                      <w:bCs/>
                      <w:sz w:val="18"/>
                      <w:szCs w:val="18"/>
                    </w:rPr>
                    <w:t>元，其中：公司偿还银行贷款项目</w:t>
                  </w:r>
                  <w:r>
                    <w:rPr>
                      <w:rFonts w:ascii="宋体" w:hAnsi="宋体" w:cs="宋体" w:eastAsia="宋体" w:hint="default"/>
                      <w:sz w:val="18"/>
                      <w:szCs w:val="18"/>
                    </w:rPr>
                  </w:r>
                </w:p>
                <w:p>
                  <w:pPr>
                    <w:spacing w:before="63"/>
                    <w:ind w:left="105"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23,760,000.00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元，本年度使用募集资金</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23,760,000.00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before="0"/>
                    <w:ind w:left="466" w:right="0" w:firstLine="0"/>
                    <w:jc w:val="left"/>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日，公司累计收到募集专户利息收入</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144,264.56 </w:t>
                  </w:r>
                  <w:r>
                    <w:rPr>
                      <w:rFonts w:ascii="宋体" w:hAnsi="宋体" w:cs="宋体" w:eastAsia="宋体" w:hint="default"/>
                      <w:b/>
                      <w:bCs/>
                      <w:sz w:val="18"/>
                      <w:szCs w:val="18"/>
                    </w:rPr>
                    <w:t>元，累计扣除银行手续费</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263.87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元，募集资</w:t>
                  </w:r>
                  <w:r>
                    <w:rPr>
                      <w:rFonts w:ascii="宋体" w:hAnsi="宋体" w:cs="宋体" w:eastAsia="宋体" w:hint="default"/>
                      <w:sz w:val="18"/>
                      <w:szCs w:val="18"/>
                    </w:rPr>
                  </w:r>
                </w:p>
                <w:p>
                  <w:pPr>
                    <w:spacing w:before="63"/>
                    <w:ind w:left="105" w:right="0" w:firstLine="0"/>
                    <w:jc w:val="both"/>
                    <w:rPr>
                      <w:rFonts w:ascii="宋体" w:hAnsi="宋体" w:cs="宋体" w:eastAsia="宋体" w:hint="default"/>
                      <w:sz w:val="18"/>
                      <w:szCs w:val="18"/>
                    </w:rPr>
                  </w:pPr>
                  <w:r>
                    <w:rPr>
                      <w:rFonts w:ascii="宋体" w:hAnsi="宋体" w:cs="宋体" w:eastAsia="宋体" w:hint="default"/>
                      <w:b/>
                      <w:bCs/>
                      <w:sz w:val="18"/>
                      <w:szCs w:val="18"/>
                    </w:rPr>
                    <w:t>金累计利息收入净额为</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144,000.68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10"/>
                    <w:rPr>
                      <w:rFonts w:ascii="宋体" w:hAnsi="宋体" w:cs="宋体" w:eastAsia="宋体" w:hint="default"/>
                      <w:sz w:val="16"/>
                      <w:szCs w:val="16"/>
                    </w:rPr>
                  </w:pPr>
                </w:p>
                <w:p>
                  <w:pPr>
                    <w:spacing w:before="0"/>
                    <w:ind w:left="466" w:right="0" w:firstLine="0"/>
                    <w:jc w:val="left"/>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日，公司未使用的募集资金余额为</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350,474,000.68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其中：保本理财性结构性存款招商银行</w:t>
                  </w:r>
                  <w:r>
                    <w:rPr>
                      <w:rFonts w:ascii="宋体" w:hAnsi="宋体" w:cs="宋体" w:eastAsia="宋体" w:hint="default"/>
                      <w:sz w:val="18"/>
                      <w:szCs w:val="18"/>
                    </w:rPr>
                  </w:r>
                </w:p>
                <w:p>
                  <w:pPr>
                    <w:spacing w:before="63"/>
                    <w:ind w:left="105"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12000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万元，民生银行</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18000</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万元，其余金额均存储在募集资金专户。</w:t>
                  </w:r>
                  <w:r>
                    <w:rPr>
                      <w:rFonts w:ascii="宋体" w:hAnsi="宋体" w:cs="宋体" w:eastAsia="宋体" w:hint="default"/>
                      <w:sz w:val="18"/>
                      <w:szCs w:val="18"/>
                    </w:rPr>
                  </w:r>
                </w:p>
              </w:txbxContent>
            </v:textbox>
          </v:shape>
        </w:pict>
      </w:r>
      <w:r>
        <w:rPr>
          <w:rFonts w:ascii="宋体" w:hAnsi="宋体" w:cs="宋体" w:eastAsia="宋体" w:hint="default"/>
          <w:position w:val="-80"/>
          <w:sz w:val="20"/>
          <w:szCs w:val="20"/>
        </w:rPr>
      </w:r>
    </w:p>
    <w:p>
      <w:pPr>
        <w:spacing w:line="240" w:lineRule="auto" w:before="8"/>
        <w:rPr>
          <w:rFonts w:ascii="宋体" w:hAnsi="宋体" w:cs="宋体" w:eastAsia="宋体" w:hint="default"/>
          <w:sz w:val="8"/>
          <w:szCs w:val="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pStyle w:val="BodyText"/>
        <w:spacing w:line="240" w:lineRule="auto" w:before="19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13"/>
          <w:szCs w:val="13"/>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769"/>
        <w:gridCol w:w="780"/>
        <w:gridCol w:w="781"/>
        <w:gridCol w:w="780"/>
        <w:gridCol w:w="778"/>
        <w:gridCol w:w="780"/>
        <w:gridCol w:w="780"/>
        <w:gridCol w:w="780"/>
        <w:gridCol w:w="781"/>
        <w:gridCol w:w="780"/>
        <w:gridCol w:w="780"/>
      </w:tblGrid>
      <w:tr>
        <w:trPr>
          <w:trHeight w:val="157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2"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8"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26" w:lineRule="auto"/>
              <w:ind w:left="28"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8"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8" w:right="2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8" w:right="1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8" w:right="1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635"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25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勘察设计能力提升及 研发中心建设项目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偿还银行贷款项目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37,409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3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37,409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永福股份于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日在深圳证券交易所创业板上市，截至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日，勘察设计</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769"/>
        <w:gridCol w:w="7799"/>
      </w:tblGrid>
      <w:tr>
        <w:trPr>
          <w:trHeight w:val="790"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88"/>
              <w:jc w:val="left"/>
              <w:rPr>
                <w:rFonts w:ascii="宋体" w:hAnsi="宋体" w:cs="宋体" w:eastAsia="宋体" w:hint="default"/>
                <w:sz w:val="18"/>
                <w:szCs w:val="18"/>
              </w:rPr>
            </w:pPr>
            <w:r>
              <w:rPr>
                <w:rFonts w:ascii="宋体" w:hAnsi="宋体" w:cs="宋体" w:eastAsia="宋体" w:hint="default"/>
                <w:sz w:val="18"/>
                <w:szCs w:val="18"/>
              </w:rPr>
              <w:t>能力提升及研发中心建设项目、</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工程总承包项目尚处于前期准备阶段，暂未实施。偿还银行 贷款项目已实施完毕，不直接产生收益。</w:t>
            </w: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6"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69"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69"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319" w:lineRule="auto"/>
              <w:ind w:left="24"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7"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日，公司购买招商银行结构性存款金额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万元，购买民生银行结构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性存款金额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万元，其余尚未使用的募集资金存放放于募集资金专户中。</w:t>
            </w:r>
          </w:p>
        </w:tc>
      </w:tr>
      <w:tr>
        <w:trPr>
          <w:trHeight w:val="125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8"/>
          <w:szCs w:val="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公司报告期不存在募集资金变更项目情况。</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六、重大资产和股权出售</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465" w:lineRule="auto" w:before="198"/>
        <w:ind w:left="152" w:right="7434"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pStyle w:val="BodyText"/>
        <w:spacing w:line="215" w:lineRule="exact"/>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七、主要控股参股公司分析</w:t>
      </w:r>
      <w:r>
        <w:rPr>
          <w:b w:val="0"/>
          <w:bCs w:val="0"/>
        </w:rPr>
      </w:r>
    </w:p>
    <w:p>
      <w:pPr>
        <w:pStyle w:val="BodyText"/>
        <w:spacing w:line="477" w:lineRule="auto" w:before="202"/>
        <w:ind w:right="5634"/>
        <w:jc w:val="left"/>
      </w:pPr>
      <w:r>
        <w:rPr/>
        <w:t>□ 适用 √</w:t>
      </w:r>
      <w:r>
        <w:rPr>
          <w:spacing w:val="3"/>
        </w:rPr>
        <w:t> </w:t>
      </w:r>
      <w:r>
        <w:rPr/>
        <w:t>不适用</w:t>
      </w:r>
      <w:r>
        <w:rPr/>
        <w:t> 公司报告期内无应当披露的重要控股参股公司信息。</w:t>
      </w:r>
    </w:p>
    <w:p>
      <w:pPr>
        <w:pStyle w:val="Heading2"/>
        <w:spacing w:line="240" w:lineRule="auto" w:before="5"/>
        <w:ind w:right="0"/>
        <w:jc w:val="left"/>
        <w:rPr>
          <w:b w:val="0"/>
          <w:bCs w:val="0"/>
        </w:rPr>
      </w:pPr>
      <w:r>
        <w:rPr/>
        <w:t>八、公司控制的结构化主体情况</w:t>
      </w:r>
      <w:r>
        <w:rPr>
          <w:b w:val="0"/>
          <w:bCs w:val="0"/>
        </w:rPr>
      </w:r>
    </w:p>
    <w:p>
      <w:pPr>
        <w:pStyle w:val="BodyText"/>
        <w:spacing w:line="240" w:lineRule="auto" w:before="202"/>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九、公司未来发展的展望</w:t>
      </w:r>
      <w:r>
        <w:rPr>
          <w:b w:val="0"/>
          <w:bCs w:val="0"/>
        </w:rPr>
      </w:r>
    </w:p>
    <w:p>
      <w:pPr>
        <w:pStyle w:val="Heading3"/>
        <w:spacing w:line="240" w:lineRule="auto" w:before="181"/>
        <w:ind w:left="452" w:right="7346"/>
        <w:jc w:val="center"/>
        <w:rPr>
          <w:b w:val="0"/>
          <w:bCs w:val="0"/>
        </w:rPr>
      </w:pPr>
      <w:r>
        <w:rPr/>
        <w:t>（一）行业格局和趋势</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452" w:right="7252"/>
        <w:jc w:val="center"/>
      </w:pPr>
      <w:r>
        <w:rPr>
          <w:rFonts w:ascii="Times New Roman" w:hAnsi="Times New Roman" w:cs="Times New Roman" w:eastAsia="Times New Roman" w:hint="default"/>
        </w:rPr>
        <w:t>1</w:t>
      </w:r>
      <w:r>
        <w:rPr/>
        <w:t>、电力行业市场环境</w:t>
      </w:r>
    </w:p>
    <w:p>
      <w:pPr>
        <w:pStyle w:val="Heading4"/>
        <w:spacing w:line="264" w:lineRule="auto" w:before="177"/>
        <w:ind w:right="146" w:firstLine="420"/>
        <w:jc w:val="both"/>
      </w:pPr>
      <w:r>
        <w:rPr>
          <w:rFonts w:ascii="Times New Roman" w:hAnsi="Times New Roman" w:cs="Times New Roman" w:eastAsia="Times New Roman" w:hint="default"/>
          <w:w w:val="100"/>
        </w:rPr>
        <w:t>2016 </w:t>
      </w:r>
      <w:r>
        <w:rPr>
          <w:w w:val="100"/>
        </w:rPr>
        <w:t>年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w w:val="100"/>
        </w:rPr>
        <w:t> </w:t>
      </w:r>
      <w:r>
        <w:rPr>
          <w:spacing w:val="-2"/>
          <w:w w:val="100"/>
        </w:rPr>
        <w:t>月，国家发改委、国家能源局联合发布《电力发展“十三五”规划（</w:t>
      </w:r>
      <w:r>
        <w:rPr>
          <w:rFonts w:ascii="Times New Roman" w:hAnsi="Times New Roman" w:cs="Times New Roman" w:eastAsia="Times New Roman" w:hint="default"/>
          <w:spacing w:val="-2"/>
          <w:w w:val="100"/>
        </w:rPr>
        <w:t>2016-2020</w:t>
      </w:r>
      <w:r>
        <w:rPr>
          <w:rFonts w:ascii="Times New Roman" w:hAnsi="Times New Roman" w:cs="Times New Roman" w:eastAsia="Times New Roman" w:hint="default"/>
          <w:spacing w:val="-9"/>
          <w:w w:val="100"/>
        </w:rPr>
        <w:t> </w:t>
      </w:r>
      <w:r>
        <w:rPr>
          <w:spacing w:val="-23"/>
          <w:w w:val="100"/>
        </w:rPr>
        <w:t>年）》中明</w:t>
      </w:r>
      <w:r>
        <w:rPr>
          <w:w w:val="100"/>
        </w:rPr>
        <w:t> </w:t>
      </w:r>
      <w:r>
        <w:rPr>
          <w:spacing w:val="-2"/>
        </w:rPr>
        <w:t>确提出“十三五”期间电力发展应立足于电源结构清洁化、电力系统智能化、电力发展国际化及机制体制</w:t>
      </w:r>
      <w:r>
        <w:rPr>
          <w:spacing w:val="-47"/>
        </w:rPr>
        <w:t> </w:t>
      </w:r>
      <w:r>
        <w:rPr>
          <w:spacing w:val="-47"/>
        </w:rPr>
      </w:r>
      <w:r>
        <w:rPr/>
        <w:t>市场化。</w:t>
      </w:r>
    </w:p>
    <w:p>
      <w:pPr>
        <w:pStyle w:val="Heading4"/>
        <w:spacing w:line="256" w:lineRule="auto" w:before="172"/>
        <w:ind w:right="146" w:firstLine="420"/>
        <w:jc w:val="both"/>
      </w:pPr>
      <w:r>
        <w:rPr>
          <w:spacing w:val="-3"/>
        </w:rPr>
        <w:t>为保障全面建成小康社会的电力电量需求，预计 </w:t>
      </w:r>
      <w:r>
        <w:rPr>
          <w:rFonts w:ascii="Times New Roman" w:hAnsi="Times New Roman" w:cs="Times New Roman" w:eastAsia="Times New Roman" w:hint="default"/>
        </w:rPr>
        <w:t>2020 </w:t>
      </w:r>
      <w:r>
        <w:rPr/>
        <w:t>年全社会用电量 </w:t>
      </w:r>
      <w:r>
        <w:rPr>
          <w:rFonts w:ascii="Times New Roman" w:hAnsi="Times New Roman" w:cs="Times New Roman" w:eastAsia="Times New Roman" w:hint="default"/>
        </w:rPr>
        <w:t>6.8-7.2 </w:t>
      </w:r>
      <w:r>
        <w:rPr>
          <w:spacing w:val="-4"/>
        </w:rPr>
        <w:t>万亿千瓦时，全国发电</w:t>
      </w:r>
      <w:r>
        <w:rPr>
          <w:w w:val="100"/>
        </w:rPr>
        <w:t> </w:t>
      </w:r>
      <w:r>
        <w:rPr/>
        <w:t>装机容量 </w:t>
      </w:r>
      <w:r>
        <w:rPr>
          <w:rFonts w:ascii="Times New Roman" w:hAnsi="Times New Roman" w:cs="Times New Roman" w:eastAsia="Times New Roman" w:hint="default"/>
        </w:rPr>
        <w:t>20 </w:t>
      </w:r>
      <w:r>
        <w:rPr/>
        <w:t>亿千瓦，人均用电量接近中等发达国家水平；非化石能源装机占比达到</w:t>
      </w:r>
      <w:r>
        <w:rPr>
          <w:spacing w:val="-47"/>
        </w:rPr>
        <w:t> </w:t>
      </w:r>
      <w:r>
        <w:rPr>
          <w:rFonts w:ascii="Times New Roman" w:hAnsi="Times New Roman" w:cs="Times New Roman" w:eastAsia="Times New Roman" w:hint="default"/>
        </w:rPr>
        <w:t>39%</w:t>
      </w:r>
      <w:r>
        <w:rPr/>
        <w:t>，煤电装机占比</w:t>
      </w:r>
      <w:r>
        <w:rPr>
          <w:w w:val="100"/>
        </w:rPr>
        <w:t> </w:t>
      </w:r>
      <w:r>
        <w:rPr>
          <w:spacing w:val="-1"/>
        </w:rPr>
        <w:t>下降至</w:t>
      </w:r>
      <w:r>
        <w:rPr>
          <w:spacing w:val="9"/>
        </w:rPr>
        <w:t> </w:t>
      </w:r>
      <w:r>
        <w:rPr>
          <w:rFonts w:ascii="Times New Roman" w:hAnsi="Times New Roman" w:cs="Times New Roman" w:eastAsia="Times New Roman" w:hint="default"/>
          <w:spacing w:val="-2"/>
        </w:rPr>
        <w:t>55%</w:t>
      </w:r>
      <w:r>
        <w:rPr>
          <w:spacing w:val="-2"/>
        </w:rPr>
        <w:t>。电力能源需求的增长将促进电力工程勘察设计行业的持续发展。</w:t>
      </w:r>
    </w:p>
    <w:p>
      <w:pPr>
        <w:pStyle w:val="Heading4"/>
        <w:spacing w:line="240" w:lineRule="auto" w:before="161"/>
        <w:ind w:left="573" w:right="0"/>
        <w:jc w:val="left"/>
      </w:pPr>
      <w:r>
        <w:rPr/>
        <w:t>国家十二五及十三五电力装机结构及发展趋势（单位：万千瓦）</w:t>
      </w:r>
    </w:p>
    <w:p>
      <w:pPr>
        <w:spacing w:line="240" w:lineRule="auto" w:before="9"/>
        <w:rPr>
          <w:rFonts w:ascii="宋体" w:hAnsi="宋体" w:cs="宋体" w:eastAsia="宋体" w:hint="default"/>
          <w:sz w:val="15"/>
          <w:szCs w:val="15"/>
        </w:rPr>
      </w:pPr>
    </w:p>
    <w:tbl>
      <w:tblPr>
        <w:tblW w:w="0" w:type="auto"/>
        <w:jc w:val="left"/>
        <w:tblInd w:w="616" w:type="dxa"/>
        <w:tblLayout w:type="fixed"/>
        <w:tblCellMar>
          <w:top w:w="0" w:type="dxa"/>
          <w:left w:w="0" w:type="dxa"/>
          <w:bottom w:w="0" w:type="dxa"/>
          <w:right w:w="0" w:type="dxa"/>
        </w:tblCellMar>
        <w:tblLook w:val="01E0"/>
      </w:tblPr>
      <w:tblGrid>
        <w:gridCol w:w="1210"/>
        <w:gridCol w:w="936"/>
        <w:gridCol w:w="937"/>
        <w:gridCol w:w="938"/>
        <w:gridCol w:w="936"/>
        <w:gridCol w:w="938"/>
        <w:gridCol w:w="936"/>
        <w:gridCol w:w="937"/>
        <w:gridCol w:w="936"/>
      </w:tblGrid>
      <w:tr>
        <w:trPr>
          <w:trHeight w:val="529"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2011</w:t>
            </w:r>
            <w:r>
              <w:rPr>
                <w:rFonts w:ascii="Times New Roman"/>
                <w:sz w:val="18"/>
              </w:rPr>
            </w:r>
          </w:p>
        </w:tc>
        <w:tc>
          <w:tcPr>
            <w:tcW w:w="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2012</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2013</w:t>
            </w:r>
            <w:r>
              <w:rPr>
                <w:rFonts w:ascii="Times New Roman"/>
                <w:sz w:val="18"/>
              </w:rPr>
            </w:r>
          </w:p>
        </w:tc>
        <w:tc>
          <w:tcPr>
            <w:tcW w:w="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2014</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2015</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b/>
                <w:sz w:val="18"/>
              </w:rPr>
              <w:t>2016</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b/>
                <w:sz w:val="18"/>
              </w:rPr>
              <w:t>2020</w:t>
            </w:r>
            <w:r>
              <w:rPr>
                <w:rFonts w:ascii="Times New Roman"/>
                <w:sz w:val="18"/>
              </w:rPr>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水电</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21606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23298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24947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28044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30486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31954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33211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38000</w:t>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火电</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70967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76834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81968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87009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92363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100554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105388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121000</w:t>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核电</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1082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1257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1257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1466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2008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2717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3364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5800</w:t>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风电</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2958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4623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6142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7652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9657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13075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14864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21000</w:t>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太阳能发电</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212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1589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2805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4318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7742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11000</w:t>
            </w:r>
          </w:p>
        </w:tc>
      </w:tr>
      <w:tr>
        <w:trPr>
          <w:trHeight w:val="5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b/>
                <w:bCs/>
                <w:sz w:val="18"/>
                <w:szCs w:val="18"/>
              </w:rPr>
              <w:t>总量</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96641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106253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114676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125768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137018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152527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164575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200000</w:t>
            </w:r>
          </w:p>
        </w:tc>
      </w:tr>
    </w:tbl>
    <w:p>
      <w:pPr>
        <w:pStyle w:val="Heading4"/>
        <w:spacing w:line="240" w:lineRule="auto" w:before="38"/>
        <w:ind w:left="573" w:right="0"/>
        <w:jc w:val="left"/>
      </w:pPr>
      <w:r>
        <w:rPr>
          <w:w w:val="100"/>
        </w:rPr>
        <w:t>数据</w:t>
      </w:r>
      <w:r>
        <w:rPr>
          <w:spacing w:val="-3"/>
          <w:w w:val="100"/>
        </w:rPr>
        <w:t>来</w:t>
      </w:r>
      <w:r>
        <w:rPr>
          <w:w w:val="100"/>
        </w:rPr>
        <w:t>源</w:t>
      </w:r>
      <w:r>
        <w:rPr>
          <w:spacing w:val="-3"/>
          <w:w w:val="100"/>
        </w:rPr>
        <w:t>：</w:t>
      </w:r>
      <w:r>
        <w:rPr>
          <w:w w:val="100"/>
        </w:rPr>
        <w:t>数</w:t>
      </w:r>
      <w:r>
        <w:rPr>
          <w:spacing w:val="-3"/>
          <w:w w:val="100"/>
        </w:rPr>
        <w:t>据</w:t>
      </w:r>
      <w:r>
        <w:rPr>
          <w:w w:val="100"/>
        </w:rPr>
        <w:t>来</w:t>
      </w:r>
      <w:r>
        <w:rPr>
          <w:spacing w:val="-3"/>
          <w:w w:val="100"/>
        </w:rPr>
        <w:t>自</w:t>
      </w:r>
      <w:r>
        <w:rPr>
          <w:w w:val="100"/>
        </w:rPr>
        <w:t>《</w:t>
      </w:r>
      <w:r>
        <w:rPr>
          <w:spacing w:val="-3"/>
          <w:w w:val="100"/>
        </w:rPr>
        <w:t>电</w:t>
      </w:r>
      <w:r>
        <w:rPr>
          <w:w w:val="100"/>
        </w:rPr>
        <w:t>力发</w:t>
      </w:r>
      <w:r>
        <w:rPr>
          <w:spacing w:val="-3"/>
          <w:w w:val="100"/>
        </w:rPr>
        <w:t>展</w:t>
      </w:r>
      <w:r>
        <w:rPr>
          <w:w w:val="100"/>
        </w:rPr>
        <w:t>“</w:t>
      </w:r>
      <w:r>
        <w:rPr>
          <w:spacing w:val="-3"/>
          <w:w w:val="100"/>
        </w:rPr>
        <w:t>十</w:t>
      </w:r>
      <w:r>
        <w:rPr>
          <w:w w:val="100"/>
        </w:rPr>
        <w:t>三</w:t>
      </w:r>
      <w:r>
        <w:rPr>
          <w:spacing w:val="-3"/>
          <w:w w:val="100"/>
        </w:rPr>
        <w:t>五</w:t>
      </w:r>
      <w:r>
        <w:rPr>
          <w:w w:val="100"/>
        </w:rPr>
        <w:t>”</w:t>
      </w:r>
      <w:r>
        <w:rPr>
          <w:spacing w:val="-3"/>
          <w:w w:val="100"/>
        </w:rPr>
        <w:t>规</w:t>
      </w:r>
      <w:r>
        <w:rPr>
          <w:w w:val="100"/>
        </w:rPr>
        <w:t>划</w:t>
      </w:r>
      <w:r>
        <w:rPr>
          <w:spacing w:val="-3"/>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2020</w:t>
      </w:r>
      <w:r>
        <w:rPr>
          <w:rFonts w:ascii="Times New Roman" w:hAnsi="Times New Roman" w:cs="Times New Roman" w:eastAsia="Times New Roman" w:hint="default"/>
        </w:rPr>
        <w:t> </w:t>
      </w:r>
      <w:r>
        <w:rPr>
          <w:w w:val="100"/>
        </w:rPr>
        <w:t>年</w:t>
      </w:r>
      <w:r>
        <w:rPr>
          <w:spacing w:val="-108"/>
          <w:w w:val="100"/>
        </w:rPr>
        <w:t>）</w:t>
      </w:r>
      <w:r>
        <w:rPr>
          <w:spacing w:val="-106"/>
          <w:w w:val="100"/>
        </w:rPr>
        <w:t>》</w:t>
      </w:r>
      <w:r>
        <w:rPr>
          <w:w w:val="100"/>
        </w:rPr>
        <w:t>。</w:t>
      </w:r>
    </w:p>
    <w:p>
      <w:pPr>
        <w:spacing w:after="0" w:line="240" w:lineRule="auto"/>
        <w:jc w:val="left"/>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4"/>
        <w:spacing w:line="386" w:lineRule="auto" w:before="36"/>
        <w:ind w:left="573" w:right="3930"/>
        <w:jc w:val="left"/>
      </w:pPr>
      <w:r>
        <w:rPr>
          <w:rFonts w:ascii="Times New Roman" w:hAnsi="Times New Roman" w:cs="Times New Roman" w:eastAsia="Times New Roman" w:hint="default"/>
        </w:rPr>
        <w:t>1.1 </w:t>
      </w:r>
      <w:r>
        <w:rPr/>
        <w:t>发电市场</w:t>
      </w:r>
      <w:r>
        <w:rPr>
          <w:w w:val="100"/>
        </w:rPr>
        <w:t> </w:t>
      </w:r>
      <w:r>
        <w:rPr>
          <w:spacing w:val="-2"/>
        </w:rPr>
        <w:t>结构调整，向着清洁、安全、高效的方向发展。</w:t>
      </w:r>
    </w:p>
    <w:p>
      <w:pPr>
        <w:pStyle w:val="Heading4"/>
        <w:spacing w:line="240" w:lineRule="auto" w:before="65"/>
        <w:ind w:left="573" w:right="0"/>
        <w:jc w:val="left"/>
      </w:pPr>
      <w:r>
        <w:rPr/>
        <w:t>（</w:t>
      </w:r>
      <w:r>
        <w:rPr>
          <w:rFonts w:ascii="Times New Roman" w:hAnsi="Times New Roman" w:cs="Times New Roman" w:eastAsia="Times New Roman" w:hint="default"/>
        </w:rPr>
        <w:t>1</w:t>
      </w:r>
      <w:r>
        <w:rPr/>
        <w:t>）清洁能源及新能源市场广阔</w:t>
      </w:r>
    </w:p>
    <w:p>
      <w:pPr>
        <w:pStyle w:val="Heading4"/>
        <w:spacing w:line="261" w:lineRule="auto" w:before="177"/>
        <w:ind w:right="206" w:firstLine="420"/>
        <w:jc w:val="both"/>
      </w:pPr>
      <w:r>
        <w:rPr>
          <w:spacing w:val="-7"/>
          <w:w w:val="100"/>
        </w:rPr>
        <w:t>为实现我国碳排放对外承诺目标，未来较长时间内清洁能源及新能源需要保持较快增长；“十三五”期</w:t>
      </w:r>
      <w:r>
        <w:rPr>
          <w:w w:val="100"/>
        </w:rPr>
        <w:t> </w:t>
      </w:r>
      <w:r>
        <w:rPr>
          <w:spacing w:val="-2"/>
        </w:rPr>
        <w:t>间，核电、风电、太阳能等非化石能源发电净增装机容量快速发展，其中，预期核电平均增速</w:t>
      </w:r>
      <w:r>
        <w:rPr/>
        <w:t> </w:t>
      </w:r>
      <w:r>
        <w:rPr>
          <w:rFonts w:ascii="Times New Roman" w:hAnsi="Times New Roman" w:cs="Times New Roman" w:eastAsia="Times New Roman" w:hint="default"/>
          <w:spacing w:val="-1"/>
        </w:rPr>
        <w:t>16.5%</w:t>
      </w:r>
      <w:r>
        <w:rPr>
          <w:spacing w:val="-1"/>
        </w:rPr>
        <w:t>，风</w:t>
      </w:r>
      <w:r>
        <w:rPr>
          <w:spacing w:val="-63"/>
        </w:rPr>
        <w:t> </w:t>
      </w:r>
      <w:r>
        <w:rPr/>
        <w:t>电平均增速</w:t>
      </w:r>
      <w:r>
        <w:rPr>
          <w:spacing w:val="-62"/>
        </w:rPr>
        <w:t> </w:t>
      </w:r>
      <w:r>
        <w:rPr>
          <w:rFonts w:ascii="Times New Roman" w:hAnsi="Times New Roman" w:cs="Times New Roman" w:eastAsia="Times New Roman" w:hint="default"/>
        </w:rPr>
        <w:t>9.9%</w:t>
      </w:r>
      <w:r>
        <w:rPr/>
        <w:t>，太阳能发电平均增速</w:t>
      </w:r>
      <w:r>
        <w:rPr>
          <w:spacing w:val="-62"/>
        </w:rPr>
        <w:t> </w:t>
      </w:r>
      <w:r>
        <w:rPr>
          <w:rFonts w:ascii="Times New Roman" w:hAnsi="Times New Roman" w:cs="Times New Roman" w:eastAsia="Times New Roman" w:hint="default"/>
        </w:rPr>
        <w:t>21.2%</w:t>
      </w:r>
      <w:r>
        <w:rPr/>
        <w:t>；气电（属于清洁能源）平均增速</w:t>
      </w:r>
      <w:r>
        <w:rPr>
          <w:spacing w:val="-63"/>
        </w:rPr>
        <w:t> </w:t>
      </w:r>
      <w:r>
        <w:rPr>
          <w:rFonts w:ascii="Times New Roman" w:hAnsi="Times New Roman" w:cs="Times New Roman" w:eastAsia="Times New Roman" w:hint="default"/>
        </w:rPr>
        <w:t>10.8%</w:t>
      </w:r>
      <w:r>
        <w:rPr/>
        <w:t>。清洁能源及新能</w:t>
      </w:r>
      <w:r>
        <w:rPr>
          <w:w w:val="100"/>
        </w:rPr>
        <w:t> </w:t>
      </w:r>
      <w:r>
        <w:rPr/>
        <w:t>源发电市场空间广阔。</w:t>
      </w:r>
    </w:p>
    <w:p>
      <w:pPr>
        <w:pStyle w:val="Heading4"/>
        <w:spacing w:line="240" w:lineRule="auto" w:before="174"/>
        <w:ind w:left="573" w:right="0"/>
        <w:jc w:val="left"/>
      </w:pPr>
      <w:r>
        <w:rPr/>
        <w:t>（</w:t>
      </w:r>
      <w:r>
        <w:rPr>
          <w:rFonts w:ascii="Times New Roman" w:hAnsi="Times New Roman" w:cs="Times New Roman" w:eastAsia="Times New Roman" w:hint="default"/>
        </w:rPr>
        <w:t>2</w:t>
      </w:r>
      <w:r>
        <w:rPr/>
        <w:t>）燃煤现役机组节能减排市场巨大</w:t>
      </w:r>
    </w:p>
    <w:p>
      <w:pPr>
        <w:pStyle w:val="Heading4"/>
        <w:spacing w:line="240" w:lineRule="auto" w:before="178"/>
        <w:ind w:left="573" w:right="0"/>
        <w:jc w:val="left"/>
      </w:pPr>
      <w:r>
        <w:rPr/>
        <w:t>到</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spacing w:val="-4"/>
        </w:rPr>
        <w:t>年，现役燃煤发电机组改造后平均供电煤耗低于</w:t>
      </w:r>
      <w:r>
        <w:rPr>
          <w:spacing w:val="-43"/>
        </w:rPr>
        <w:t> </w:t>
      </w:r>
      <w:r>
        <w:rPr>
          <w:rFonts w:ascii="Times New Roman" w:hAnsi="Times New Roman" w:cs="Times New Roman" w:eastAsia="Times New Roman" w:hint="default"/>
        </w:rPr>
        <w:t>310</w:t>
      </w:r>
      <w:r>
        <w:rPr>
          <w:rFonts w:ascii="Times New Roman" w:hAnsi="Times New Roman" w:cs="Times New Roman" w:eastAsia="Times New Roman" w:hint="default"/>
          <w:spacing w:val="9"/>
        </w:rPr>
        <w:t> </w:t>
      </w:r>
      <w:r>
        <w:rPr>
          <w:spacing w:val="-6"/>
        </w:rPr>
        <w:t>克</w:t>
      </w:r>
      <w:r>
        <w:rPr>
          <w:rFonts w:ascii="Times New Roman" w:hAnsi="Times New Roman" w:cs="Times New Roman" w:eastAsia="Times New Roman" w:hint="default"/>
          <w:spacing w:val="-6"/>
        </w:rPr>
        <w:t>/</w:t>
      </w:r>
      <w:r>
        <w:rPr>
          <w:spacing w:val="-6"/>
        </w:rPr>
        <w:t>千瓦时，其中现役</w:t>
      </w:r>
      <w:r>
        <w:rPr>
          <w:spacing w:val="-43"/>
        </w:rPr>
        <w:t> </w:t>
      </w:r>
      <w:r>
        <w:rPr>
          <w:rFonts w:ascii="Times New Roman" w:hAnsi="Times New Roman" w:cs="Times New Roman" w:eastAsia="Times New Roman" w:hint="default"/>
        </w:rPr>
        <w:t>60</w:t>
      </w:r>
      <w:r>
        <w:rPr>
          <w:rFonts w:ascii="Times New Roman" w:hAnsi="Times New Roman" w:cs="Times New Roman" w:eastAsia="Times New Roman" w:hint="default"/>
          <w:spacing w:val="9"/>
        </w:rPr>
        <w:t> </w:t>
      </w:r>
      <w:r>
        <w:rPr/>
        <w:t>万千瓦及以上机</w:t>
      </w:r>
    </w:p>
    <w:p>
      <w:pPr>
        <w:pStyle w:val="Heading4"/>
        <w:spacing w:line="240" w:lineRule="auto" w:before="21"/>
        <w:ind w:right="0"/>
        <w:jc w:val="left"/>
      </w:pPr>
      <w:r>
        <w:rPr/>
        <w:t>组（除空冷机组外）改造后平均供电煤耗低于</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5"/>
        </w:rPr>
        <w:t> </w:t>
      </w:r>
      <w:r>
        <w:rPr/>
        <w:t>克</w:t>
      </w:r>
      <w:r>
        <w:rPr>
          <w:rFonts w:ascii="Times New Roman" w:hAnsi="Times New Roman" w:cs="Times New Roman" w:eastAsia="Times New Roman" w:hint="default"/>
        </w:rPr>
        <w:t>/</w:t>
      </w:r>
      <w:r>
        <w:rPr/>
        <w:t>千瓦时。燃煤机组节能减排市场空间巨大。</w:t>
      </w:r>
    </w:p>
    <w:p>
      <w:pPr>
        <w:pStyle w:val="Heading4"/>
        <w:spacing w:line="386" w:lineRule="auto" w:before="177"/>
        <w:ind w:left="573" w:right="1434"/>
        <w:jc w:val="left"/>
      </w:pPr>
      <w:r>
        <w:rPr>
          <w:rFonts w:ascii="Times New Roman" w:hAnsi="Times New Roman" w:cs="Times New Roman" w:eastAsia="Times New Roman" w:hint="default"/>
        </w:rPr>
        <w:t>1.2 </w:t>
      </w:r>
      <w:r>
        <w:rPr/>
        <w:t>电网市场</w:t>
      </w:r>
      <w:r>
        <w:rPr>
          <w:w w:val="100"/>
        </w:rPr>
        <w:t> </w:t>
      </w:r>
      <w:r>
        <w:rPr>
          <w:spacing w:val="-2"/>
        </w:rPr>
        <w:t>优化电网结构，提高系统安全水平，升级改造配电网，推进智能电网建设。</w:t>
      </w:r>
    </w:p>
    <w:p>
      <w:pPr>
        <w:pStyle w:val="Heading4"/>
        <w:spacing w:line="240" w:lineRule="auto" w:before="65"/>
        <w:ind w:left="573" w:right="0"/>
        <w:jc w:val="left"/>
      </w:pPr>
      <w:r>
        <w:rPr/>
        <w:t>（</w:t>
      </w:r>
      <w:r>
        <w:rPr>
          <w:rFonts w:ascii="Times New Roman" w:hAnsi="Times New Roman" w:cs="Times New Roman" w:eastAsia="Times New Roman" w:hint="default"/>
        </w:rPr>
        <w:t>1</w:t>
      </w:r>
      <w:r>
        <w:rPr/>
        <w:t>）特高压电网建设持续发展</w:t>
      </w:r>
    </w:p>
    <w:p>
      <w:pPr>
        <w:pStyle w:val="Heading4"/>
        <w:spacing w:line="256" w:lineRule="auto" w:before="177"/>
        <w:ind w:right="202" w:firstLine="420"/>
        <w:jc w:val="left"/>
      </w:pPr>
      <w:r>
        <w:rPr>
          <w:rFonts w:ascii="Times New Roman" w:hAnsi="Times New Roman" w:cs="Times New Roman" w:eastAsia="Times New Roman" w:hint="default"/>
        </w:rPr>
        <w:t>220</w:t>
      </w:r>
      <w:r>
        <w:rPr>
          <w:rFonts w:ascii="Times New Roman" w:hAnsi="Times New Roman" w:cs="Times New Roman" w:eastAsia="Times New Roman" w:hint="default"/>
          <w:spacing w:val="24"/>
        </w:rPr>
        <w:t> </w:t>
      </w:r>
      <w:r>
        <w:rPr/>
        <w:t>千伏及以上电网主网架进一步优化，省间联络线进一步加强，形成规模合理的同步电网，主网投</w:t>
      </w:r>
      <w:r>
        <w:rPr>
          <w:w w:val="100"/>
        </w:rPr>
        <w:t> </w:t>
      </w:r>
      <w:r>
        <w:rPr/>
        <w:t>资有所下降。</w:t>
      </w:r>
    </w:p>
    <w:p>
      <w:pPr>
        <w:pStyle w:val="Heading4"/>
        <w:spacing w:line="273" w:lineRule="auto" w:before="178"/>
        <w:ind w:right="0" w:firstLine="420"/>
        <w:jc w:val="left"/>
      </w:pPr>
      <w:r>
        <w:rPr>
          <w:spacing w:val="-5"/>
        </w:rPr>
        <w:t>我国大型能源基地和负荷中心逆向分布，西部北部地区弃风弃光问题突出，而东部大气污染愈发严重，</w:t>
      </w:r>
      <w:r>
        <w:rPr>
          <w:w w:val="100"/>
        </w:rPr>
        <w:t> </w:t>
      </w:r>
      <w:r>
        <w:rPr>
          <w:spacing w:val="-2"/>
        </w:rPr>
        <w:t>政府治霾的力度持续加大。为大幅度减少东部沿海经济发达地区燃煤消耗，改善当地环境质量，跨区送电</w:t>
      </w:r>
      <w:r>
        <w:rPr>
          <w:spacing w:val="-43"/>
        </w:rPr>
        <w:t> </w:t>
      </w:r>
      <w:r>
        <w:rPr>
          <w:spacing w:val="-43"/>
        </w:rPr>
      </w:r>
      <w:r>
        <w:rPr/>
        <w:t>的客观需求将使特高压建设持续发展。</w:t>
      </w:r>
    </w:p>
    <w:p>
      <w:pPr>
        <w:pStyle w:val="Heading4"/>
        <w:spacing w:line="240" w:lineRule="auto" w:before="163"/>
        <w:ind w:left="573" w:right="6774"/>
        <w:jc w:val="left"/>
      </w:pPr>
      <w:r>
        <w:rPr/>
        <w:t>（</w:t>
      </w:r>
      <w:r>
        <w:rPr>
          <w:rFonts w:ascii="Times New Roman" w:hAnsi="Times New Roman" w:cs="Times New Roman" w:eastAsia="Times New Roman" w:hint="default"/>
        </w:rPr>
        <w:t>2</w:t>
      </w:r>
      <w:r>
        <w:rPr/>
        <w:t>）配电网业务快速发展</w:t>
      </w:r>
    </w:p>
    <w:p>
      <w:pPr>
        <w:pStyle w:val="Heading4"/>
        <w:spacing w:line="256" w:lineRule="auto" w:before="177"/>
        <w:ind w:right="0" w:firstLine="420"/>
        <w:jc w:val="left"/>
      </w:pPr>
      <w:r>
        <w:rPr/>
        <w:t>通过实施配电网建设改造行动计划，有效加大配电网资金投入。</w:t>
      </w:r>
      <w:r>
        <w:rPr>
          <w:rFonts w:ascii="Times New Roman" w:hAnsi="Times New Roman" w:cs="Times New Roman" w:eastAsia="Times New Roman" w:hint="default"/>
        </w:rPr>
        <w:t>2015-2020</w:t>
      </w:r>
      <w:r>
        <w:rPr>
          <w:rFonts w:ascii="Times New Roman" w:hAnsi="Times New Roman" w:cs="Times New Roman" w:eastAsia="Times New Roman" w:hint="default"/>
          <w:spacing w:val="4"/>
        </w:rPr>
        <w:t> </w:t>
      </w:r>
      <w:r>
        <w:rPr/>
        <w:t>年，配电网建设改造投资</w:t>
      </w:r>
      <w:r>
        <w:rPr>
          <w:w w:val="100"/>
        </w:rPr>
        <w:t> </w:t>
      </w:r>
      <w:r>
        <w:rPr/>
        <w:t>不低于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万亿元，</w:t>
      </w:r>
      <w:r>
        <w:rPr>
          <w:spacing w:val="-1"/>
        </w:rPr>
        <w:t> </w:t>
      </w:r>
      <w:r>
        <w:rPr/>
        <w:t>“十三五”期间累计投资不低于</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万亿元。预计到</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年，高压配电网变电容量达</w:t>
      </w:r>
    </w:p>
    <w:p>
      <w:pPr>
        <w:pStyle w:val="Heading4"/>
        <w:spacing w:line="240" w:lineRule="auto" w:before="5"/>
        <w:ind w:right="0"/>
        <w:jc w:val="left"/>
      </w:pPr>
      <w:r>
        <w:rPr/>
        <w:t>到</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亿千伏安、线路长度达到</w:t>
      </w:r>
      <w:r>
        <w:rPr>
          <w:spacing w:val="-54"/>
        </w:rPr>
        <w:t> </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万公里。</w:t>
      </w:r>
    </w:p>
    <w:p>
      <w:pPr>
        <w:pStyle w:val="Heading4"/>
        <w:spacing w:line="273" w:lineRule="auto" w:before="177"/>
        <w:ind w:right="0" w:firstLine="420"/>
        <w:jc w:val="left"/>
      </w:pPr>
      <w:r>
        <w:rPr>
          <w:spacing w:val="-3"/>
        </w:rPr>
        <w:t>升级改造配电网，推进智能电网建设。包括加强城镇配电网建设、实施新一轮农网改造升级工程、推</w:t>
      </w:r>
      <w:r>
        <w:rPr>
          <w:w w:val="100"/>
        </w:rPr>
        <w:t> </w:t>
      </w:r>
      <w:r>
        <w:rPr/>
        <w:t>进“互联网</w:t>
      </w:r>
      <w:r>
        <w:rPr>
          <w:rFonts w:ascii="Times New Roman" w:hAnsi="Times New Roman" w:cs="Times New Roman" w:eastAsia="Times New Roman" w:hint="default"/>
        </w:rPr>
        <w:t>+</w:t>
      </w:r>
      <w:r>
        <w:rPr/>
        <w:t>”智能电网建设。</w:t>
      </w:r>
    </w:p>
    <w:p>
      <w:pPr>
        <w:pStyle w:val="Heading4"/>
        <w:spacing w:line="468" w:lineRule="exact" w:before="15"/>
        <w:ind w:left="573" w:right="0"/>
        <w:jc w:val="left"/>
      </w:pPr>
      <w:r>
        <w:rPr>
          <w:rFonts w:ascii="Times New Roman" w:hAnsi="Times New Roman" w:cs="Times New Roman" w:eastAsia="Times New Roman" w:hint="default"/>
        </w:rPr>
        <w:t>1.3</w:t>
      </w:r>
      <w:r>
        <w:rPr/>
        <w:t>“一带一路”合作</w:t>
      </w:r>
      <w:r>
        <w:rPr>
          <w:w w:val="100"/>
        </w:rPr>
        <w:t> </w:t>
      </w:r>
      <w:r>
        <w:rPr>
          <w:spacing w:val="-7"/>
          <w:w w:val="100"/>
        </w:rPr>
        <w:t>国家将“一带一路”倡议内容分别列入《能源发展“十三五”规划》、《电力发展“十三五”规划》和</w:t>
      </w:r>
    </w:p>
    <w:p>
      <w:pPr>
        <w:pStyle w:val="Heading4"/>
        <w:spacing w:line="248" w:lineRule="exact"/>
        <w:ind w:right="0"/>
        <w:jc w:val="left"/>
      </w:pPr>
      <w:r>
        <w:rPr>
          <w:w w:val="100"/>
        </w:rPr>
        <w:t>《可</w:t>
      </w:r>
      <w:r>
        <w:rPr>
          <w:spacing w:val="-3"/>
          <w:w w:val="100"/>
        </w:rPr>
        <w:t>再</w:t>
      </w:r>
      <w:r>
        <w:rPr>
          <w:w w:val="100"/>
        </w:rPr>
        <w:t>生</w:t>
      </w:r>
      <w:r>
        <w:rPr>
          <w:spacing w:val="-3"/>
          <w:w w:val="100"/>
        </w:rPr>
        <w:t>能</w:t>
      </w:r>
      <w:r>
        <w:rPr>
          <w:w w:val="100"/>
        </w:rPr>
        <w:t>源</w:t>
      </w:r>
      <w:r>
        <w:rPr>
          <w:spacing w:val="-3"/>
          <w:w w:val="100"/>
        </w:rPr>
        <w:t>发</w:t>
      </w:r>
      <w:r>
        <w:rPr>
          <w:spacing w:val="-22"/>
          <w:w w:val="100"/>
        </w:rPr>
        <w:t>展</w:t>
      </w:r>
      <w:r>
        <w:rPr>
          <w:spacing w:val="-3"/>
          <w:w w:val="100"/>
        </w:rPr>
        <w:t>“</w:t>
      </w:r>
      <w:r>
        <w:rPr>
          <w:w w:val="100"/>
        </w:rPr>
        <w:t>十</w:t>
      </w:r>
      <w:r>
        <w:rPr>
          <w:spacing w:val="-3"/>
          <w:w w:val="100"/>
        </w:rPr>
        <w:t>三</w:t>
      </w:r>
      <w:r>
        <w:rPr>
          <w:w w:val="100"/>
        </w:rPr>
        <w:t>五</w:t>
      </w:r>
      <w:r>
        <w:rPr>
          <w:spacing w:val="-22"/>
          <w:w w:val="100"/>
        </w:rPr>
        <w:t>”</w:t>
      </w:r>
      <w:r>
        <w:rPr>
          <w:spacing w:val="-3"/>
          <w:w w:val="100"/>
        </w:rPr>
        <w:t>规</w:t>
      </w:r>
      <w:r>
        <w:rPr>
          <w:w w:val="100"/>
        </w:rPr>
        <w:t>划</w:t>
      </w:r>
      <w:r>
        <w:rPr>
          <w:spacing w:val="-106"/>
          <w:w w:val="100"/>
        </w:rPr>
        <w:t>》</w:t>
      </w:r>
      <w:r>
        <w:rPr>
          <w:spacing w:val="-25"/>
          <w:w w:val="100"/>
        </w:rPr>
        <w:t>，</w:t>
      </w:r>
      <w:r>
        <w:rPr>
          <w:w w:val="100"/>
        </w:rPr>
        <w:t>充</w:t>
      </w:r>
      <w:r>
        <w:rPr>
          <w:spacing w:val="-3"/>
          <w:w w:val="100"/>
        </w:rPr>
        <w:t>分</w:t>
      </w:r>
      <w:r>
        <w:rPr>
          <w:w w:val="100"/>
        </w:rPr>
        <w:t>利</w:t>
      </w:r>
      <w:r>
        <w:rPr>
          <w:spacing w:val="-3"/>
          <w:w w:val="100"/>
        </w:rPr>
        <w:t>用</w:t>
      </w:r>
      <w:r>
        <w:rPr>
          <w:w w:val="100"/>
        </w:rPr>
        <w:t>国</w:t>
      </w:r>
      <w:r>
        <w:rPr>
          <w:spacing w:val="-3"/>
          <w:w w:val="100"/>
        </w:rPr>
        <w:t>际</w:t>
      </w:r>
      <w:r>
        <w:rPr>
          <w:w w:val="100"/>
        </w:rPr>
        <w:t>国内</w:t>
      </w:r>
      <w:r>
        <w:rPr>
          <w:spacing w:val="-3"/>
          <w:w w:val="100"/>
        </w:rPr>
        <w:t>两</w:t>
      </w:r>
      <w:r>
        <w:rPr>
          <w:w w:val="100"/>
        </w:rPr>
        <w:t>个</w:t>
      </w:r>
      <w:r>
        <w:rPr>
          <w:spacing w:val="-3"/>
          <w:w w:val="100"/>
        </w:rPr>
        <w:t>市</w:t>
      </w:r>
      <w:r>
        <w:rPr>
          <w:w w:val="100"/>
        </w:rPr>
        <w:t>场</w:t>
      </w:r>
      <w:r>
        <w:rPr>
          <w:spacing w:val="-25"/>
          <w:w w:val="100"/>
        </w:rPr>
        <w:t>、</w:t>
      </w:r>
      <w:r>
        <w:rPr>
          <w:w w:val="100"/>
        </w:rPr>
        <w:t>两</w:t>
      </w:r>
      <w:r>
        <w:rPr>
          <w:spacing w:val="-3"/>
          <w:w w:val="100"/>
        </w:rPr>
        <w:t>种</w:t>
      </w:r>
      <w:r>
        <w:rPr>
          <w:w w:val="100"/>
        </w:rPr>
        <w:t>资</w:t>
      </w:r>
      <w:r>
        <w:rPr>
          <w:spacing w:val="-3"/>
          <w:w w:val="100"/>
        </w:rPr>
        <w:t>源</w:t>
      </w:r>
      <w:r>
        <w:rPr>
          <w:spacing w:val="-22"/>
          <w:w w:val="100"/>
        </w:rPr>
        <w:t>，</w:t>
      </w:r>
      <w:r>
        <w:rPr>
          <w:w w:val="100"/>
        </w:rPr>
        <w:t>积</w:t>
      </w:r>
      <w:r>
        <w:rPr>
          <w:spacing w:val="-3"/>
          <w:w w:val="100"/>
        </w:rPr>
        <w:t>极</w:t>
      </w:r>
      <w:r>
        <w:rPr>
          <w:w w:val="100"/>
        </w:rPr>
        <w:t>推</w:t>
      </w:r>
      <w:r>
        <w:rPr>
          <w:spacing w:val="-3"/>
          <w:w w:val="100"/>
        </w:rPr>
        <w:t>进</w:t>
      </w:r>
      <w:r>
        <w:rPr>
          <w:w w:val="100"/>
        </w:rPr>
        <w:t>电</w:t>
      </w:r>
      <w:r>
        <w:rPr>
          <w:spacing w:val="-3"/>
          <w:w w:val="100"/>
        </w:rPr>
        <w:t>力</w:t>
      </w:r>
      <w:r>
        <w:rPr>
          <w:w w:val="100"/>
        </w:rPr>
        <w:t>装</w:t>
      </w:r>
      <w:r>
        <w:rPr>
          <w:spacing w:val="-3"/>
          <w:w w:val="100"/>
        </w:rPr>
        <w:t>备</w:t>
      </w:r>
      <w:r>
        <w:rPr>
          <w:spacing w:val="-22"/>
          <w:w w:val="100"/>
        </w:rPr>
        <w:t>、</w:t>
      </w:r>
      <w:r>
        <w:rPr>
          <w:spacing w:val="-3"/>
          <w:w w:val="100"/>
        </w:rPr>
        <w:t>技</w:t>
      </w:r>
      <w:r>
        <w:rPr>
          <w:w w:val="100"/>
        </w:rPr>
        <w:t>术、</w:t>
      </w:r>
    </w:p>
    <w:p>
      <w:pPr>
        <w:pStyle w:val="Heading4"/>
        <w:spacing w:line="240" w:lineRule="auto" w:before="37"/>
        <w:ind w:right="6774"/>
        <w:jc w:val="left"/>
      </w:pPr>
      <w:r>
        <w:rPr/>
        <w:t>标准和工程服务国际合作。</w:t>
      </w:r>
    </w:p>
    <w:p>
      <w:pPr>
        <w:spacing w:line="240" w:lineRule="auto" w:before="10"/>
        <w:rPr>
          <w:rFonts w:ascii="宋体" w:hAnsi="宋体" w:cs="宋体" w:eastAsia="宋体" w:hint="default"/>
          <w:sz w:val="14"/>
          <w:szCs w:val="14"/>
        </w:rPr>
      </w:pPr>
    </w:p>
    <w:p>
      <w:pPr>
        <w:pStyle w:val="Heading4"/>
        <w:spacing w:line="240" w:lineRule="auto"/>
        <w:ind w:left="573" w:right="0"/>
        <w:jc w:val="left"/>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3"/>
        </w:rPr>
        <w:t> </w:t>
      </w:r>
      <w:r>
        <w:rPr>
          <w:w w:val="100"/>
        </w:rPr>
        <w:t>年</w:t>
      </w:r>
      <w:r>
        <w:rPr>
          <w:spacing w:val="-123"/>
          <w:w w:val="100"/>
        </w:rPr>
        <w:t>，</w:t>
      </w:r>
      <w:r>
        <w:rPr>
          <w:w w:val="100"/>
        </w:rPr>
        <w:t>“</w:t>
      </w:r>
      <w:r>
        <w:rPr>
          <w:spacing w:val="-3"/>
          <w:w w:val="100"/>
        </w:rPr>
        <w:t>一</w:t>
      </w:r>
      <w:r>
        <w:rPr>
          <w:w w:val="100"/>
        </w:rPr>
        <w:t>带</w:t>
      </w:r>
      <w:r>
        <w:rPr>
          <w:spacing w:val="-3"/>
          <w:w w:val="100"/>
        </w:rPr>
        <w:t>一</w:t>
      </w:r>
      <w:r>
        <w:rPr>
          <w:w w:val="100"/>
        </w:rPr>
        <w:t>路</w:t>
      </w:r>
      <w:r>
        <w:rPr>
          <w:spacing w:val="-17"/>
          <w:w w:val="100"/>
        </w:rPr>
        <w:t>”</w:t>
      </w:r>
      <w:r>
        <w:rPr>
          <w:w w:val="100"/>
        </w:rPr>
        <w:t>建</w:t>
      </w:r>
      <w:r>
        <w:rPr>
          <w:spacing w:val="-3"/>
          <w:w w:val="100"/>
        </w:rPr>
        <w:t>设</w:t>
      </w:r>
      <w:r>
        <w:rPr>
          <w:w w:val="100"/>
        </w:rPr>
        <w:t>投资</w:t>
      </w:r>
      <w:r>
        <w:rPr>
          <w:spacing w:val="-3"/>
          <w:w w:val="100"/>
        </w:rPr>
        <w:t>成</w:t>
      </w:r>
      <w:r>
        <w:rPr>
          <w:w w:val="100"/>
        </w:rPr>
        <w:t>为</w:t>
      </w:r>
      <w:r>
        <w:rPr>
          <w:spacing w:val="-3"/>
          <w:w w:val="100"/>
        </w:rPr>
        <w:t>投</w:t>
      </w:r>
      <w:r>
        <w:rPr>
          <w:w w:val="100"/>
        </w:rPr>
        <w:t>资</w:t>
      </w:r>
      <w:r>
        <w:rPr>
          <w:spacing w:val="-3"/>
          <w:w w:val="100"/>
        </w:rPr>
        <w:t>亮点</w:t>
      </w:r>
      <w:r>
        <w:rPr>
          <w:spacing w:val="-15"/>
          <w:w w:val="100"/>
        </w:rPr>
        <w:t>，</w:t>
      </w:r>
      <w:r>
        <w:rPr>
          <w:spacing w:val="-3"/>
          <w:w w:val="100"/>
        </w:rPr>
        <w:t>我国</w:t>
      </w:r>
      <w:r>
        <w:rPr>
          <w:w w:val="100"/>
        </w:rPr>
        <w:t>电力</w:t>
      </w:r>
      <w:r>
        <w:rPr>
          <w:spacing w:val="-3"/>
          <w:w w:val="100"/>
        </w:rPr>
        <w:t>企业</w:t>
      </w:r>
      <w:r>
        <w:rPr>
          <w:w w:val="100"/>
        </w:rPr>
        <w:t>在</w:t>
      </w:r>
      <w:r>
        <w:rPr>
          <w:spacing w:val="-52"/>
        </w:rPr>
        <w:t> </w:t>
      </w:r>
      <w:r>
        <w:rPr>
          <w:rFonts w:ascii="Times New Roman" w:hAnsi="Times New Roman" w:cs="Times New Roman" w:eastAsia="Times New Roman" w:hint="default"/>
          <w:w w:val="100"/>
        </w:rPr>
        <w:t>52</w:t>
      </w:r>
      <w:r>
        <w:rPr>
          <w:rFonts w:ascii="Times New Roman" w:hAnsi="Times New Roman" w:cs="Times New Roman" w:eastAsia="Times New Roman" w:hint="default"/>
          <w:spacing w:val="-3"/>
        </w:rPr>
        <w:t> </w:t>
      </w:r>
      <w:r>
        <w:rPr>
          <w:spacing w:val="-15"/>
          <w:w w:val="100"/>
        </w:rPr>
        <w:t>个</w:t>
      </w:r>
      <w:r>
        <w:rPr>
          <w:spacing w:val="-3"/>
          <w:w w:val="100"/>
        </w:rPr>
        <w:t>“</w:t>
      </w:r>
      <w:r>
        <w:rPr>
          <w:w w:val="100"/>
        </w:rPr>
        <w:t>一</w:t>
      </w:r>
      <w:r>
        <w:rPr>
          <w:spacing w:val="-3"/>
          <w:w w:val="100"/>
        </w:rPr>
        <w:t>带一</w:t>
      </w:r>
      <w:r>
        <w:rPr>
          <w:w w:val="100"/>
        </w:rPr>
        <w:t>路</w:t>
      </w:r>
      <w:r>
        <w:rPr>
          <w:spacing w:val="-17"/>
          <w:w w:val="100"/>
        </w:rPr>
        <w:t>”</w:t>
      </w:r>
      <w:r>
        <w:rPr>
          <w:w w:val="100"/>
        </w:rPr>
        <w:t>沿</w:t>
      </w:r>
      <w:r>
        <w:rPr>
          <w:spacing w:val="-3"/>
          <w:w w:val="100"/>
        </w:rPr>
        <w:t>线</w:t>
      </w:r>
      <w:r>
        <w:rPr>
          <w:w w:val="100"/>
        </w:rPr>
        <w:t>国</w:t>
      </w:r>
      <w:r>
        <w:rPr>
          <w:spacing w:val="-3"/>
          <w:w w:val="100"/>
        </w:rPr>
        <w:t>家</w:t>
      </w:r>
      <w:r>
        <w:rPr>
          <w:w w:val="100"/>
        </w:rPr>
        <w:t>开</w:t>
      </w:r>
      <w:r>
        <w:rPr>
          <w:spacing w:val="-3"/>
          <w:w w:val="100"/>
        </w:rPr>
        <w:t>展</w:t>
      </w:r>
      <w:r>
        <w:rPr>
          <w:w w:val="100"/>
        </w:rPr>
        <w:t>投资</w:t>
      </w:r>
    </w:p>
    <w:p>
      <w:pPr>
        <w:pStyle w:val="Heading4"/>
        <w:spacing w:line="256" w:lineRule="auto" w:before="21"/>
        <w:ind w:right="0"/>
        <w:jc w:val="left"/>
      </w:pPr>
      <w:r>
        <w:rPr/>
        <w:t>业务和项目承包工程，其中大型承包项目</w:t>
      </w:r>
      <w:r>
        <w:rPr>
          <w:spacing w:val="-40"/>
        </w:rPr>
        <w:t> </w:t>
      </w:r>
      <w:r>
        <w:rPr>
          <w:rFonts w:ascii="Times New Roman" w:hAnsi="Times New Roman" w:cs="Times New Roman" w:eastAsia="Times New Roman" w:hint="default"/>
        </w:rPr>
        <w:t>120</w:t>
      </w:r>
      <w:r>
        <w:rPr>
          <w:rFonts w:ascii="Times New Roman" w:hAnsi="Times New Roman" w:cs="Times New Roman" w:eastAsia="Times New Roman" w:hint="default"/>
          <w:spacing w:val="12"/>
        </w:rPr>
        <w:t> </w:t>
      </w:r>
      <w:r>
        <w:rPr/>
        <w:t>个，涉及国家</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个，合同金额达</w:t>
      </w:r>
      <w:r>
        <w:rPr>
          <w:spacing w:val="-41"/>
        </w:rPr>
        <w:t> </w:t>
      </w:r>
      <w:r>
        <w:rPr>
          <w:rFonts w:ascii="Times New Roman" w:hAnsi="Times New Roman" w:cs="Times New Roman" w:eastAsia="Times New Roman" w:hint="default"/>
        </w:rPr>
        <w:t>275</w:t>
      </w:r>
      <w:r>
        <w:rPr>
          <w:rFonts w:ascii="Times New Roman" w:hAnsi="Times New Roman" w:cs="Times New Roman" w:eastAsia="Times New Roman" w:hint="default"/>
          <w:spacing w:val="13"/>
        </w:rPr>
        <w:t> </w:t>
      </w:r>
      <w:r>
        <w:rPr/>
        <w:t>亿美元。随着电力企</w:t>
      </w:r>
      <w:r>
        <w:rPr>
          <w:w w:val="100"/>
        </w:rPr>
        <w:t> </w:t>
      </w:r>
      <w:r>
        <w:rPr/>
        <w:t>业响应国家“走出去”战略的逐步深入，海外电力市场空间巨大。</w:t>
      </w:r>
    </w:p>
    <w:p>
      <w:pPr>
        <w:pStyle w:val="Heading4"/>
        <w:spacing w:line="450" w:lineRule="atLeast" w:before="19"/>
        <w:ind w:left="573" w:right="0"/>
        <w:jc w:val="left"/>
      </w:pPr>
      <w:r>
        <w:rPr>
          <w:rFonts w:ascii="Times New Roman" w:hAnsi="Times New Roman" w:cs="Times New Roman" w:eastAsia="Times New Roman" w:hint="default"/>
        </w:rPr>
        <w:t>1.4 </w:t>
      </w:r>
      <w:r>
        <w:rPr>
          <w:spacing w:val="-3"/>
        </w:rPr>
        <w:t>储能</w:t>
      </w:r>
      <w:r>
        <w:rPr>
          <w:spacing w:val="-102"/>
        </w:rPr>
        <w:t> </w:t>
      </w:r>
      <w:r>
        <w:rPr>
          <w:spacing w:val="-2"/>
        </w:rPr>
        <w:t>对于电力工业而言，储能是智能电网和分布式能源系统的核心组成部分，储能技术不仅具备增强电网</w:t>
      </w:r>
    </w:p>
    <w:p>
      <w:pPr>
        <w:pStyle w:val="Heading4"/>
        <w:spacing w:line="273" w:lineRule="auto" w:before="37"/>
        <w:ind w:right="0"/>
        <w:jc w:val="left"/>
      </w:pPr>
      <w:r>
        <w:rPr>
          <w:spacing w:val="-5"/>
        </w:rPr>
        <w:t>稳定安全运行的能力，还能够提高电力系统运行的效率，更是实现大规模可再生能源发电并网的重要条件。 </w:t>
      </w:r>
      <w:r>
        <w:rPr>
          <w:spacing w:val="-7"/>
        </w:rPr>
        <w:t>未来几年，储能为电力能源技术发展提供坚强的基础，促进电力行业往智能化、节能、高效方向高速发展，</w:t>
      </w:r>
    </w:p>
    <w:p>
      <w:pPr>
        <w:spacing w:after="0" w:line="273" w:lineRule="auto"/>
        <w:jc w:val="left"/>
        <w:sectPr>
          <w:pgSz w:w="11910" w:h="16840"/>
          <w:pgMar w:header="852" w:footer="979" w:top="1260" w:bottom="1160" w:left="980" w:right="920"/>
        </w:sectPr>
      </w:pPr>
    </w:p>
    <w:p>
      <w:pPr>
        <w:spacing w:line="240" w:lineRule="auto" w:before="13"/>
        <w:rPr>
          <w:rFonts w:ascii="宋体" w:hAnsi="宋体" w:cs="宋体" w:eastAsia="宋体" w:hint="default"/>
          <w:sz w:val="8"/>
          <w:szCs w:val="8"/>
        </w:rPr>
      </w:pPr>
    </w:p>
    <w:p>
      <w:pPr>
        <w:pStyle w:val="Heading4"/>
        <w:spacing w:line="240" w:lineRule="auto" w:before="36"/>
        <w:ind w:right="6774"/>
        <w:jc w:val="left"/>
      </w:pPr>
      <w:r>
        <w:rPr/>
        <w:t>市场空间无限。</w:t>
      </w:r>
    </w:p>
    <w:p>
      <w:pPr>
        <w:spacing w:line="240" w:lineRule="auto" w:before="10"/>
        <w:rPr>
          <w:rFonts w:ascii="宋体" w:hAnsi="宋体" w:cs="宋体" w:eastAsia="宋体" w:hint="default"/>
          <w:sz w:val="14"/>
          <w:szCs w:val="14"/>
        </w:rPr>
      </w:pPr>
    </w:p>
    <w:p>
      <w:pPr>
        <w:pStyle w:val="Heading4"/>
        <w:spacing w:line="240" w:lineRule="auto"/>
        <w:ind w:left="573"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工程总承包业务快速发展</w:t>
      </w:r>
    </w:p>
    <w:p>
      <w:pPr>
        <w:pStyle w:val="Heading4"/>
        <w:spacing w:line="264" w:lineRule="auto" w:before="177"/>
        <w:ind w:right="206" w:firstLine="420"/>
        <w:jc w:val="both"/>
      </w:pPr>
      <w:r>
        <w:rPr>
          <w:rFonts w:ascii="Times New Roman" w:hAnsi="Times New Roman" w:cs="Times New Roman" w:eastAsia="Times New Roman" w:hint="default"/>
          <w:w w:val="100"/>
        </w:rPr>
        <w:t>2016 </w:t>
      </w:r>
      <w:r>
        <w:rPr>
          <w:spacing w:val="-4"/>
          <w:w w:val="100"/>
        </w:rPr>
        <w:t>年，国家发布了</w:t>
      </w:r>
      <w:r>
        <w:rPr>
          <w:spacing w:val="-8"/>
          <w:w w:val="100"/>
        </w:rPr>
        <w:t> </w:t>
      </w:r>
      <w:r>
        <w:rPr>
          <w:spacing w:val="-6"/>
          <w:w w:val="100"/>
        </w:rPr>
        <w:t>《关于进一步推进工程总承包发展的若干意见》，明确提出：大力推进工程总承</w:t>
      </w:r>
      <w:r>
        <w:rPr>
          <w:w w:val="100"/>
        </w:rPr>
        <w:t> </w:t>
      </w:r>
      <w:r>
        <w:rPr>
          <w:spacing w:val="-7"/>
        </w:rPr>
        <w:t>包，完善工程总承包管理制度，提升企业工程总承包能力和水平，加强推进工程总承包发展的组织和实施；</w:t>
      </w:r>
      <w:r>
        <w:rPr>
          <w:spacing w:val="-17"/>
        </w:rPr>
        <w:t> </w:t>
      </w:r>
      <w:r>
        <w:rPr>
          <w:spacing w:val="-17"/>
        </w:rPr>
      </w:r>
      <w:r>
        <w:rPr/>
        <w:t>促进企业做优做强，推动产业转型升级，服务于“一带一路”倡议的实施。</w:t>
      </w:r>
    </w:p>
    <w:p>
      <w:pPr>
        <w:pStyle w:val="Heading4"/>
        <w:spacing w:line="450" w:lineRule="atLeast" w:before="13"/>
        <w:ind w:left="573" w:right="0"/>
        <w:jc w:val="left"/>
      </w:pPr>
      <w:r>
        <w:rPr>
          <w:rFonts w:ascii="Times New Roman" w:hAnsi="Times New Roman" w:cs="Times New Roman" w:eastAsia="Times New Roman" w:hint="default"/>
        </w:rPr>
        <w:t>2</w:t>
      </w:r>
      <w:r>
        <w:rPr/>
        <w:t>、电力工程勘察设计行业发展趋势</w:t>
      </w:r>
      <w:r>
        <w:rPr>
          <w:w w:val="100"/>
        </w:rPr>
        <w:t> </w:t>
      </w:r>
      <w:r>
        <w:rPr/>
        <w:t>近几年，国家加快经济转型升级，宏观经济稳中向好，电力消费增速提高，电力供应能力持续增强，</w:t>
      </w:r>
    </w:p>
    <w:p>
      <w:pPr>
        <w:pStyle w:val="Heading4"/>
        <w:spacing w:line="273" w:lineRule="auto" w:before="37"/>
        <w:ind w:right="0"/>
        <w:jc w:val="left"/>
      </w:pPr>
      <w:r>
        <w:rPr>
          <w:spacing w:val="-2"/>
        </w:rPr>
        <w:t>电力投资不断加大，不断提升“走出去”战略的广度和深度，持续扩大国际合作，促进电力工程勘察设计</w:t>
      </w:r>
      <w:r>
        <w:rPr>
          <w:spacing w:val="-43"/>
        </w:rPr>
        <w:t> </w:t>
      </w:r>
      <w:r>
        <w:rPr>
          <w:spacing w:val="-43"/>
        </w:rPr>
      </w:r>
      <w:r>
        <w:rPr/>
        <w:t>行业持续发展，行业新签合同、营业收入和境外收入等主要指标均实现持续稳定增长，具体情况如下：</w:t>
      </w:r>
    </w:p>
    <w:p>
      <w:pPr>
        <w:pStyle w:val="Heading4"/>
        <w:spacing w:line="240" w:lineRule="auto" w:before="164"/>
        <w:ind w:left="573" w:right="6774"/>
        <w:jc w:val="left"/>
      </w:pPr>
      <w:r>
        <w:rPr/>
        <w:t>（</w:t>
      </w:r>
      <w:r>
        <w:rPr>
          <w:rFonts w:ascii="Times New Roman" w:hAnsi="Times New Roman" w:cs="Times New Roman" w:eastAsia="Times New Roman" w:hint="default"/>
        </w:rPr>
        <w:t>1</w:t>
      </w:r>
      <w:r>
        <w:rPr/>
        <w:t>）新签合同情况</w:t>
      </w:r>
    </w:p>
    <w:p>
      <w:pPr>
        <w:pStyle w:val="Heading4"/>
        <w:spacing w:line="240" w:lineRule="auto" w:before="177"/>
        <w:ind w:left="57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年行业新签合同总额</w:t>
      </w:r>
      <w:r>
        <w:rPr>
          <w:spacing w:val="-56"/>
        </w:rPr>
        <w:t> </w:t>
      </w:r>
      <w:r>
        <w:rPr>
          <w:rFonts w:ascii="Times New Roman" w:hAnsi="Times New Roman" w:cs="Times New Roman" w:eastAsia="Times New Roman" w:hint="default"/>
        </w:rPr>
        <w:t>1,393.49</w:t>
      </w:r>
      <w:r>
        <w:rPr>
          <w:rFonts w:ascii="Times New Roman" w:hAnsi="Times New Roman" w:cs="Times New Roman" w:eastAsia="Times New Roman" w:hint="default"/>
          <w:spacing w:val="-1"/>
        </w:rPr>
        <w:t> </w:t>
      </w:r>
      <w:r>
        <w:rPr/>
        <w:t>亿元，</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年行业新签合同平均增长速度达</w:t>
      </w:r>
      <w:r>
        <w:rPr>
          <w:spacing w:val="-54"/>
        </w:rPr>
        <w:t> </w:t>
      </w:r>
      <w:r>
        <w:rPr>
          <w:rFonts w:ascii="Times New Roman" w:hAnsi="Times New Roman" w:cs="Times New Roman" w:eastAsia="Times New Roman" w:hint="default"/>
        </w:rPr>
        <w:t>15.12%</w:t>
      </w:r>
      <w:r>
        <w:rPr/>
        <w:t>。</w:t>
      </w:r>
    </w:p>
    <w:p>
      <w:pPr>
        <w:pStyle w:val="Heading4"/>
        <w:spacing w:line="240" w:lineRule="auto" w:before="177"/>
        <w:ind w:left="573" w:right="0"/>
        <w:jc w:val="left"/>
      </w:pP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年电力工程勘察设计行业新签合同总额情况</w:t>
      </w:r>
    </w:p>
    <w:p>
      <w:pPr>
        <w:pStyle w:val="Heading4"/>
        <w:spacing w:line="240" w:lineRule="auto" w:before="177"/>
        <w:ind w:left="8742" w:right="0"/>
        <w:jc w:val="left"/>
      </w:pPr>
      <w:r>
        <w:rPr/>
        <w:t>单位：亿元</w:t>
      </w:r>
    </w:p>
    <w:p>
      <w:pPr>
        <w:spacing w:line="240" w:lineRule="auto" w:before="5"/>
        <w:rPr>
          <w:rFonts w:ascii="宋体" w:hAnsi="宋体" w:cs="宋体" w:eastAsia="宋体" w:hint="default"/>
          <w:sz w:val="21"/>
          <w:szCs w:val="21"/>
        </w:rPr>
      </w:pPr>
    </w:p>
    <w:p>
      <w:pPr>
        <w:spacing w:line="4536" w:lineRule="exact"/>
        <w:ind w:left="1598"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306186" cy="288036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4306186" cy="288036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5"/>
        <w:rPr>
          <w:rFonts w:ascii="宋体" w:hAnsi="宋体" w:cs="宋体" w:eastAsia="宋体" w:hint="default"/>
          <w:sz w:val="16"/>
          <w:szCs w:val="16"/>
        </w:rPr>
      </w:pPr>
    </w:p>
    <w:p>
      <w:pPr>
        <w:pStyle w:val="Heading4"/>
        <w:spacing w:line="240" w:lineRule="auto"/>
        <w:ind w:left="573" w:right="0"/>
        <w:jc w:val="left"/>
      </w:pPr>
      <w:r>
        <w:rPr/>
        <w:t>数据来源：中国电力规划设计协会</w:t>
      </w:r>
    </w:p>
    <w:p>
      <w:pPr>
        <w:spacing w:line="240" w:lineRule="auto" w:before="10"/>
        <w:rPr>
          <w:rFonts w:ascii="宋体" w:hAnsi="宋体" w:cs="宋体" w:eastAsia="宋体" w:hint="default"/>
          <w:sz w:val="14"/>
          <w:szCs w:val="14"/>
        </w:rPr>
      </w:pPr>
    </w:p>
    <w:p>
      <w:pPr>
        <w:pStyle w:val="Heading4"/>
        <w:spacing w:line="240" w:lineRule="auto"/>
        <w:ind w:left="573" w:right="6774"/>
        <w:jc w:val="left"/>
      </w:pPr>
      <w:r>
        <w:rPr/>
        <w:t>（</w:t>
      </w:r>
      <w:r>
        <w:rPr>
          <w:rFonts w:ascii="Times New Roman" w:hAnsi="Times New Roman" w:cs="Times New Roman" w:eastAsia="Times New Roman" w:hint="default"/>
        </w:rPr>
        <w:t>2</w:t>
      </w:r>
      <w:r>
        <w:rPr/>
        <w:t>）营业收入情况</w:t>
      </w:r>
    </w:p>
    <w:p>
      <w:pPr>
        <w:pStyle w:val="Heading4"/>
        <w:spacing w:line="256" w:lineRule="auto" w:before="177"/>
        <w:ind w:right="208"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8"/>
        </w:rPr>
        <w:t>年，行业实现营业收入</w:t>
      </w:r>
      <w:r>
        <w:rPr>
          <w:spacing w:val="-46"/>
        </w:rPr>
        <w:t> </w:t>
      </w:r>
      <w:r>
        <w:rPr>
          <w:rFonts w:ascii="Times New Roman" w:hAnsi="Times New Roman" w:cs="Times New Roman" w:eastAsia="Times New Roman" w:hint="default"/>
        </w:rPr>
        <w:t>769.25</w:t>
      </w:r>
      <w:r>
        <w:rPr>
          <w:rFonts w:ascii="Times New Roman" w:hAnsi="Times New Roman" w:cs="Times New Roman" w:eastAsia="Times New Roman" w:hint="default"/>
          <w:spacing w:val="2"/>
        </w:rPr>
        <w:t> </w:t>
      </w:r>
      <w:r>
        <w:rPr>
          <w:spacing w:val="-17"/>
        </w:rPr>
        <w:t>亿元，较</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年增长</w:t>
      </w:r>
      <w:r>
        <w:rPr>
          <w:spacing w:val="-46"/>
        </w:rPr>
        <w:t> </w:t>
      </w:r>
      <w:r>
        <w:rPr>
          <w:rFonts w:ascii="Times New Roman" w:hAnsi="Times New Roman" w:cs="Times New Roman" w:eastAsia="Times New Roman" w:hint="default"/>
          <w:spacing w:val="-10"/>
        </w:rPr>
        <w:t>6.98%</w:t>
      </w:r>
      <w:r>
        <w:rPr>
          <w:spacing w:val="-10"/>
        </w:rPr>
        <w:t>。其中，工程总承包收入</w:t>
      </w:r>
      <w:r>
        <w:rPr>
          <w:spacing w:val="-46"/>
        </w:rPr>
        <w:t> </w:t>
      </w:r>
      <w:r>
        <w:rPr>
          <w:rFonts w:ascii="Times New Roman" w:hAnsi="Times New Roman" w:cs="Times New Roman" w:eastAsia="Times New Roman" w:hint="default"/>
        </w:rPr>
        <w:t>518.88</w:t>
      </w:r>
      <w:r>
        <w:rPr>
          <w:rFonts w:ascii="Times New Roman" w:hAnsi="Times New Roman" w:cs="Times New Roman" w:eastAsia="Times New Roman" w:hint="default"/>
          <w:spacing w:val="6"/>
        </w:rPr>
        <w:t> </w:t>
      </w:r>
      <w:r>
        <w:rPr/>
        <w:t>亿元，</w:t>
      </w:r>
      <w:r>
        <w:rPr>
          <w:w w:val="100"/>
        </w:rPr>
        <w:t> </w:t>
      </w:r>
      <w:r>
        <w:rPr/>
        <w:t>同比增长</w:t>
      </w:r>
      <w:r>
        <w:rPr>
          <w:spacing w:val="-36"/>
        </w:rPr>
        <w:t> </w:t>
      </w:r>
      <w:r>
        <w:rPr>
          <w:rFonts w:ascii="Times New Roman" w:hAnsi="Times New Roman" w:cs="Times New Roman" w:eastAsia="Times New Roman" w:hint="default"/>
          <w:spacing w:val="-4"/>
        </w:rPr>
        <w:t>4.68%</w:t>
      </w:r>
      <w:r>
        <w:rPr>
          <w:spacing w:val="-4"/>
        </w:rPr>
        <w:t>。工程总承包收入占行业实现营业收入比例达</w:t>
      </w:r>
      <w:r>
        <w:rPr>
          <w:spacing w:val="-36"/>
        </w:rPr>
        <w:t> </w:t>
      </w:r>
      <w:r>
        <w:rPr>
          <w:rFonts w:ascii="Times New Roman" w:hAnsi="Times New Roman" w:cs="Times New Roman" w:eastAsia="Times New Roman" w:hint="default"/>
          <w:spacing w:val="-5"/>
        </w:rPr>
        <w:t>67.45%</w:t>
      </w:r>
      <w:r>
        <w:rPr>
          <w:spacing w:val="-5"/>
        </w:rPr>
        <w:t>。勘察设计及规划咨询收入</w:t>
      </w:r>
      <w:r>
        <w:rPr>
          <w:spacing w:val="-37"/>
        </w:rPr>
        <w:t> </w:t>
      </w:r>
      <w:r>
        <w:rPr>
          <w:rFonts w:ascii="Times New Roman" w:hAnsi="Times New Roman" w:cs="Times New Roman" w:eastAsia="Times New Roman" w:hint="default"/>
        </w:rPr>
        <w:t>250.37</w:t>
      </w:r>
      <w:r>
        <w:rPr>
          <w:rFonts w:ascii="Times New Roman" w:hAnsi="Times New Roman" w:cs="Times New Roman" w:eastAsia="Times New Roman" w:hint="default"/>
          <w:spacing w:val="12"/>
        </w:rPr>
        <w:t> </w:t>
      </w:r>
      <w:r>
        <w:rPr/>
        <w:t>亿</w:t>
      </w:r>
      <w:r>
        <w:rPr>
          <w:spacing w:val="-98"/>
        </w:rPr>
        <w:t> </w:t>
      </w:r>
      <w:r>
        <w:rPr/>
        <w:t>元，同比增长</w:t>
      </w:r>
      <w:r>
        <w:rPr>
          <w:spacing w:val="-53"/>
        </w:rPr>
        <w:t> </w:t>
      </w:r>
      <w:r>
        <w:rPr>
          <w:rFonts w:ascii="Times New Roman" w:hAnsi="Times New Roman" w:cs="Times New Roman" w:eastAsia="Times New Roman" w:hint="default"/>
        </w:rPr>
        <w:t>12.09%</w:t>
      </w:r>
      <w:r>
        <w:rPr/>
        <w:t>。</w:t>
      </w:r>
    </w:p>
    <w:p>
      <w:pPr>
        <w:pStyle w:val="Heading4"/>
        <w:spacing w:line="240" w:lineRule="auto" w:before="161"/>
        <w:ind w:left="573" w:right="0"/>
        <w:jc w:val="left"/>
      </w:pPr>
      <w:r>
        <w:rPr>
          <w:rFonts w:ascii="Times New Roman" w:hAnsi="Times New Roman" w:cs="Times New Roman" w:eastAsia="Times New Roman" w:hint="default"/>
        </w:rPr>
        <w:t>2012-2016</w:t>
      </w:r>
      <w:r>
        <w:rPr>
          <w:rFonts w:ascii="Times New Roman" w:hAnsi="Times New Roman" w:cs="Times New Roman" w:eastAsia="Times New Roman" w:hint="default"/>
          <w:spacing w:val="-3"/>
        </w:rPr>
        <w:t> </w:t>
      </w:r>
      <w:r>
        <w:rPr/>
        <w:t>年电力工程勘察设计行业营业收入状况</w:t>
      </w:r>
    </w:p>
    <w:p>
      <w:pPr>
        <w:pStyle w:val="Heading4"/>
        <w:spacing w:line="240" w:lineRule="auto" w:before="177"/>
        <w:ind w:left="0" w:right="208"/>
        <w:jc w:val="right"/>
      </w:pPr>
      <w:r>
        <w:rPr>
          <w:spacing w:val="-1"/>
        </w:rPr>
        <w:t>单位：亿元</w:t>
      </w:r>
    </w:p>
    <w:p>
      <w:pPr>
        <w:spacing w:after="0" w:line="240" w:lineRule="auto"/>
        <w:jc w:val="right"/>
        <w:sectPr>
          <w:pgSz w:w="11910" w:h="16840"/>
          <w:pgMar w:header="852" w:footer="979" w:top="1260" w:bottom="1160" w:left="980" w:right="920"/>
        </w:sectPr>
      </w:pPr>
    </w:p>
    <w:p>
      <w:pPr>
        <w:spacing w:line="240" w:lineRule="auto" w:before="5"/>
        <w:rPr>
          <w:rFonts w:ascii="宋体" w:hAnsi="宋体" w:cs="宋体" w:eastAsia="宋体" w:hint="default"/>
          <w:sz w:val="18"/>
          <w:szCs w:val="18"/>
        </w:rPr>
      </w:pPr>
    </w:p>
    <w:p>
      <w:pPr>
        <w:spacing w:line="4536" w:lineRule="exact"/>
        <w:ind w:left="1568"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344463" cy="288036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4344463" cy="288036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7"/>
        <w:rPr>
          <w:rFonts w:ascii="宋体" w:hAnsi="宋体" w:cs="宋体" w:eastAsia="宋体" w:hint="default"/>
          <w:sz w:val="13"/>
          <w:szCs w:val="13"/>
        </w:rPr>
      </w:pPr>
    </w:p>
    <w:p>
      <w:pPr>
        <w:pStyle w:val="Heading4"/>
        <w:spacing w:line="240" w:lineRule="auto" w:before="36"/>
        <w:ind w:left="573" w:right="0"/>
        <w:jc w:val="left"/>
      </w:pPr>
      <w:r>
        <w:rPr/>
        <w:t>数据来源：中国电力规划设计协会</w:t>
      </w:r>
    </w:p>
    <w:p>
      <w:pPr>
        <w:spacing w:line="240" w:lineRule="auto" w:before="10"/>
        <w:rPr>
          <w:rFonts w:ascii="宋体" w:hAnsi="宋体" w:cs="宋体" w:eastAsia="宋体" w:hint="default"/>
          <w:sz w:val="14"/>
          <w:szCs w:val="14"/>
        </w:rPr>
      </w:pPr>
    </w:p>
    <w:p>
      <w:pPr>
        <w:pStyle w:val="Heading4"/>
        <w:spacing w:line="240" w:lineRule="auto"/>
        <w:ind w:left="573" w:right="0"/>
        <w:jc w:val="left"/>
      </w:pPr>
      <w:r>
        <w:rPr/>
        <w:t>（</w:t>
      </w:r>
      <w:r>
        <w:rPr>
          <w:rFonts w:ascii="Times New Roman" w:hAnsi="Times New Roman" w:cs="Times New Roman" w:eastAsia="Times New Roman" w:hint="default"/>
        </w:rPr>
        <w:t>3</w:t>
      </w:r>
      <w:r>
        <w:rPr/>
        <w:t>）境外收入状况</w:t>
      </w:r>
    </w:p>
    <w:p>
      <w:pPr>
        <w:pStyle w:val="Heading4"/>
        <w:spacing w:line="256" w:lineRule="auto" w:before="177"/>
        <w:ind w:right="0"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spacing w:val="-5"/>
        </w:rPr>
        <w:t>年，行业境外收入</w:t>
      </w:r>
      <w:r>
        <w:rPr>
          <w:spacing w:val="-43"/>
        </w:rPr>
        <w:t> </w:t>
      </w:r>
      <w:r>
        <w:rPr>
          <w:rFonts w:ascii="Times New Roman" w:hAnsi="Times New Roman" w:cs="Times New Roman" w:eastAsia="Times New Roman" w:hint="default"/>
        </w:rPr>
        <w:t>68.62</w:t>
      </w:r>
      <w:r>
        <w:rPr>
          <w:rFonts w:ascii="Times New Roman" w:hAnsi="Times New Roman" w:cs="Times New Roman" w:eastAsia="Times New Roman" w:hint="default"/>
          <w:spacing w:val="10"/>
        </w:rPr>
        <w:t> </w:t>
      </w:r>
      <w:r>
        <w:rPr>
          <w:spacing w:val="-7"/>
        </w:rPr>
        <w:t>亿元，较</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年度增长</w:t>
      </w:r>
      <w:r>
        <w:rPr>
          <w:spacing w:val="-41"/>
        </w:rPr>
        <w:t> </w:t>
      </w:r>
      <w:r>
        <w:rPr>
          <w:rFonts w:ascii="Times New Roman" w:hAnsi="Times New Roman" w:cs="Times New Roman" w:eastAsia="Times New Roman" w:hint="default"/>
          <w:spacing w:val="-4"/>
        </w:rPr>
        <w:t>131.75%</w:t>
      </w:r>
      <w:r>
        <w:rPr>
          <w:spacing w:val="-4"/>
        </w:rPr>
        <w:t>，增幅较大。行业境外收入整体规模偏</w:t>
      </w:r>
      <w:r>
        <w:rPr>
          <w:w w:val="100"/>
        </w:rPr>
        <w:t> </w:t>
      </w:r>
      <w:r>
        <w:rPr/>
        <w:t>小，国内市场仍占主导地位。</w:t>
      </w:r>
    </w:p>
    <w:p>
      <w:pPr>
        <w:pStyle w:val="Heading4"/>
        <w:spacing w:line="240" w:lineRule="auto" w:before="179"/>
        <w:ind w:left="573" w:right="0"/>
        <w:jc w:val="left"/>
      </w:pPr>
      <w:r>
        <w:rPr>
          <w:rFonts w:ascii="Times New Roman" w:hAnsi="Times New Roman" w:cs="Times New Roman" w:eastAsia="Times New Roman" w:hint="default"/>
        </w:rPr>
        <w:t>2012-2016</w:t>
      </w:r>
      <w:r>
        <w:rPr>
          <w:rFonts w:ascii="Times New Roman" w:hAnsi="Times New Roman" w:cs="Times New Roman" w:eastAsia="Times New Roman" w:hint="default"/>
          <w:spacing w:val="-3"/>
        </w:rPr>
        <w:t> </w:t>
      </w:r>
      <w:r>
        <w:rPr/>
        <w:t>年电力工程勘察设计行业境外收入情况</w:t>
      </w:r>
    </w:p>
    <w:p>
      <w:pPr>
        <w:pStyle w:val="Heading4"/>
        <w:spacing w:line="240" w:lineRule="auto" w:before="177"/>
        <w:ind w:left="8742" w:right="0"/>
        <w:jc w:val="left"/>
      </w:pPr>
      <w:r>
        <w:rPr/>
        <w:t>单位：亿元</w:t>
      </w:r>
    </w:p>
    <w:p>
      <w:pPr>
        <w:spacing w:line="240" w:lineRule="auto" w:before="12"/>
        <w:rPr>
          <w:rFonts w:ascii="宋体" w:hAnsi="宋体" w:cs="宋体" w:eastAsia="宋体" w:hint="default"/>
          <w:sz w:val="17"/>
          <w:szCs w:val="17"/>
        </w:rPr>
      </w:pPr>
    </w:p>
    <w:p>
      <w:pPr>
        <w:spacing w:line="4623" w:lineRule="exact"/>
        <w:ind w:left="1598"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289311" cy="293579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3" cstate="print"/>
                    <a:stretch>
                      <a:fillRect/>
                    </a:stretch>
                  </pic:blipFill>
                  <pic:spPr>
                    <a:xfrm>
                      <a:off x="0" y="0"/>
                      <a:ext cx="4289311" cy="2935795"/>
                    </a:xfrm>
                    <a:prstGeom prst="rect">
                      <a:avLst/>
                    </a:prstGeom>
                  </pic:spPr>
                </pic:pic>
              </a:graphicData>
            </a:graphic>
          </wp:inline>
        </w:drawing>
      </w:r>
      <w:r>
        <w:rPr>
          <w:rFonts w:ascii="宋体" w:hAnsi="宋体" w:cs="宋体" w:eastAsia="宋体" w:hint="default"/>
          <w:position w:val="-91"/>
          <w:sz w:val="20"/>
          <w:szCs w:val="20"/>
        </w:rPr>
      </w:r>
    </w:p>
    <w:p>
      <w:pPr>
        <w:pStyle w:val="Heading4"/>
        <w:spacing w:line="240" w:lineRule="auto" w:before="172"/>
        <w:ind w:left="573" w:right="0"/>
        <w:jc w:val="left"/>
      </w:pPr>
      <w:r>
        <w:rPr/>
        <w:t>数据来源：中国电力规划设计协会</w:t>
      </w:r>
    </w:p>
    <w:p>
      <w:pPr>
        <w:spacing w:line="240" w:lineRule="auto" w:before="10"/>
        <w:rPr>
          <w:rFonts w:ascii="宋体" w:hAnsi="宋体" w:cs="宋体" w:eastAsia="宋体" w:hint="default"/>
          <w:sz w:val="14"/>
          <w:szCs w:val="14"/>
        </w:rPr>
      </w:pPr>
    </w:p>
    <w:p>
      <w:pPr>
        <w:pStyle w:val="Heading4"/>
        <w:spacing w:line="386" w:lineRule="auto"/>
        <w:ind w:left="573" w:right="0"/>
        <w:jc w:val="left"/>
      </w:pPr>
      <w:r>
        <w:rPr>
          <w:rFonts w:ascii="Times New Roman" w:hAnsi="Times New Roman" w:cs="Times New Roman" w:eastAsia="Times New Roman" w:hint="default"/>
        </w:rPr>
        <w:t>3</w:t>
      </w:r>
      <w:r>
        <w:rPr/>
        <w:t>、电力工程勘察设计行业竞争格局</w:t>
      </w:r>
      <w:r>
        <w:rPr>
          <w:w w:val="100"/>
        </w:rPr>
        <w:t> </w:t>
      </w:r>
      <w:r>
        <w:rPr>
          <w:spacing w:val="-2"/>
        </w:rPr>
        <w:t>按照取得的业务资质划分，电力工程勘察设计行业市场主体主要分为下述三类：</w:t>
      </w:r>
    </w:p>
    <w:p>
      <w:pPr>
        <w:spacing w:after="0" w:line="386" w:lineRule="auto"/>
        <w:jc w:val="left"/>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4"/>
        <w:spacing w:line="264" w:lineRule="auto" w:before="36"/>
        <w:ind w:right="326" w:firstLine="420"/>
        <w:jc w:val="right"/>
      </w:pPr>
      <w:r>
        <w:rPr>
          <w:spacing w:val="-2"/>
        </w:rPr>
        <w:t>第一类：拥有工程设计电力行业甲级及以上资质，可承担电力行业各种等级建设工程项目的勘察设计</w:t>
      </w:r>
      <w:r>
        <w:rPr>
          <w:w w:val="100"/>
        </w:rPr>
        <w:t> </w:t>
      </w:r>
      <w:r>
        <w:rPr/>
        <w:t>和 </w:t>
      </w:r>
      <w:r>
        <w:rPr>
          <w:rFonts w:ascii="Times New Roman" w:hAnsi="Times New Roman" w:cs="Times New Roman" w:eastAsia="Times New Roman" w:hint="default"/>
        </w:rPr>
        <w:t>EPC</w:t>
      </w:r>
      <w:r>
        <w:rPr>
          <w:rFonts w:ascii="Times New Roman" w:hAnsi="Times New Roman" w:cs="Times New Roman" w:eastAsia="Times New Roman" w:hint="default"/>
          <w:spacing w:val="6"/>
        </w:rPr>
        <w:t> </w:t>
      </w:r>
      <w:r>
        <w:rPr/>
        <w:t>工程总承包任务。该类企业主要由中国电力工程顾问集团公司所属的六大区域电力设计院及部分</w:t>
      </w:r>
      <w:r>
        <w:rPr>
          <w:w w:val="100"/>
        </w:rPr>
        <w:t> </w:t>
      </w:r>
      <w:r>
        <w:rPr>
          <w:spacing w:val="-7"/>
        </w:rPr>
        <w:t>省级电力设计院组成，具有较强的专业技术水平和丰富的业务经验，设计能力强，在全国范围内开展业务。</w:t>
      </w:r>
    </w:p>
    <w:p>
      <w:pPr>
        <w:pStyle w:val="Heading4"/>
        <w:spacing w:line="273" w:lineRule="auto" w:before="172"/>
        <w:ind w:right="326" w:firstLine="420"/>
        <w:jc w:val="both"/>
      </w:pPr>
      <w:r>
        <w:rPr>
          <w:spacing w:val="-2"/>
        </w:rPr>
        <w:t>第二类：拥有工程设计专业甲级资质，可承担资质范围内电力工程的设计任务。该类企业主要由小部</w:t>
      </w:r>
      <w:r>
        <w:rPr>
          <w:w w:val="100"/>
        </w:rPr>
        <w:t> </w:t>
      </w:r>
      <w:r>
        <w:rPr/>
        <w:t>分省级电力设计院、较大型地市级设计院及少数民营设计院组成。</w:t>
      </w:r>
    </w:p>
    <w:p>
      <w:pPr>
        <w:pStyle w:val="Heading4"/>
        <w:spacing w:line="273" w:lineRule="auto" w:before="163"/>
        <w:ind w:right="326" w:firstLine="420"/>
        <w:jc w:val="both"/>
      </w:pPr>
      <w:r>
        <w:rPr>
          <w:spacing w:val="-2"/>
        </w:rPr>
        <w:t>第三类：工程设计非甲级资质企业，可承担资质范围内电力工程（或电力专项工程）的设计任务，主</w:t>
      </w:r>
      <w:r>
        <w:rPr>
          <w:w w:val="100"/>
        </w:rPr>
        <w:t> </w:t>
      </w:r>
      <w:r>
        <w:rPr>
          <w:spacing w:val="-2"/>
        </w:rPr>
        <w:t>要由地市级设计院以及大部分民营设计院组成。这些企业一般规模较小、资质范围较窄、等级较低、地域</w:t>
      </w:r>
      <w:r>
        <w:rPr>
          <w:spacing w:val="-47"/>
        </w:rPr>
        <w:t> </w:t>
      </w:r>
      <w:r>
        <w:rPr>
          <w:spacing w:val="-47"/>
        </w:rPr>
      </w:r>
      <w:r>
        <w:rPr/>
        <w:t>性较强，通常在固定地域从事相对单一的业务。</w:t>
      </w:r>
    </w:p>
    <w:p>
      <w:pPr>
        <w:pStyle w:val="Heading4"/>
        <w:spacing w:line="273" w:lineRule="auto" w:before="163"/>
        <w:ind w:right="326" w:firstLine="420"/>
        <w:jc w:val="both"/>
      </w:pPr>
      <w:r>
        <w:rPr>
          <w:spacing w:val="-2"/>
        </w:rPr>
        <w:t>上述第一类企业在全国及各省的高端市场上竞争，第二类、第三类企业在相对固定地域的中低端市场</w:t>
      </w:r>
      <w:r>
        <w:rPr>
          <w:w w:val="100"/>
        </w:rPr>
        <w:t> </w:t>
      </w:r>
      <w:r>
        <w:rPr>
          <w:spacing w:val="-4"/>
        </w:rPr>
        <w:t>上竞争。第一类企业约 </w:t>
      </w:r>
      <w:r>
        <w:rPr>
          <w:rFonts w:ascii="Times New Roman" w:hAnsi="Times New Roman" w:cs="Times New Roman" w:eastAsia="Times New Roman" w:hint="default"/>
        </w:rPr>
        <w:t>50</w:t>
      </w:r>
      <w:r>
        <w:rPr>
          <w:rFonts w:ascii="Times New Roman" w:hAnsi="Times New Roman" w:cs="Times New Roman" w:eastAsia="Times New Roman" w:hint="default"/>
          <w:spacing w:val="28"/>
        </w:rPr>
        <w:t> </w:t>
      </w:r>
      <w:r>
        <w:rPr>
          <w:spacing w:val="-5"/>
        </w:rPr>
        <w:t>家，第二、三类合计约千余家，公司拥有电力行业甲级资质，属于第一类企业。</w:t>
      </w:r>
    </w:p>
    <w:p>
      <w:pPr>
        <w:spacing w:line="468" w:lineRule="exact" w:before="15"/>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w:t>
      </w:r>
      <w:r>
        <w:rPr>
          <w:rFonts w:ascii="宋体" w:hAnsi="宋体" w:cs="宋体" w:eastAsia="宋体" w:hint="default"/>
          <w:b/>
          <w:bCs/>
          <w:w w:val="100"/>
          <w:sz w:val="21"/>
          <w:szCs w:val="21"/>
        </w:rPr>
        <w:t> </w:t>
      </w:r>
      <w:r>
        <w:rPr>
          <w:rFonts w:ascii="宋体" w:hAnsi="宋体" w:cs="宋体" w:eastAsia="宋体" w:hint="default"/>
          <w:spacing w:val="-2"/>
          <w:sz w:val="21"/>
          <w:szCs w:val="21"/>
        </w:rPr>
        <w:t>未来，公司将充分研究国内外宏观经济形势和行业发展趋势，不断优化组织架构，配套长效的激励机</w:t>
      </w:r>
    </w:p>
    <w:p>
      <w:pPr>
        <w:pStyle w:val="Heading4"/>
        <w:spacing w:line="248" w:lineRule="exact"/>
        <w:ind w:right="0"/>
        <w:jc w:val="left"/>
      </w:pPr>
      <w:r>
        <w:rPr/>
        <w:t>制，加大新技术的研发投入，注重各类人才的引进和培养，增强核心竞争力，保证收入和盈利的可持续增</w:t>
      </w:r>
    </w:p>
    <w:p>
      <w:pPr>
        <w:pStyle w:val="Heading4"/>
        <w:spacing w:line="240" w:lineRule="auto" w:before="37"/>
        <w:ind w:right="0"/>
        <w:jc w:val="left"/>
      </w:pPr>
      <w:r>
        <w:rPr/>
        <w:t>长。</w:t>
      </w:r>
    </w:p>
    <w:p>
      <w:pPr>
        <w:pStyle w:val="Heading4"/>
        <w:spacing w:line="450" w:lineRule="atLeast" w:before="34"/>
        <w:ind w:left="573" w:right="0"/>
        <w:jc w:val="left"/>
      </w:pPr>
      <w:r>
        <w:rPr>
          <w:rFonts w:ascii="Times New Roman" w:hAnsi="Times New Roman" w:cs="Times New Roman" w:eastAsia="Times New Roman" w:hint="default"/>
        </w:rPr>
        <w:t>1</w:t>
      </w:r>
      <w:r>
        <w:rPr/>
        <w:t>、厚积薄发、整合优势，确保主营业务持续稳定增长</w:t>
      </w:r>
      <w:r>
        <w:rPr>
          <w:w w:val="100"/>
        </w:rPr>
        <w:t> </w:t>
      </w:r>
      <w:r>
        <w:rPr>
          <w:spacing w:val="-7"/>
        </w:rPr>
        <w:t>充分利用自身资质和平台优势、品牌和信誉优势以及管理和机制优势，深耕已有客户，扩大市场份额，</w:t>
      </w:r>
    </w:p>
    <w:p>
      <w:pPr>
        <w:pStyle w:val="Heading4"/>
        <w:spacing w:line="256" w:lineRule="auto" w:before="37"/>
        <w:ind w:right="0"/>
        <w:jc w:val="left"/>
      </w:pPr>
      <w:r>
        <w:rPr>
          <w:spacing w:val="-5"/>
        </w:rPr>
        <w:t>不断培育新客户，拓展新市场，让传统的勘察设计及 </w:t>
      </w:r>
      <w:r>
        <w:rPr>
          <w:rFonts w:ascii="Times New Roman" w:hAnsi="Times New Roman" w:cs="Times New Roman" w:eastAsia="Times New Roman" w:hint="default"/>
        </w:rPr>
        <w:t>EPC </w:t>
      </w:r>
      <w:r>
        <w:rPr>
          <w:spacing w:val="-3"/>
        </w:rPr>
        <w:t>总承包等主营业务呈现新的发展态势，持续稳定</w:t>
      </w:r>
      <w:r>
        <w:rPr>
          <w:spacing w:val="-73"/>
        </w:rPr>
        <w:t> </w:t>
      </w:r>
      <w:r>
        <w:rPr>
          <w:spacing w:val="-73"/>
        </w:rPr>
      </w:r>
      <w:r>
        <w:rPr/>
        <w:t>增长。</w:t>
      </w:r>
    </w:p>
    <w:p>
      <w:pPr>
        <w:pStyle w:val="Heading4"/>
        <w:spacing w:line="450" w:lineRule="atLeast" w:before="19"/>
        <w:ind w:left="573" w:right="0"/>
        <w:jc w:val="left"/>
      </w:pPr>
      <w:r>
        <w:rPr>
          <w:rFonts w:ascii="Times New Roman" w:hAnsi="Times New Roman" w:cs="Times New Roman" w:eastAsia="Times New Roman" w:hint="default"/>
        </w:rPr>
        <w:t>2</w:t>
      </w:r>
      <w:r>
        <w:rPr/>
        <w:t>、紧跟行业发展趋势，加大创新研发，占领新的业务领域</w:t>
      </w:r>
      <w:r>
        <w:rPr>
          <w:w w:val="100"/>
        </w:rPr>
        <w:t> </w:t>
      </w:r>
      <w:r>
        <w:rPr>
          <w:spacing w:val="-2"/>
        </w:rPr>
        <w:t>电力行业发展进入转方式、调结构、换动力的关键时期，呈现电源结构清洁化、电力系统智能化、电</w:t>
      </w:r>
    </w:p>
    <w:p>
      <w:pPr>
        <w:pStyle w:val="Heading4"/>
        <w:spacing w:line="273" w:lineRule="auto" w:before="37"/>
        <w:ind w:right="0"/>
        <w:jc w:val="left"/>
      </w:pPr>
      <w:r>
        <w:rPr>
          <w:spacing w:val="-2"/>
        </w:rPr>
        <w:t>力发展国际化和体制机制市场化的发展趋势，为电力勘察设计行业带来巨大的增长动力和大量的商业机会，</w:t>
      </w:r>
      <w:r>
        <w:rPr>
          <w:spacing w:val="-43"/>
        </w:rPr>
        <w:t> </w:t>
      </w:r>
      <w:r>
        <w:rPr>
          <w:spacing w:val="-43"/>
        </w:rPr>
      </w:r>
      <w:r>
        <w:rPr/>
        <w:t>公司将以客户为中心，贴近市场，根据行业发展趋势，做好新技术的储备，加快培育新的业务增长点，其</w:t>
      </w:r>
      <w:r>
        <w:rPr>
          <w:w w:val="100"/>
        </w:rPr>
        <w:t> </w:t>
      </w:r>
      <w:r>
        <w:rPr/>
        <w:t>中：</w:t>
      </w:r>
    </w:p>
    <w:p>
      <w:pPr>
        <w:pStyle w:val="Heading4"/>
        <w:spacing w:line="273" w:lineRule="auto" w:before="163"/>
        <w:ind w:right="326" w:firstLine="420"/>
        <w:jc w:val="both"/>
      </w:pPr>
      <w:r>
        <w:rPr>
          <w:spacing w:val="-2"/>
        </w:rPr>
        <w:t>持续加大福建省海上风电研发中心的研发投入，重点突破海上风电建设的关键技术，保持该领域的领</w:t>
      </w:r>
      <w:r>
        <w:rPr>
          <w:w w:val="100"/>
        </w:rPr>
        <w:t> </w:t>
      </w:r>
      <w:r>
        <w:rPr/>
        <w:t>先优势。</w:t>
      </w:r>
    </w:p>
    <w:p>
      <w:pPr>
        <w:pStyle w:val="Heading4"/>
        <w:spacing w:line="259" w:lineRule="auto" w:before="163"/>
        <w:ind w:right="326" w:firstLine="420"/>
        <w:jc w:val="both"/>
      </w:pPr>
      <w:r>
        <w:rPr>
          <w:spacing w:val="-2"/>
        </w:rPr>
        <w:t>组建数字化技术研究中心和智慧能源研发部，积极跟踪</w:t>
      </w:r>
      <w:r>
        <w:rPr>
          <w:spacing w:val="34"/>
        </w:rPr>
        <w:t> </w:t>
      </w:r>
      <w:r>
        <w:rPr>
          <w:spacing w:val="-2"/>
        </w:rPr>
        <w:t>“互联网</w:t>
      </w:r>
      <w:r>
        <w:rPr>
          <w:rFonts w:ascii="Times New Roman" w:hAnsi="Times New Roman" w:cs="Times New Roman" w:eastAsia="Times New Roman" w:hint="default"/>
          <w:spacing w:val="-2"/>
        </w:rPr>
        <w:t>+</w:t>
      </w:r>
      <w:r>
        <w:rPr>
          <w:spacing w:val="-2"/>
        </w:rPr>
        <w:t>”智慧能源技术和数字化技术等电</w:t>
      </w:r>
      <w:r>
        <w:rPr>
          <w:w w:val="100"/>
        </w:rPr>
        <w:t> </w:t>
      </w:r>
      <w:r>
        <w:rPr/>
        <w:t>力新技术的发展趋势，加大在人力和资金的研发投入，加快形成核心技术。</w:t>
      </w:r>
    </w:p>
    <w:p>
      <w:pPr>
        <w:pStyle w:val="Heading4"/>
        <w:spacing w:line="240" w:lineRule="auto" w:before="176"/>
        <w:ind w:left="573" w:right="0"/>
        <w:jc w:val="left"/>
      </w:pPr>
      <w:r>
        <w:rPr>
          <w:rFonts w:ascii="Times New Roman" w:hAnsi="Times New Roman" w:cs="Times New Roman" w:eastAsia="Times New Roman" w:hint="default"/>
        </w:rPr>
        <w:t>3</w:t>
      </w:r>
      <w:r>
        <w:rPr/>
        <w:t>、以投资带动业务，培育新的利润增长点</w:t>
      </w:r>
    </w:p>
    <w:p>
      <w:pPr>
        <w:pStyle w:val="Heading4"/>
        <w:spacing w:line="264" w:lineRule="auto" w:before="177"/>
        <w:ind w:right="326" w:firstLine="420"/>
        <w:jc w:val="both"/>
      </w:pPr>
      <w:r>
        <w:rPr/>
        <w:t>利用投资带动新能源 </w:t>
      </w:r>
      <w:r>
        <w:rPr>
          <w:rFonts w:ascii="Times New Roman" w:hAnsi="Times New Roman" w:cs="Times New Roman" w:eastAsia="Times New Roman" w:hint="default"/>
        </w:rPr>
        <w:t>EPC</w:t>
      </w:r>
      <w:r>
        <w:rPr>
          <w:rFonts w:ascii="Times New Roman" w:hAnsi="Times New Roman" w:cs="Times New Roman" w:eastAsia="Times New Roman" w:hint="default"/>
          <w:spacing w:val="8"/>
        </w:rPr>
        <w:t> </w:t>
      </w:r>
      <w:r>
        <w:rPr/>
        <w:t>总承包业务、高端运维业务的发展；寻找优质的新能源、清洁能源投资机</w:t>
      </w:r>
      <w:r>
        <w:rPr>
          <w:w w:val="100"/>
        </w:rPr>
        <w:t> </w:t>
      </w:r>
      <w:r>
        <w:rPr>
          <w:spacing w:val="-2"/>
        </w:rPr>
        <w:t>会，并通过并购有利于主营业务拓展的同类公司标的，让投资带来新的利润增长点，增加公司抵御风险的</w:t>
      </w:r>
      <w:r>
        <w:rPr>
          <w:spacing w:val="-42"/>
        </w:rPr>
        <w:t> </w:t>
      </w:r>
      <w:r>
        <w:rPr>
          <w:spacing w:val="-42"/>
        </w:rPr>
      </w:r>
      <w:r>
        <w:rPr/>
        <w:t>能力。</w:t>
      </w:r>
    </w:p>
    <w:p>
      <w:pPr>
        <w:pStyle w:val="Heading4"/>
        <w:spacing w:line="450" w:lineRule="atLeast" w:before="13"/>
        <w:ind w:left="573" w:right="0"/>
        <w:jc w:val="left"/>
      </w:pPr>
      <w:r>
        <w:rPr>
          <w:rFonts w:ascii="Times New Roman" w:hAnsi="Times New Roman" w:cs="Times New Roman" w:eastAsia="Times New Roman" w:hint="default"/>
        </w:rPr>
        <w:t>4</w:t>
      </w:r>
      <w:r>
        <w:rPr/>
        <w:t>、加强人力资源建设，增强核心竞争力</w:t>
      </w:r>
      <w:r>
        <w:rPr>
          <w:w w:val="100"/>
        </w:rPr>
        <w:t> </w:t>
      </w:r>
      <w:r>
        <w:rPr>
          <w:spacing w:val="-2"/>
        </w:rPr>
        <w:t>制定科学合理的人员任用机制，做好全员职业发展规划，建立完善的人力资源培训制度，配套长效的</w:t>
      </w:r>
    </w:p>
    <w:p>
      <w:pPr>
        <w:pStyle w:val="Heading4"/>
        <w:spacing w:line="273" w:lineRule="auto" w:before="37"/>
        <w:ind w:right="0"/>
        <w:jc w:val="left"/>
      </w:pPr>
      <w:r>
        <w:rPr>
          <w:spacing w:val="-2"/>
        </w:rPr>
        <w:t>激励机制，激发员工积极性；通过公司的平台优势，不断吸引高端人才加盟，促进人才梯队建设，增强核</w:t>
      </w:r>
      <w:r>
        <w:rPr>
          <w:spacing w:val="-43"/>
        </w:rPr>
        <w:t> </w:t>
      </w:r>
      <w:r>
        <w:rPr>
          <w:spacing w:val="-43"/>
        </w:rPr>
      </w:r>
      <w:r>
        <w:rPr/>
        <w:t>心竞争力。</w:t>
      </w:r>
    </w:p>
    <w:p>
      <w:pPr>
        <w:pStyle w:val="Heading4"/>
        <w:spacing w:line="240" w:lineRule="auto" w:before="164"/>
        <w:ind w:left="573" w:right="0"/>
        <w:jc w:val="left"/>
      </w:pPr>
      <w:r>
        <w:rPr>
          <w:rFonts w:ascii="Times New Roman" w:hAnsi="Times New Roman" w:cs="Times New Roman" w:eastAsia="Times New Roman" w:hint="default"/>
        </w:rPr>
        <w:t>5</w:t>
      </w:r>
      <w:r>
        <w:rPr/>
        <w:t>、提升管理，打造特色企业文化，营造良好的内外部经营环境</w:t>
      </w:r>
    </w:p>
    <w:p>
      <w:pPr>
        <w:spacing w:after="0" w:line="240" w:lineRule="auto"/>
        <w:jc w:val="left"/>
        <w:sectPr>
          <w:pgSz w:w="11910" w:h="16840"/>
          <w:pgMar w:header="852" w:footer="979" w:top="1260" w:bottom="1160" w:left="980" w:right="800"/>
        </w:sectPr>
      </w:pPr>
    </w:p>
    <w:p>
      <w:pPr>
        <w:spacing w:line="240" w:lineRule="auto" w:before="13"/>
        <w:rPr>
          <w:rFonts w:ascii="宋体" w:hAnsi="宋体" w:cs="宋体" w:eastAsia="宋体" w:hint="default"/>
          <w:sz w:val="8"/>
          <w:szCs w:val="8"/>
        </w:rPr>
      </w:pPr>
    </w:p>
    <w:p>
      <w:pPr>
        <w:pStyle w:val="Heading4"/>
        <w:spacing w:line="273" w:lineRule="auto" w:before="36"/>
        <w:ind w:right="0" w:firstLine="420"/>
        <w:jc w:val="left"/>
      </w:pPr>
      <w:r>
        <w:rPr>
          <w:spacing w:val="-2"/>
        </w:rPr>
        <w:t>向管理要效益，积极推进事业部的改革，完善激励机制来进一步调动员工的积极性；以管理信息化为</w:t>
      </w:r>
      <w:r>
        <w:rPr>
          <w:w w:val="100"/>
        </w:rPr>
        <w:t> </w:t>
      </w:r>
      <w:r>
        <w:rPr/>
        <w:t>手段，提高公司管理的运转效率；加强党建工作，充分发挥党支部战斗堡垒作用；注重企业文化的建设，</w:t>
      </w:r>
      <w:r>
        <w:rPr>
          <w:spacing w:val="-24"/>
        </w:rPr>
        <w:t> </w:t>
      </w:r>
      <w:r>
        <w:rPr>
          <w:spacing w:val="-24"/>
        </w:rPr>
      </w:r>
      <w:r>
        <w:rPr>
          <w:spacing w:val="-2"/>
        </w:rPr>
        <w:t>打造软实力，对内增强员工的归属感和使命感，对外以优质的产品和服务来打动客户，为企业创造良好的</w:t>
      </w:r>
      <w:r>
        <w:rPr>
          <w:spacing w:val="-44"/>
        </w:rPr>
        <w:t> </w:t>
      </w:r>
      <w:r>
        <w:rPr>
          <w:spacing w:val="-44"/>
        </w:rPr>
      </w:r>
      <w:r>
        <w:rPr/>
        <w:t>外部环境。</w:t>
      </w:r>
    </w:p>
    <w:p>
      <w:pPr>
        <w:pStyle w:val="Heading3"/>
        <w:spacing w:line="240" w:lineRule="auto" w:before="163"/>
        <w:ind w:left="575" w:right="6774"/>
        <w:jc w:val="left"/>
        <w:rPr>
          <w:b w:val="0"/>
          <w:bCs w:val="0"/>
        </w:rPr>
      </w:pPr>
      <w:r>
        <w:rPr/>
        <w:t>（三）</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年经营计划</w:t>
      </w:r>
      <w:r>
        <w:rPr>
          <w:b w:val="0"/>
          <w:bCs w:val="0"/>
        </w:rPr>
      </w:r>
    </w:p>
    <w:p>
      <w:pPr>
        <w:pStyle w:val="Heading4"/>
        <w:spacing w:line="264" w:lineRule="auto" w:before="177"/>
        <w:ind w:right="208" w:firstLine="420"/>
        <w:jc w:val="both"/>
      </w:pPr>
      <w:r>
        <w:rPr>
          <w:rFonts w:ascii="Times New Roman" w:hAnsi="Times New Roman" w:cs="Times New Roman" w:eastAsia="Times New Roman" w:hint="default"/>
        </w:rPr>
        <w:t>2018 </w:t>
      </w:r>
      <w:r>
        <w:rPr>
          <w:spacing w:val="-4"/>
        </w:rPr>
        <w:t>年，公司将紧紧围绕战略管理体系执行，继续秉持“为社会创造精品、为股东创造价值、为员工</w:t>
      </w:r>
      <w:r>
        <w:rPr>
          <w:w w:val="100"/>
        </w:rPr>
        <w:t> </w:t>
      </w:r>
      <w:r>
        <w:rPr>
          <w:spacing w:val="-2"/>
        </w:rPr>
        <w:t>创造幸福”的企业使命，努力推动全体投资者和公司利益最大化，确保主营业务持续稳定发展，培育新的</w:t>
      </w:r>
      <w:r>
        <w:rPr>
          <w:spacing w:val="-46"/>
        </w:rPr>
        <w:t> </w:t>
      </w:r>
      <w:r>
        <w:rPr>
          <w:spacing w:val="-46"/>
        </w:rPr>
      </w:r>
      <w:r>
        <w:rPr/>
        <w:t>业务增长点。公司将重点围绕以下几个方面开展工作：</w:t>
      </w:r>
    </w:p>
    <w:p>
      <w:pPr>
        <w:pStyle w:val="Heading4"/>
        <w:spacing w:line="450" w:lineRule="atLeast" w:before="13"/>
        <w:ind w:left="573" w:right="0"/>
        <w:jc w:val="left"/>
      </w:pPr>
      <w:r>
        <w:rPr>
          <w:rFonts w:ascii="Times New Roman" w:hAnsi="Times New Roman" w:cs="Times New Roman" w:eastAsia="Times New Roman" w:hint="default"/>
        </w:rPr>
        <w:t>1</w:t>
      </w:r>
      <w:r>
        <w:rPr/>
        <w:t>、加强党建工作，充分发挥党支部战斗堡垒作用</w:t>
      </w:r>
      <w:r>
        <w:rPr>
          <w:w w:val="100"/>
        </w:rPr>
        <w:t> </w:t>
      </w:r>
      <w:r>
        <w:rPr>
          <w:spacing w:val="-2"/>
        </w:rPr>
        <w:t>坚持党对企业发展的引领作用，成立公司党委，大力加强党支部的建设，充分发挥党支部的战斗堡垒</w:t>
      </w:r>
    </w:p>
    <w:p>
      <w:pPr>
        <w:pStyle w:val="Heading4"/>
        <w:spacing w:line="273" w:lineRule="auto" w:before="37"/>
        <w:ind w:right="209"/>
        <w:jc w:val="both"/>
      </w:pPr>
      <w:r>
        <w:rPr>
          <w:spacing w:val="-7"/>
        </w:rPr>
        <w:t>作用、党员先锋模范作用。将党建工作与生产经营有机结合，把党的政策优势转化为企业发展的机遇优势、</w:t>
      </w:r>
      <w:r>
        <w:rPr>
          <w:spacing w:val="-21"/>
        </w:rPr>
        <w:t> </w:t>
      </w:r>
      <w:r>
        <w:rPr>
          <w:spacing w:val="-21"/>
        </w:rPr>
      </w:r>
      <w:r>
        <w:rPr/>
        <w:t>把党的组织优势转化为企业发展的人才优势，为企业的发展保驾护航。</w:t>
      </w:r>
    </w:p>
    <w:p>
      <w:pPr>
        <w:pStyle w:val="Heading4"/>
        <w:spacing w:line="240" w:lineRule="auto" w:before="163"/>
        <w:ind w:left="573" w:right="0"/>
        <w:jc w:val="left"/>
      </w:pPr>
      <w:r>
        <w:rPr>
          <w:rFonts w:ascii="Times New Roman" w:hAnsi="Times New Roman" w:cs="Times New Roman" w:eastAsia="Times New Roman" w:hint="default"/>
        </w:rPr>
        <w:t>2</w:t>
      </w:r>
      <w:r>
        <w:rPr/>
        <w:t>、科学谋划，确保公司经营计划稳步落实</w:t>
      </w:r>
    </w:p>
    <w:p>
      <w:pPr>
        <w:pStyle w:val="Heading4"/>
        <w:spacing w:line="256" w:lineRule="auto" w:before="177"/>
        <w:ind w:right="208"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1"/>
        </w:rPr>
        <w:t> </w:t>
      </w:r>
      <w:r>
        <w:rPr>
          <w:spacing w:val="-4"/>
        </w:rPr>
        <w:t>年，公司做好发展战略落实，抓好募投项目的实施，加强技术研发投入，加大市场开拓力度，强</w:t>
      </w:r>
      <w:r>
        <w:rPr>
          <w:w w:val="100"/>
        </w:rPr>
        <w:t> </w:t>
      </w:r>
      <w:r>
        <w:rPr>
          <w:spacing w:val="-4"/>
        </w:rPr>
        <w:t>化人力资源建设，进一步提高公司的经济效益和业绩规模。</w:t>
      </w:r>
      <w:r>
        <w:rPr>
          <w:rFonts w:ascii="Times New Roman" w:hAnsi="Times New Roman" w:cs="Times New Roman" w:eastAsia="Times New Roman" w:hint="default"/>
          <w:spacing w:val="-4"/>
        </w:rPr>
        <w:t>2018 </w:t>
      </w:r>
      <w:r>
        <w:rPr>
          <w:spacing w:val="-5"/>
        </w:rPr>
        <w:t>年力争实现：营业收入 </w:t>
      </w:r>
      <w:r>
        <w:rPr>
          <w:rFonts w:ascii="Times New Roman" w:hAnsi="Times New Roman" w:cs="Times New Roman" w:eastAsia="Times New Roman" w:hint="default"/>
        </w:rPr>
        <w:t>70,000 </w:t>
      </w:r>
      <w:r>
        <w:rPr>
          <w:spacing w:val="-8"/>
        </w:rPr>
        <w:t>万元，归属</w:t>
      </w:r>
      <w:r>
        <w:rPr>
          <w:spacing w:val="-77"/>
        </w:rPr>
        <w:t> </w:t>
      </w:r>
      <w:r>
        <w:rPr>
          <w:spacing w:val="-77"/>
        </w:rPr>
      </w:r>
      <w:r>
        <w:rPr/>
        <w:t>于上市公司股东的净利润</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w:t>
      </w:r>
    </w:p>
    <w:p>
      <w:pPr>
        <w:pStyle w:val="Heading4"/>
        <w:spacing w:line="256" w:lineRule="auto" w:before="161"/>
        <w:ind w:right="206" w:firstLine="420"/>
        <w:jc w:val="both"/>
      </w:pPr>
      <w:r>
        <w:rPr/>
        <w:t>（上述计划并不代表公司对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年度的盈利预测，不构成公司对投资者的实质承诺，请投资者注意</w:t>
      </w:r>
      <w:r>
        <w:rPr>
          <w:w w:val="100"/>
        </w:rPr>
        <w:t> </w:t>
      </w:r>
      <w:r>
        <w:rPr>
          <w:spacing w:val="-19"/>
          <w:w w:val="100"/>
        </w:rPr>
        <w:t>投资风险。）</w:t>
      </w:r>
    </w:p>
    <w:p>
      <w:pPr>
        <w:pStyle w:val="Heading4"/>
        <w:spacing w:line="450" w:lineRule="atLeast" w:before="19"/>
        <w:ind w:left="573" w:right="0"/>
        <w:jc w:val="left"/>
      </w:pPr>
      <w:r>
        <w:rPr>
          <w:rFonts w:ascii="Times New Roman" w:hAnsi="Times New Roman" w:cs="Times New Roman" w:eastAsia="Times New Roman" w:hint="default"/>
        </w:rPr>
        <w:t>3</w:t>
      </w:r>
      <w:r>
        <w:rPr/>
        <w:t>、紧跟政策导向，强化战略引领功能</w:t>
      </w:r>
      <w:r>
        <w:rPr>
          <w:w w:val="100"/>
        </w:rPr>
        <w:t> </w:t>
      </w:r>
      <w:r>
        <w:rPr>
          <w:spacing w:val="-2"/>
        </w:rPr>
        <w:t>公司将加强国内外宏观经济形势研究，密切关注国家大政方针，加强对行业政策的分析研究，准确研</w:t>
      </w:r>
    </w:p>
    <w:p>
      <w:pPr>
        <w:pStyle w:val="Heading4"/>
        <w:spacing w:line="273" w:lineRule="auto" w:before="37"/>
        <w:ind w:right="206"/>
        <w:jc w:val="both"/>
      </w:pPr>
      <w:r>
        <w:rPr>
          <w:spacing w:val="-2"/>
        </w:rPr>
        <w:t>判行业未来发展趋势，提高发展战略决策的前瞻性和科学性，努力推动发展战略的实施，实现公司可持续</w:t>
      </w:r>
      <w:r>
        <w:rPr>
          <w:spacing w:val="-44"/>
        </w:rPr>
        <w:t> </w:t>
      </w:r>
      <w:r>
        <w:rPr>
          <w:spacing w:val="-44"/>
        </w:rPr>
      </w:r>
      <w:r>
        <w:rPr/>
        <w:t>性发展。</w:t>
      </w:r>
    </w:p>
    <w:p>
      <w:pPr>
        <w:pStyle w:val="Heading4"/>
        <w:spacing w:line="240" w:lineRule="auto" w:before="163"/>
        <w:ind w:left="573"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51"/>
        </w:rPr>
        <w:t> </w:t>
      </w:r>
      <w:r>
        <w:rPr/>
        <w:t>深耕主营业务，确保持续增长</w:t>
      </w:r>
    </w:p>
    <w:p>
      <w:pPr>
        <w:pStyle w:val="Heading4"/>
        <w:spacing w:line="256" w:lineRule="auto" w:before="177"/>
        <w:ind w:right="206" w:firstLine="420"/>
        <w:jc w:val="both"/>
      </w:pPr>
      <w:r>
        <w:rPr>
          <w:spacing w:val="-4"/>
        </w:rPr>
        <w:t>进一步加强电力勘察设计（含规划咨询）和 </w:t>
      </w:r>
      <w:r>
        <w:rPr>
          <w:rFonts w:ascii="Times New Roman" w:hAnsi="Times New Roman" w:cs="Times New Roman" w:eastAsia="Times New Roman" w:hint="default"/>
        </w:rPr>
        <w:t>EPC</w:t>
      </w:r>
      <w:r>
        <w:rPr>
          <w:rFonts w:ascii="Times New Roman" w:hAnsi="Times New Roman" w:cs="Times New Roman" w:eastAsia="Times New Roman" w:hint="default"/>
          <w:spacing w:val="7"/>
        </w:rPr>
        <w:t> </w:t>
      </w:r>
      <w:r>
        <w:rPr>
          <w:spacing w:val="-4"/>
        </w:rPr>
        <w:t>工程总承包主营业务，在稳定发展高压、特高压业务</w:t>
      </w:r>
      <w:r>
        <w:rPr>
          <w:w w:val="100"/>
        </w:rPr>
        <w:t> </w:t>
      </w:r>
      <w:r>
        <w:rPr>
          <w:spacing w:val="-4"/>
        </w:rPr>
        <w:t>的基础上，重点发展清洁能源和新能源、智能配电网和海外工程业务，快速发展 </w:t>
      </w:r>
      <w:r>
        <w:rPr>
          <w:rFonts w:ascii="Times New Roman" w:hAnsi="Times New Roman" w:cs="Times New Roman" w:eastAsia="Times New Roman" w:hint="default"/>
        </w:rPr>
        <w:t>EPC </w:t>
      </w:r>
      <w:r>
        <w:rPr>
          <w:spacing w:val="-5"/>
        </w:rPr>
        <w:t>工程总承包业务，结</w:t>
      </w:r>
      <w:r>
        <w:rPr>
          <w:spacing w:val="-71"/>
        </w:rPr>
        <w:t> </w:t>
      </w:r>
      <w:r>
        <w:rPr>
          <w:spacing w:val="-71"/>
        </w:rPr>
      </w:r>
      <w:r>
        <w:rPr/>
        <w:t>合上市公司的平台优势，加快市场布局，巩固并扩大市场优势，确保业务规模持续增长。</w:t>
      </w:r>
    </w:p>
    <w:p>
      <w:pPr>
        <w:pStyle w:val="Heading4"/>
        <w:spacing w:line="470" w:lineRule="atLeast"/>
        <w:ind w:left="573" w:right="206"/>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52"/>
        </w:rPr>
        <w:t> </w:t>
      </w:r>
      <w:r>
        <w:rPr/>
        <w:t>优化组织架构，提升盈利能力</w:t>
      </w:r>
      <w:r>
        <w:rPr>
          <w:w w:val="100"/>
        </w:rPr>
        <w:t> </w:t>
      </w:r>
      <w:r>
        <w:rPr>
          <w:spacing w:val="-4"/>
        </w:rPr>
        <w:t>根据业务分工对公司组织架构进行调整，设立事业部。明确各事业部的职责，形成各事业部生产</w:t>
      </w:r>
      <w:r>
        <w:rPr>
          <w:rFonts w:ascii="Times New Roman" w:hAnsi="Times New Roman" w:cs="Times New Roman" w:eastAsia="Times New Roman" w:hint="default"/>
          <w:spacing w:val="-4"/>
        </w:rPr>
        <w:t>-</w:t>
      </w:r>
      <w:r>
        <w:rPr>
          <w:spacing w:val="-4"/>
        </w:rPr>
        <w:t>经营</w:t>
      </w:r>
    </w:p>
    <w:p>
      <w:pPr>
        <w:pStyle w:val="Heading4"/>
        <w:spacing w:line="264" w:lineRule="auto" w:before="21"/>
        <w:ind w:right="208"/>
        <w:jc w:val="both"/>
      </w:pPr>
      <w:r>
        <w:rPr>
          <w:spacing w:val="-4"/>
        </w:rPr>
        <w:t>一体化、设计</w:t>
      </w:r>
      <w:r>
        <w:rPr>
          <w:rFonts w:ascii="Times New Roman" w:hAnsi="Times New Roman" w:cs="Times New Roman" w:eastAsia="Times New Roman" w:hint="default"/>
          <w:spacing w:val="-4"/>
        </w:rPr>
        <w:t>-</w:t>
      </w:r>
      <w:r>
        <w:rPr>
          <w:spacing w:val="-4"/>
        </w:rPr>
        <w:t>总包一体化的管理模式，优化生产经营过程中的管理流程和管理界面。同时，给事业部更大</w:t>
      </w:r>
      <w:r>
        <w:rPr>
          <w:spacing w:val="-23"/>
        </w:rPr>
        <w:t> </w:t>
      </w:r>
      <w:r>
        <w:rPr>
          <w:spacing w:val="-23"/>
        </w:rPr>
      </w:r>
      <w:r>
        <w:rPr>
          <w:spacing w:val="-7"/>
        </w:rPr>
        <w:t>的自主权，使各事业部的责、权、利高度统一，最大限度激发员工积极性，提高企业管理水平和运营效率，</w:t>
      </w:r>
      <w:r>
        <w:rPr>
          <w:spacing w:val="-20"/>
        </w:rPr>
        <w:t> </w:t>
      </w:r>
      <w:r>
        <w:rPr>
          <w:spacing w:val="-20"/>
        </w:rPr>
      </w:r>
      <w:r>
        <w:rPr/>
        <w:t>提升公司的盈利能力。</w:t>
      </w:r>
    </w:p>
    <w:p>
      <w:pPr>
        <w:pStyle w:val="Heading4"/>
        <w:spacing w:line="468" w:lineRule="exact" w:before="43"/>
        <w:ind w:left="573" w:right="0"/>
        <w:jc w:val="left"/>
      </w:pPr>
      <w:r>
        <w:rPr>
          <w:rFonts w:ascii="Times New Roman" w:hAnsi="Times New Roman" w:cs="Times New Roman" w:eastAsia="Times New Roman" w:hint="default"/>
        </w:rPr>
        <w:t>3.3</w:t>
      </w:r>
      <w:r>
        <w:rPr>
          <w:rFonts w:ascii="Times New Roman" w:hAnsi="Times New Roman" w:cs="Times New Roman" w:eastAsia="Times New Roman" w:hint="default"/>
          <w:spacing w:val="52"/>
        </w:rPr>
        <w:t> </w:t>
      </w:r>
      <w:r>
        <w:rPr/>
        <w:t>跟踪前沿技术，培育新的业务增长点</w:t>
      </w:r>
      <w:r>
        <w:rPr>
          <w:w w:val="100"/>
        </w:rPr>
        <w:t> </w:t>
      </w:r>
      <w:r>
        <w:rPr>
          <w:spacing w:val="-5"/>
        </w:rPr>
        <w:t>积极跟踪和掌握“互联网</w:t>
      </w:r>
      <w:r>
        <w:rPr>
          <w:rFonts w:ascii="Times New Roman" w:hAnsi="Times New Roman" w:cs="Times New Roman" w:eastAsia="Times New Roman" w:hint="default"/>
          <w:spacing w:val="-5"/>
        </w:rPr>
        <w:t>+</w:t>
      </w:r>
      <w:r>
        <w:rPr>
          <w:spacing w:val="-5"/>
        </w:rPr>
        <w:t>”智慧能源技术，开展多能互补、新能源微电网、储能、智能充电站等技术</w:t>
      </w:r>
    </w:p>
    <w:p>
      <w:pPr>
        <w:pStyle w:val="Heading4"/>
        <w:spacing w:line="248" w:lineRule="exact"/>
        <w:ind w:right="0"/>
        <w:jc w:val="both"/>
      </w:pPr>
      <w:r>
        <w:rPr/>
        <w:t>的研究，为承接新业务类型做好技术储备。开展智能运维、全过程数字化、存量系统再数字化、基于物联</w:t>
      </w:r>
    </w:p>
    <w:p>
      <w:pPr>
        <w:pStyle w:val="Heading4"/>
        <w:spacing w:line="240" w:lineRule="auto" w:before="37"/>
        <w:ind w:right="0"/>
        <w:jc w:val="both"/>
      </w:pPr>
      <w:r>
        <w:rPr/>
        <w:t>网的信息化等数字化技术研究，快速培育电力能源数字化、信息化等新兴领域的商业机会。</w:t>
      </w:r>
    </w:p>
    <w:p>
      <w:pPr>
        <w:spacing w:line="240" w:lineRule="auto" w:before="10"/>
        <w:rPr>
          <w:rFonts w:ascii="宋体" w:hAnsi="宋体" w:cs="宋体" w:eastAsia="宋体" w:hint="default"/>
          <w:sz w:val="14"/>
          <w:szCs w:val="14"/>
        </w:rPr>
      </w:pPr>
    </w:p>
    <w:p>
      <w:pPr>
        <w:pStyle w:val="Heading4"/>
        <w:spacing w:line="240" w:lineRule="auto"/>
        <w:ind w:left="573" w:right="6774"/>
        <w:jc w:val="left"/>
      </w:pPr>
      <w:r>
        <w:rPr>
          <w:rFonts w:ascii="Times New Roman" w:hAnsi="Times New Roman" w:cs="Times New Roman" w:eastAsia="Times New Roman" w:hint="default"/>
        </w:rPr>
        <w:t>4</w:t>
      </w:r>
      <w:r>
        <w:rPr/>
        <w:t>、加快投融资能力建设</w:t>
      </w:r>
    </w:p>
    <w:p>
      <w:pPr>
        <w:spacing w:after="0" w:line="240" w:lineRule="auto"/>
        <w:jc w:val="left"/>
        <w:sectPr>
          <w:pgSz w:w="11910" w:h="16840"/>
          <w:pgMar w:header="852" w:footer="979" w:top="1260" w:bottom="1160" w:left="980" w:right="920"/>
        </w:sectPr>
      </w:pPr>
    </w:p>
    <w:p>
      <w:pPr>
        <w:spacing w:line="240" w:lineRule="auto" w:before="13"/>
        <w:rPr>
          <w:rFonts w:ascii="宋体" w:hAnsi="宋体" w:cs="宋体" w:eastAsia="宋体" w:hint="default"/>
          <w:sz w:val="8"/>
          <w:szCs w:val="8"/>
        </w:rPr>
      </w:pPr>
    </w:p>
    <w:p>
      <w:pPr>
        <w:pStyle w:val="Heading4"/>
        <w:spacing w:line="256" w:lineRule="auto" w:before="36"/>
        <w:ind w:right="206" w:firstLine="420"/>
        <w:jc w:val="both"/>
      </w:pPr>
      <w:r>
        <w:rPr/>
        <w:t>发展带融资的 </w:t>
      </w:r>
      <w:r>
        <w:rPr>
          <w:rFonts w:ascii="Times New Roman" w:hAnsi="Times New Roman" w:cs="Times New Roman" w:eastAsia="Times New Roman" w:hint="default"/>
        </w:rPr>
        <w:t>EPC</w:t>
      </w:r>
      <w:r>
        <w:rPr>
          <w:rFonts w:ascii="Times New Roman" w:hAnsi="Times New Roman" w:cs="Times New Roman" w:eastAsia="Times New Roman" w:hint="default"/>
          <w:spacing w:val="-15"/>
        </w:rPr>
        <w:t> </w:t>
      </w:r>
      <w:r>
        <w:rPr>
          <w:spacing w:val="-4"/>
        </w:rPr>
        <w:t>总承包项目，尝试在新的业务领域进行投资，快速提升投融资能力，促进公司主营</w:t>
      </w:r>
      <w:r>
        <w:rPr>
          <w:w w:val="100"/>
        </w:rPr>
        <w:t> </w:t>
      </w:r>
      <w:r>
        <w:rPr/>
        <w:t>业务发展和业务多元化发展。</w:t>
      </w:r>
    </w:p>
    <w:p>
      <w:pPr>
        <w:pStyle w:val="Heading3"/>
        <w:spacing w:line="240" w:lineRule="auto" w:before="178"/>
        <w:ind w:left="575" w:right="6774"/>
        <w:jc w:val="left"/>
        <w:rPr>
          <w:b w:val="0"/>
          <w:bCs w:val="0"/>
        </w:rPr>
      </w:pPr>
      <w:r>
        <w:rPr/>
        <w:t>（四）可能面对的风险</w:t>
      </w:r>
      <w:r>
        <w:rPr>
          <w:b w:val="0"/>
          <w:bCs w:val="0"/>
        </w:rPr>
      </w:r>
    </w:p>
    <w:p>
      <w:pPr>
        <w:pStyle w:val="Heading4"/>
        <w:spacing w:line="450" w:lineRule="atLeast" w:before="34"/>
        <w:ind w:left="573" w:right="0"/>
        <w:jc w:val="left"/>
      </w:pPr>
      <w:r>
        <w:rPr>
          <w:rFonts w:ascii="Times New Roman" w:hAnsi="Times New Roman" w:cs="Times New Roman" w:eastAsia="Times New Roman" w:hint="default"/>
        </w:rPr>
        <w:t>1</w:t>
      </w:r>
      <w:r>
        <w:rPr/>
        <w:t>、电力行业政策风险</w:t>
      </w:r>
      <w:r>
        <w:rPr>
          <w:w w:val="100"/>
        </w:rPr>
        <w:t> </w:t>
      </w:r>
      <w:r>
        <w:rPr/>
        <w:t>公司所服务的电力行业的发展主要依赖于国家宏观经济形势、相关政策及相应的电力行业投资规模。</w:t>
      </w:r>
    </w:p>
    <w:p>
      <w:pPr>
        <w:pStyle w:val="Heading4"/>
        <w:spacing w:line="273" w:lineRule="auto" w:before="37"/>
        <w:ind w:right="0"/>
        <w:jc w:val="left"/>
      </w:pPr>
      <w:r>
        <w:rPr>
          <w:spacing w:val="-2"/>
        </w:rPr>
        <w:t>因此，在国民经济发展的不同时期，国家经济政策、行业政策的变化以及电力行业投资规模的波动将对公</w:t>
      </w:r>
      <w:r>
        <w:rPr>
          <w:spacing w:val="-45"/>
        </w:rPr>
        <w:t> </w:t>
      </w:r>
      <w:r>
        <w:rPr>
          <w:spacing w:val="-45"/>
        </w:rPr>
      </w:r>
      <w:r>
        <w:rPr/>
        <w:t>司的发展造成一定影响。</w:t>
      </w:r>
    </w:p>
    <w:p>
      <w:pPr>
        <w:pStyle w:val="Heading4"/>
        <w:spacing w:line="273" w:lineRule="auto" w:before="163"/>
        <w:ind w:right="206" w:firstLine="420"/>
        <w:jc w:val="both"/>
      </w:pPr>
      <w:r>
        <w:rPr>
          <w:spacing w:val="-2"/>
        </w:rPr>
        <w:t>风险应对措施：近几年，随着国家不断深化供给侧结构性改革，电力行业正在往电源结构清洁化、电</w:t>
      </w:r>
      <w:r>
        <w:rPr>
          <w:w w:val="100"/>
        </w:rPr>
        <w:t> </w:t>
      </w:r>
      <w:r>
        <w:rPr>
          <w:spacing w:val="-2"/>
        </w:rPr>
        <w:t>力系统智能化、电力发展国际化发展，公司紧跟国家和地方能源投资政策以及行业发展趋势，在稳定发展</w:t>
      </w:r>
      <w:r>
        <w:rPr>
          <w:spacing w:val="-43"/>
        </w:rPr>
        <w:t> </w:t>
      </w:r>
      <w:r>
        <w:rPr>
          <w:spacing w:val="-43"/>
        </w:rPr>
      </w:r>
      <w:r>
        <w:rPr>
          <w:spacing w:val="-2"/>
        </w:rPr>
        <w:t>高压、特高压业务的基础上，重点发展智能配电网、清洁能源和新能源发电业务；通过优化组织架构和加</w:t>
      </w:r>
      <w:r>
        <w:rPr>
          <w:spacing w:val="-50"/>
        </w:rPr>
        <w:t> </w:t>
      </w:r>
      <w:r>
        <w:rPr>
          <w:spacing w:val="-50"/>
        </w:rPr>
      </w:r>
      <w:r>
        <w:rPr/>
        <w:t>大创新研发投入，提升运营效率和核心竞争力，确保主营业务稳定增长，并不断培育新的业务增长点。</w:t>
      </w:r>
    </w:p>
    <w:p>
      <w:pPr>
        <w:pStyle w:val="Heading4"/>
        <w:spacing w:line="450" w:lineRule="atLeast" w:before="4"/>
        <w:ind w:left="573" w:right="0"/>
        <w:jc w:val="left"/>
      </w:pPr>
      <w:r>
        <w:rPr>
          <w:rFonts w:ascii="Times New Roman" w:hAnsi="Times New Roman" w:cs="Times New Roman" w:eastAsia="Times New Roman" w:hint="default"/>
        </w:rPr>
        <w:t>2</w:t>
      </w:r>
      <w:r>
        <w:rPr/>
        <w:t>、项目管理风险</w:t>
      </w:r>
      <w:r>
        <w:rPr>
          <w:w w:val="100"/>
        </w:rPr>
        <w:t> </w:t>
      </w:r>
      <w:r>
        <w:rPr/>
        <w:t>总承包项目管理涉及的企业、部门和人员众多，容易受到各种不确定的外部因素影响，执行过程中，</w:t>
      </w:r>
    </w:p>
    <w:p>
      <w:pPr>
        <w:pStyle w:val="Heading4"/>
        <w:spacing w:line="240" w:lineRule="auto" w:before="37"/>
        <w:ind w:left="573" w:right="0" w:hanging="421"/>
        <w:jc w:val="left"/>
      </w:pPr>
      <w:r>
        <w:rPr>
          <w:spacing w:val="-7"/>
        </w:rPr>
        <w:t>若发生项目工期延长、分包单位质量管控不到位、工程进度款到位不及时等情况，可能导致项目管理风险。</w:t>
      </w:r>
    </w:p>
    <w:p>
      <w:pPr>
        <w:spacing w:line="240" w:lineRule="auto" w:before="10"/>
        <w:rPr>
          <w:rFonts w:ascii="宋体" w:hAnsi="宋体" w:cs="宋体" w:eastAsia="宋体" w:hint="default"/>
          <w:sz w:val="14"/>
          <w:szCs w:val="14"/>
        </w:rPr>
      </w:pPr>
    </w:p>
    <w:p>
      <w:pPr>
        <w:pStyle w:val="Heading4"/>
        <w:spacing w:line="273" w:lineRule="auto"/>
        <w:ind w:right="206" w:firstLine="420"/>
        <w:jc w:val="both"/>
      </w:pPr>
      <w:r>
        <w:rPr>
          <w:spacing w:val="-2"/>
        </w:rPr>
        <w:t>风险应对措施：公司继续完善科学的工程总承包管理制度体系，提高项目管理水平，持续提升管理人</w:t>
      </w:r>
      <w:r>
        <w:rPr>
          <w:w w:val="100"/>
        </w:rPr>
        <w:t> </w:t>
      </w:r>
      <w:r>
        <w:rPr>
          <w:spacing w:val="-2"/>
        </w:rPr>
        <w:t>员现场管理能力，在项目实施全过程加强安全、质量和进度的日常管理和风险管控，有效控制项目各类管</w:t>
      </w:r>
      <w:r>
        <w:rPr>
          <w:spacing w:val="-44"/>
        </w:rPr>
        <w:t> </w:t>
      </w:r>
      <w:r>
        <w:rPr>
          <w:spacing w:val="-44"/>
        </w:rPr>
      </w:r>
      <w:r>
        <w:rPr/>
        <w:t>理风险。</w:t>
      </w:r>
    </w:p>
    <w:p>
      <w:pPr>
        <w:pStyle w:val="Heading4"/>
        <w:spacing w:line="450" w:lineRule="atLeast" w:before="5"/>
        <w:ind w:left="573" w:right="0"/>
        <w:jc w:val="left"/>
      </w:pPr>
      <w:r>
        <w:rPr>
          <w:rFonts w:ascii="Times New Roman" w:hAnsi="Times New Roman" w:cs="Times New Roman" w:eastAsia="Times New Roman" w:hint="default"/>
        </w:rPr>
        <w:t>3</w:t>
      </w:r>
      <w:r>
        <w:rPr/>
        <w:t>、应收账款管理风险</w:t>
      </w:r>
      <w:r>
        <w:rPr>
          <w:w w:val="100"/>
        </w:rPr>
        <w:t> </w:t>
      </w:r>
      <w:r>
        <w:rPr>
          <w:spacing w:val="-2"/>
        </w:rPr>
        <w:t>随着公司业务规模扩大，应收账款余额也呈上升趋势。尽管公司主要客户为资信良好的大中型国有企</w:t>
      </w:r>
    </w:p>
    <w:p>
      <w:pPr>
        <w:pStyle w:val="Heading4"/>
        <w:spacing w:line="273" w:lineRule="auto" w:before="37"/>
        <w:ind w:right="0"/>
        <w:jc w:val="left"/>
      </w:pPr>
      <w:r>
        <w:rPr>
          <w:spacing w:val="-2"/>
        </w:rPr>
        <w:t>业，应收账款发生坏账的可能性较小，但如果客户出现财务状况恶化或无法按期付款的情况，将会使公司</w:t>
      </w:r>
      <w:r>
        <w:rPr>
          <w:spacing w:val="-43"/>
        </w:rPr>
        <w:t> </w:t>
      </w:r>
      <w:r>
        <w:rPr>
          <w:spacing w:val="-43"/>
        </w:rPr>
      </w:r>
      <w:r>
        <w:rPr/>
        <w:t>存在应收账款回收风险。</w:t>
      </w:r>
    </w:p>
    <w:p>
      <w:pPr>
        <w:pStyle w:val="Heading4"/>
        <w:spacing w:line="273" w:lineRule="auto" w:before="163"/>
        <w:ind w:right="206" w:firstLine="420"/>
        <w:jc w:val="both"/>
      </w:pPr>
      <w:r>
        <w:rPr>
          <w:spacing w:val="-7"/>
        </w:rPr>
        <w:t>风险应对措施：公司将不断完善应收账款管理制度，提高应收账款管理水平，加大应收账款催款力度，</w:t>
      </w:r>
      <w:r>
        <w:rPr>
          <w:w w:val="100"/>
        </w:rPr>
        <w:t> </w:t>
      </w:r>
      <w:r>
        <w:rPr/>
        <w:t>通过生产和市场一体化管理，促进更快回收应收账款，有效降低应收账款管理风险。</w:t>
      </w:r>
    </w:p>
    <w:p>
      <w:pPr>
        <w:pStyle w:val="Heading4"/>
        <w:spacing w:line="450" w:lineRule="atLeast" w:before="4"/>
        <w:ind w:left="573" w:right="0"/>
        <w:jc w:val="left"/>
      </w:pPr>
      <w:r>
        <w:rPr>
          <w:rFonts w:ascii="Times New Roman" w:hAnsi="Times New Roman" w:cs="Times New Roman" w:eastAsia="Times New Roman" w:hint="default"/>
        </w:rPr>
        <w:t>4</w:t>
      </w:r>
      <w:r>
        <w:rPr/>
        <w:t>、海外项目执行风险</w:t>
      </w:r>
      <w:r>
        <w:rPr>
          <w:w w:val="100"/>
        </w:rPr>
        <w:t> </w:t>
      </w:r>
      <w:r>
        <w:rPr>
          <w:spacing w:val="-7"/>
        </w:rPr>
        <w:t>海外项目执行受当地的社会安全、产业政策、商业环境、法律法规、标准规范、国际商务等影响很大，</w:t>
      </w:r>
    </w:p>
    <w:p>
      <w:pPr>
        <w:pStyle w:val="Heading4"/>
        <w:spacing w:line="273" w:lineRule="auto" w:before="37"/>
        <w:ind w:right="0"/>
        <w:jc w:val="left"/>
      </w:pPr>
      <w:r>
        <w:rPr>
          <w:spacing w:val="-2"/>
        </w:rPr>
        <w:t>执行过程中，若由于当地要求变化或国内与海外商贸环境变化，而公司无法满足当地的要求，可能使公司</w:t>
      </w:r>
      <w:r>
        <w:rPr>
          <w:spacing w:val="-43"/>
        </w:rPr>
        <w:t> </w:t>
      </w:r>
      <w:r>
        <w:rPr>
          <w:spacing w:val="-43"/>
        </w:rPr>
      </w:r>
      <w:r>
        <w:rPr/>
        <w:t>海外项目执行存在风险。</w:t>
      </w:r>
    </w:p>
    <w:p>
      <w:pPr>
        <w:pStyle w:val="Heading4"/>
        <w:spacing w:line="273" w:lineRule="auto" w:before="163"/>
        <w:ind w:right="0" w:firstLine="420"/>
        <w:jc w:val="left"/>
      </w:pPr>
      <w:r>
        <w:rPr>
          <w:spacing w:val="-2"/>
        </w:rPr>
        <w:t>风险应对措施：完善公司海外项目的各项管理制度，密切关注项目所在国的政治、经济和社会环境变</w:t>
      </w:r>
      <w:r>
        <w:rPr>
          <w:w w:val="100"/>
        </w:rPr>
        <w:t> </w:t>
      </w:r>
      <w:r>
        <w:rPr/>
        <w:t>化，加强项目的生产日常管理，提升风险控制能力；继续加大海外执行能力建设，全面提升商务、技术、</w:t>
      </w:r>
      <w:r>
        <w:rPr>
          <w:spacing w:val="-24"/>
        </w:rPr>
        <w:t> </w:t>
      </w:r>
      <w:r>
        <w:rPr>
          <w:spacing w:val="-24"/>
        </w:rPr>
      </w:r>
      <w:r>
        <w:rPr/>
        <w:t>管理等能力，逐步完善海外风险管控体系，提高抵御风险能力。</w:t>
      </w:r>
    </w:p>
    <w:p>
      <w:pPr>
        <w:pStyle w:val="Heading4"/>
        <w:spacing w:line="450" w:lineRule="atLeast" w:before="4"/>
        <w:ind w:left="573" w:right="0"/>
        <w:jc w:val="left"/>
      </w:pPr>
      <w:r>
        <w:rPr>
          <w:rFonts w:ascii="Times New Roman" w:hAnsi="Times New Roman" w:cs="Times New Roman" w:eastAsia="Times New Roman" w:hint="default"/>
        </w:rPr>
        <w:t>5</w:t>
      </w:r>
      <w:r>
        <w:rPr/>
        <w:t>、新增固定资产折旧及无形资产摊销造成未来盈利下滑的风险</w:t>
      </w:r>
      <w:r>
        <w:rPr>
          <w:w w:val="100"/>
        </w:rPr>
        <w:t> </w:t>
      </w:r>
      <w:r>
        <w:rPr>
          <w:spacing w:val="-2"/>
        </w:rPr>
        <w:t>本次募集资金投资项目实施后，发行人资产规模将有较大幅度增加，固定资产折旧及无形资产摊销也</w:t>
      </w:r>
    </w:p>
    <w:p>
      <w:pPr>
        <w:pStyle w:val="Heading4"/>
        <w:spacing w:line="273" w:lineRule="auto" w:before="37"/>
        <w:ind w:right="0"/>
        <w:jc w:val="left"/>
      </w:pPr>
      <w:r>
        <w:rPr>
          <w:spacing w:val="-2"/>
        </w:rPr>
        <w:t>将相应增加。项目达产后公司业务规模将不断上升，新增营业收入可覆盖新增固定资产折旧及无形资产摊</w:t>
      </w:r>
      <w:r>
        <w:rPr>
          <w:spacing w:val="-43"/>
        </w:rPr>
        <w:t> </w:t>
      </w:r>
      <w:r>
        <w:rPr>
          <w:spacing w:val="-43"/>
        </w:rPr>
      </w:r>
      <w:r>
        <w:rPr/>
        <w:t>销等支出，公司营业利润不会因此而下降。如果市场环境发生重大变化或无法预知的重大不利情况出现，</w:t>
      </w:r>
      <w:r>
        <w:rPr>
          <w:spacing w:val="-24"/>
        </w:rPr>
        <w:t> </w:t>
      </w:r>
      <w:r>
        <w:rPr>
          <w:spacing w:val="-24"/>
        </w:rPr>
      </w:r>
      <w:r>
        <w:rPr/>
        <w:t>募集资金项目预期收益短期不能实现，则公司存在因固定资产的大量增加而导致利润下滑的风险。</w:t>
      </w:r>
    </w:p>
    <w:p>
      <w:pPr>
        <w:pStyle w:val="Heading4"/>
        <w:spacing w:line="240" w:lineRule="auto" w:before="164"/>
        <w:ind w:left="573" w:right="0"/>
        <w:jc w:val="left"/>
      </w:pPr>
      <w:r>
        <w:rPr/>
        <w:t>风险应对措施：公司围绕发展战略有序推进各项工作，持续提升研发创新能力，进一步提升公司核心</w:t>
      </w:r>
    </w:p>
    <w:p>
      <w:pPr>
        <w:spacing w:after="0" w:line="240" w:lineRule="auto"/>
        <w:jc w:val="left"/>
        <w:sectPr>
          <w:pgSz w:w="11910" w:h="16840"/>
          <w:pgMar w:header="852" w:footer="979" w:top="1260" w:bottom="1160" w:left="980" w:right="920"/>
        </w:sectPr>
      </w:pPr>
    </w:p>
    <w:p>
      <w:pPr>
        <w:spacing w:line="240" w:lineRule="auto" w:before="13"/>
        <w:rPr>
          <w:rFonts w:ascii="宋体" w:hAnsi="宋体" w:cs="宋体" w:eastAsia="宋体" w:hint="default"/>
          <w:sz w:val="8"/>
          <w:szCs w:val="8"/>
        </w:rPr>
      </w:pPr>
    </w:p>
    <w:p>
      <w:pPr>
        <w:spacing w:line="381" w:lineRule="auto" w:before="36"/>
        <w:ind w:left="152" w:right="1134" w:firstLine="0"/>
        <w:jc w:val="left"/>
        <w:rPr>
          <w:rFonts w:ascii="宋体" w:hAnsi="宋体" w:cs="宋体" w:eastAsia="宋体" w:hint="default"/>
          <w:sz w:val="21"/>
          <w:szCs w:val="21"/>
        </w:rPr>
      </w:pPr>
      <w:r>
        <w:rPr>
          <w:rFonts w:ascii="宋体" w:hAnsi="宋体" w:cs="宋体" w:eastAsia="宋体" w:hint="default"/>
          <w:spacing w:val="-2"/>
          <w:sz w:val="21"/>
          <w:szCs w:val="21"/>
        </w:rPr>
        <w:t>竞争力，确保业务稳定增长，降低新增固定资产折旧及无形资产摊销影响未来盈利的风险。</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pStyle w:val="BodyText"/>
        <w:spacing w:line="477" w:lineRule="auto" w:before="60"/>
        <w:ind w:right="5634"/>
        <w:jc w:val="left"/>
      </w:pPr>
      <w:r>
        <w:rPr/>
        <w:t>□ 适用 √</w:t>
      </w:r>
      <w:r>
        <w:rPr>
          <w:spacing w:val="3"/>
        </w:rPr>
        <w:t> </w:t>
      </w:r>
      <w:r>
        <w:rPr/>
        <w:t>不适用</w:t>
      </w:r>
      <w:r>
        <w:rPr/>
        <w:t> 公司报告期内未发生接待调研、沟通、采访等活动。</w:t>
      </w:r>
    </w:p>
    <w:p>
      <w:pPr>
        <w:spacing w:after="0" w:line="477" w:lineRule="auto"/>
        <w:jc w:val="left"/>
        <w:sectPr>
          <w:pgSz w:w="11910" w:h="16840"/>
          <w:pgMar w:header="852" w:footer="979" w:top="1260" w:bottom="1160" w:left="980" w:right="980"/>
        </w:sectPr>
      </w:pPr>
    </w:p>
    <w:p>
      <w:pPr>
        <w:spacing w:line="240" w:lineRule="auto" w:before="7"/>
        <w:rPr>
          <w:rFonts w:ascii="宋体" w:hAnsi="宋体" w:cs="宋体" w:eastAsia="宋体" w:hint="default"/>
          <w:sz w:val="16"/>
          <w:szCs w:val="16"/>
        </w:rPr>
      </w:pPr>
    </w:p>
    <w:p>
      <w:pPr>
        <w:pStyle w:val="Heading1"/>
        <w:spacing w:line="240" w:lineRule="auto"/>
        <w:ind w:right="451"/>
        <w:jc w:val="center"/>
        <w:rPr>
          <w:b w:val="0"/>
          <w:bCs w:val="0"/>
        </w:rPr>
      </w:pPr>
      <w:bookmarkStart w:name="_bookmark4" w:id="5"/>
      <w:bookmarkEnd w:id="5"/>
      <w:r>
        <w:rPr>
          <w:b w:val="0"/>
          <w:bCs w:val="0"/>
        </w:rPr>
      </w:r>
      <w:r>
        <w:rPr/>
        <w:t>第五节</w:t>
      </w:r>
      <w:r>
        <w:rPr>
          <w:spacing w:val="-2"/>
        </w:rPr>
        <w:t> </w:t>
      </w:r>
      <w:r>
        <w:rPr/>
        <w:t>重要事项</w:t>
      </w:r>
      <w:r>
        <w:rPr>
          <w:b w:val="0"/>
          <w:bCs w:val="0"/>
        </w:rPr>
      </w:r>
    </w:p>
    <w:p>
      <w:pPr>
        <w:pStyle w:val="Heading2"/>
        <w:spacing w:line="240" w:lineRule="auto" w:before="270"/>
        <w:ind w:right="0"/>
        <w:jc w:val="left"/>
        <w:rPr>
          <w:b w:val="0"/>
          <w:bCs w:val="0"/>
        </w:rPr>
      </w:pPr>
      <w:r>
        <w:rPr/>
        <w:t>一、公司普通股利润分配及资本公积金转增股本情况</w:t>
      </w:r>
      <w:r>
        <w:rPr>
          <w:b w:val="0"/>
          <w:bCs w:val="0"/>
        </w:rPr>
      </w:r>
    </w:p>
    <w:p>
      <w:pPr>
        <w:pStyle w:val="BodyText"/>
        <w:spacing w:line="240" w:lineRule="auto" w:before="202"/>
        <w:ind w:right="0"/>
        <w:jc w:val="left"/>
      </w:pPr>
      <w:r>
        <w:rPr/>
        <w:t>报告期内普通股利润分配政策，特别是现金分红政策的制定、执行或调整情况</w:t>
      </w:r>
    </w:p>
    <w:p>
      <w:pPr>
        <w:pStyle w:val="BodyText"/>
        <w:spacing w:line="460" w:lineRule="atLeast" w:before="8"/>
        <w:ind w:left="606" w:right="140" w:hanging="455"/>
        <w:jc w:val="left"/>
      </w:pPr>
      <w:r>
        <w:rPr/>
        <w:t>√ 适用 □</w:t>
      </w:r>
      <w:r>
        <w:rPr>
          <w:spacing w:val="3"/>
        </w:rPr>
        <w:t> </w:t>
      </w:r>
      <w:r>
        <w:rPr/>
        <w:t>不适用</w:t>
      </w:r>
      <w:r>
        <w:rPr/>
        <w:t> 公司严格执行《公司章程》中的利润分配政策，分红比例明确清晰，相关的决策程序和机制完备，相关的议案经董事</w:t>
      </w:r>
    </w:p>
    <w:p>
      <w:pPr>
        <w:pStyle w:val="BodyText"/>
        <w:spacing w:line="240" w:lineRule="auto" w:before="76"/>
        <w:ind w:right="0"/>
        <w:jc w:val="left"/>
      </w:pPr>
      <w:r>
        <w:rPr/>
        <w:t>会、监事会审议通过后提交股东大会审议，且独立董事发表了独立意见。</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53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4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4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BodyText"/>
        <w:spacing w:line="477" w:lineRule="auto"/>
        <w:ind w:right="3294"/>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p>
      <w:pPr>
        <w:spacing w:line="240" w:lineRule="auto" w:before="7"/>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719"/>
        <w:gridCol w:w="5850"/>
      </w:tblGrid>
      <w:tr>
        <w:trPr>
          <w:trHeight w:val="63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w:t>
            </w:r>
          </w:p>
        </w:tc>
      </w:tr>
      <w:tr>
        <w:trPr>
          <w:trHeight w:val="635"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140,080,000</w:t>
            </w:r>
          </w:p>
        </w:tc>
      </w:tr>
      <w:tr>
        <w:trPr>
          <w:trHeight w:val="63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14,008,000.00</w:t>
            </w:r>
          </w:p>
        </w:tc>
      </w:tr>
      <w:tr>
        <w:trPr>
          <w:trHeight w:val="63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156,095,256.95</w:t>
            </w:r>
          </w:p>
        </w:tc>
      </w:tr>
      <w:tr>
        <w:trPr>
          <w:trHeight w:val="63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42"/>
        <w:jc w:val="right"/>
      </w:pPr>
      <w:r>
        <w:rPr/>
        <w:pict>
          <v:shape style="position:absolute;margin-left:58.080002pt;margin-top:-119.468277pt;width:479.15pt;height:283.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8"/>
                  </w:tblGrid>
                  <w:tr>
                    <w:trPr>
                      <w:trHeight w:val="634"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634"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4"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757"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经立信会计师事务所（特殊普通合伙）审计，</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年度合并报表归属于上市公司股东的净利润为人民币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76,966,118.46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元，其中，母公司实现净利润为人民币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67,332,287.87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元。根据《公司法》及《公司章程》规定，以母公司净利润为基数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6,733,228.79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元后，母公司当年实现的可供分配利润为人民币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60,599,059.08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元，加上以前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年度未分配利润人民币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95,496,197.87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日，母公司可供分配利润为人民币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156,095,256.95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并报表当年实现的可供分配利润为人民币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70,232,889.67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元，加上以前年度未分配利润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134,136,611.60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日，可供分配利润为人民币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204,369,501.28 </w:t>
                        </w:r>
                        <w:r>
                          <w:rPr>
                            <w:rFonts w:ascii="宋体" w:hAnsi="宋体" w:cs="宋体" w:eastAsia="宋体" w:hint="default"/>
                            <w:sz w:val="18"/>
                            <w:szCs w:val="18"/>
                          </w:rPr>
                          <w:t>元。</w:t>
                        </w: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4" w:right="172" w:firstLine="360"/>
                          <w:jc w:val="left"/>
                          <w:rPr>
                            <w:rFonts w:ascii="宋体" w:hAnsi="宋体" w:cs="宋体" w:eastAsia="宋体" w:hint="default"/>
                            <w:sz w:val="18"/>
                            <w:szCs w:val="18"/>
                          </w:rPr>
                        </w:pPr>
                        <w:r>
                          <w:rPr>
                            <w:rFonts w:ascii="宋体" w:hAnsi="宋体" w:cs="宋体" w:eastAsia="宋体" w:hint="default"/>
                            <w:sz w:val="18"/>
                            <w:szCs w:val="18"/>
                          </w:rPr>
                          <w:t>根据证监会鼓励上市公司现金分红，给予投资者稳定、合理回报的指导意见，并在符合利润分配原则，保证公司正 常经营和长远发展的前提下，公司根 据《公司法》和《公司章程》的相关规定，拟定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年利润分配方案如下：</w:t>
                        </w:r>
                      </w:p>
                      <w:p>
                        <w:pPr>
                          <w:pStyle w:val="TableParagraph"/>
                          <w:spacing w:line="240" w:lineRule="auto" w:before="155"/>
                          <w:ind w:left="175" w:right="0"/>
                          <w:jc w:val="center"/>
                          <w:rPr>
                            <w:rFonts w:ascii="宋体" w:hAnsi="宋体" w:cs="宋体" w:eastAsia="宋体" w:hint="default"/>
                            <w:sz w:val="18"/>
                            <w:szCs w:val="18"/>
                          </w:rPr>
                        </w:pPr>
                        <w:r>
                          <w:rPr>
                            <w:rFonts w:ascii="宋体" w:hAnsi="宋体" w:cs="宋体" w:eastAsia="宋体" w:hint="default"/>
                            <w:sz w:val="18"/>
                            <w:szCs w:val="18"/>
                          </w:rPr>
                          <w:t>以截止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140,080,000 </w:t>
                        </w:r>
                        <w:r>
                          <w:rPr>
                            <w:rFonts w:ascii="宋体" w:hAnsi="宋体" w:cs="宋体" w:eastAsia="宋体" w:hint="default"/>
                            <w:sz w:val="18"/>
                            <w:szCs w:val="18"/>
                          </w:rPr>
                          <w:t>股为基数，向全体股东每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 </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元人民币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，合计派发现金股利</w:t>
                        </w:r>
                        <w:r>
                          <w:rPr>
                            <w:rFonts w:ascii="宋体" w:hAnsi="宋体" w:cs="宋体" w:eastAsia="宋体" w:hint="default"/>
                            <w:spacing w:val="2"/>
                            <w:sz w:val="18"/>
                            <w:szCs w:val="18"/>
                          </w:rPr>
                          <w:t>为</w:t>
                        </w: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w:t>
                        </w:r>
                        <w:r>
                          <w:rPr>
                            <w:rFonts w:ascii="宋体" w:hAnsi="宋体" w:cs="宋体" w:eastAsia="宋体" w:hint="default"/>
                            <w:spacing w:val="-3"/>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w:t>
                        </w:r>
                        <w:r>
                          <w:rPr>
                            <w:rFonts w:ascii="宋体" w:hAnsi="宋体" w:cs="宋体" w:eastAsia="宋体" w:hint="default"/>
                            <w:spacing w:val="-3"/>
                            <w:sz w:val="18"/>
                            <w:szCs w:val="18"/>
                          </w:rPr>
                          <w:t>分</w:t>
                        </w:r>
                        <w:r>
                          <w:rPr>
                            <w:rFonts w:ascii="宋体" w:hAnsi="宋体" w:cs="宋体" w:eastAsia="宋体" w:hint="default"/>
                            <w:sz w:val="18"/>
                            <w:szCs w:val="18"/>
                          </w:rPr>
                          <w:t>配利润结转以后年度。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9"/>
        <w:rPr>
          <w:rFonts w:ascii="宋体" w:hAnsi="宋体" w:cs="宋体" w:eastAsia="宋体" w:hint="default"/>
          <w:sz w:val="16"/>
          <w:szCs w:val="16"/>
        </w:rPr>
      </w:pPr>
    </w:p>
    <w:p>
      <w:pPr>
        <w:pStyle w:val="BodyText"/>
        <w:spacing w:line="300" w:lineRule="auto"/>
        <w:ind w:right="234" w:firstLine="360"/>
        <w:jc w:val="left"/>
      </w:pPr>
      <w:r>
        <w:rPr>
          <w:rFonts w:ascii="Times New Roman" w:hAnsi="Times New Roman" w:cs="Times New Roman" w:eastAsia="Times New Roman" w:hint="default"/>
        </w:rPr>
        <w:t>2015</w:t>
      </w:r>
      <w:r>
        <w:rPr/>
        <w:t>年度利润分配及资本公积转增股本预案：</w:t>
      </w:r>
      <w:r>
        <w:rPr>
          <w:rFonts w:ascii="Times New Roman" w:hAnsi="Times New Roman" w:cs="Times New Roman" w:eastAsia="Times New Roman" w:hint="default"/>
        </w:rPr>
        <w:t>2015</w:t>
      </w:r>
      <w:r>
        <w:rPr/>
        <w:t>年度不派发现金股利，股票股利，不进行资本公积转增股本。未分 配利润结转至下年度。</w:t>
      </w:r>
    </w:p>
    <w:p>
      <w:pPr>
        <w:spacing w:line="240" w:lineRule="auto" w:before="4"/>
        <w:rPr>
          <w:rFonts w:ascii="宋体" w:hAnsi="宋体" w:cs="宋体" w:eastAsia="宋体" w:hint="default"/>
          <w:sz w:val="14"/>
          <w:szCs w:val="14"/>
        </w:rPr>
      </w:pPr>
    </w:p>
    <w:p>
      <w:pPr>
        <w:pStyle w:val="BodyText"/>
        <w:spacing w:line="300" w:lineRule="auto"/>
        <w:ind w:right="234" w:firstLine="360"/>
        <w:jc w:val="left"/>
      </w:pPr>
      <w:r>
        <w:rPr>
          <w:rFonts w:ascii="Times New Roman" w:hAnsi="Times New Roman" w:cs="Times New Roman" w:eastAsia="Times New Roman" w:hint="default"/>
        </w:rPr>
        <w:t>2016</w:t>
      </w:r>
      <w:r>
        <w:rPr/>
        <w:t>年度利润分配及资本公积转增股本预案：</w:t>
      </w:r>
      <w:r>
        <w:rPr>
          <w:rFonts w:ascii="Times New Roman" w:hAnsi="Times New Roman" w:cs="Times New Roman" w:eastAsia="Times New Roman" w:hint="default"/>
        </w:rPr>
        <w:t>2016</w:t>
      </w:r>
      <w:r>
        <w:rPr/>
        <w:t>年度不派发现金股利，股票股利，不进行资本公积转增股本。未分 配利润结转至下年度。</w:t>
      </w:r>
    </w:p>
    <w:p>
      <w:pPr>
        <w:spacing w:line="240" w:lineRule="auto" w:before="4"/>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2017</w:t>
      </w:r>
      <w:r>
        <w:rPr/>
        <w:t>年度利润分配及资本公积转增股本预案：以截止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日公司总股本</w:t>
      </w:r>
      <w:r>
        <w:rPr>
          <w:rFonts w:ascii="Times New Roman" w:hAnsi="Times New Roman" w:cs="Times New Roman" w:eastAsia="Times New Roman" w:hint="default"/>
        </w:rPr>
        <w:t>140,080,000</w:t>
      </w:r>
      <w:r>
        <w:rPr/>
        <w:t>股为基数，向全体</w:t>
      </w:r>
    </w:p>
    <w:p>
      <w:pPr>
        <w:pStyle w:val="BodyText"/>
        <w:spacing w:line="300" w:lineRule="auto" w:before="63"/>
        <w:ind w:right="145"/>
        <w:jc w:val="left"/>
      </w:pPr>
      <w:r>
        <w:rPr/>
        <w:t>股东每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t>股派发现金股利</w:t>
      </w:r>
      <w:r>
        <w:rPr>
          <w:rFonts w:ascii="Times New Roman" w:hAnsi="Times New Roman" w:cs="Times New Roman" w:eastAsia="Times New Roman" w:hint="default"/>
        </w:rPr>
        <w:t>1.00</w:t>
      </w:r>
      <w:r>
        <w:rPr/>
        <w:t>元人民币（含税），合计派发现金股利为人民币</w:t>
      </w:r>
      <w:r>
        <w:rPr>
          <w:rFonts w:ascii="Times New Roman" w:hAnsi="Times New Roman" w:cs="Times New Roman" w:eastAsia="Times New Roman" w:hint="default"/>
        </w:rPr>
        <w:t>14,008,000.00</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 剩余未分配利润结转以后年度。此分配预案尚待公司</w:t>
      </w:r>
      <w:r>
        <w:rPr>
          <w:rFonts w:ascii="Times New Roman" w:hAnsi="Times New Roman" w:cs="Times New Roman" w:eastAsia="Times New Roman" w:hint="default"/>
        </w:rPr>
        <w:t>2017</w:t>
      </w:r>
      <w:r>
        <w:rPr/>
        <w:t>年度股东大会审议通过。</w:t>
      </w:r>
    </w:p>
    <w:p>
      <w:pPr>
        <w:spacing w:line="240" w:lineRule="auto" w:before="12"/>
        <w:rPr>
          <w:rFonts w:ascii="宋体" w:hAnsi="宋体" w:cs="宋体" w:eastAsia="宋体" w:hint="default"/>
          <w:sz w:val="12"/>
          <w:szCs w:val="12"/>
        </w:rPr>
      </w:pPr>
    </w:p>
    <w:p>
      <w:pPr>
        <w:pStyle w:val="BodyText"/>
        <w:spacing w:line="240" w:lineRule="auto"/>
        <w:ind w:right="0"/>
        <w:jc w:val="left"/>
      </w:pPr>
      <w:r>
        <w:rPr/>
        <w:t>公司近三年（包括本报告期）普通股现金分红情况表</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57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1"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76,966,118.46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73,299,462.99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63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57,797,055.83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公司报告期内盈利且母公司可供普通股股东分配利润为正但未提出普通股现金红利分配预案</w:t>
      </w:r>
    </w:p>
    <w:p>
      <w:pPr>
        <w:spacing w:after="0" w:line="240" w:lineRule="auto"/>
        <w:jc w:val="left"/>
        <w:sectPr>
          <w:footerReference w:type="default" r:id="rId14"/>
          <w:pgSz w:w="11910" w:h="16840"/>
          <w:pgMar w:footer="979" w:header="852" w:top="1260" w:bottom="1160" w:left="980" w:right="980"/>
          <w:pgNumType w:start="4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二、承诺事项履行情况</w:t>
      </w:r>
      <w:r>
        <w:rPr>
          <w:b w:val="0"/>
          <w:bCs w:val="0"/>
        </w:rPr>
      </w:r>
    </w:p>
    <w:p>
      <w:pPr>
        <w:pStyle w:val="Heading3"/>
        <w:spacing w:line="256" w:lineRule="auto" w:before="181"/>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15"/>
          <w:szCs w:val="15"/>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78"/>
      </w:tblGrid>
      <w:tr>
        <w:trPr>
          <w:trHeight w:val="63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5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15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813"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林一文、季征南、 王劲军、宋发兴、 钱有武、刘勇、卓 秀者、</w:t>
            </w:r>
            <w:r>
              <w:rPr>
                <w:rFonts w:ascii="宋体" w:hAnsi="宋体" w:cs="宋体" w:eastAsia="宋体" w:hint="default"/>
                <w:spacing w:val="1"/>
                <w:sz w:val="18"/>
                <w:szCs w:val="18"/>
              </w:rPr>
              <w:t> </w:t>
            </w:r>
            <w:r>
              <w:rPr>
                <w:rFonts w:ascii="宋体" w:hAnsi="宋体" w:cs="宋体" w:eastAsia="宋体" w:hint="default"/>
                <w:sz w:val="18"/>
                <w:szCs w:val="18"/>
              </w:rPr>
              <w:t>陈强、卢</w:t>
            </w:r>
            <w:r>
              <w:rPr>
                <w:rFonts w:ascii="宋体" w:hAnsi="宋体" w:cs="宋体" w:eastAsia="宋体" w:hint="default"/>
                <w:sz w:val="18"/>
                <w:szCs w:val="18"/>
              </w:rPr>
              <w:t> 庆议、张善传、罗 志青、郭泗煊、王 建明、李庆先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auto"/>
              <w:ind w:left="23" w:right="1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内，不转让或者委托他人管理已经直接和 间接持有的发行人公开发行股票前已发行 的股份，也不由发行人收购该部分股份；</w:t>
            </w:r>
          </w:p>
          <w:p>
            <w:pPr>
              <w:pStyle w:val="TableParagraph"/>
              <w:spacing w:line="312" w:lineRule="auto" w:before="22"/>
              <w:ind w:left="2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）本人在担任公司董事、监事、高级管 理人员期间，将向公司申报所直接或间接 持有的公司股份及其变动情况，在任职期 每年转让的股份不超过所直接或间接持有 的公司股份总数的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 内，不转让直接或间接持有的公司股份；</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）本人在首次公开发行股票上市之日起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个月内申报离职的，自申报离职之日起</w:t>
            </w:r>
          </w:p>
          <w:p>
            <w:pPr>
              <w:pStyle w:val="TableParagraph"/>
              <w:spacing w:line="309" w:lineRule="auto" w:before="63"/>
              <w:ind w:left="23"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个月内不得转让本人直接或间接持有的 公司股份；本人在首次公开发行股票上市 之日起第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个月之间申报离职</w:t>
            </w:r>
          </w:p>
          <w:p>
            <w:pPr>
              <w:pStyle w:val="TableParagraph"/>
              <w:spacing w:line="300" w:lineRule="auto" w:before="5"/>
              <w:ind w:left="23" w:right="33"/>
              <w:jc w:val="left"/>
              <w:rPr>
                <w:rFonts w:ascii="宋体" w:hAnsi="宋体" w:cs="宋体" w:eastAsia="宋体" w:hint="default"/>
                <w:sz w:val="18"/>
                <w:szCs w:val="18"/>
              </w:rPr>
            </w:pPr>
            <w:r>
              <w:rPr>
                <w:rFonts w:ascii="宋体" w:hAnsi="宋体" w:cs="宋体" w:eastAsia="宋体" w:hint="default"/>
                <w:sz w:val="18"/>
                <w:szCs w:val="18"/>
              </w:rPr>
              <w:t>的，自申报离职之日起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 </w:t>
            </w:r>
            <w:r>
              <w:rPr>
                <w:rFonts w:ascii="宋体" w:hAnsi="宋体" w:cs="宋体" w:eastAsia="宋体" w:hint="default"/>
                <w:spacing w:val="-5"/>
                <w:sz w:val="18"/>
                <w:szCs w:val="18"/>
              </w:rPr>
              <w:t>本人直接或间接持有的公司股份；（</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）所</w:t>
            </w:r>
            <w:r>
              <w:rPr>
                <w:rFonts w:ascii="宋体" w:hAnsi="宋体" w:cs="宋体" w:eastAsia="宋体" w:hint="default"/>
                <w:spacing w:val="-86"/>
                <w:sz w:val="18"/>
                <w:szCs w:val="18"/>
              </w:rPr>
              <w:t> </w:t>
            </w:r>
            <w:r>
              <w:rPr>
                <w:rFonts w:ascii="宋体" w:hAnsi="宋体" w:cs="宋体" w:eastAsia="宋体" w:hint="default"/>
                <w:sz w:val="18"/>
                <w:szCs w:val="18"/>
              </w:rPr>
              <w:t>持股票在锁定期满后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年内减持的，减持</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价格不低于发行价；发行人上市后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内如公司股票连续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w:t>
            </w:r>
          </w:p>
          <w:p>
            <w:pPr>
              <w:pStyle w:val="TableParagraph"/>
              <w:spacing w:line="307" w:lineRule="auto" w:before="63"/>
              <w:ind w:left="23" w:right="125"/>
              <w:jc w:val="both"/>
              <w:rPr>
                <w:rFonts w:ascii="宋体" w:hAnsi="宋体" w:cs="宋体" w:eastAsia="宋体" w:hint="default"/>
                <w:sz w:val="18"/>
                <w:szCs w:val="18"/>
              </w:rPr>
            </w:pPr>
            <w:r>
              <w:rPr>
                <w:rFonts w:ascii="宋体" w:hAnsi="宋体" w:cs="宋体" w:eastAsia="宋体" w:hint="default"/>
                <w:sz w:val="18"/>
                <w:szCs w:val="18"/>
              </w:rPr>
              <w:t>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 价低于发行价，持有发行人股票的锁定期 限自动延长</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个月；（</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）本人不会因职务</w:t>
            </w:r>
            <w:r>
              <w:rPr>
                <w:rFonts w:ascii="宋体" w:hAnsi="宋体" w:cs="宋体" w:eastAsia="宋体" w:hint="default"/>
                <w:sz w:val="18"/>
                <w:szCs w:val="18"/>
              </w:rPr>
              <w:t> 变更、离职等原因而拒绝履行上述承诺。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10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 w:right="82"/>
              <w:jc w:val="both"/>
              <w:rPr>
                <w:rFonts w:ascii="宋体" w:hAnsi="宋体" w:cs="宋体" w:eastAsia="宋体" w:hint="default"/>
                <w:sz w:val="18"/>
                <w:szCs w:val="18"/>
              </w:rPr>
            </w:pPr>
            <w:r>
              <w:rPr>
                <w:rFonts w:ascii="宋体" w:hAnsi="宋体" w:cs="宋体" w:eastAsia="宋体" w:hint="default"/>
                <w:sz w:val="18"/>
                <w:szCs w:val="18"/>
              </w:rPr>
              <w:t>福州博宏投资管理 有限公司、福州永 福恒诚投资管理股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9" w:lineRule="auto"/>
              <w:ind w:left="23" w:right="1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内，不转让或者委托他人管理已经直接和 间接持有的发行人公开发行股票前已发行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2350"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2"/>
              <w:jc w:val="both"/>
              <w:rPr>
                <w:rFonts w:ascii="宋体" w:hAnsi="宋体" w:cs="宋体" w:eastAsia="宋体" w:hint="default"/>
                <w:sz w:val="18"/>
                <w:szCs w:val="18"/>
              </w:rPr>
            </w:pPr>
            <w:r>
              <w:rPr>
                <w:rFonts w:ascii="宋体" w:hAnsi="宋体" w:cs="宋体" w:eastAsia="宋体" w:hint="default"/>
                <w:sz w:val="18"/>
                <w:szCs w:val="18"/>
              </w:rPr>
              <w:t>份有限公司、福建 省永福博发投资股 份有限公司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的股份，也不由发行人收购该部分股份；</w:t>
            </w:r>
          </w:p>
          <w:p>
            <w:pPr>
              <w:pStyle w:val="TableParagraph"/>
              <w:spacing w:line="309" w:lineRule="auto" w:before="76"/>
              <w:ind w:left="23" w:right="3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）所持股票在锁定期满后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 的，减持价格不低于发行价；发行人上市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w:t>
            </w:r>
          </w:p>
          <w:p>
            <w:pPr>
              <w:pStyle w:val="TableParagraph"/>
              <w:spacing w:line="309" w:lineRule="auto" w:before="5"/>
              <w:ind w:left="23" w:right="122"/>
              <w:jc w:val="both"/>
              <w:rPr>
                <w:rFonts w:ascii="宋体" w:hAnsi="宋体" w:cs="宋体" w:eastAsia="宋体" w:hint="default"/>
                <w:sz w:val="18"/>
                <w:szCs w:val="18"/>
              </w:rPr>
            </w:pPr>
            <w:r>
              <w:rPr>
                <w:rFonts w:ascii="宋体" w:hAnsi="宋体" w:cs="宋体" w:eastAsia="宋体" w:hint="default"/>
                <w:sz w:val="18"/>
                <w:szCs w:val="18"/>
              </w:rPr>
              <w:t>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期末收盘价低于发行价，持有发行人股票 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福建省平潭卓成股 权投资合伙企业</w:t>
            </w:r>
          </w:p>
          <w:p>
            <w:pPr>
              <w:pStyle w:val="TableParagraph"/>
              <w:spacing w:line="314" w:lineRule="auto" w:before="19"/>
              <w:ind w:left="26" w:right="22"/>
              <w:jc w:val="left"/>
              <w:rPr>
                <w:rFonts w:ascii="宋体" w:hAnsi="宋体" w:cs="宋体" w:eastAsia="宋体" w:hint="default"/>
                <w:sz w:val="18"/>
                <w:szCs w:val="18"/>
              </w:rPr>
            </w:pPr>
            <w:r>
              <w:rPr>
                <w:rFonts w:ascii="宋体" w:hAnsi="宋体" w:cs="宋体" w:eastAsia="宋体" w:hint="default"/>
                <w:spacing w:val="-12"/>
                <w:sz w:val="18"/>
                <w:szCs w:val="18"/>
              </w:rPr>
              <w:t>（有限合伙）、中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比利时直接股权 投资基金、青岛汉 缆股份有限公司、 林文丹、林华明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自发行人首次公开发行股票之日起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内，不转让或者委托他人管理已经直接和 间接持有的发行人公开发行股票前已发行 的股份，也不由发行人收购该部分股份。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194"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宁波梅山保税港区 领慧投资合伙企业</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125"/>
              <w:jc w:val="left"/>
              <w:rPr>
                <w:rFonts w:ascii="宋体" w:hAnsi="宋体" w:cs="宋体" w:eastAsia="宋体" w:hint="default"/>
                <w:sz w:val="18"/>
                <w:szCs w:val="18"/>
              </w:rPr>
            </w:pPr>
            <w:r>
              <w:rPr>
                <w:rFonts w:ascii="宋体" w:hAnsi="宋体" w:cs="宋体" w:eastAsia="宋体" w:hint="default"/>
                <w:sz w:val="18"/>
                <w:szCs w:val="18"/>
              </w:rPr>
              <w:t>其持有发行人的股份自其完成工商登记之 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日）起三十六个月 内，不转让或者委托他人管理已经直接或 者间接持有的发行人公开发行股票前已发 行的股份，也不由发行人收购该部分股 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72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82"/>
              <w:jc w:val="both"/>
              <w:rPr>
                <w:rFonts w:ascii="宋体" w:hAnsi="宋体" w:cs="宋体" w:eastAsia="宋体" w:hint="default"/>
                <w:sz w:val="18"/>
                <w:szCs w:val="18"/>
              </w:rPr>
            </w:pPr>
            <w:r>
              <w:rPr>
                <w:rFonts w:ascii="宋体" w:hAnsi="宋体" w:cs="宋体" w:eastAsia="宋体" w:hint="default"/>
                <w:sz w:val="18"/>
                <w:szCs w:val="18"/>
              </w:rPr>
              <w:t>林一文、季征南、 王劲军、宋发兴、 钱有武、卓秀者、 陈强、卢庆议、福 州博宏投资管理有 限公司、福州永福 恒诚投资管理股份 有限公司、福建省 永福博发投资股份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z w:val="18"/>
                <w:szCs w:val="18"/>
              </w:rPr>
              <w:t>控股股东自锁定期满之日起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年内减持股 </w:t>
            </w:r>
            <w:r>
              <w:rPr>
                <w:rFonts w:ascii="宋体" w:hAnsi="宋体" w:cs="宋体" w:eastAsia="宋体" w:hint="default"/>
                <w:spacing w:val="-5"/>
                <w:sz w:val="18"/>
                <w:szCs w:val="18"/>
              </w:rPr>
              <w:t>份的具体安排如下：（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）减持数量：承诺</w:t>
            </w:r>
            <w:r>
              <w:rPr>
                <w:rFonts w:ascii="宋体" w:hAnsi="宋体" w:cs="宋体" w:eastAsia="宋体" w:hint="default"/>
                <w:spacing w:val="-86"/>
                <w:sz w:val="18"/>
                <w:szCs w:val="18"/>
              </w:rPr>
              <w:t> </w:t>
            </w:r>
            <w:r>
              <w:rPr>
                <w:rFonts w:ascii="宋体" w:hAnsi="宋体" w:cs="宋体" w:eastAsia="宋体" w:hint="default"/>
                <w:sz w:val="18"/>
                <w:szCs w:val="18"/>
              </w:rPr>
              <w:t>人在锁定期满后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年内拟进行股份减持， 合计减持股份数量不超过发行人股份总数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；锁定期满后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年内若拟进行股份 减持，将在减持前按照证券交易所规则及 时、准确、完整地履行信息披露义务。承 诺人若预计未来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个月内通过证券交易系 统出售直接或者间接持有的发行人股份可 能达到或超过发行人股份总数的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的，应 当在首次出售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个交易日前刊登股份减持</w:t>
            </w:r>
          </w:p>
          <w:p>
            <w:pPr>
              <w:pStyle w:val="TableParagraph"/>
              <w:spacing w:line="309" w:lineRule="auto" w:before="7"/>
              <w:ind w:left="23" w:right="19"/>
              <w:jc w:val="left"/>
              <w:rPr>
                <w:rFonts w:ascii="宋体" w:hAnsi="宋体" w:cs="宋体" w:eastAsia="宋体" w:hint="default"/>
                <w:sz w:val="18"/>
                <w:szCs w:val="18"/>
              </w:rPr>
            </w:pPr>
            <w:r>
              <w:rPr>
                <w:rFonts w:ascii="宋体" w:hAnsi="宋体" w:cs="宋体" w:eastAsia="宋体" w:hint="default"/>
                <w:sz w:val="18"/>
                <w:szCs w:val="18"/>
              </w:rPr>
              <w:t>计划公告，在减持计划实施完成或者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月期限届满后拟继续出售股份的，应当予 以重新计算。承诺人如未按前述规定刊登 股份减持计划公告的，则任意连续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内通过证券交易系统出售发行人股份不得 达到或超过发行人股份总数的</w:t>
            </w:r>
            <w:r>
              <w:rPr>
                <w:rFonts w:ascii="宋体" w:hAnsi="宋体" w:cs="宋体" w:eastAsia="宋体" w:hint="default"/>
                <w:spacing w:val="-40"/>
                <w:sz w:val="18"/>
                <w:szCs w:val="18"/>
              </w:rPr>
              <w:t> </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）减</w:t>
            </w:r>
            <w:r>
              <w:rPr>
                <w:rFonts w:ascii="宋体" w:hAnsi="宋体" w:cs="宋体" w:eastAsia="宋体" w:hint="default"/>
                <w:sz w:val="18"/>
                <w:szCs w:val="18"/>
              </w:rPr>
              <w:t> 持方式：通过证券交易所集中竞价交易系 统、大宗交易系统进行，或通过协议转让 进行，但如果承诺人预计未来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个月内公 开出售解除限售存量股份的数量合计超过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3911"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的，将不通过证券交易所 </w:t>
            </w:r>
            <w:r>
              <w:rPr>
                <w:rFonts w:ascii="宋体" w:hAnsi="宋体" w:cs="宋体" w:eastAsia="宋体" w:hint="default"/>
                <w:spacing w:val="-5"/>
                <w:sz w:val="18"/>
                <w:szCs w:val="18"/>
              </w:rPr>
              <w:t>集中竞价交易系统转让所持股份；（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持价格：所持股票在锁定期满后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 持的，减持价格不低于发行价；发行人上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个月内如发行人股票连续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p>
            <w:pPr>
              <w:pStyle w:val="TableParagraph"/>
              <w:spacing w:line="309" w:lineRule="auto" w:before="9"/>
              <w:ind w:left="23" w:right="122"/>
              <w:jc w:val="both"/>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个月期末收盘价低于发行价，承诺人持有 发行人股票的锁定期限自动延长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7" w:lineRule="auto" w:before="5"/>
              <w:ind w:left="2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）减持期限：减持股份行为的期限为减 持计划公告后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个月内，减持期限届满 后，若拟继续减持股份，则需按照上述安 排再次履行减持公告。</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314"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福建省平潭卓成股 权投资合伙企业</w:t>
            </w:r>
          </w:p>
          <w:p>
            <w:pPr>
              <w:pStyle w:val="TableParagraph"/>
              <w:spacing w:line="309" w:lineRule="auto" w:before="19"/>
              <w:ind w:left="26" w:right="22"/>
              <w:jc w:val="left"/>
              <w:rPr>
                <w:rFonts w:ascii="宋体" w:hAnsi="宋体" w:cs="宋体" w:eastAsia="宋体" w:hint="default"/>
                <w:sz w:val="18"/>
                <w:szCs w:val="18"/>
              </w:rPr>
            </w:pPr>
            <w:r>
              <w:rPr>
                <w:rFonts w:ascii="宋体" w:hAnsi="宋体" w:cs="宋体" w:eastAsia="宋体" w:hint="default"/>
                <w:spacing w:val="-12"/>
                <w:sz w:val="18"/>
                <w:szCs w:val="18"/>
              </w:rPr>
              <w:t>（有限合伙）、中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比利时直接股权 投资基金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）减持数量：本机构在锁定期满后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内拟进行股份减持，减持股份数量不超过 其所持发行人股份总数的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；锁定期后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年内若拟进行股份减持，将在减持前按 照证券交易所规则及时、准确、完整的履 </w:t>
            </w:r>
            <w:r>
              <w:rPr>
                <w:rFonts w:ascii="宋体" w:hAnsi="宋体" w:cs="宋体" w:eastAsia="宋体" w:hint="default"/>
                <w:spacing w:val="-5"/>
                <w:sz w:val="18"/>
                <w:szCs w:val="18"/>
              </w:rPr>
              <w:t>行信息披露义务；（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）减持方式：通过证</w:t>
            </w:r>
            <w:r>
              <w:rPr>
                <w:rFonts w:ascii="宋体" w:hAnsi="宋体" w:cs="宋体" w:eastAsia="宋体" w:hint="default"/>
                <w:spacing w:val="-86"/>
                <w:sz w:val="18"/>
                <w:szCs w:val="18"/>
              </w:rPr>
              <w:t> </w:t>
            </w:r>
            <w:r>
              <w:rPr>
                <w:rFonts w:ascii="宋体" w:hAnsi="宋体" w:cs="宋体" w:eastAsia="宋体" w:hint="default"/>
                <w:sz w:val="18"/>
                <w:szCs w:val="18"/>
              </w:rPr>
              <w:t>券交易所集中竞价交易系统、大宗交易系 统进行，或通过协议转让进行，但如果本 机构预计未来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个月内公开出售解除限售 存量股份的数量合计超过发行人股份总数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的，将不通过证券交易所集中竞价交易 </w:t>
            </w:r>
            <w:r>
              <w:rPr>
                <w:rFonts w:ascii="宋体" w:hAnsi="宋体" w:cs="宋体" w:eastAsia="宋体" w:hint="default"/>
                <w:spacing w:val="-5"/>
                <w:sz w:val="18"/>
                <w:szCs w:val="18"/>
              </w:rPr>
              <w:t>系统转让所持股份；（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）减持期限：减持</w:t>
            </w:r>
            <w:r>
              <w:rPr>
                <w:rFonts w:ascii="宋体" w:hAnsi="宋体" w:cs="宋体" w:eastAsia="宋体" w:hint="default"/>
                <w:spacing w:val="-86"/>
                <w:sz w:val="18"/>
                <w:szCs w:val="18"/>
              </w:rPr>
              <w:t> </w:t>
            </w:r>
            <w:r>
              <w:rPr>
                <w:rFonts w:ascii="宋体" w:hAnsi="宋体" w:cs="宋体" w:eastAsia="宋体" w:hint="default"/>
                <w:sz w:val="18"/>
                <w:szCs w:val="18"/>
              </w:rPr>
              <w:t>股份行为的期限为减持计划公告后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内，减持期限届满后，若拟继续减持股 份，则需按照上述安排再次履行减持公 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53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6" w:right="82"/>
              <w:jc w:val="both"/>
              <w:rPr>
                <w:rFonts w:ascii="宋体" w:hAnsi="宋体" w:cs="宋体" w:eastAsia="宋体" w:hint="default"/>
                <w:sz w:val="18"/>
                <w:szCs w:val="18"/>
              </w:rPr>
            </w:pPr>
            <w:r>
              <w:rPr>
                <w:rFonts w:ascii="宋体" w:hAnsi="宋体" w:cs="宋体" w:eastAsia="宋体" w:hint="default"/>
                <w:sz w:val="18"/>
                <w:szCs w:val="18"/>
              </w:rPr>
              <w:t>林一文、季征南、 王劲军、宋发兴、 钱有武、卓秀者、 陈强、卢庆议、福 州博宏投资管理有 限公司、福州永福 恒诚投资管理股份 有限公司、福建省 永福博发投资股份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截至本承诺函出具之日，本公司及本人在 中国境内外未直接或间接从事或参与任何 在商业上对发行人构成竞争的业务或活 动；本公司及本人将来也不在中国境内外 以任何方式（包括但不限于单独经营、通 过合资经营或拥有另外一公司或企业的股 权或其它权益）直接或间接从事或参与任 何在商业上对发行人构成竞争的业务及活 动；若发行人今后从事新的业务领域，则 本公司及本人控制的其他企业将不在中国 境内外以控股方式或参股但拥有实质控制 权的方式从事与发行人新的业务领域有竞 争的业务或活动，包括在中国境内外投 资、收购、兼并与发行人今后从事的新业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3286"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5"/>
              <w:jc w:val="both"/>
              <w:rPr>
                <w:rFonts w:ascii="宋体" w:hAnsi="宋体" w:cs="宋体" w:eastAsia="宋体" w:hint="default"/>
                <w:sz w:val="18"/>
                <w:szCs w:val="18"/>
              </w:rPr>
            </w:pPr>
            <w:r>
              <w:rPr>
                <w:rFonts w:ascii="宋体" w:hAnsi="宋体" w:cs="宋体" w:eastAsia="宋体" w:hint="default"/>
                <w:sz w:val="18"/>
                <w:szCs w:val="18"/>
              </w:rPr>
              <w:t>务有直接竞争的公司或者其他企业；如从 任何地方获得的商业机会与发行人经营的 业务有竞争或可能形成竞争，则本公司及 本人将立即通知发行人，并将该商业机会 让与发行人；在本公司及本人作为发行人 的控股股东、实际控制人期间，以及在担 任发行人董事、监事或高级管理人员期间 及辞去上述职务后六个月内，本承诺为有 效之承诺，本公司及本人愿意承担违反上 述承诺而给发行人造成的全部损失。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499"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26" w:right="82"/>
              <w:jc w:val="both"/>
              <w:rPr>
                <w:rFonts w:ascii="宋体" w:hAnsi="宋体" w:cs="宋体" w:eastAsia="宋体" w:hint="default"/>
                <w:sz w:val="18"/>
                <w:szCs w:val="18"/>
              </w:rPr>
            </w:pPr>
            <w:r>
              <w:rPr>
                <w:rFonts w:ascii="宋体" w:hAnsi="宋体" w:cs="宋体" w:eastAsia="宋体" w:hint="default"/>
                <w:sz w:val="18"/>
                <w:szCs w:val="18"/>
              </w:rPr>
              <w:t>林一文、季征南、 王劲军、宋发兴、 钱有武、卓秀者、 陈强、卢庆议、福 州博宏投资管理有 限公司、福州永福 恒诚投资管理股份 有限公司、福建省 永福博发投资股份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4"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承诺人所控制的公 司、分公司、合营或联营公司及其他任何 类型的企业现有及将来与福建永福电力设 计股份有限公司发生的关联交易是公允 的，是按照正常商业行为准则进行的。本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承诺人保证将继续规范并逐步减少与 福建永福电力设计股份有限公司及其子公 司、分公司、合营或联营公司发生关联交 易。本公司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承诺人及本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承诺人所控制的公司、分公司、合营 或联营公司及其他任何类型的企业不以垄 断采购和销售业务渠道等方式干预福建永 福电力设计股份有限公司的经营，损害其 利益。关联交易活动应遵循商业原则，关 联交易的价格原则上应不偏离市场独立第 三方的价格或收费的标准。作为福建永福 电力设计股份有限公司的控股股东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 制人，本公司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承诺人保证将按照法律法规 和《福建永福电力设计股份有限公司章 程》的规定，在审议涉及本公司的关联交 易时，切实遵守福建永福电力设计股份有 限公司董事会、股东大会上进行关联交易 表决时的回避程序。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976"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82"/>
              <w:jc w:val="both"/>
              <w:rPr>
                <w:rFonts w:ascii="宋体" w:hAnsi="宋体" w:cs="宋体" w:eastAsia="宋体" w:hint="default"/>
                <w:sz w:val="18"/>
                <w:szCs w:val="18"/>
              </w:rPr>
            </w:pPr>
            <w:r>
              <w:rPr>
                <w:rFonts w:ascii="宋体" w:hAnsi="宋体" w:cs="宋体" w:eastAsia="宋体" w:hint="default"/>
                <w:sz w:val="18"/>
                <w:szCs w:val="18"/>
              </w:rPr>
              <w:t>福州博宏投资管理 有限公司、福州永 福恒诚投资管理股 份有限公司、福建 省永福博发投资股 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23" w:right="33"/>
              <w:jc w:val="both"/>
              <w:rPr>
                <w:rFonts w:ascii="宋体" w:hAnsi="宋体" w:cs="宋体" w:eastAsia="宋体" w:hint="default"/>
                <w:sz w:val="18"/>
                <w:szCs w:val="18"/>
              </w:rPr>
            </w:pPr>
            <w:r>
              <w:rPr>
                <w:rFonts w:ascii="宋体" w:hAnsi="宋体" w:cs="宋体" w:eastAsia="宋体" w:hint="default"/>
                <w:sz w:val="18"/>
                <w:szCs w:val="18"/>
              </w:rPr>
              <w:t>（一）启动股价稳定措施的具体条件</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在首次公开发行股票并在创业板上市后三 年内，公司股票连续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w:t>
            </w:r>
          </w:p>
          <w:p>
            <w:pPr>
              <w:pStyle w:val="TableParagraph"/>
              <w:spacing w:line="314" w:lineRule="auto" w:before="5"/>
              <w:ind w:left="23" w:right="24"/>
              <w:jc w:val="left"/>
              <w:rPr>
                <w:rFonts w:ascii="宋体" w:hAnsi="宋体" w:cs="宋体" w:eastAsia="宋体" w:hint="default"/>
                <w:sz w:val="18"/>
                <w:szCs w:val="18"/>
              </w:rPr>
            </w:pPr>
            <w:r>
              <w:rPr>
                <w:rFonts w:ascii="宋体" w:hAnsi="宋体" w:cs="宋体" w:eastAsia="宋体" w:hint="default"/>
                <w:sz w:val="18"/>
                <w:szCs w:val="18"/>
              </w:rPr>
              <w:t>（如果因派发现金红利、送股、转增股 本、增发新股等原因进行除权、除息的， 须按照证券交易所的有关规定作调整）均 低于公司上一个会计年度经审计的每股净 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合并财务报表中归属于 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78"/>
      </w:tblGrid>
      <w:tr>
        <w:trPr>
          <w:trHeight w:val="320"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份总数）时（即</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启动条件</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将启动稳定</w:t>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tabs>
                <w:tab w:pos="1557"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股价措施。</w:t>
              <w:tab/>
              <w:t>（二）稳定股价的具体</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Times New Roman" w:hAnsi="Times New Roman" w:cs="Times New Roman" w:eastAsia="Times New Roman" w:hint="default"/>
                <w:sz w:val="18"/>
                <w:szCs w:val="18"/>
              </w:rPr>
              <w:t>:</w:t>
            </w:r>
            <w:r>
              <w:rPr>
                <w:rFonts w:ascii="宋体" w:hAnsi="宋体" w:cs="宋体" w:eastAsia="宋体" w:hint="default"/>
                <w:sz w:val="18"/>
                <w:szCs w:val="18"/>
              </w:rPr>
              <w:t>在启动股价稳定措施的前提条件满足</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时，公司将在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个交易日内根据当时有效</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的法律法规和本预案，与控股股东、董</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事、高级管理人员协商一致，提出稳定公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司股价的具体方案，履行相应的审批程序</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和信息披露义务</w:t>
            </w:r>
            <w:r>
              <w:rPr>
                <w:rFonts w:ascii="宋体" w:hAnsi="宋体" w:cs="宋体" w:eastAsia="宋体" w:hint="default"/>
                <w:spacing w:val="-92"/>
                <w:sz w:val="18"/>
                <w:szCs w:val="18"/>
              </w:rPr>
              <w:t>。</w:t>
            </w:r>
            <w:r>
              <w:rPr>
                <w:rFonts w:ascii="宋体" w:hAnsi="宋体" w:cs="宋体" w:eastAsia="宋体" w:hint="default"/>
                <w:sz w:val="18"/>
                <w:szCs w:val="18"/>
              </w:rPr>
              <w:t>（三）控股</w:t>
            </w:r>
            <w:r>
              <w:rPr>
                <w:rFonts w:ascii="宋体" w:hAnsi="宋体" w:cs="宋体" w:eastAsia="宋体" w:hint="default"/>
                <w:spacing w:val="2"/>
                <w:sz w:val="18"/>
                <w:szCs w:val="18"/>
              </w:rPr>
              <w:t>股</w:t>
            </w:r>
            <w:r>
              <w:rPr>
                <w:rFonts w:ascii="宋体" w:hAnsi="宋体" w:cs="宋体" w:eastAsia="宋体" w:hint="default"/>
                <w:sz w:val="18"/>
                <w:szCs w:val="18"/>
              </w:rPr>
              <w:t>东的稳定股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在启动条件满足时，在符合《证</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92"/>
                <w:sz w:val="18"/>
                <w:szCs w:val="18"/>
              </w:rPr>
              <w:t>》、</w:t>
            </w:r>
            <w:r>
              <w:rPr>
                <w:rFonts w:ascii="宋体" w:hAnsi="宋体" w:cs="宋体" w:eastAsia="宋体" w:hint="default"/>
                <w:sz w:val="18"/>
                <w:szCs w:val="18"/>
              </w:rPr>
              <w:t>《上市公司收购管理</w:t>
            </w:r>
            <w:r>
              <w:rPr>
                <w:rFonts w:ascii="宋体" w:hAnsi="宋体" w:cs="宋体" w:eastAsia="宋体" w:hint="default"/>
                <w:spacing w:val="2"/>
                <w:sz w:val="18"/>
                <w:szCs w:val="18"/>
              </w:rPr>
              <w:t>办</w:t>
            </w:r>
            <w:r>
              <w:rPr>
                <w:rFonts w:ascii="宋体" w:hAnsi="宋体" w:cs="宋体" w:eastAsia="宋体" w:hint="default"/>
                <w:sz w:val="18"/>
                <w:szCs w:val="18"/>
              </w:rPr>
              <w:t>法》及证券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交易所等法律法规及相关规范性文件规定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且不会导致公司股权分布不符合上市条件</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的前提下，公司控股股东福州博宏投资管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理有限公司、福州永福恒诚投资管理股份</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有限公司和福建省永福博发投资股份有限</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公司承诺采取以下增持公司股份的稳定股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价的具体措施。公司控股股东如需以增持</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公司股份方式稳定股价，则公司控股股东</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个交易日内，提出增持公司股份的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方案（包括拟增持公司股份的数量、价格</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区间、时间等</w:t>
            </w:r>
            <w:r>
              <w:rPr>
                <w:rFonts w:ascii="宋体" w:hAnsi="宋体" w:cs="宋体" w:eastAsia="宋体" w:hint="default"/>
                <w:spacing w:val="-92"/>
                <w:sz w:val="18"/>
                <w:szCs w:val="18"/>
              </w:rPr>
              <w:t>）</w:t>
            </w:r>
            <w:r>
              <w:rPr>
                <w:rFonts w:ascii="宋体" w:hAnsi="宋体" w:cs="宋体" w:eastAsia="宋体" w:hint="default"/>
                <w:sz w:val="18"/>
                <w:szCs w:val="18"/>
              </w:rPr>
              <w:t>，并依法履行</w:t>
            </w:r>
            <w:r>
              <w:rPr>
                <w:rFonts w:ascii="宋体" w:hAnsi="宋体" w:cs="宋体" w:eastAsia="宋体" w:hint="default"/>
                <w:spacing w:val="2"/>
                <w:sz w:val="18"/>
                <w:szCs w:val="18"/>
              </w:rPr>
              <w:t>证</w:t>
            </w:r>
            <w:r>
              <w:rPr>
                <w:rFonts w:ascii="宋体" w:hAnsi="宋体" w:cs="宋体" w:eastAsia="宋体" w:hint="default"/>
                <w:sz w:val="18"/>
                <w:szCs w:val="18"/>
              </w:rPr>
              <w:t>券监督管理</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部门、证券交易所等主管部门的审批手续</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（如需</w:t>
            </w:r>
            <w:r>
              <w:rPr>
                <w:rFonts w:ascii="宋体" w:hAnsi="宋体" w:cs="宋体" w:eastAsia="宋体" w:hint="default"/>
                <w:spacing w:val="-92"/>
                <w:sz w:val="18"/>
                <w:szCs w:val="18"/>
              </w:rPr>
              <w:t>）</w:t>
            </w:r>
            <w:r>
              <w:rPr>
                <w:rFonts w:ascii="宋体" w:hAnsi="宋体" w:cs="宋体" w:eastAsia="宋体" w:hint="default"/>
                <w:sz w:val="18"/>
                <w:szCs w:val="18"/>
              </w:rPr>
              <w:t>，在获得批准后的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知公司，公司应按照相关规定披露公司控</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股股东增持公司股份的计划。在公司披露</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公司控股股东增持公司股份计划的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易日后，公司控股股东开始实施增持公司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股份的计划。公司控股股东增持公司股份</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的价格不高于公司上一会计年度经审计的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每股净资产。但如果控股股东增持方案实</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施前，发行人股价连续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个交易日收盘价</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均超过发行人上一期经审计的每股净资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产，公司控股股东可不再增持公司股份。</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公司控股股东增持公司股份后，公司的股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权分布应当符合上市条件。如果某一会计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年度内公司股价多次触发上述需采取股价</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稳定措施条件的，公司控股股东将继续按</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照上述稳定股价预案执行，但应遵守以下</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原则：①单次用于稳定股价的增持股份的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资金金额不低于公司控股股东自公司上市</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后累计从公司处所获得现金分红金额的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；②单一会计年度公司控股股东用于</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稳定股价的增持股份的资金金额不超过公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司控股股东自公司上市后累计从公司处所</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359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0"/>
              <w:jc w:val="both"/>
              <w:rPr>
                <w:rFonts w:ascii="宋体" w:hAnsi="宋体" w:cs="宋体" w:eastAsia="宋体" w:hint="default"/>
                <w:sz w:val="18"/>
                <w:szCs w:val="18"/>
              </w:rPr>
            </w:pPr>
            <w:r>
              <w:rPr>
                <w:rFonts w:ascii="宋体" w:hAnsi="宋体" w:cs="宋体" w:eastAsia="宋体" w:hint="default"/>
                <w:sz w:val="18"/>
                <w:szCs w:val="18"/>
              </w:rPr>
              <w:t>获得现金分红金额的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；③超过上述标 准的，有关稳定股价措施在当年年度不再 继续实施；但如下一年度继续出现需启动 稳定股价措施的情形时，公司控股股东将 继续按照上述原则执行稳定股价预案；下 一年度触发股价稳定措施时，以前年度已 经用于稳定股价的增持资金额不再计入累 计现金分红金额。④公司控股股东用于稳 定股价的增持资金总额累计不超过公司控 股股东自公司上市后累计从公司处所获得 现金分红总额。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15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35"/>
              <w:jc w:val="left"/>
              <w:rPr>
                <w:rFonts w:ascii="宋体" w:hAnsi="宋体" w:cs="宋体" w:eastAsia="宋体" w:hint="default"/>
                <w:sz w:val="18"/>
                <w:szCs w:val="18"/>
              </w:rPr>
            </w:pPr>
            <w:r>
              <w:rPr>
                <w:rFonts w:ascii="宋体" w:hAnsi="宋体" w:cs="宋体" w:eastAsia="宋体" w:hint="default"/>
                <w:sz w:val="18"/>
                <w:szCs w:val="18"/>
              </w:rPr>
              <w:t>在启动股价稳定措施的前提条件满足时， </w:t>
            </w:r>
            <w:r>
              <w:rPr>
                <w:rFonts w:ascii="宋体" w:hAnsi="宋体" w:cs="宋体" w:eastAsia="宋体" w:hint="default"/>
                <w:spacing w:val="-10"/>
                <w:sz w:val="18"/>
                <w:szCs w:val="18"/>
              </w:rPr>
              <w:t>在符合《证券法》、《上市公司收购管理办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法》及证券交易所等法律法规及相关规范 性文件规定且不会导致发行人股权分布不 符合上市条件的前提下，发行人承诺采取 以下稳定股价的具体措施。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、实施利润分 配或资本公积转增股本</w:t>
            </w:r>
            <w:r>
              <w:rPr>
                <w:rFonts w:ascii="Times New Roman" w:hAnsi="Times New Roman" w:cs="Times New Roman" w:eastAsia="Times New Roman" w:hint="default"/>
                <w:sz w:val="18"/>
                <w:szCs w:val="18"/>
              </w:rPr>
              <w:t>:</w:t>
            </w:r>
            <w:r>
              <w:rPr>
                <w:rFonts w:ascii="宋体" w:hAnsi="宋体" w:cs="宋体" w:eastAsia="宋体" w:hint="default"/>
                <w:sz w:val="18"/>
                <w:szCs w:val="18"/>
              </w:rPr>
              <w:t>若公司决定通过利 润分配或资本公积转增股本稳定公司股 </w:t>
            </w:r>
            <w:r>
              <w:rPr>
                <w:rFonts w:ascii="宋体" w:hAnsi="宋体" w:cs="宋体" w:eastAsia="宋体" w:hint="default"/>
                <w:spacing w:val="-5"/>
                <w:sz w:val="18"/>
                <w:szCs w:val="18"/>
              </w:rPr>
              <w:t>价，公司董事会将根据法律法规、《公司章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程》的规定，在保证公司经营资金需求的 前提下，提议公司实施积极的利润分配方 案或者资本公积转增股本方案。若公司决 定实施利润分配或资本公积转增股本，公 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个交易日内召开董事会，讨论利 润分配方案或资本公积转增股本方案，并 提交股东大会审议。在股东大会审议通过 利润分配方案或资本公积转增股本方案后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个月内，实施完毕。公司利润分配或 资本公积转增股本应符合相关法律法规、 公司章程的规定。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、回购股份</w:t>
            </w:r>
            <w:r>
              <w:rPr>
                <w:rFonts w:ascii="Times New Roman" w:hAnsi="Times New Roman" w:cs="Times New Roman" w:eastAsia="Times New Roman" w:hint="default"/>
                <w:sz w:val="18"/>
                <w:szCs w:val="18"/>
              </w:rPr>
              <w:t>:</w:t>
            </w:r>
            <w:r>
              <w:rPr>
                <w:rFonts w:ascii="宋体" w:hAnsi="宋体" w:cs="宋体" w:eastAsia="宋体" w:hint="default"/>
                <w:sz w:val="18"/>
                <w:szCs w:val="18"/>
              </w:rPr>
              <w:t>在启动股 价稳定措施的前提条件满足时，若公司拟 按照法律、法规及规范性文件认可的方式 向社会公众股东回购股份方式稳定股价， 公司应在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个交易日内召开董事会，讨论 公司向社会公众股东回购公司股份的方 案，并提交股东大会审议。在股东大会审 议通过股份回购方案后，公司依法通知债 权人，并向证券监督管理部门、证券交易 所等主管部门报送相关材料，办理审批或 备案手续。在完成必须的审批、备案、信 息披露等程序后，公司方可实施相应的股 份回购方案。公司回购股份的资金为自有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827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3"/>
              <w:jc w:val="left"/>
              <w:rPr>
                <w:rFonts w:ascii="宋体" w:hAnsi="宋体" w:cs="宋体" w:eastAsia="宋体" w:hint="default"/>
                <w:sz w:val="18"/>
                <w:szCs w:val="18"/>
              </w:rPr>
            </w:pPr>
            <w:r>
              <w:rPr>
                <w:rFonts w:ascii="宋体" w:hAnsi="宋体" w:cs="宋体" w:eastAsia="宋体" w:hint="default"/>
                <w:sz w:val="18"/>
                <w:szCs w:val="18"/>
              </w:rPr>
              <w:t>资金，回购股份的价格不超过上一个会计 年度经审计的每股净资产，回购股份的方 式为以集中竞价交易方式、要约方式或证 券监督管理部门认可的其他方式向社会公 众股东回购股份。但如果股份回购方案实 施前，公司股价连续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个交易日收盘价均 超过公司上一期经审计的每股净资产，公 司可不再向社会公众股东回购股份。回购 股份后，公司的股权分布应当符合上市条 件。公司向社会公众股东回购公司股份应 </w:t>
            </w:r>
            <w:r>
              <w:rPr>
                <w:rFonts w:ascii="宋体" w:hAnsi="宋体" w:cs="宋体" w:eastAsia="宋体" w:hint="default"/>
                <w:spacing w:val="-11"/>
                <w:sz w:val="18"/>
                <w:szCs w:val="18"/>
              </w:rPr>
              <w:t>符合《公司法》、《证券法》等法律、法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规、规范性文件的规定。如果某一会计年 度内，公司股价多次触发上述需采取股价 稳定措施条件的，公司将继续按照上述稳 定股价预案执行，但应遵守以下原则：① 单次用于回购股份的资金金额不超过上一 会计年度归属于母公司股东净利润的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；②单一会计年度用以稳定股价的回 购资金总额不超过上一会计年度归属于母 公司股东净利润的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；③超过上述标准 的，有关稳定股价措施在当年年度不再继 续实施；但如下一年度继续出现需启动稳 定股价措施的情形时，公司将继续按照上 述原则执行稳定股价预案；④公司用于回 购股份的资金总额累计不超过公司首次公 开发行新股所募集资金的总额。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47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6" w:right="0"/>
              <w:jc w:val="left"/>
              <w:rPr>
                <w:rFonts w:ascii="宋体" w:hAnsi="宋体" w:cs="宋体" w:eastAsia="宋体" w:hint="default"/>
                <w:sz w:val="18"/>
                <w:szCs w:val="18"/>
              </w:rPr>
            </w:pPr>
            <w:r>
              <w:rPr>
                <w:rFonts w:ascii="宋体" w:hAnsi="宋体" w:cs="宋体" w:eastAsia="宋体" w:hint="default"/>
                <w:sz w:val="18"/>
                <w:szCs w:val="18"/>
              </w:rPr>
              <w:t>林一文、季征</w:t>
            </w:r>
          </w:p>
          <w:p>
            <w:pPr>
              <w:pStyle w:val="TableParagraph"/>
              <w:spacing w:line="316" w:lineRule="auto" w:before="76"/>
              <w:ind w:left="26" w:right="80"/>
              <w:jc w:val="left"/>
              <w:rPr>
                <w:rFonts w:ascii="宋体" w:hAnsi="宋体" w:cs="宋体" w:eastAsia="宋体" w:hint="default"/>
                <w:sz w:val="18"/>
                <w:szCs w:val="18"/>
              </w:rPr>
            </w:pPr>
            <w:r>
              <w:rPr>
                <w:rFonts w:ascii="宋体" w:hAnsi="宋体" w:cs="宋体" w:eastAsia="宋体" w:hint="default"/>
                <w:sz w:val="18"/>
                <w:szCs w:val="18"/>
              </w:rPr>
              <w:t>南 、王劲军</w:t>
            </w:r>
            <w:r>
              <w:rPr>
                <w:rFonts w:ascii="宋体" w:hAnsi="宋体" w:cs="宋体" w:eastAsia="宋体" w:hint="default"/>
                <w:spacing w:val="2"/>
                <w:sz w:val="18"/>
                <w:szCs w:val="18"/>
              </w:rPr>
              <w:t> </w:t>
            </w:r>
            <w:r>
              <w:rPr>
                <w:rFonts w:ascii="宋体" w:hAnsi="宋体" w:cs="宋体" w:eastAsia="宋体" w:hint="default"/>
                <w:sz w:val="18"/>
                <w:szCs w:val="18"/>
              </w:rPr>
              <w:t>、钱</w:t>
            </w:r>
            <w:r>
              <w:rPr>
                <w:rFonts w:ascii="宋体" w:hAnsi="宋体" w:cs="宋体" w:eastAsia="宋体" w:hint="default"/>
                <w:sz w:val="18"/>
                <w:szCs w:val="18"/>
              </w:rPr>
              <w:t> 有武、刘勇</w:t>
            </w:r>
            <w:r>
              <w:rPr>
                <w:rFonts w:ascii="宋体" w:hAnsi="宋体" w:cs="宋体" w:eastAsia="宋体" w:hint="default"/>
                <w:spacing w:val="1"/>
                <w:sz w:val="18"/>
                <w:szCs w:val="18"/>
              </w:rPr>
              <w:t> </w:t>
            </w:r>
            <w:r>
              <w:rPr>
                <w:rFonts w:ascii="宋体" w:hAnsi="宋体" w:cs="宋体" w:eastAsia="宋体" w:hint="default"/>
                <w:sz w:val="18"/>
                <w:szCs w:val="18"/>
              </w:rPr>
              <w:t>、宋</w:t>
            </w:r>
            <w:r>
              <w:rPr>
                <w:rFonts w:ascii="宋体" w:hAnsi="宋体" w:cs="宋体" w:eastAsia="宋体" w:hint="default"/>
                <w:sz w:val="18"/>
                <w:szCs w:val="18"/>
              </w:rPr>
              <w:t> 发兴、卓秀者</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陈强</w:t>
            </w:r>
            <w:r>
              <w:rPr>
                <w:rFonts w:ascii="宋体" w:hAnsi="宋体" w:cs="宋体" w:eastAsia="宋体" w:hint="default"/>
                <w:spacing w:val="1"/>
                <w:sz w:val="18"/>
                <w:szCs w:val="18"/>
              </w:rPr>
              <w:t> </w:t>
            </w:r>
            <w:r>
              <w:rPr>
                <w:rFonts w:ascii="宋体" w:hAnsi="宋体" w:cs="宋体" w:eastAsia="宋体" w:hint="default"/>
                <w:sz w:val="18"/>
                <w:szCs w:val="18"/>
              </w:rPr>
              <w:t>、卢庆议、</w:t>
            </w:r>
            <w:r>
              <w:rPr>
                <w:rFonts w:ascii="宋体" w:hAnsi="宋体" w:cs="宋体" w:eastAsia="宋体" w:hint="default"/>
                <w:sz w:val="18"/>
                <w:szCs w:val="18"/>
              </w:rPr>
              <w:t> 张善传、罗志青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34"/>
              <w:jc w:val="left"/>
              <w:rPr>
                <w:rFonts w:ascii="宋体" w:hAnsi="宋体" w:cs="宋体" w:eastAsia="宋体" w:hint="default"/>
                <w:sz w:val="18"/>
                <w:szCs w:val="18"/>
              </w:rPr>
            </w:pPr>
            <w:r>
              <w:rPr>
                <w:rFonts w:ascii="宋体" w:hAnsi="宋体" w:cs="宋体" w:eastAsia="宋体" w:hint="default"/>
                <w:sz w:val="18"/>
                <w:szCs w:val="18"/>
              </w:rPr>
              <w:t>在启动股价稳定措施的前提条件满足时， </w:t>
            </w:r>
            <w:r>
              <w:rPr>
                <w:rFonts w:ascii="宋体" w:hAnsi="宋体" w:cs="宋体" w:eastAsia="宋体" w:hint="default"/>
                <w:spacing w:val="-10"/>
                <w:sz w:val="18"/>
                <w:szCs w:val="18"/>
              </w:rPr>
              <w:t>在符合《证券法》、《上市公司收购管理办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法》及证券交易所等法律法规及相关规范 性文件规定且不会导致公司股权分布不符 合上市条件的前提下，董事（不包括独立 </w:t>
            </w:r>
            <w:r>
              <w:rPr>
                <w:rFonts w:ascii="宋体" w:hAnsi="宋体" w:cs="宋体" w:eastAsia="宋体" w:hint="default"/>
                <w:spacing w:val="-5"/>
                <w:sz w:val="18"/>
                <w:szCs w:val="18"/>
              </w:rPr>
              <w:t>董事、不在公司领薪董事）、高级管理人员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承诺采取以下稳定股价的具体措施。董事</w:t>
            </w:r>
          </w:p>
          <w:p>
            <w:pPr>
              <w:pStyle w:val="TableParagraph"/>
              <w:spacing w:line="314" w:lineRule="auto" w:before="17"/>
              <w:ind w:left="23" w:right="34"/>
              <w:jc w:val="left"/>
              <w:rPr>
                <w:rFonts w:ascii="宋体" w:hAnsi="宋体" w:cs="宋体" w:eastAsia="宋体" w:hint="default"/>
                <w:sz w:val="18"/>
                <w:szCs w:val="18"/>
              </w:rPr>
            </w:pPr>
            <w:r>
              <w:rPr>
                <w:rFonts w:ascii="宋体" w:hAnsi="宋体" w:cs="宋体" w:eastAsia="宋体" w:hint="default"/>
                <w:spacing w:val="-5"/>
                <w:sz w:val="18"/>
                <w:szCs w:val="18"/>
              </w:rPr>
              <w:t>（不包括独立董事、不在公司领薪董事）、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高级管理人员应在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个交易日内提出买入 公司股份的方案（包括拟增持公司股份的 </w:t>
            </w:r>
            <w:r>
              <w:rPr>
                <w:rFonts w:ascii="宋体" w:hAnsi="宋体" w:cs="宋体" w:eastAsia="宋体" w:hint="default"/>
                <w:spacing w:val="-5"/>
                <w:sz w:val="18"/>
                <w:szCs w:val="18"/>
              </w:rPr>
              <w:t>数量、价格区间、时间等），公司按照相关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规定披露其买入公司股份的方案。董事</w:t>
            </w:r>
          </w:p>
          <w:p>
            <w:pPr>
              <w:pStyle w:val="TableParagraph"/>
              <w:spacing w:line="319" w:lineRule="auto" w:before="20"/>
              <w:ind w:left="23" w:right="36"/>
              <w:jc w:val="left"/>
              <w:rPr>
                <w:rFonts w:ascii="宋体" w:hAnsi="宋体" w:cs="宋体" w:eastAsia="宋体" w:hint="default"/>
                <w:sz w:val="18"/>
                <w:szCs w:val="18"/>
              </w:rPr>
            </w:pPr>
            <w:r>
              <w:rPr>
                <w:rFonts w:ascii="宋体" w:hAnsi="宋体" w:cs="宋体" w:eastAsia="宋体" w:hint="default"/>
                <w:spacing w:val="-5"/>
                <w:sz w:val="18"/>
                <w:szCs w:val="18"/>
              </w:rPr>
              <w:t>（不包括独立董事、不在公司领薪董事）、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高级管理人员买入公司股份应符合相关法 律、法规及规范性文件的规定，如果需要 履行证券监督管理部门、证券交易所、证 券登记管理部门审批的，应履行相应的审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8591"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3"/>
              <w:jc w:val="left"/>
              <w:rPr>
                <w:rFonts w:ascii="宋体" w:hAnsi="宋体" w:cs="宋体" w:eastAsia="宋体" w:hint="default"/>
                <w:sz w:val="18"/>
                <w:szCs w:val="18"/>
              </w:rPr>
            </w:pPr>
            <w:r>
              <w:rPr>
                <w:rFonts w:ascii="宋体" w:hAnsi="宋体" w:cs="宋体" w:eastAsia="宋体" w:hint="default"/>
                <w:sz w:val="18"/>
                <w:szCs w:val="18"/>
              </w:rPr>
              <w:t>批手续。董事（不包括独立董事、不在公 </w:t>
            </w:r>
            <w:r>
              <w:rPr>
                <w:rFonts w:ascii="宋体" w:hAnsi="宋体" w:cs="宋体" w:eastAsia="宋体" w:hint="default"/>
                <w:spacing w:val="-5"/>
                <w:sz w:val="18"/>
                <w:szCs w:val="18"/>
              </w:rPr>
              <w:t>司领薪董事）、高级管理人员的买入价格不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高于公司上一会计年度经审计的每股净资 产。但如果董事（不包括独立董事、不在 </w:t>
            </w:r>
            <w:r>
              <w:rPr>
                <w:rFonts w:ascii="宋体" w:hAnsi="宋体" w:cs="宋体" w:eastAsia="宋体" w:hint="default"/>
                <w:spacing w:val="-5"/>
                <w:sz w:val="18"/>
                <w:szCs w:val="18"/>
              </w:rPr>
              <w:t>公司领薪董事）、高级管理人员增持方案实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施前，公司股价连续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个交易日收盘价均 超过公司上一期经审计的每股净资产值， 董事（不包括独立董事、不在公司领薪董 </w:t>
            </w:r>
            <w:r>
              <w:rPr>
                <w:rFonts w:ascii="宋体" w:hAnsi="宋体" w:cs="宋体" w:eastAsia="宋体" w:hint="default"/>
                <w:spacing w:val="-5"/>
                <w:sz w:val="18"/>
                <w:szCs w:val="18"/>
              </w:rPr>
              <w:t>事）、高级管理人员可不再实施该方案。如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果某一会计年度内公司股价多次触发上述 需采取股价稳定措施条件的，其将继续按 照上述稳定股价预案执行，但应遵守以下 原则：①单次用于稳定股价而购买股份的 资金金额不低于其在担任董事或高级管理 人员职务期间上一会计年度从公司处领取 的税后薪酬及津贴累计金额的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；②单 一会计年度其用于稳定股价而购买股份的 资金金额不超过其在担任董事或高级管理 人员职务期间上一会计年度从公司领取的 税后薪酬及津贴累计金额的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；③超过 上述标准的，有关稳定股价措施在当年年 度不再继续实施；但如下一年度继续出现 需启动稳定股价措施的情形时，其将继续 按照上述原则执行稳定股价预案；④其用 于稳定股价而购买股份的资金总额累计不 超过其自公司上市后累计从公司处领取的 税后薪酬及津贴总额。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6" w:right="82"/>
              <w:jc w:val="both"/>
              <w:rPr>
                <w:rFonts w:ascii="宋体" w:hAnsi="宋体" w:cs="宋体" w:eastAsia="宋体" w:hint="default"/>
                <w:sz w:val="18"/>
                <w:szCs w:val="18"/>
              </w:rPr>
            </w:pPr>
            <w:r>
              <w:rPr>
                <w:rFonts w:ascii="宋体" w:hAnsi="宋体" w:cs="宋体" w:eastAsia="宋体" w:hint="default"/>
                <w:sz w:val="18"/>
                <w:szCs w:val="18"/>
              </w:rPr>
              <w:t>林一文、季征南、 王劲军、宋发兴、 钱有武、卓秀者、 陈强、卢庆议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25"/>
              <w:jc w:val="both"/>
              <w:rPr>
                <w:rFonts w:ascii="宋体" w:hAnsi="宋体" w:cs="宋体" w:eastAsia="宋体" w:hint="default"/>
                <w:sz w:val="18"/>
                <w:szCs w:val="18"/>
              </w:rPr>
            </w:pPr>
            <w:r>
              <w:rPr>
                <w:rFonts w:ascii="宋体" w:hAnsi="宋体" w:cs="宋体" w:eastAsia="宋体" w:hint="default"/>
                <w:sz w:val="18"/>
                <w:szCs w:val="18"/>
              </w:rPr>
              <w:t>当公司控股股东福州博宏投资管理有限公 司、福州永福恒诚投资管理股份有限公司 和福建省永福博发投资股份有限公司触发 实施公司股价稳定措施的义务时，将无条 件促使前述三家公司实施相应的公司股价 稳定措施。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林一文、季征</w:t>
            </w:r>
          </w:p>
          <w:p>
            <w:pPr>
              <w:pStyle w:val="TableParagraph"/>
              <w:spacing w:line="316" w:lineRule="auto" w:before="76"/>
              <w:ind w:left="26" w:right="82"/>
              <w:jc w:val="left"/>
              <w:rPr>
                <w:rFonts w:ascii="宋体" w:hAnsi="宋体" w:cs="宋体" w:eastAsia="宋体" w:hint="default"/>
                <w:sz w:val="18"/>
                <w:szCs w:val="18"/>
              </w:rPr>
            </w:pPr>
            <w:r>
              <w:rPr>
                <w:rFonts w:ascii="宋体" w:hAnsi="宋体" w:cs="宋体" w:eastAsia="宋体" w:hint="default"/>
                <w:sz w:val="18"/>
                <w:szCs w:val="18"/>
              </w:rPr>
              <w:t>南 、王劲军</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 钱有武、刘勇、宋 发兴</w:t>
            </w:r>
            <w:r>
              <w:rPr>
                <w:rFonts w:ascii="宋体" w:hAnsi="宋体" w:cs="宋体" w:eastAsia="宋体" w:hint="default"/>
                <w:spacing w:val="1"/>
                <w:sz w:val="18"/>
                <w:szCs w:val="18"/>
              </w:rPr>
              <w:t> </w:t>
            </w:r>
            <w:r>
              <w:rPr>
                <w:rFonts w:ascii="宋体" w:hAnsi="宋体" w:cs="宋体" w:eastAsia="宋体" w:hint="default"/>
                <w:sz w:val="18"/>
                <w:szCs w:val="18"/>
              </w:rPr>
              <w:t>、卓秀</w:t>
            </w:r>
          </w:p>
          <w:p>
            <w:pPr>
              <w:pStyle w:val="TableParagraph"/>
              <w:spacing w:line="319" w:lineRule="auto" w:before="19"/>
              <w:ind w:left="26" w:right="80"/>
              <w:jc w:val="both"/>
              <w:rPr>
                <w:rFonts w:ascii="宋体" w:hAnsi="宋体" w:cs="宋体" w:eastAsia="宋体" w:hint="default"/>
                <w:sz w:val="18"/>
                <w:szCs w:val="18"/>
              </w:rPr>
            </w:pPr>
            <w:r>
              <w:rPr>
                <w:rFonts w:ascii="宋体" w:hAnsi="宋体" w:cs="宋体" w:eastAsia="宋体" w:hint="default"/>
                <w:sz w:val="18"/>
                <w:szCs w:val="18"/>
              </w:rPr>
              <w:t>者 、陈强</w:t>
            </w:r>
            <w:r>
              <w:rPr>
                <w:rFonts w:ascii="宋体" w:hAnsi="宋体" w:cs="宋体" w:eastAsia="宋体" w:hint="default"/>
                <w:spacing w:val="2"/>
                <w:sz w:val="18"/>
                <w:szCs w:val="18"/>
              </w:rPr>
              <w:t> </w:t>
            </w:r>
            <w:r>
              <w:rPr>
                <w:rFonts w:ascii="宋体" w:hAnsi="宋体" w:cs="宋体" w:eastAsia="宋体" w:hint="default"/>
                <w:sz w:val="18"/>
                <w:szCs w:val="18"/>
              </w:rPr>
              <w:t>、卢</w:t>
            </w:r>
            <w:r>
              <w:rPr>
                <w:rFonts w:ascii="宋体" w:hAnsi="宋体" w:cs="宋体" w:eastAsia="宋体" w:hint="default"/>
                <w:sz w:val="18"/>
                <w:szCs w:val="18"/>
              </w:rPr>
              <w:t> 庆议</w:t>
            </w:r>
            <w:r>
              <w:rPr>
                <w:rFonts w:ascii="宋体" w:hAnsi="宋体" w:cs="宋体" w:eastAsia="宋体" w:hint="default"/>
                <w:spacing w:val="2"/>
                <w:sz w:val="18"/>
                <w:szCs w:val="18"/>
              </w:rPr>
              <w:t> </w:t>
            </w:r>
            <w:r>
              <w:rPr>
                <w:rFonts w:ascii="宋体" w:hAnsi="宋体" w:cs="宋体" w:eastAsia="宋体" w:hint="default"/>
                <w:sz w:val="18"/>
                <w:szCs w:val="18"/>
              </w:rPr>
              <w:t>、张善传、</w:t>
            </w:r>
            <w:r>
              <w:rPr>
                <w:rFonts w:ascii="宋体" w:hAnsi="宋体" w:cs="宋体" w:eastAsia="宋体" w:hint="default"/>
                <w:sz w:val="18"/>
                <w:szCs w:val="18"/>
              </w:rPr>
              <w:t> 罗志青、李卫国、 林雁、胡继荣、陈 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09" w:lineRule="auto"/>
              <w:ind w:left="23" w:right="122"/>
              <w:jc w:val="both"/>
              <w:rPr>
                <w:rFonts w:ascii="宋体" w:hAnsi="宋体" w:cs="宋体" w:eastAsia="宋体" w:hint="default"/>
                <w:sz w:val="18"/>
                <w:szCs w:val="18"/>
              </w:rPr>
            </w:pPr>
            <w:r>
              <w:rPr>
                <w:rFonts w:ascii="宋体" w:hAnsi="宋体" w:cs="宋体" w:eastAsia="宋体" w:hint="default"/>
                <w:sz w:val="18"/>
                <w:szCs w:val="18"/>
              </w:rPr>
              <w:t>首次公开发行摊薄即期回报采取填补措施 </w:t>
            </w:r>
            <w:r>
              <w:rPr>
                <w:rFonts w:ascii="宋体" w:hAnsi="宋体" w:cs="宋体" w:eastAsia="宋体" w:hint="default"/>
                <w:spacing w:val="-5"/>
                <w:sz w:val="18"/>
                <w:szCs w:val="18"/>
              </w:rPr>
              <w:t>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）不得无偿或以不公平条件向</w:t>
            </w:r>
            <w:r>
              <w:rPr>
                <w:rFonts w:ascii="宋体" w:hAnsi="宋体" w:cs="宋体" w:eastAsia="宋体" w:hint="default"/>
                <w:spacing w:val="-86"/>
                <w:sz w:val="18"/>
                <w:szCs w:val="18"/>
              </w:rPr>
              <w:t> </w:t>
            </w:r>
            <w:r>
              <w:rPr>
                <w:rFonts w:ascii="宋体" w:hAnsi="宋体" w:cs="宋体" w:eastAsia="宋体" w:hint="default"/>
                <w:sz w:val="18"/>
                <w:szCs w:val="18"/>
              </w:rPr>
              <w:t>其他单位或者个人输送利益，也不采用其 </w:t>
            </w:r>
            <w:r>
              <w:rPr>
                <w:rFonts w:ascii="宋体" w:hAnsi="宋体" w:cs="宋体" w:eastAsia="宋体" w:hint="default"/>
                <w:spacing w:val="-5"/>
                <w:sz w:val="18"/>
                <w:szCs w:val="18"/>
              </w:rPr>
              <w:t>他方式损害公司利益；（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）对董事和高级</w:t>
            </w:r>
            <w:r>
              <w:rPr>
                <w:rFonts w:ascii="宋体" w:hAnsi="宋体" w:cs="宋体" w:eastAsia="宋体" w:hint="default"/>
                <w:spacing w:val="-86"/>
                <w:sz w:val="18"/>
                <w:szCs w:val="18"/>
              </w:rPr>
              <w:t> </w:t>
            </w:r>
            <w:r>
              <w:rPr>
                <w:rFonts w:ascii="宋体" w:hAnsi="宋体" w:cs="宋体" w:eastAsia="宋体" w:hint="default"/>
                <w:spacing w:val="-5"/>
                <w:sz w:val="18"/>
                <w:szCs w:val="18"/>
              </w:rPr>
              <w:t>管理人员的职务消费行为进行约束；（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不动用公司资产从事与履行职责无关的投 </w:t>
            </w:r>
            <w:r>
              <w:rPr>
                <w:rFonts w:ascii="宋体" w:hAnsi="宋体" w:cs="宋体" w:eastAsia="宋体" w:hint="default"/>
                <w:spacing w:val="-5"/>
                <w:sz w:val="18"/>
                <w:szCs w:val="18"/>
              </w:rPr>
              <w:t>资、消费活动；（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）由董事会或薪酬与绩</w:t>
            </w:r>
            <w:r>
              <w:rPr>
                <w:rFonts w:ascii="宋体" w:hAnsi="宋体" w:cs="宋体" w:eastAsia="宋体" w:hint="default"/>
                <w:spacing w:val="-86"/>
                <w:sz w:val="18"/>
                <w:szCs w:val="18"/>
              </w:rPr>
              <w:t> </w:t>
            </w:r>
            <w:r>
              <w:rPr>
                <w:rFonts w:ascii="宋体" w:hAnsi="宋体" w:cs="宋体" w:eastAsia="宋体" w:hint="default"/>
                <w:sz w:val="18"/>
                <w:szCs w:val="18"/>
              </w:rPr>
              <w:t>效考核委员会制订的薪酬制度与公司填补 </w:t>
            </w:r>
            <w:r>
              <w:rPr>
                <w:rFonts w:ascii="宋体" w:hAnsi="宋体" w:cs="宋体" w:eastAsia="宋体" w:hint="default"/>
                <w:spacing w:val="-5"/>
                <w:sz w:val="18"/>
                <w:szCs w:val="18"/>
              </w:rPr>
              <w:t>回报措施的执行情况相挂钩；（</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）未来拟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2974"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22"/>
              <w:jc w:val="both"/>
              <w:rPr>
                <w:rFonts w:ascii="宋体" w:hAnsi="宋体" w:cs="宋体" w:eastAsia="宋体" w:hint="default"/>
                <w:sz w:val="18"/>
                <w:szCs w:val="18"/>
              </w:rPr>
            </w:pPr>
            <w:r>
              <w:rPr>
                <w:rFonts w:ascii="宋体" w:hAnsi="宋体" w:cs="宋体" w:eastAsia="宋体" w:hint="default"/>
                <w:sz w:val="18"/>
                <w:szCs w:val="18"/>
              </w:rPr>
              <w:t>公布的公司股权激励的行权条件与公司填 </w:t>
            </w:r>
            <w:r>
              <w:rPr>
                <w:rFonts w:ascii="宋体" w:hAnsi="宋体" w:cs="宋体" w:eastAsia="宋体" w:hint="default"/>
                <w:spacing w:val="-5"/>
                <w:sz w:val="18"/>
                <w:szCs w:val="18"/>
              </w:rPr>
              <w:t>补回报措施的执行情况相挂钩；（</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）如上</w:t>
            </w:r>
            <w:r>
              <w:rPr>
                <w:rFonts w:ascii="宋体" w:hAnsi="宋体" w:cs="宋体" w:eastAsia="宋体" w:hint="default"/>
                <w:spacing w:val="-83"/>
                <w:sz w:val="18"/>
                <w:szCs w:val="18"/>
              </w:rPr>
              <w:t> </w:t>
            </w:r>
            <w:r>
              <w:rPr>
                <w:rFonts w:ascii="宋体" w:hAnsi="宋体" w:cs="宋体" w:eastAsia="宋体" w:hint="default"/>
                <w:sz w:val="18"/>
                <w:szCs w:val="18"/>
              </w:rPr>
              <w:t>述承诺与中国证监会关于填补回报措施及 其承诺的明确规定不符或未能满足相关规 定的，其将根据中国证监会最新规定及监 </w:t>
            </w:r>
            <w:r>
              <w:rPr>
                <w:rFonts w:ascii="宋体" w:hAnsi="宋体" w:cs="宋体" w:eastAsia="宋体" w:hint="default"/>
                <w:spacing w:val="-5"/>
                <w:sz w:val="18"/>
                <w:szCs w:val="18"/>
              </w:rPr>
              <w:t>管要求进行相应调整；（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）若违反或拒不</w:t>
            </w:r>
            <w:r>
              <w:rPr>
                <w:rFonts w:ascii="宋体" w:hAnsi="宋体" w:cs="宋体" w:eastAsia="宋体" w:hint="default"/>
                <w:spacing w:val="-86"/>
                <w:sz w:val="18"/>
                <w:szCs w:val="18"/>
              </w:rPr>
              <w:t> </w:t>
            </w:r>
            <w:r>
              <w:rPr>
                <w:rFonts w:ascii="宋体" w:hAnsi="宋体" w:cs="宋体" w:eastAsia="宋体" w:hint="default"/>
                <w:sz w:val="18"/>
                <w:szCs w:val="18"/>
              </w:rPr>
              <w:t>履行上述承诺，其愿意根据中国证监会和 证券交易所等监管机构的有关规定和规则 承担相应责任。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6" w:right="82"/>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34"/>
              <w:jc w:val="left"/>
              <w:rPr>
                <w:rFonts w:ascii="宋体" w:hAnsi="宋体" w:cs="宋体" w:eastAsia="宋体" w:hint="default"/>
                <w:sz w:val="18"/>
                <w:szCs w:val="18"/>
              </w:rPr>
            </w:pPr>
            <w:r>
              <w:rPr>
                <w:rFonts w:ascii="宋体" w:hAnsi="宋体" w:cs="宋体" w:eastAsia="宋体" w:hint="default"/>
                <w:sz w:val="18"/>
                <w:szCs w:val="18"/>
              </w:rPr>
              <w:t>利润分配政策的承诺：公司股票在深圳证 券交易所创业板上市后，本公司将严格履 </w:t>
            </w:r>
            <w:r>
              <w:rPr>
                <w:rFonts w:ascii="宋体" w:hAnsi="宋体" w:cs="宋体" w:eastAsia="宋体" w:hint="default"/>
                <w:spacing w:val="-5"/>
                <w:sz w:val="18"/>
                <w:szCs w:val="18"/>
              </w:rPr>
              <w:t>行《公司章程（草案）》中披露的利润分配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政策。有关利润分配政策参见招股说明书 </w:t>
            </w:r>
            <w:r>
              <w:rPr>
                <w:rFonts w:ascii="Times New Roman" w:hAnsi="Times New Roman" w:cs="Times New Roman" w:eastAsia="Times New Roman" w:hint="default"/>
                <w:sz w:val="18"/>
                <w:szCs w:val="18"/>
              </w:rPr>
              <w:t>“</w:t>
            </w:r>
            <w:r>
              <w:rPr>
                <w:rFonts w:ascii="宋体" w:hAnsi="宋体" w:cs="宋体" w:eastAsia="宋体" w:hint="default"/>
                <w:sz w:val="18"/>
                <w:szCs w:val="18"/>
              </w:rPr>
              <w:t>第九节财务会计信息与管理层分析</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十 七、发行人的股利分配情况和发行前后股 利分配政策</w:t>
            </w:r>
            <w:r>
              <w:rPr>
                <w:rFonts w:ascii="Times New Roman" w:hAnsi="Times New Roman" w:cs="Times New Roman" w:eastAsia="Times New Roman" w:hint="default"/>
                <w:sz w:val="18"/>
                <w:szCs w:val="18"/>
              </w:rPr>
              <w:t>”</w:t>
            </w:r>
            <w:r>
              <w:rPr>
                <w:rFonts w:ascii="宋体" w:hAnsi="宋体" w:cs="宋体" w:eastAsia="宋体" w:hint="default"/>
                <w:sz w:val="18"/>
                <w:szCs w:val="18"/>
              </w:rPr>
              <w:t>的具体内容。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43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80"/>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股份有限公司、福 州博宏投资管理有 限公司、福州永福 恒诚投资管理股份 有限公司、福建省 永福博发投资股份 有限公司、福建省 平潭卓成股权投资 合伙企业（有限合 </w:t>
            </w:r>
            <w:r>
              <w:rPr>
                <w:rFonts w:ascii="宋体" w:hAnsi="宋体" w:cs="宋体" w:eastAsia="宋体" w:hint="default"/>
                <w:spacing w:val="-11"/>
                <w:sz w:val="18"/>
                <w:szCs w:val="18"/>
              </w:rPr>
              <w:t>伙）、中国</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比利时</w:t>
            </w:r>
            <w:r>
              <w:rPr>
                <w:rFonts w:ascii="宋体" w:hAnsi="宋体" w:cs="宋体" w:eastAsia="宋体" w:hint="default"/>
                <w:spacing w:val="-83"/>
                <w:sz w:val="18"/>
                <w:szCs w:val="18"/>
              </w:rPr>
              <w:t> </w:t>
            </w:r>
            <w:r>
              <w:rPr>
                <w:rFonts w:ascii="宋体" w:hAnsi="宋体" w:cs="宋体" w:eastAsia="宋体" w:hint="default"/>
                <w:sz w:val="18"/>
                <w:szCs w:val="18"/>
              </w:rPr>
              <w:t>直接股权投资基 金、青岛汉缆股份 有限公司、林文 丹、林华明、宁波 梅山保税港区领慧 投资合伙企业（有 </w:t>
            </w:r>
            <w:r>
              <w:rPr>
                <w:rFonts w:ascii="宋体" w:hAnsi="宋体" w:cs="宋体" w:eastAsia="宋体" w:hint="default"/>
                <w:spacing w:val="-14"/>
                <w:sz w:val="18"/>
                <w:szCs w:val="18"/>
              </w:rPr>
              <w:t>限合伙）、林一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文、季征南</w:t>
            </w:r>
            <w:r>
              <w:rPr>
                <w:rFonts w:ascii="宋体" w:hAnsi="宋体" w:cs="宋体" w:eastAsia="宋体" w:hint="default"/>
                <w:spacing w:val="2"/>
                <w:sz w:val="18"/>
                <w:szCs w:val="18"/>
              </w:rPr>
              <w:t> </w:t>
            </w:r>
            <w:r>
              <w:rPr>
                <w:rFonts w:ascii="宋体" w:hAnsi="宋体" w:cs="宋体" w:eastAsia="宋体" w:hint="default"/>
                <w:sz w:val="18"/>
                <w:szCs w:val="18"/>
              </w:rPr>
              <w:t>、王</w:t>
            </w:r>
            <w:r>
              <w:rPr>
                <w:rFonts w:ascii="宋体" w:hAnsi="宋体" w:cs="宋体" w:eastAsia="宋体" w:hint="default"/>
                <w:sz w:val="18"/>
                <w:szCs w:val="18"/>
              </w:rPr>
              <w:t> 劲军</w:t>
            </w:r>
            <w:r>
              <w:rPr>
                <w:rFonts w:ascii="宋体" w:hAnsi="宋体" w:cs="宋体" w:eastAsia="宋体" w:hint="default"/>
                <w:spacing w:val="1"/>
                <w:sz w:val="18"/>
                <w:szCs w:val="18"/>
              </w:rPr>
              <w:t> </w:t>
            </w:r>
            <w:r>
              <w:rPr>
                <w:rFonts w:ascii="宋体" w:hAnsi="宋体" w:cs="宋体" w:eastAsia="宋体" w:hint="default"/>
                <w:sz w:val="18"/>
                <w:szCs w:val="18"/>
              </w:rPr>
              <w:t>、钱有武、</w:t>
            </w:r>
            <w:r>
              <w:rPr>
                <w:rFonts w:ascii="宋体" w:hAnsi="宋体" w:cs="宋体" w:eastAsia="宋体" w:hint="default"/>
                <w:sz w:val="18"/>
                <w:szCs w:val="18"/>
              </w:rPr>
              <w:t> 刘勇 、宋发兴</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 卓秀者 </w:t>
            </w:r>
            <w:r>
              <w:rPr>
                <w:rFonts w:ascii="宋体" w:hAnsi="宋体" w:cs="宋体" w:eastAsia="宋体" w:hint="default"/>
                <w:spacing w:val="2"/>
                <w:sz w:val="18"/>
                <w:szCs w:val="18"/>
              </w:rPr>
              <w:t> </w:t>
            </w:r>
            <w:r>
              <w:rPr>
                <w:rFonts w:ascii="宋体" w:hAnsi="宋体" w:cs="宋体" w:eastAsia="宋体" w:hint="default"/>
                <w:sz w:val="18"/>
                <w:szCs w:val="18"/>
              </w:rPr>
              <w:t>、陈</w:t>
            </w:r>
          </w:p>
          <w:p>
            <w:pPr>
              <w:pStyle w:val="TableParagraph"/>
              <w:spacing w:line="319" w:lineRule="auto" w:before="19"/>
              <w:ind w:left="26" w:right="170"/>
              <w:jc w:val="left"/>
              <w:rPr>
                <w:rFonts w:ascii="宋体" w:hAnsi="宋体" w:cs="宋体" w:eastAsia="宋体" w:hint="default"/>
                <w:sz w:val="18"/>
                <w:szCs w:val="18"/>
              </w:rPr>
            </w:pPr>
            <w:r>
              <w:rPr>
                <w:rFonts w:ascii="宋体" w:hAnsi="宋体" w:cs="宋体" w:eastAsia="宋体" w:hint="default"/>
                <w:sz w:val="18"/>
                <w:szCs w:val="18"/>
              </w:rPr>
              <w:t>强 、卢庆议</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 张善传</w:t>
            </w:r>
            <w:r>
              <w:rPr>
                <w:rFonts w:ascii="宋体" w:hAnsi="宋体" w:cs="宋体" w:eastAsia="宋体" w:hint="default"/>
                <w:spacing w:val="1"/>
                <w:sz w:val="18"/>
                <w:szCs w:val="18"/>
              </w:rPr>
              <w:t> </w:t>
            </w:r>
            <w:r>
              <w:rPr>
                <w:rFonts w:ascii="宋体" w:hAnsi="宋体" w:cs="宋体" w:eastAsia="宋体" w:hint="default"/>
                <w:sz w:val="18"/>
                <w:szCs w:val="18"/>
              </w:rPr>
              <w:t>、罗志</w:t>
            </w:r>
            <w:r>
              <w:rPr>
                <w:rFonts w:ascii="宋体" w:hAnsi="宋体" w:cs="宋体" w:eastAsia="宋体" w:hint="default"/>
                <w:sz w:val="18"/>
                <w:szCs w:val="18"/>
              </w:rPr>
              <w:t> 青、郭泗煊</w:t>
            </w:r>
            <w:r>
              <w:rPr>
                <w:rFonts w:ascii="宋体" w:hAnsi="宋体" w:cs="宋体" w:eastAsia="宋体" w:hint="default"/>
                <w:spacing w:val="1"/>
                <w:sz w:val="18"/>
                <w:szCs w:val="18"/>
              </w:rPr>
              <w:t> </w:t>
            </w:r>
            <w:r>
              <w:rPr>
                <w:rFonts w:ascii="宋体" w:hAnsi="宋体" w:cs="宋体" w:eastAsia="宋体" w:hint="default"/>
                <w:sz w:val="18"/>
                <w:szCs w:val="18"/>
              </w:rPr>
              <w:t>、王</w:t>
            </w:r>
            <w:r>
              <w:rPr>
                <w:rFonts w:ascii="宋体" w:hAnsi="宋体" w:cs="宋体" w:eastAsia="宋体" w:hint="default"/>
                <w:sz w:val="18"/>
                <w:szCs w:val="18"/>
              </w:rPr>
              <w:t> 建明、李庆先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33"/>
              <w:jc w:val="left"/>
              <w:rPr>
                <w:rFonts w:ascii="宋体" w:hAnsi="宋体" w:cs="宋体" w:eastAsia="宋体" w:hint="default"/>
                <w:sz w:val="18"/>
                <w:szCs w:val="18"/>
              </w:rPr>
            </w:pPr>
            <w:r>
              <w:rPr>
                <w:rFonts w:ascii="宋体" w:hAnsi="宋体" w:cs="宋体" w:eastAsia="宋体" w:hint="default"/>
                <w:sz w:val="18"/>
                <w:szCs w:val="18"/>
              </w:rPr>
              <w:t>关于限售安排、自愿锁定股份、延长锁定 期限以及相关股东持股及减持意向承诺的 约束措施：若未履行限售安排、自愿锁定 股份、延长锁定期限以及相关股东持股及 减持意向的承诺或法律法规及证券交易所 相关性规定减持公司股份，公司实际控制 人、控股股东、其他股东以及公司董事、 监事、高级管理人员等承诺人，将在发行 人股东大会及中国证监会指定报刊上公开 说明未履行的具体原因并向股东和社会公 众投资者道歉，并将在符合法律、法规及 规范性文件规定的情况下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个交易日内回 购违规卖出的股票，且自回购完成之日起 自动延长持有全部股份的锁定期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如果因未履行承诺事项而获得收入的</w:t>
            </w:r>
            <w:r>
              <w:rPr>
                <w:rFonts w:ascii="Times New Roman" w:hAnsi="Times New Roman" w:cs="Times New Roman" w:eastAsia="Times New Roman" w:hint="default"/>
                <w:sz w:val="18"/>
                <w:szCs w:val="18"/>
              </w:rPr>
              <w:t>,</w:t>
            </w:r>
            <w:r>
              <w:rPr>
                <w:rFonts w:ascii="宋体" w:hAnsi="宋体" w:cs="宋体" w:eastAsia="宋体" w:hint="default"/>
                <w:sz w:val="18"/>
                <w:szCs w:val="18"/>
              </w:rPr>
              <w:t>所得 的收入归发行人所有，其将在获得收入的</w:t>
            </w:r>
          </w:p>
          <w:p>
            <w:pPr>
              <w:pStyle w:val="TableParagraph"/>
              <w:spacing w:line="312" w:lineRule="auto" w:before="20"/>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日内将前述收入支付给发行人指定账 户；如果因未履行承诺事项给发行人或者 其他投资者造成损失的，其将向发行人或 者其他投资者依法承担赔偿责任。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406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6" w:right="82"/>
              <w:jc w:val="both"/>
              <w:rPr>
                <w:rFonts w:ascii="宋体" w:hAnsi="宋体" w:cs="宋体" w:eastAsia="宋体" w:hint="default"/>
                <w:sz w:val="18"/>
                <w:szCs w:val="18"/>
              </w:rPr>
            </w:pPr>
            <w:r>
              <w:rPr>
                <w:rFonts w:ascii="宋体" w:hAnsi="宋体" w:cs="宋体" w:eastAsia="宋体" w:hint="default"/>
                <w:sz w:val="18"/>
                <w:szCs w:val="18"/>
              </w:rPr>
              <w:t>福州博宏投资管理 有限公司、福州永 福恒诚投资管理股 份有限公司、福建 省永福博发投资股 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关于稳定股价承诺的约束措施：在启动股 价稳定措施的前提条件满足时，如发行人 控股股东未按照股价稳定具体方案实施增 持股份措施，本公司承诺接受以下约束措 施：发行人控股股东将在发行人股东大会 及中国证监会指定报刊上公开说明未采取 上述稳定股价措施的具体原因并向发行人 股东和社会公众投资者道歉。如果发行人 控股股东未采取上述稳定股价的具体措施 的，则发行人控股股东持有的发行人股份 将不得转让，直至按本承诺的规定采取相 应的稳定股价措施并实施完毕。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002"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6" w:right="82"/>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110"/>
              <w:jc w:val="both"/>
              <w:rPr>
                <w:rFonts w:ascii="宋体" w:hAnsi="宋体" w:cs="宋体" w:eastAsia="宋体" w:hint="default"/>
                <w:sz w:val="18"/>
                <w:szCs w:val="18"/>
              </w:rPr>
            </w:pPr>
            <w:r>
              <w:rPr>
                <w:rFonts w:ascii="宋体" w:hAnsi="宋体" w:cs="宋体" w:eastAsia="宋体" w:hint="default"/>
                <w:sz w:val="18"/>
                <w:szCs w:val="18"/>
              </w:rPr>
              <w:t>对发行人未履行承诺的约束措施：在启动 股价稳定措施的前提条件满足时，如公司 未按照股价稳定具体方案实施回购、利润 分配或资本公积转增股本措施，公司承诺 接受以下约束措施：公司将在股东大会及 中国证监会指定报刊上公开说明未采取稳 定股价措施的具体原因并向公司股东和社 会公众投资者道歉，并依法承担相应法律 责任；公司将立即停止制定或实施现金分 红计划、停止发放公司董事、监事和高级 管理人员的薪酬、津贴，直至本公司履行 相关承诺；本公司将在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个工作日内自动 冻结相当于上一个会计年度经审计的归属 于母公司股东净利润的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，以用于本公 司履行稳定股价的承诺。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38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6" w:right="0"/>
              <w:jc w:val="both"/>
              <w:rPr>
                <w:rFonts w:ascii="宋体" w:hAnsi="宋体" w:cs="宋体" w:eastAsia="宋体" w:hint="default"/>
                <w:sz w:val="18"/>
                <w:szCs w:val="18"/>
              </w:rPr>
            </w:pPr>
            <w:r>
              <w:rPr>
                <w:rFonts w:ascii="宋体" w:hAnsi="宋体" w:cs="宋体" w:eastAsia="宋体" w:hint="default"/>
                <w:sz w:val="18"/>
                <w:szCs w:val="18"/>
              </w:rPr>
              <w:t>林一文、季征</w:t>
            </w:r>
          </w:p>
          <w:p>
            <w:pPr>
              <w:pStyle w:val="TableParagraph"/>
              <w:spacing w:line="316" w:lineRule="auto" w:before="76"/>
              <w:ind w:left="26" w:right="171"/>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1"/>
                <w:sz w:val="18"/>
                <w:szCs w:val="18"/>
              </w:rPr>
              <w:t> </w:t>
            </w:r>
            <w:r>
              <w:rPr>
                <w:rFonts w:ascii="宋体" w:hAnsi="宋体" w:cs="宋体" w:eastAsia="宋体" w:hint="default"/>
                <w:sz w:val="18"/>
                <w:szCs w:val="18"/>
              </w:rPr>
              <w:t>、王劲军、钱</w:t>
            </w:r>
            <w:r>
              <w:rPr>
                <w:rFonts w:ascii="宋体" w:hAnsi="宋体" w:cs="宋体" w:eastAsia="宋体" w:hint="default"/>
                <w:sz w:val="18"/>
                <w:szCs w:val="18"/>
              </w:rPr>
              <w:t> 有武、刘勇</w:t>
            </w:r>
            <w:r>
              <w:rPr>
                <w:rFonts w:ascii="宋体" w:hAnsi="宋体" w:cs="宋体" w:eastAsia="宋体" w:hint="default"/>
                <w:spacing w:val="1"/>
                <w:sz w:val="18"/>
                <w:szCs w:val="18"/>
              </w:rPr>
              <w:t> </w:t>
            </w:r>
            <w:r>
              <w:rPr>
                <w:rFonts w:ascii="宋体" w:hAnsi="宋体" w:cs="宋体" w:eastAsia="宋体" w:hint="default"/>
                <w:sz w:val="18"/>
                <w:szCs w:val="18"/>
              </w:rPr>
              <w:t>、宋</w:t>
            </w:r>
            <w:r>
              <w:rPr>
                <w:rFonts w:ascii="宋体" w:hAnsi="宋体" w:cs="宋体" w:eastAsia="宋体" w:hint="default"/>
                <w:sz w:val="18"/>
                <w:szCs w:val="18"/>
              </w:rPr>
              <w:t> 发兴</w:t>
            </w:r>
            <w:r>
              <w:rPr>
                <w:rFonts w:ascii="宋体" w:hAnsi="宋体" w:cs="宋体" w:eastAsia="宋体" w:hint="default"/>
                <w:spacing w:val="1"/>
                <w:sz w:val="18"/>
                <w:szCs w:val="18"/>
              </w:rPr>
              <w:t> </w:t>
            </w:r>
            <w:r>
              <w:rPr>
                <w:rFonts w:ascii="宋体" w:hAnsi="宋体" w:cs="宋体" w:eastAsia="宋体" w:hint="default"/>
                <w:sz w:val="18"/>
                <w:szCs w:val="18"/>
              </w:rPr>
              <w:t>、卓秀</w:t>
            </w:r>
          </w:p>
          <w:p>
            <w:pPr>
              <w:pStyle w:val="TableParagraph"/>
              <w:spacing w:line="316" w:lineRule="auto" w:before="19"/>
              <w:ind w:left="26" w:right="80"/>
              <w:jc w:val="both"/>
              <w:rPr>
                <w:rFonts w:ascii="宋体" w:hAnsi="宋体" w:cs="宋体" w:eastAsia="宋体" w:hint="default"/>
                <w:sz w:val="18"/>
                <w:szCs w:val="18"/>
              </w:rPr>
            </w:pPr>
            <w:r>
              <w:rPr>
                <w:rFonts w:ascii="宋体" w:hAnsi="宋体" w:cs="宋体" w:eastAsia="宋体" w:hint="default"/>
                <w:sz w:val="18"/>
                <w:szCs w:val="18"/>
              </w:rPr>
              <w:t>者 、陈强</w:t>
            </w:r>
            <w:r>
              <w:rPr>
                <w:rFonts w:ascii="宋体" w:hAnsi="宋体" w:cs="宋体" w:eastAsia="宋体" w:hint="default"/>
                <w:spacing w:val="2"/>
                <w:sz w:val="18"/>
                <w:szCs w:val="18"/>
              </w:rPr>
              <w:t> </w:t>
            </w:r>
            <w:r>
              <w:rPr>
                <w:rFonts w:ascii="宋体" w:hAnsi="宋体" w:cs="宋体" w:eastAsia="宋体" w:hint="default"/>
                <w:sz w:val="18"/>
                <w:szCs w:val="18"/>
              </w:rPr>
              <w:t>、卢</w:t>
            </w:r>
            <w:r>
              <w:rPr>
                <w:rFonts w:ascii="宋体" w:hAnsi="宋体" w:cs="宋体" w:eastAsia="宋体" w:hint="default"/>
                <w:sz w:val="18"/>
                <w:szCs w:val="18"/>
              </w:rPr>
              <w:t> 庆议 </w:t>
            </w:r>
            <w:r>
              <w:rPr>
                <w:rFonts w:ascii="宋体" w:hAnsi="宋体" w:cs="宋体" w:eastAsia="宋体" w:hint="default"/>
                <w:spacing w:val="2"/>
                <w:sz w:val="18"/>
                <w:szCs w:val="18"/>
              </w:rPr>
              <w:t> </w:t>
            </w:r>
            <w:r>
              <w:rPr>
                <w:rFonts w:ascii="宋体" w:hAnsi="宋体" w:cs="宋体" w:eastAsia="宋体" w:hint="default"/>
                <w:sz w:val="18"/>
                <w:szCs w:val="18"/>
              </w:rPr>
              <w:t>、张善</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传</w:t>
            </w:r>
            <w:r>
              <w:rPr>
                <w:rFonts w:ascii="宋体" w:hAnsi="宋体" w:cs="宋体" w:eastAsia="宋体" w:hint="default"/>
                <w:spacing w:val="1"/>
                <w:sz w:val="18"/>
                <w:szCs w:val="18"/>
              </w:rPr>
              <w:t> </w:t>
            </w:r>
            <w:r>
              <w:rPr>
                <w:rFonts w:ascii="宋体" w:hAnsi="宋体" w:cs="宋体" w:eastAsia="宋体" w:hint="default"/>
                <w:sz w:val="18"/>
                <w:szCs w:val="18"/>
              </w:rPr>
              <w:t>、罗志青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关于稳定股价承诺的约束措施：在启动股 价稳定措施的前提条件满足时，如本人未 按照股价稳定具体方案实施增持股份措 施，本人承诺接受以下约束措施：本人将 在公司股东大会及中国证监会指定报刊上 公开说明未采取上述稳定股价措施的具体 原因并向公司股东和社会公众投资者道 歉，并依法承担相应法律责任；如果本人 未采取上述稳定股价的具体措施的，将在 前述事项发生之日起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 公司领取薪酬，同时本人持有的公司股份 不得转让，直至其按本承诺的规定采取相 应的股价稳定措施并实施完毕。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78"/>
      </w:tblGrid>
      <w:tr>
        <w:trPr>
          <w:trHeight w:val="2194"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关于利润分配承诺的约束措施：本公司若 违反相关承诺，将在股东大会及中国证监 会指定报刊上公开说明未履行的具体原因 并向股东和社会公众投资者道歉；如果因 未履行相关公开承诺事项给投资者造成损 失的，将依法向投资者赔偿相关损失。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378"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福建永福电力设计 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对相关责任主体的其他约束措施：对发行 人未能履行承诺的约束措施：发行人已就 公司首次公开发行股票并在创业板上市出 具系列承诺，已经出具的承诺对公司具有 不可撤销的约束力，公司将严格按照承诺 要求履行相应义务，若公司怠于履行相应 承诺而给相关权利方造成损失的，公司 </w:t>
            </w:r>
            <w:r>
              <w:rPr>
                <w:rFonts w:ascii="宋体" w:hAnsi="宋体" w:cs="宋体" w:eastAsia="宋体" w:hint="default"/>
                <w:spacing w:val="-5"/>
                <w:sz w:val="18"/>
                <w:szCs w:val="18"/>
              </w:rPr>
              <w:t>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）及时、充分披露承诺未能履行、</w:t>
            </w:r>
            <w:r>
              <w:rPr>
                <w:rFonts w:ascii="宋体" w:hAnsi="宋体" w:cs="宋体" w:eastAsia="宋体" w:hint="default"/>
                <w:spacing w:val="-86"/>
                <w:sz w:val="18"/>
                <w:szCs w:val="18"/>
              </w:rPr>
              <w:t> </w:t>
            </w:r>
            <w:r>
              <w:rPr>
                <w:rFonts w:ascii="宋体" w:hAnsi="宋体" w:cs="宋体" w:eastAsia="宋体" w:hint="default"/>
                <w:sz w:val="18"/>
                <w:szCs w:val="18"/>
              </w:rPr>
              <w:t>无法履行或无法按期履行的具体原因；</w:t>
            </w:r>
          </w:p>
          <w:p>
            <w:pPr>
              <w:pStyle w:val="TableParagraph"/>
              <w:spacing w:line="307" w:lineRule="auto" w:before="19"/>
              <w:ind w:left="2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）自愿接受社会和监管部门的监督，及 </w:t>
            </w:r>
            <w:r>
              <w:rPr>
                <w:rFonts w:ascii="宋体" w:hAnsi="宋体" w:cs="宋体" w:eastAsia="宋体" w:hint="default"/>
                <w:spacing w:val="-5"/>
                <w:sz w:val="18"/>
                <w:szCs w:val="18"/>
              </w:rPr>
              <w:t>时改正并继续履行有关公开承诺；（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）因</w:t>
            </w:r>
            <w:r>
              <w:rPr>
                <w:rFonts w:ascii="宋体" w:hAnsi="宋体" w:cs="宋体" w:eastAsia="宋体" w:hint="default"/>
                <w:spacing w:val="-86"/>
                <w:sz w:val="18"/>
                <w:szCs w:val="18"/>
              </w:rPr>
              <w:t> </w:t>
            </w:r>
            <w:r>
              <w:rPr>
                <w:rFonts w:ascii="宋体" w:hAnsi="宋体" w:cs="宋体" w:eastAsia="宋体" w:hint="default"/>
                <w:sz w:val="18"/>
                <w:szCs w:val="18"/>
              </w:rPr>
              <w:t>违反承诺给投资者造成损失的，依法对投 资者进行赔偿。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563" w:hRule="exact"/>
        </w:trPr>
        <w:tc>
          <w:tcPr>
            <w:tcW w:w="1275" w:type="dxa"/>
            <w:vMerge/>
            <w:tcBorders>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26" w:right="82"/>
              <w:jc w:val="both"/>
              <w:rPr>
                <w:rFonts w:ascii="宋体" w:hAnsi="宋体" w:cs="宋体" w:eastAsia="宋体" w:hint="default"/>
                <w:sz w:val="18"/>
                <w:szCs w:val="18"/>
              </w:rPr>
            </w:pPr>
            <w:r>
              <w:rPr>
                <w:rFonts w:ascii="宋体" w:hAnsi="宋体" w:cs="宋体" w:eastAsia="宋体" w:hint="default"/>
                <w:sz w:val="18"/>
                <w:szCs w:val="18"/>
              </w:rPr>
              <w:t>林一文、季征南、 王劲军、宋发兴、 钱有武、卓秀者、 陈强、卢庆议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4" w:lineRule="auto"/>
              <w:ind w:left="23" w:right="125"/>
              <w:jc w:val="left"/>
              <w:rPr>
                <w:rFonts w:ascii="宋体" w:hAnsi="宋体" w:cs="宋体" w:eastAsia="宋体" w:hint="default"/>
                <w:sz w:val="18"/>
                <w:szCs w:val="18"/>
              </w:rPr>
            </w:pPr>
            <w:r>
              <w:rPr>
                <w:rFonts w:ascii="宋体" w:hAnsi="宋体" w:cs="宋体" w:eastAsia="宋体" w:hint="default"/>
                <w:sz w:val="18"/>
                <w:szCs w:val="18"/>
              </w:rPr>
              <w:t>对相关责任主体的其他约束措施：对实际 控制人未能履行承诺的约束措施：发行人 实际控制人林一文、季征南、王劲军、宋 发兴、钱有武、卓秀者、陈强、卢庆议已 就公司首次公开发行股票并在创业板上市 出具系列承诺，已经出具的承诺对本人具 有不可撤销的约束力，本人将严格按照承 诺要求履行相应义务，若本人怠于履行相 应承诺而给相关权利方造成损失的，本人 </w:t>
            </w:r>
            <w:r>
              <w:rPr>
                <w:rFonts w:ascii="宋体" w:hAnsi="宋体" w:cs="宋体" w:eastAsia="宋体" w:hint="default"/>
                <w:spacing w:val="-5"/>
                <w:sz w:val="18"/>
                <w:szCs w:val="18"/>
              </w:rPr>
              <w:t>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）通过公司及时、充分披露其承诺</w:t>
            </w:r>
            <w:r>
              <w:rPr>
                <w:rFonts w:ascii="宋体" w:hAnsi="宋体" w:cs="宋体" w:eastAsia="宋体" w:hint="default"/>
                <w:spacing w:val="-86"/>
                <w:sz w:val="18"/>
                <w:szCs w:val="18"/>
              </w:rPr>
              <w:t> </w:t>
            </w:r>
            <w:r>
              <w:rPr>
                <w:rFonts w:ascii="宋体" w:hAnsi="宋体" w:cs="宋体" w:eastAsia="宋体" w:hint="default"/>
                <w:sz w:val="18"/>
                <w:szCs w:val="18"/>
              </w:rPr>
              <w:t>未能履行、无法履行或无法按期履行的具 </w:t>
            </w:r>
            <w:r>
              <w:rPr>
                <w:rFonts w:ascii="宋体" w:hAnsi="宋体" w:cs="宋体" w:eastAsia="宋体" w:hint="default"/>
                <w:spacing w:val="-5"/>
                <w:sz w:val="18"/>
                <w:szCs w:val="18"/>
              </w:rPr>
              <w:t>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）自愿接受社会和监管部门的</w:t>
            </w:r>
            <w:r>
              <w:rPr>
                <w:rFonts w:ascii="宋体" w:hAnsi="宋体" w:cs="宋体" w:eastAsia="宋体" w:hint="default"/>
                <w:spacing w:val="-86"/>
                <w:sz w:val="18"/>
                <w:szCs w:val="18"/>
              </w:rPr>
              <w:t> </w:t>
            </w:r>
            <w:r>
              <w:rPr>
                <w:rFonts w:ascii="宋体" w:hAnsi="宋体" w:cs="宋体" w:eastAsia="宋体" w:hint="default"/>
                <w:sz w:val="18"/>
                <w:szCs w:val="18"/>
              </w:rPr>
              <w:t>监督，及时改正并继续履行有关公开承 </w:t>
            </w:r>
            <w:r>
              <w:rPr>
                <w:rFonts w:ascii="宋体" w:hAnsi="宋体" w:cs="宋体" w:eastAsia="宋体" w:hint="default"/>
                <w:spacing w:val="-5"/>
                <w:sz w:val="18"/>
                <w:szCs w:val="18"/>
              </w:rPr>
              <w:t>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）因违反承诺给公司或投资者造成</w:t>
            </w:r>
            <w:r>
              <w:rPr>
                <w:rFonts w:ascii="宋体" w:hAnsi="宋体" w:cs="宋体" w:eastAsia="宋体" w:hint="default"/>
                <w:spacing w:val="-86"/>
                <w:sz w:val="18"/>
                <w:szCs w:val="18"/>
              </w:rPr>
              <w:t> </w:t>
            </w:r>
            <w:r>
              <w:rPr>
                <w:rFonts w:ascii="宋体" w:hAnsi="宋体" w:cs="宋体" w:eastAsia="宋体" w:hint="default"/>
                <w:sz w:val="18"/>
                <w:szCs w:val="18"/>
              </w:rPr>
              <w:t>损失的，依法对公司或投资者进行赔偿；</w:t>
            </w:r>
          </w:p>
          <w:p>
            <w:pPr>
              <w:pStyle w:val="TableParagraph"/>
              <w:spacing w:line="314" w:lineRule="auto" w:before="20"/>
              <w:ind w:left="2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）因违反承诺所产生的收益全部归公司 所有，公司有权暂扣其应得的现金分红和 应从公司领取的薪酬，同时不得转让其直 接及间接持有的公司股份，直至其将违规 收益足额交付公司为止。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9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82"/>
              <w:jc w:val="left"/>
              <w:rPr>
                <w:rFonts w:ascii="宋体" w:hAnsi="宋体" w:cs="宋体" w:eastAsia="宋体" w:hint="default"/>
                <w:sz w:val="18"/>
                <w:szCs w:val="18"/>
              </w:rPr>
            </w:pPr>
            <w:r>
              <w:rPr>
                <w:rFonts w:ascii="宋体" w:hAnsi="宋体" w:cs="宋体" w:eastAsia="宋体" w:hint="default"/>
                <w:sz w:val="18"/>
                <w:szCs w:val="18"/>
              </w:rPr>
              <w:t>福州博宏投资管理 有限公司、福州永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对相关责任主体的其他约束措施：对控股 股东未能履行承诺的约束措施：发行人控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80"/>
      </w:tblGrid>
      <w:tr>
        <w:trPr>
          <w:trHeight w:val="609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2"/>
              <w:jc w:val="both"/>
              <w:rPr>
                <w:rFonts w:ascii="宋体" w:hAnsi="宋体" w:cs="宋体" w:eastAsia="宋体" w:hint="default"/>
                <w:sz w:val="18"/>
                <w:szCs w:val="18"/>
              </w:rPr>
            </w:pPr>
            <w:r>
              <w:rPr>
                <w:rFonts w:ascii="宋体" w:hAnsi="宋体" w:cs="宋体" w:eastAsia="宋体" w:hint="default"/>
                <w:sz w:val="18"/>
                <w:szCs w:val="18"/>
              </w:rPr>
              <w:t>福恒诚投资管理股 份有限公司、福建 省永福博发投资股 份有限公司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22"/>
              <w:jc w:val="both"/>
              <w:rPr>
                <w:rFonts w:ascii="宋体" w:hAnsi="宋体" w:cs="宋体" w:eastAsia="宋体" w:hint="default"/>
                <w:sz w:val="18"/>
                <w:szCs w:val="18"/>
              </w:rPr>
            </w:pPr>
            <w:r>
              <w:rPr>
                <w:rFonts w:ascii="宋体" w:hAnsi="宋体" w:cs="宋体" w:eastAsia="宋体" w:hint="default"/>
                <w:sz w:val="18"/>
                <w:szCs w:val="18"/>
              </w:rPr>
              <w:t>股股东福州博宏投资管理有限公司、福州 永福恒诚投资管理股份有限公司和福建省 永福博发投资股份有限公司已就发行人首 次公开发行股票并在创业板上市出具系列 承诺，已经出具的承诺对发行人控股股东 具有不可撤销的约束力，发行人控股股东 将严格按照承诺要求履行相应义务，若发 行人控股股东怠于履行相应承诺而给相关 </w:t>
            </w:r>
            <w:r>
              <w:rPr>
                <w:rFonts w:ascii="宋体" w:hAnsi="宋体" w:cs="宋体" w:eastAsia="宋体" w:hint="default"/>
                <w:spacing w:val="-5"/>
                <w:sz w:val="18"/>
                <w:szCs w:val="18"/>
              </w:rPr>
              <w:t>权利方造成损失的，公司将：（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）通过发</w:t>
            </w:r>
            <w:r>
              <w:rPr>
                <w:rFonts w:ascii="宋体" w:hAnsi="宋体" w:cs="宋体" w:eastAsia="宋体" w:hint="default"/>
                <w:spacing w:val="-84"/>
                <w:sz w:val="18"/>
                <w:szCs w:val="18"/>
              </w:rPr>
              <w:t> </w:t>
            </w:r>
            <w:r>
              <w:rPr>
                <w:rFonts w:ascii="宋体" w:hAnsi="宋体" w:cs="宋体" w:eastAsia="宋体" w:hint="default"/>
                <w:sz w:val="18"/>
                <w:szCs w:val="18"/>
              </w:rPr>
              <w:t>行人及时、充分披露其承诺未能履行、无 </w:t>
            </w:r>
            <w:r>
              <w:rPr>
                <w:rFonts w:ascii="宋体" w:hAnsi="宋体" w:cs="宋体" w:eastAsia="宋体" w:hint="default"/>
                <w:spacing w:val="-5"/>
                <w:sz w:val="18"/>
                <w:szCs w:val="18"/>
              </w:rPr>
              <w:t>法履行或无法按期履行的具体原因；（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自愿接受社会和监管部门的监督，及时改 </w:t>
            </w:r>
            <w:r>
              <w:rPr>
                <w:rFonts w:ascii="宋体" w:hAnsi="宋体" w:cs="宋体" w:eastAsia="宋体" w:hint="default"/>
                <w:spacing w:val="-5"/>
                <w:sz w:val="18"/>
                <w:szCs w:val="18"/>
              </w:rPr>
              <w:t>正并继续履行有关公开承诺；（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）因违反</w:t>
            </w:r>
            <w:r>
              <w:rPr>
                <w:rFonts w:ascii="宋体" w:hAnsi="宋体" w:cs="宋体" w:eastAsia="宋体" w:hint="default"/>
                <w:spacing w:val="-84"/>
                <w:sz w:val="18"/>
                <w:szCs w:val="18"/>
              </w:rPr>
              <w:t> </w:t>
            </w:r>
            <w:r>
              <w:rPr>
                <w:rFonts w:ascii="宋体" w:hAnsi="宋体" w:cs="宋体" w:eastAsia="宋体" w:hint="default"/>
                <w:sz w:val="18"/>
                <w:szCs w:val="18"/>
              </w:rPr>
              <w:t>承诺给发行人或投资者造成损失的，依法 </w:t>
            </w:r>
            <w:r>
              <w:rPr>
                <w:rFonts w:ascii="宋体" w:hAnsi="宋体" w:cs="宋体" w:eastAsia="宋体" w:hint="default"/>
                <w:spacing w:val="-5"/>
                <w:sz w:val="18"/>
                <w:szCs w:val="18"/>
              </w:rPr>
              <w:t>对发行人或投资者进行赔偿；（</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）因违反</w:t>
            </w:r>
            <w:r>
              <w:rPr>
                <w:rFonts w:ascii="宋体" w:hAnsi="宋体" w:cs="宋体" w:eastAsia="宋体" w:hint="default"/>
                <w:spacing w:val="-84"/>
                <w:sz w:val="18"/>
                <w:szCs w:val="18"/>
              </w:rPr>
              <w:t> </w:t>
            </w:r>
            <w:r>
              <w:rPr>
                <w:rFonts w:ascii="宋体" w:hAnsi="宋体" w:cs="宋体" w:eastAsia="宋体" w:hint="default"/>
                <w:sz w:val="18"/>
                <w:szCs w:val="18"/>
              </w:rPr>
              <w:t>承诺所产生的收益全部归发行人所有，发 行人有权暂扣其应得的现金分红，同时不 得转让其直接及间接持有的发行人股份， 直至其将违规收益足额交付发行人为止。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749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林一文、季征</w:t>
            </w:r>
          </w:p>
          <w:p>
            <w:pPr>
              <w:pStyle w:val="TableParagraph"/>
              <w:spacing w:line="316" w:lineRule="auto" w:before="76"/>
              <w:ind w:left="26" w:right="170"/>
              <w:jc w:val="both"/>
              <w:rPr>
                <w:rFonts w:ascii="宋体" w:hAnsi="宋体" w:cs="宋体" w:eastAsia="宋体" w:hint="default"/>
                <w:sz w:val="18"/>
                <w:szCs w:val="18"/>
              </w:rPr>
            </w:pPr>
            <w:r>
              <w:rPr>
                <w:rFonts w:ascii="宋体" w:hAnsi="宋体" w:cs="宋体" w:eastAsia="宋体" w:hint="default"/>
                <w:sz w:val="18"/>
                <w:szCs w:val="18"/>
              </w:rPr>
              <w:t>南 、王劲军</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 钱有武、刘勇</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宋发兴、卓秀</w:t>
            </w:r>
          </w:p>
          <w:p>
            <w:pPr>
              <w:pStyle w:val="TableParagraph"/>
              <w:spacing w:line="316" w:lineRule="auto" w:before="19"/>
              <w:ind w:left="26" w:right="80"/>
              <w:jc w:val="left"/>
              <w:rPr>
                <w:rFonts w:ascii="宋体" w:hAnsi="宋体" w:cs="宋体" w:eastAsia="宋体" w:hint="default"/>
                <w:sz w:val="18"/>
                <w:szCs w:val="18"/>
              </w:rPr>
            </w:pPr>
            <w:r>
              <w:rPr>
                <w:rFonts w:ascii="宋体" w:hAnsi="宋体" w:cs="宋体" w:eastAsia="宋体" w:hint="default"/>
                <w:sz w:val="18"/>
                <w:szCs w:val="18"/>
              </w:rPr>
              <w:t>者 、陈强</w:t>
            </w:r>
            <w:r>
              <w:rPr>
                <w:rFonts w:ascii="宋体" w:hAnsi="宋体" w:cs="宋体" w:eastAsia="宋体" w:hint="default"/>
                <w:spacing w:val="2"/>
                <w:sz w:val="18"/>
                <w:szCs w:val="18"/>
              </w:rPr>
              <w:t> </w:t>
            </w:r>
            <w:r>
              <w:rPr>
                <w:rFonts w:ascii="宋体" w:hAnsi="宋体" w:cs="宋体" w:eastAsia="宋体" w:hint="default"/>
                <w:sz w:val="18"/>
                <w:szCs w:val="18"/>
              </w:rPr>
              <w:t>、卢</w:t>
            </w:r>
            <w:r>
              <w:rPr>
                <w:rFonts w:ascii="宋体" w:hAnsi="宋体" w:cs="宋体" w:eastAsia="宋体" w:hint="default"/>
                <w:sz w:val="18"/>
                <w:szCs w:val="18"/>
              </w:rPr>
              <w:t> 庆议 </w:t>
            </w:r>
            <w:r>
              <w:rPr>
                <w:rFonts w:ascii="宋体" w:hAnsi="宋体" w:cs="宋体" w:eastAsia="宋体" w:hint="default"/>
                <w:spacing w:val="2"/>
                <w:sz w:val="18"/>
                <w:szCs w:val="18"/>
              </w:rPr>
              <w:t> </w:t>
            </w:r>
            <w:r>
              <w:rPr>
                <w:rFonts w:ascii="宋体" w:hAnsi="宋体" w:cs="宋体" w:eastAsia="宋体" w:hint="default"/>
                <w:sz w:val="18"/>
                <w:szCs w:val="18"/>
              </w:rPr>
              <w:t>、张善</w:t>
            </w:r>
          </w:p>
          <w:p>
            <w:pPr>
              <w:pStyle w:val="TableParagraph"/>
              <w:spacing w:line="316" w:lineRule="auto" w:before="19"/>
              <w:ind w:left="26" w:right="80"/>
              <w:jc w:val="left"/>
              <w:rPr>
                <w:rFonts w:ascii="宋体" w:hAnsi="宋体" w:cs="宋体" w:eastAsia="宋体" w:hint="default"/>
                <w:sz w:val="18"/>
                <w:szCs w:val="18"/>
              </w:rPr>
            </w:pPr>
            <w:r>
              <w:rPr>
                <w:rFonts w:ascii="宋体" w:hAnsi="宋体" w:cs="宋体" w:eastAsia="宋体" w:hint="default"/>
                <w:sz w:val="18"/>
                <w:szCs w:val="18"/>
              </w:rPr>
              <w:t>传 、罗志青</w:t>
            </w:r>
            <w:r>
              <w:rPr>
                <w:rFonts w:ascii="宋体" w:hAnsi="宋体" w:cs="宋体" w:eastAsia="宋体" w:hint="default"/>
                <w:spacing w:val="2"/>
                <w:sz w:val="18"/>
                <w:szCs w:val="18"/>
              </w:rPr>
              <w:t> </w:t>
            </w:r>
            <w:r>
              <w:rPr>
                <w:rFonts w:ascii="宋体" w:hAnsi="宋体" w:cs="宋体" w:eastAsia="宋体" w:hint="default"/>
                <w:sz w:val="18"/>
                <w:szCs w:val="18"/>
              </w:rPr>
              <w:t>、郭</w:t>
            </w:r>
            <w:r>
              <w:rPr>
                <w:rFonts w:ascii="宋体" w:hAnsi="宋体" w:cs="宋体" w:eastAsia="宋体" w:hint="default"/>
                <w:sz w:val="18"/>
                <w:szCs w:val="18"/>
              </w:rPr>
              <w:t> 泗煊、王建明</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李庆先 </w:t>
            </w:r>
            <w:r>
              <w:rPr>
                <w:rFonts w:ascii="宋体" w:hAnsi="宋体" w:cs="宋体" w:eastAsia="宋体" w:hint="default"/>
                <w:spacing w:val="2"/>
                <w:sz w:val="18"/>
                <w:szCs w:val="18"/>
              </w:rPr>
              <w:t> </w:t>
            </w:r>
            <w:r>
              <w:rPr>
                <w:rFonts w:ascii="宋体" w:hAnsi="宋体" w:cs="宋体" w:eastAsia="宋体" w:hint="default"/>
                <w:sz w:val="18"/>
                <w:szCs w:val="18"/>
              </w:rPr>
              <w:t>、李卫</w:t>
            </w:r>
          </w:p>
          <w:p>
            <w:pPr>
              <w:pStyle w:val="TableParagraph"/>
              <w:spacing w:line="316" w:lineRule="auto" w:before="19"/>
              <w:ind w:left="26" w:right="8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林雁、胡继</w:t>
            </w:r>
            <w:r>
              <w:rPr>
                <w:rFonts w:ascii="宋体" w:hAnsi="宋体" w:cs="宋体" w:eastAsia="宋体" w:hint="default"/>
                <w:sz w:val="18"/>
                <w:szCs w:val="18"/>
              </w:rPr>
              <w:t> 荣、陈冲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122"/>
              <w:jc w:val="left"/>
              <w:rPr>
                <w:rFonts w:ascii="宋体" w:hAnsi="宋体" w:cs="宋体" w:eastAsia="宋体" w:hint="default"/>
                <w:sz w:val="18"/>
                <w:szCs w:val="18"/>
              </w:rPr>
            </w:pPr>
            <w:r>
              <w:rPr>
                <w:rFonts w:ascii="宋体" w:hAnsi="宋体" w:cs="宋体" w:eastAsia="宋体" w:hint="default"/>
                <w:sz w:val="18"/>
                <w:szCs w:val="18"/>
              </w:rPr>
              <w:t>对相关责任主体的其他约束措施：对董 事、监事、高级管理人员未能履行承诺时 的约束措施：发行人董事、监事、高级管 理人员已就公司首次公开发行股票并在创 业板上市出具系列承诺，已经出具的承诺 对本人具有不可撤销的约束力，本人将严 格按照承诺要求履行相应义务，若本人怠 于履行相应承诺而给相关权利方造成损失 </w:t>
            </w:r>
            <w:r>
              <w:rPr>
                <w:rFonts w:ascii="宋体" w:hAnsi="宋体" w:cs="宋体" w:eastAsia="宋体" w:hint="default"/>
                <w:spacing w:val="-5"/>
                <w:sz w:val="18"/>
                <w:szCs w:val="18"/>
              </w:rPr>
              <w:t>的，本人将：（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）通过公司及时、充分披</w:t>
            </w:r>
            <w:r>
              <w:rPr>
                <w:rFonts w:ascii="宋体" w:hAnsi="宋体" w:cs="宋体" w:eastAsia="宋体" w:hint="default"/>
                <w:spacing w:val="-86"/>
                <w:sz w:val="18"/>
                <w:szCs w:val="18"/>
              </w:rPr>
              <w:t> </w:t>
            </w:r>
            <w:r>
              <w:rPr>
                <w:rFonts w:ascii="宋体" w:hAnsi="宋体" w:cs="宋体" w:eastAsia="宋体" w:hint="default"/>
                <w:sz w:val="18"/>
                <w:szCs w:val="18"/>
              </w:rPr>
              <w:t>露其承诺未能履行、无法履行或无法按期 </w:t>
            </w:r>
            <w:r>
              <w:rPr>
                <w:rFonts w:ascii="宋体" w:hAnsi="宋体" w:cs="宋体" w:eastAsia="宋体" w:hint="default"/>
                <w:spacing w:val="-5"/>
                <w:sz w:val="18"/>
                <w:szCs w:val="18"/>
              </w:rPr>
              <w:t>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）自愿接受社会和监</w:t>
            </w:r>
            <w:r>
              <w:rPr>
                <w:rFonts w:ascii="宋体" w:hAnsi="宋体" w:cs="宋体" w:eastAsia="宋体" w:hint="default"/>
                <w:spacing w:val="-86"/>
                <w:sz w:val="18"/>
                <w:szCs w:val="18"/>
              </w:rPr>
              <w:t> </w:t>
            </w:r>
            <w:r>
              <w:rPr>
                <w:rFonts w:ascii="宋体" w:hAnsi="宋体" w:cs="宋体" w:eastAsia="宋体" w:hint="default"/>
                <w:sz w:val="18"/>
                <w:szCs w:val="18"/>
              </w:rPr>
              <w:t>管部门的监督，及时改正并继续履行有关 </w:t>
            </w:r>
            <w:r>
              <w:rPr>
                <w:rFonts w:ascii="宋体" w:hAnsi="宋体" w:cs="宋体" w:eastAsia="宋体" w:hint="default"/>
                <w:spacing w:val="-5"/>
                <w:sz w:val="18"/>
                <w:szCs w:val="18"/>
              </w:rPr>
              <w:t>公开承诺；（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）因违反承诺给公司或投资</w:t>
            </w:r>
            <w:r>
              <w:rPr>
                <w:rFonts w:ascii="宋体" w:hAnsi="宋体" w:cs="宋体" w:eastAsia="宋体" w:hint="default"/>
                <w:spacing w:val="-86"/>
                <w:sz w:val="18"/>
                <w:szCs w:val="18"/>
              </w:rPr>
              <w:t> </w:t>
            </w:r>
            <w:r>
              <w:rPr>
                <w:rFonts w:ascii="宋体" w:hAnsi="宋体" w:cs="宋体" w:eastAsia="宋体" w:hint="default"/>
                <w:sz w:val="18"/>
                <w:szCs w:val="18"/>
              </w:rPr>
              <w:t>者造成损失的，依法对公司或投资者进行 </w:t>
            </w:r>
            <w:r>
              <w:rPr>
                <w:rFonts w:ascii="宋体" w:hAnsi="宋体" w:cs="宋体" w:eastAsia="宋体" w:hint="default"/>
                <w:spacing w:val="-5"/>
                <w:sz w:val="18"/>
                <w:szCs w:val="18"/>
              </w:rPr>
              <w:t>赔偿；（</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）因违反承诺所产生的收益全部</w:t>
            </w:r>
            <w:r>
              <w:rPr>
                <w:rFonts w:ascii="宋体" w:hAnsi="宋体" w:cs="宋体" w:eastAsia="宋体" w:hint="default"/>
                <w:spacing w:val="-86"/>
                <w:sz w:val="18"/>
                <w:szCs w:val="18"/>
              </w:rPr>
              <w:t> </w:t>
            </w:r>
            <w:r>
              <w:rPr>
                <w:rFonts w:ascii="宋体" w:hAnsi="宋体" w:cs="宋体" w:eastAsia="宋体" w:hint="default"/>
                <w:sz w:val="18"/>
                <w:szCs w:val="18"/>
              </w:rPr>
              <w:t>归公司所有，公司有权暂扣其应得的现金 分红和应从公司领取的薪酬，同时不得转 让其直接及间接持有的公司股份，直至其 </w:t>
            </w:r>
            <w:r>
              <w:rPr>
                <w:rFonts w:ascii="宋体" w:hAnsi="宋体" w:cs="宋体" w:eastAsia="宋体" w:hint="default"/>
                <w:spacing w:val="-5"/>
                <w:sz w:val="18"/>
                <w:szCs w:val="18"/>
              </w:rPr>
              <w:t>将违规收益足额交付公司为止；（</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）违反</w:t>
            </w:r>
            <w:r>
              <w:rPr>
                <w:rFonts w:ascii="宋体" w:hAnsi="宋体" w:cs="宋体" w:eastAsia="宋体" w:hint="default"/>
                <w:spacing w:val="-83"/>
                <w:sz w:val="18"/>
                <w:szCs w:val="18"/>
              </w:rPr>
              <w:t> </w:t>
            </w:r>
            <w:r>
              <w:rPr>
                <w:rFonts w:ascii="宋体" w:hAnsi="宋体" w:cs="宋体" w:eastAsia="宋体" w:hint="default"/>
                <w:sz w:val="18"/>
                <w:szCs w:val="18"/>
              </w:rPr>
              <w:t>承诺情节严重的，公司控股股东或董事 会、监事会、半数以上的独立董事有权提 请股东大会同意更换相关董事、监事，公 司董事会有权解聘相关高级管理人员。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275"/>
        <w:gridCol w:w="1561"/>
        <w:gridCol w:w="852"/>
        <w:gridCol w:w="3401"/>
        <w:gridCol w:w="850"/>
        <w:gridCol w:w="852"/>
        <w:gridCol w:w="778"/>
      </w:tblGrid>
      <w:tr>
        <w:trPr>
          <w:trHeight w:val="63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r>
      <w:tr>
        <w:trPr>
          <w:trHeight w:val="624" w:hRule="exact"/>
        </w:trPr>
        <w:tc>
          <w:tcPr>
            <w:tcW w:w="1275"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shd w:val="clear" w:color="auto" w:fill="D2D2D2"/>
          </w:tcPr>
          <w:p>
            <w:pPr/>
          </w:p>
        </w:tc>
        <w:tc>
          <w:tcPr>
            <w:tcW w:w="3401"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2509"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4" w:right="158"/>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2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9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Times New Roman" w:hAnsi="Times New Roman" w:cs="Times New Roman" w:eastAsia="Times New Roman" w:hint="default"/>
          <w:sz w:val="9"/>
          <w:szCs w:val="9"/>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r>
        <w:rPr/>
        <w:t>三、控股股东及其关联方对上市公司的非经营性占用资金情况</w:t>
      </w:r>
      <w:r>
        <w:rPr>
          <w:b w:val="0"/>
          <w:bCs w:val="0"/>
        </w:rPr>
      </w:r>
    </w:p>
    <w:p>
      <w:pPr>
        <w:pStyle w:val="BodyText"/>
        <w:spacing w:line="477" w:lineRule="auto" w:before="202"/>
        <w:ind w:right="4014"/>
        <w:jc w:val="left"/>
      </w:pPr>
      <w:r>
        <w:rPr/>
        <w:t>□ 适用 √</w:t>
      </w:r>
      <w:r>
        <w:rPr>
          <w:spacing w:val="3"/>
        </w:rPr>
        <w:t> </w:t>
      </w:r>
      <w:r>
        <w:rPr/>
        <w:t>不适用</w:t>
      </w:r>
      <w:r>
        <w:rPr/>
        <w:t> 公司报告期不存在控股股东及其关联方对上市公司的非经营性占用资金。</w:t>
      </w:r>
    </w:p>
    <w:p>
      <w:pPr>
        <w:pStyle w:val="Heading2"/>
        <w:spacing w:line="240" w:lineRule="auto" w:before="5"/>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pStyle w:val="BodyText"/>
        <w:spacing w:line="240" w:lineRule="auto" w:before="184"/>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pStyle w:val="BodyText"/>
        <w:spacing w:line="240" w:lineRule="auto" w:before="185"/>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pStyle w:val="BodyText"/>
        <w:spacing w:line="468" w:lineRule="exact" w:before="38"/>
        <w:ind w:left="513" w:right="413" w:hanging="361"/>
        <w:jc w:val="left"/>
      </w:pPr>
      <w:r>
        <w:rPr/>
        <w:t>√ 适用 □</w:t>
      </w:r>
      <w:r>
        <w:rPr>
          <w:spacing w:val="3"/>
        </w:rPr>
        <w:t> </w:t>
      </w:r>
      <w:r>
        <w:rPr/>
        <w:t>不适用</w:t>
      </w:r>
      <w:r>
        <w:rPr/>
        <w:t> 执行《企业会计准则第</w:t>
      </w:r>
      <w:r>
        <w:rPr>
          <w:rFonts w:ascii="Times New Roman" w:hAnsi="Times New Roman" w:cs="Times New Roman" w:eastAsia="Times New Roman" w:hint="default"/>
        </w:rPr>
        <w:t>42</w:t>
      </w:r>
      <w:r>
        <w:rPr/>
        <w:t>号——持有待售的非流动资产、处置组和终止经营》、《企业会计准则第</w:t>
      </w:r>
      <w:r>
        <w:rPr>
          <w:rFonts w:ascii="Times New Roman" w:hAnsi="Times New Roman" w:cs="Times New Roman" w:eastAsia="Times New Roman" w:hint="default"/>
        </w:rPr>
        <w:t>16</w:t>
      </w:r>
      <w:r>
        <w:rPr/>
        <w:t>号——政府补</w:t>
      </w:r>
    </w:p>
    <w:p>
      <w:pPr>
        <w:pStyle w:val="BodyText"/>
        <w:spacing w:line="240" w:lineRule="auto" w:before="8"/>
        <w:ind w:right="0"/>
        <w:jc w:val="left"/>
      </w:pPr>
      <w:r>
        <w:rPr/>
        <w:t>助》和《财政部关于修订印发一般企业财务报表格式的通知》。</w:t>
      </w:r>
    </w:p>
    <w:p>
      <w:pPr>
        <w:spacing w:line="240" w:lineRule="auto" w:before="10"/>
        <w:rPr>
          <w:rFonts w:ascii="宋体" w:hAnsi="宋体" w:cs="宋体" w:eastAsia="宋体" w:hint="default"/>
          <w:sz w:val="17"/>
          <w:szCs w:val="17"/>
        </w:rPr>
      </w:pPr>
    </w:p>
    <w:p>
      <w:pPr>
        <w:pStyle w:val="BodyText"/>
        <w:spacing w:line="300" w:lineRule="auto"/>
        <w:ind w:right="233" w:firstLine="451"/>
        <w:jc w:val="left"/>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日起施行，对于施行日存在的持有待售的非流动资产、处置组和终止经营，要求采用未来适用法处理。</w:t>
      </w:r>
    </w:p>
    <w:p>
      <w:pPr>
        <w:spacing w:line="240" w:lineRule="auto" w:before="5"/>
        <w:rPr>
          <w:rFonts w:ascii="宋体" w:hAnsi="宋体" w:cs="宋体" w:eastAsia="宋体" w:hint="default"/>
          <w:sz w:val="14"/>
          <w:szCs w:val="14"/>
        </w:rPr>
      </w:pPr>
    </w:p>
    <w:p>
      <w:pPr>
        <w:pStyle w:val="BodyText"/>
        <w:spacing w:line="240" w:lineRule="auto"/>
        <w:ind w:left="513" w:right="0"/>
        <w:jc w:val="left"/>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p>
    <w:p>
      <w:pPr>
        <w:pStyle w:val="BodyText"/>
        <w:spacing w:line="240" w:lineRule="auto" w:before="63"/>
        <w:ind w:right="0"/>
        <w:jc w:val="left"/>
      </w:pP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日存在的政府补助，要求采用未来适用法处理；对于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日至施行日新增的政府补助，也要求按照修订后的准</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则进行调整。</w:t>
      </w:r>
    </w:p>
    <w:p>
      <w:pPr>
        <w:spacing w:line="240" w:lineRule="auto" w:before="10"/>
        <w:rPr>
          <w:rFonts w:ascii="宋体" w:hAnsi="宋体" w:cs="宋体" w:eastAsia="宋体" w:hint="default"/>
          <w:sz w:val="17"/>
          <w:szCs w:val="17"/>
        </w:rPr>
      </w:pPr>
    </w:p>
    <w:p>
      <w:pPr>
        <w:pStyle w:val="BodyText"/>
        <w:spacing w:line="300" w:lineRule="auto"/>
        <w:ind w:right="234" w:firstLine="360"/>
        <w:jc w:val="left"/>
      </w:pPr>
      <w:r>
        <w:rPr/>
        <w:t>财政部于</w:t>
      </w:r>
      <w:r>
        <w:rPr>
          <w:rFonts w:ascii="Times New Roman" w:hAnsi="Times New Roman" w:cs="Times New Roman" w:eastAsia="Times New Roman" w:hint="default"/>
        </w:rPr>
        <w:t>2017</w:t>
      </w:r>
      <w:r>
        <w:rPr/>
        <w:t>年度发布了《财政部关于修订印发一般企业财务报表格式的通知》，对一般企业财务报表格式进行了修 订，适用于</w:t>
      </w:r>
      <w:r>
        <w:rPr>
          <w:rFonts w:ascii="Times New Roman" w:hAnsi="Times New Roman" w:cs="Times New Roman" w:eastAsia="Times New Roman" w:hint="default"/>
        </w:rPr>
        <w:t>2017</w:t>
      </w:r>
      <w:r>
        <w:rPr/>
        <w:t>年度及以后期间的财务报表。</w:t>
      </w:r>
    </w:p>
    <w:p>
      <w:pPr>
        <w:spacing w:line="240" w:lineRule="auto" w:before="12"/>
        <w:rPr>
          <w:rFonts w:ascii="宋体" w:hAnsi="宋体" w:cs="宋体" w:eastAsia="宋体" w:hint="default"/>
          <w:sz w:val="12"/>
          <w:szCs w:val="12"/>
        </w:rPr>
      </w:pPr>
    </w:p>
    <w:p>
      <w:pPr>
        <w:pStyle w:val="BodyText"/>
        <w:spacing w:line="240" w:lineRule="auto"/>
        <w:ind w:left="513" w:right="0"/>
        <w:jc w:val="left"/>
      </w:pPr>
      <w:r>
        <w:rPr/>
        <w:t>本公司执行上述三项规定的主要影响如下：</w:t>
      </w:r>
    </w:p>
    <w:p>
      <w:pPr>
        <w:spacing w:line="240" w:lineRule="auto" w:before="2"/>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4729"/>
        <w:gridCol w:w="1520"/>
        <w:gridCol w:w="3382"/>
      </w:tblGrid>
      <w:tr>
        <w:trPr>
          <w:trHeight w:val="449" w:hRule="exact"/>
        </w:trPr>
        <w:tc>
          <w:tcPr>
            <w:tcW w:w="4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8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84" w:hRule="exact"/>
        </w:trPr>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41"/>
              <w:ind w:left="105" w:right="9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）在利润表中分别列示“持续经营净利润”和“终止经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营净利润”。比较数据相应调整。</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67" w:right="120" w:hanging="541"/>
              <w:jc w:val="left"/>
              <w:rPr>
                <w:rFonts w:ascii="宋体" w:hAnsi="宋体" w:cs="宋体" w:eastAsia="宋体" w:hint="default"/>
                <w:sz w:val="18"/>
                <w:szCs w:val="18"/>
              </w:rPr>
            </w:pPr>
            <w:r>
              <w:rPr>
                <w:rFonts w:ascii="宋体" w:hAnsi="宋体" w:cs="宋体" w:eastAsia="宋体" w:hint="default"/>
                <w:sz w:val="18"/>
                <w:szCs w:val="18"/>
              </w:rPr>
              <w:t>按董事会审批执 行</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0"/>
              <w:ind w:right="0"/>
              <w:jc w:val="center"/>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76,966,118.46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682" w:hRule="exact"/>
        </w:trPr>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5"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）与本公司日常活动相关的政府补助，计入其他收益， 不再计入营业外收入。比较数据不调整。</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667" w:right="120" w:hanging="541"/>
              <w:jc w:val="left"/>
              <w:rPr>
                <w:rFonts w:ascii="宋体" w:hAnsi="宋体" w:cs="宋体" w:eastAsia="宋体" w:hint="default"/>
                <w:sz w:val="18"/>
                <w:szCs w:val="18"/>
              </w:rPr>
            </w:pPr>
            <w:r>
              <w:rPr>
                <w:rFonts w:ascii="宋体" w:hAnsi="宋体" w:cs="宋体" w:eastAsia="宋体" w:hint="default"/>
                <w:sz w:val="18"/>
                <w:szCs w:val="18"/>
              </w:rPr>
              <w:t>按董事会审批执 行</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307,611.52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917" w:hRule="exact"/>
        </w:trPr>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6"/>
              <w:ind w:left="105" w:right="9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）在利润表中新增“资产处置收益”项目，将部分原列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示为“营业外收入”的资产处置损益重分类至“资产处置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收益”项目。比较数据相应调整。</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667" w:right="120" w:hanging="541"/>
              <w:jc w:val="left"/>
              <w:rPr>
                <w:rFonts w:ascii="宋体" w:hAnsi="宋体" w:cs="宋体" w:eastAsia="宋体" w:hint="default"/>
                <w:sz w:val="18"/>
                <w:szCs w:val="18"/>
              </w:rPr>
            </w:pPr>
            <w:r>
              <w:rPr>
                <w:rFonts w:ascii="宋体" w:hAnsi="宋体" w:cs="宋体" w:eastAsia="宋体" w:hint="default"/>
                <w:sz w:val="18"/>
                <w:szCs w:val="18"/>
              </w:rPr>
              <w:t>按董事会审批执 行</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875" w:right="179" w:hanging="699"/>
              <w:jc w:val="left"/>
              <w:rPr>
                <w:rFonts w:ascii="宋体" w:hAnsi="宋体" w:cs="宋体" w:eastAsia="宋体" w:hint="default"/>
                <w:sz w:val="18"/>
                <w:szCs w:val="18"/>
              </w:rPr>
            </w:pPr>
            <w:r>
              <w:rPr>
                <w:rFonts w:ascii="宋体" w:hAnsi="宋体" w:cs="宋体" w:eastAsia="宋体" w:hint="default"/>
                <w:sz w:val="18"/>
                <w:szCs w:val="18"/>
              </w:rPr>
              <w:t>营业外收入减少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2,341,154.17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 类至资产处置收益。</w:t>
            </w:r>
          </w:p>
        </w:tc>
      </w:tr>
    </w:tbl>
    <w:p>
      <w:pPr>
        <w:spacing w:line="240" w:lineRule="auto" w:before="2"/>
        <w:rPr>
          <w:rFonts w:ascii="宋体" w:hAnsi="宋体" w:cs="宋体" w:eastAsia="宋体" w:hint="default"/>
          <w:sz w:val="9"/>
          <w:szCs w:val="9"/>
        </w:rPr>
      </w:pPr>
    </w:p>
    <w:p>
      <w:pPr>
        <w:pStyle w:val="BodyText"/>
        <w:spacing w:line="240" w:lineRule="auto" w:before="44"/>
        <w:ind w:left="513" w:right="0"/>
        <w:jc w:val="left"/>
      </w:pPr>
      <w:r>
        <w:rPr/>
        <w:t>本公司执行上述规定，本次公司会计政策变更，对公司财务状况，经营成果和现金流量无重大影响。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七、与上年度财务报告相比，合并报表范围发生变化的情况说明</w:t>
      </w:r>
      <w:r>
        <w:rPr>
          <w:b w:val="0"/>
          <w:bCs w:val="0"/>
        </w:rPr>
      </w:r>
    </w:p>
    <w:p>
      <w:pPr>
        <w:pStyle w:val="BodyText"/>
        <w:spacing w:line="477" w:lineRule="auto" w:before="202"/>
        <w:ind w:right="6174"/>
        <w:jc w:val="left"/>
      </w:pPr>
      <w:r>
        <w:rPr/>
        <w:t>□ 适用 √</w:t>
      </w:r>
      <w:r>
        <w:rPr>
          <w:spacing w:val="3"/>
        </w:rPr>
        <w:t> </w:t>
      </w:r>
      <w:r>
        <w:rPr/>
        <w:t>不适用</w:t>
      </w:r>
      <w:r>
        <w:rPr/>
        <w:t> 公司报告期无合并报表范围发生变化的情况。</w:t>
      </w:r>
    </w:p>
    <w:p>
      <w:pPr>
        <w:pStyle w:val="Heading2"/>
        <w:spacing w:line="240" w:lineRule="auto" w:before="6"/>
        <w:ind w:right="0"/>
        <w:jc w:val="left"/>
        <w:rPr>
          <w:b w:val="0"/>
          <w:bCs w:val="0"/>
        </w:rPr>
      </w:pPr>
      <w:r>
        <w:rPr/>
        <w:t>八、聘任、解聘会计师事务所情况</w:t>
      </w:r>
      <w:r>
        <w:rPr>
          <w:b w:val="0"/>
          <w:bCs w:val="0"/>
        </w:rPr>
      </w:r>
    </w:p>
    <w:p>
      <w:pPr>
        <w:pStyle w:val="BodyText"/>
        <w:spacing w:line="240" w:lineRule="auto" w:before="202"/>
        <w:ind w:right="0"/>
        <w:jc w:val="left"/>
      </w:pPr>
      <w:r>
        <w:rPr/>
        <w:t>现聘任的会计事务所</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635"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635"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63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63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杨志平、瞿玉敏</w:t>
            </w:r>
          </w:p>
        </w:tc>
      </w:tr>
      <w:tr>
        <w:trPr>
          <w:trHeight w:val="63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是否改聘会计师事务所</w:t>
      </w:r>
    </w:p>
    <w:p>
      <w:pPr>
        <w:spacing w:line="240" w:lineRule="auto" w:before="10"/>
        <w:rPr>
          <w:rFonts w:ascii="宋体" w:hAnsi="宋体" w:cs="宋体" w:eastAsia="宋体" w:hint="default"/>
          <w:sz w:val="17"/>
          <w:szCs w:val="17"/>
        </w:rPr>
      </w:pPr>
    </w:p>
    <w:p>
      <w:pPr>
        <w:pStyle w:val="BodyText"/>
        <w:spacing w:line="477" w:lineRule="auto"/>
        <w:ind w:right="7074"/>
        <w:jc w:val="left"/>
      </w:pPr>
      <w:r>
        <w:rPr/>
        <w:t>√ 是 □</w:t>
      </w:r>
      <w:r>
        <w:rPr>
          <w:spacing w:val="3"/>
        </w:rPr>
        <w:t> </w:t>
      </w:r>
      <w:r>
        <w:rPr/>
        <w:t>否</w:t>
      </w:r>
      <w:r>
        <w:rPr/>
        <w:t> 是否在审计期间改聘会计师事务所</w:t>
      </w:r>
    </w:p>
    <w:p>
      <w:pPr>
        <w:pStyle w:val="BodyText"/>
        <w:spacing w:line="477" w:lineRule="auto" w:before="54"/>
        <w:ind w:right="6894"/>
        <w:jc w:val="left"/>
      </w:pPr>
      <w:r>
        <w:rPr/>
        <w:t>□ 是 √</w:t>
      </w:r>
      <w:r>
        <w:rPr>
          <w:spacing w:val="3"/>
        </w:rPr>
        <w:t> </w:t>
      </w:r>
      <w:r>
        <w:rPr/>
        <w:t>否</w:t>
      </w:r>
      <w:r>
        <w:rPr/>
        <w:t> 更换会计师事务所是否履行审批程序</w:t>
      </w:r>
    </w:p>
    <w:p>
      <w:pPr>
        <w:pStyle w:val="BodyText"/>
        <w:spacing w:line="240" w:lineRule="auto" w:before="54"/>
        <w:ind w:right="0"/>
        <w:jc w:val="left"/>
      </w:pPr>
      <w:r>
        <w:rPr/>
        <w:t>√ 是 □</w:t>
      </w:r>
      <w:r>
        <w:rPr>
          <w:spacing w:val="3"/>
        </w:rPr>
        <w:t> </w:t>
      </w:r>
      <w:r>
        <w:rPr/>
        <w:t>否</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聘任、解聘会计师事务所情况说明</w:t>
      </w:r>
    </w:p>
    <w:p>
      <w:pPr>
        <w:spacing w:line="240" w:lineRule="auto" w:before="10"/>
        <w:rPr>
          <w:rFonts w:ascii="宋体" w:hAnsi="宋体" w:cs="宋体" w:eastAsia="宋体" w:hint="default"/>
          <w:sz w:val="17"/>
          <w:szCs w:val="17"/>
        </w:rPr>
      </w:pPr>
    </w:p>
    <w:p>
      <w:pPr>
        <w:pStyle w:val="BodyText"/>
        <w:spacing w:line="309" w:lineRule="auto"/>
        <w:ind w:right="234" w:firstLine="480"/>
        <w:jc w:val="left"/>
      </w:pPr>
      <w:r>
        <w:rPr/>
        <w:t>鉴于大华会计师事务所（特殊普通合伙）（以下简称</w:t>
      </w:r>
      <w:r>
        <w:rPr>
          <w:rFonts w:ascii="Times New Roman" w:hAnsi="Times New Roman" w:cs="Times New Roman" w:eastAsia="Times New Roman" w:hint="default"/>
        </w:rPr>
        <w:t>“</w:t>
      </w:r>
      <w:r>
        <w:rPr/>
        <w:t>大华</w:t>
      </w:r>
      <w:r>
        <w:rPr>
          <w:rFonts w:ascii="Times New Roman" w:hAnsi="Times New Roman" w:cs="Times New Roman" w:eastAsia="Times New Roman" w:hint="default"/>
        </w:rPr>
        <w:t>”</w:t>
      </w:r>
      <w:r>
        <w:rPr/>
        <w:t>）与公司合作合同即将到期，基于公司业务发展和审计 工作需要，同时考虑大华的审计工作团队已经连续多年为公司提供审计服务，为了确保审计工作的独立性和客观性，保证 公司年度财务报告与内部控制评价审计工作的正常进行，经双方友好协商，公司不再与大华续约。经审计委员会事前审 核，董事会和股东大会审议并同意聘请立信会计师事务所（特殊普通合伙）为公司审计机构，聘期自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日起一</w:t>
      </w:r>
      <w:r>
        <w:rPr>
          <w:spacing w:val="-87"/>
        </w:rPr>
        <w:t> </w:t>
      </w:r>
      <w:r>
        <w:rPr/>
        <w:t>年。</w:t>
      </w:r>
    </w:p>
    <w:p>
      <w:pPr>
        <w:spacing w:line="240" w:lineRule="auto" w:before="10"/>
        <w:rPr>
          <w:rFonts w:ascii="宋体" w:hAnsi="宋体" w:cs="宋体" w:eastAsia="宋体" w:hint="default"/>
          <w:sz w:val="13"/>
          <w:szCs w:val="13"/>
        </w:rPr>
      </w:pPr>
    </w:p>
    <w:p>
      <w:pPr>
        <w:pStyle w:val="BodyText"/>
        <w:spacing w:line="240" w:lineRule="auto"/>
        <w:ind w:right="0"/>
        <w:jc w:val="left"/>
      </w:pPr>
      <w:r>
        <w:rPr/>
        <w:t>聘请内部控制审计会计师事务所、财务顾问或保荐人情况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left="633" w:right="0"/>
        <w:jc w:val="left"/>
      </w:pPr>
      <w:r>
        <w:rPr/>
        <w:t>自</w:t>
      </w:r>
      <w:r>
        <w:rPr>
          <w:rFonts w:ascii="Times New Roman" w:hAnsi="Times New Roman" w:cs="Times New Roman" w:eastAsia="Times New Roman" w:hint="default"/>
        </w:rPr>
        <w:t>2015</w:t>
      </w:r>
      <w:r>
        <w:rPr/>
        <w:t>年起，公司因公开发行上市，聘请华创证券有限责任公司作为公司的上市保荐机构和主承销商，公司股票于</w:t>
      </w:r>
    </w:p>
    <w:p>
      <w:pPr>
        <w:pStyle w:val="BodyText"/>
        <w:spacing w:line="240" w:lineRule="auto" w:before="63"/>
        <w:ind w:right="0"/>
        <w:jc w:val="left"/>
      </w:pPr>
      <w:r>
        <w:rPr>
          <w:rFonts w:ascii="Times New Roman" w:hAnsi="Times New Roman" w:cs="Times New Roman" w:eastAsia="Times New Roman" w:hint="default"/>
        </w:rPr>
        <w:t>2017</w:t>
      </w:r>
      <w:r>
        <w:rPr/>
        <w:t>年</w:t>
      </w:r>
      <w:r>
        <w:rPr>
          <w:spacing w:val="-5"/>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日在深圳证券交易所挂牌上市，期间共支付承销费和保荐费</w:t>
      </w:r>
      <w:r>
        <w:rPr>
          <w:rFonts w:ascii="Times New Roman" w:hAnsi="Times New Roman" w:cs="Times New Roman" w:eastAsia="Times New Roman" w:hint="default"/>
        </w:rPr>
        <w:t>3003.62</w:t>
      </w:r>
      <w:r>
        <w:rPr/>
        <w:t>万元（含税），聘请大华会计师事务所</w:t>
      </w:r>
    </w:p>
    <w:p>
      <w:pPr>
        <w:pStyle w:val="BodyText"/>
        <w:spacing w:line="240" w:lineRule="auto" w:before="63"/>
        <w:ind w:right="0"/>
        <w:jc w:val="left"/>
      </w:pPr>
      <w:r>
        <w:rPr/>
        <w:t>（特殊普通合伙）作为公司的审计机构并出具了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1-6</w:t>
      </w:r>
      <w:r>
        <w:rPr/>
        <w:t>月内部控制鉴证报告，期间共支付费用</w:t>
      </w:r>
      <w:r>
        <w:rPr>
          <w:rFonts w:ascii="Times New Roman" w:hAnsi="Times New Roman" w:cs="Times New Roman" w:eastAsia="Times New Roman" w:hint="default"/>
        </w:rPr>
        <w:t>315</w:t>
      </w:r>
      <w:r>
        <w:rPr/>
        <w:t>万元（含税）。</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r>
        <w:rPr/>
        <w:t>九、年度报告披露后面临暂停上市和终止上市情况</w:t>
      </w:r>
      <w:r>
        <w:rPr>
          <w:b w:val="0"/>
          <w:bCs w:val="0"/>
        </w:rPr>
      </w:r>
    </w:p>
    <w:p>
      <w:pPr>
        <w:pStyle w:val="BodyText"/>
        <w:spacing w:line="240" w:lineRule="auto" w:before="202"/>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十、破产重整相关事项</w:t>
      </w:r>
      <w:r>
        <w:rPr>
          <w:b w:val="0"/>
          <w:bCs w:val="0"/>
        </w:rPr>
      </w:r>
    </w:p>
    <w:p>
      <w:pPr>
        <w:pStyle w:val="BodyText"/>
        <w:spacing w:line="477" w:lineRule="auto" w:before="202"/>
        <w:ind w:right="6714"/>
        <w:jc w:val="left"/>
      </w:pPr>
      <w:r>
        <w:rPr/>
        <w:t>□ 适用 √</w:t>
      </w:r>
      <w:r>
        <w:rPr>
          <w:spacing w:val="3"/>
        </w:rPr>
        <w:t> </w:t>
      </w:r>
      <w:r>
        <w:rPr/>
        <w:t>不适用</w:t>
      </w:r>
      <w:r>
        <w:rPr/>
        <w:t> 公司报告期未发生破产重整相关事项。</w:t>
      </w:r>
    </w:p>
    <w:p>
      <w:pPr>
        <w:pStyle w:val="Heading2"/>
        <w:spacing w:line="240" w:lineRule="auto" w:before="6"/>
        <w:ind w:right="0"/>
        <w:jc w:val="left"/>
        <w:rPr>
          <w:b w:val="0"/>
          <w:bCs w:val="0"/>
        </w:rPr>
      </w:pPr>
      <w:r>
        <w:rPr/>
        <w:t>十一、重大诉讼、仲裁事项</w:t>
      </w:r>
      <w:r>
        <w:rPr>
          <w:b w:val="0"/>
          <w:bCs w:val="0"/>
        </w:rPr>
      </w:r>
    </w:p>
    <w:p>
      <w:pPr>
        <w:pStyle w:val="BodyText"/>
        <w:spacing w:line="240" w:lineRule="auto" w:before="202"/>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50"/>
        <w:gridCol w:w="1087"/>
        <w:gridCol w:w="1265"/>
        <w:gridCol w:w="953"/>
        <w:gridCol w:w="1392"/>
        <w:gridCol w:w="1267"/>
        <w:gridCol w:w="1081"/>
        <w:gridCol w:w="1075"/>
      </w:tblGrid>
      <w:tr>
        <w:trPr>
          <w:trHeight w:val="94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631" w:right="26"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2" w:right="8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71"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00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4" w:right="154"/>
              <w:jc w:val="both"/>
              <w:rPr>
                <w:rFonts w:ascii="宋体" w:hAnsi="宋体" w:cs="宋体" w:eastAsia="宋体" w:hint="default"/>
                <w:sz w:val="18"/>
                <w:szCs w:val="18"/>
              </w:rPr>
            </w:pPr>
            <w:r>
              <w:rPr>
                <w:rFonts w:ascii="宋体" w:hAnsi="宋体" w:cs="宋体" w:eastAsia="宋体" w:hint="default"/>
                <w:sz w:val="18"/>
                <w:szCs w:val="18"/>
              </w:rPr>
              <w:t>公司与福建鑫海 冶金有限公司建 设工程合同纠纷 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668.55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一审已判 决并生效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3"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日，长乐市人民 法院判决福建鑫 海冶金有限公司 于该判决生效之 日起十日内支付 福建永福电力设 计股份有限公司 工程款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6,685,500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元，并支付利息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长乐市人民法 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16" w:lineRule="auto"/>
              <w:ind w:left="26" w:right="5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日裁定批 准了《福建鑫 海冶金有限公 司、福州松下 港鑫顺仓储有 限公司、福州 鑫航资源利用 创新有限公司 </w:t>
            </w:r>
            <w:r>
              <w:rPr>
                <w:rFonts w:ascii="宋体" w:hAnsi="宋体" w:cs="宋体" w:eastAsia="宋体" w:hint="default"/>
                <w:spacing w:val="-14"/>
                <w:sz w:val="18"/>
                <w:szCs w:val="18"/>
              </w:rPr>
              <w:t>重整计划》，公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司据此于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6"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日收回清偿 款项共计 </w:t>
            </w:r>
            <w:r>
              <w:rPr>
                <w:rFonts w:ascii="Times New Roman" w:hAnsi="Times New Roman" w:cs="Times New Roman" w:eastAsia="Times New Roman" w:hint="default"/>
                <w:sz w:val="18"/>
                <w:szCs w:val="18"/>
              </w:rPr>
              <w:t>1,257,825 </w:t>
            </w:r>
            <w:r>
              <w:rPr>
                <w:rFonts w:ascii="宋体" w:hAnsi="宋体" w:cs="宋体" w:eastAsia="宋体" w:hint="default"/>
                <w:sz w:val="18"/>
                <w:szCs w:val="18"/>
              </w:rPr>
              <w:t>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p>
            <w:pPr>
              <w:pStyle w:val="TableParagraph"/>
              <w:spacing w:line="316" w:lineRule="auto" w:before="63"/>
              <w:ind w:left="24" w:right="139"/>
              <w:jc w:val="both"/>
              <w:rPr>
                <w:rFonts w:ascii="宋体" w:hAnsi="宋体" w:cs="宋体" w:eastAsia="宋体" w:hint="default"/>
                <w:sz w:val="18"/>
                <w:szCs w:val="18"/>
              </w:rPr>
            </w:pPr>
            <w:r>
              <w:rPr>
                <w:rFonts w:ascii="宋体" w:hAnsi="宋体" w:cs="宋体" w:eastAsia="宋体" w:hint="default"/>
                <w:sz w:val="18"/>
                <w:szCs w:val="18"/>
              </w:rPr>
              <w:t>公告名称： 关于重大诉 讼进展的公 告；网站： 巨潮网</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w:t>
              </w:r>
            </w:hyperlink>
          </w:p>
          <w:p>
            <w:pPr>
              <w:pStyle w:val="TableParagraph"/>
              <w:spacing w:line="312" w:lineRule="auto" w:before="105"/>
              <w:ind w:left="24"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bl>
    <w:p>
      <w:pPr>
        <w:spacing w:after="0" w:line="312" w:lineRule="auto"/>
        <w:jc w:val="both"/>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50"/>
        <w:gridCol w:w="1087"/>
        <w:gridCol w:w="1265"/>
        <w:gridCol w:w="953"/>
        <w:gridCol w:w="1392"/>
        <w:gridCol w:w="1267"/>
        <w:gridCol w:w="1081"/>
        <w:gridCol w:w="1075"/>
      </w:tblGrid>
      <w:tr>
        <w:trPr>
          <w:trHeight w:val="34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 w:right="153"/>
              <w:jc w:val="both"/>
              <w:rPr>
                <w:rFonts w:ascii="宋体" w:hAnsi="宋体" w:cs="宋体" w:eastAsia="宋体" w:hint="default"/>
                <w:sz w:val="18"/>
                <w:szCs w:val="18"/>
              </w:rPr>
            </w:pPr>
            <w:r>
              <w:rPr>
                <w:rFonts w:ascii="宋体" w:hAnsi="宋体" w:cs="宋体" w:eastAsia="宋体" w:hint="default"/>
                <w:sz w:val="18"/>
                <w:szCs w:val="18"/>
              </w:rPr>
              <w:t>公司与华安县耀 南石材场高度危 险活动损害责任 纠纷案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一审已开 庭一次， 目前仍在 法院审理 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2017-005</w:t>
            </w:r>
            <w:r>
              <w:rPr>
                <w:rFonts w:ascii="宋体" w:hAnsi="宋体" w:cs="宋体" w:eastAsia="宋体" w:hint="default"/>
                <w:sz w:val="18"/>
                <w:szCs w:val="18"/>
              </w:rPr>
              <w:t>；</w:t>
            </w:r>
          </w:p>
          <w:p>
            <w:pPr>
              <w:pStyle w:val="TableParagraph"/>
              <w:spacing w:line="316" w:lineRule="auto" w:before="63"/>
              <w:ind w:left="24" w:right="139"/>
              <w:jc w:val="both"/>
              <w:rPr>
                <w:rFonts w:ascii="宋体" w:hAnsi="宋体" w:cs="宋体" w:eastAsia="宋体" w:hint="default"/>
                <w:sz w:val="18"/>
                <w:szCs w:val="18"/>
              </w:rPr>
            </w:pPr>
            <w:r>
              <w:rPr>
                <w:rFonts w:ascii="宋体" w:hAnsi="宋体" w:cs="宋体" w:eastAsia="宋体" w:hint="default"/>
                <w:sz w:val="18"/>
                <w:szCs w:val="18"/>
              </w:rPr>
              <w:t>公告名称： 关于重大诉 讼事项的公 告；网站： 巨潮网</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w:t>
              </w:r>
            </w:hyperlink>
          </w:p>
          <w:p>
            <w:pPr>
              <w:pStyle w:val="TableParagraph"/>
              <w:spacing w:line="312" w:lineRule="auto" w:before="105"/>
              <w:ind w:left="24"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406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 w:right="154"/>
              <w:jc w:val="both"/>
              <w:rPr>
                <w:rFonts w:ascii="宋体" w:hAnsi="宋体" w:cs="宋体" w:eastAsia="宋体" w:hint="default"/>
                <w:sz w:val="18"/>
                <w:szCs w:val="18"/>
              </w:rPr>
            </w:pPr>
            <w:r>
              <w:rPr>
                <w:rFonts w:ascii="宋体" w:hAnsi="宋体" w:cs="宋体" w:eastAsia="宋体" w:hint="default"/>
                <w:sz w:val="18"/>
                <w:szCs w:val="18"/>
              </w:rPr>
              <w:t>公司与深圳蓝波 绿集团股份有限 公司技术咨询合 同纠纷案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一审已判 决并生效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12" w:lineRule="auto" w:before="63"/>
              <w:ind w:left="23" w:right="48"/>
              <w:jc w:val="left"/>
              <w:rPr>
                <w:rFonts w:ascii="宋体" w:hAnsi="宋体" w:cs="宋体" w:eastAsia="宋体" w:hint="default"/>
                <w:sz w:val="18"/>
                <w:szCs w:val="18"/>
              </w:rPr>
            </w:pPr>
            <w:r>
              <w:rPr>
                <w:rFonts w:ascii="宋体" w:hAnsi="宋体" w:cs="宋体" w:eastAsia="宋体" w:hint="default"/>
                <w:sz w:val="18"/>
                <w:szCs w:val="18"/>
              </w:rPr>
              <w:t>日，福州市中级 人民法院判令深 圳蓝波绿集团股 份有限公司于判 决生效之日起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日内向公司支付 咨询费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120,000 </w:t>
            </w:r>
            <w:r>
              <w:rPr>
                <w:rFonts w:ascii="宋体" w:hAnsi="宋体" w:cs="宋体" w:eastAsia="宋体" w:hint="default"/>
                <w:sz w:val="18"/>
                <w:szCs w:val="18"/>
              </w:rPr>
              <w:t>元、逾期违约金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元，驳回 公司的其他诉讼 请求。</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正在申请执行</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4" w:right="139"/>
              <w:jc w:val="left"/>
              <w:rPr>
                <w:rFonts w:ascii="宋体" w:hAnsi="宋体" w:cs="宋体" w:eastAsia="宋体" w:hint="default"/>
                <w:sz w:val="18"/>
                <w:szCs w:val="18"/>
              </w:rPr>
            </w:pPr>
            <w:r>
              <w:rPr>
                <w:rFonts w:ascii="宋体" w:hAnsi="宋体" w:cs="宋体" w:eastAsia="宋体" w:hint="default"/>
                <w:sz w:val="18"/>
                <w:szCs w:val="18"/>
              </w:rPr>
              <w:t>首次公开发 行股票并在 创业板上市 招股说明 书；网站： 巨潮网</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w:t>
              </w:r>
            </w:hyperlink>
          </w:p>
          <w:p>
            <w:pPr>
              <w:pStyle w:val="TableParagraph"/>
              <w:spacing w:line="314" w:lineRule="auto" w:before="105"/>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bl>
    <w:p>
      <w:pPr>
        <w:spacing w:line="240" w:lineRule="auto" w:before="11"/>
        <w:rPr>
          <w:rFonts w:ascii="宋体" w:hAnsi="宋体" w:cs="宋体" w:eastAsia="宋体" w:hint="default"/>
          <w:sz w:val="6"/>
          <w:szCs w:val="6"/>
        </w:rPr>
      </w:pPr>
    </w:p>
    <w:p>
      <w:pPr>
        <w:pStyle w:val="Heading2"/>
        <w:spacing w:line="240" w:lineRule="auto" w:before="26"/>
        <w:ind w:right="0"/>
        <w:jc w:val="left"/>
        <w:rPr>
          <w:b w:val="0"/>
          <w:bCs w:val="0"/>
        </w:rPr>
      </w:pPr>
      <w:r>
        <w:rPr/>
        <w:t>十二、处罚及整改情况</w:t>
      </w:r>
      <w:r>
        <w:rPr>
          <w:b w:val="0"/>
          <w:bCs w:val="0"/>
        </w:rPr>
      </w:r>
    </w:p>
    <w:p>
      <w:pPr>
        <w:pStyle w:val="BodyText"/>
        <w:spacing w:line="451" w:lineRule="auto" w:before="202"/>
        <w:ind w:right="68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公司报告期不存在处罚及整改情况。</w:t>
      </w:r>
    </w:p>
    <w:p>
      <w:pPr>
        <w:pStyle w:val="Heading2"/>
        <w:spacing w:line="240" w:lineRule="auto" w:before="25"/>
        <w:ind w:right="0"/>
        <w:jc w:val="left"/>
        <w:rPr>
          <w:b w:val="0"/>
          <w:bCs w:val="0"/>
        </w:rPr>
      </w:pPr>
      <w:r>
        <w:rPr/>
        <w:t>十三、公司及其控股股东、实际控制人的诚信状况</w:t>
      </w:r>
      <w:r>
        <w:rPr>
          <w:b w:val="0"/>
          <w:bCs w:val="0"/>
        </w:rPr>
      </w:r>
    </w:p>
    <w:p>
      <w:pPr>
        <w:pStyle w:val="BodyText"/>
        <w:spacing w:line="468" w:lineRule="exact" w:before="38"/>
        <w:ind w:left="554" w:right="192" w:hanging="402"/>
        <w:jc w:val="left"/>
      </w:pPr>
      <w:r>
        <w:rPr/>
        <w:t>√ 适用 □</w:t>
      </w:r>
      <w:r>
        <w:rPr>
          <w:spacing w:val="3"/>
        </w:rPr>
        <w:t> </w:t>
      </w:r>
      <w:r>
        <w:rPr/>
        <w:t>不适用</w:t>
      </w:r>
      <w:r>
        <w:rPr/>
        <w:t> 本公司及本公司控股股东、实际控制人诚信状况良好，不存在未履行法院生效判决、所负数额较大的债务到期未清偿</w:t>
      </w:r>
    </w:p>
    <w:p>
      <w:pPr>
        <w:pStyle w:val="BodyText"/>
        <w:spacing w:line="240" w:lineRule="auto" w:before="8"/>
        <w:ind w:right="0"/>
        <w:jc w:val="left"/>
      </w:pPr>
      <w:r>
        <w:rPr/>
        <w:t>等情况，不属于失信被执行人。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pStyle w:val="BodyText"/>
        <w:spacing w:line="477" w:lineRule="auto" w:before="202"/>
        <w:ind w:right="3474"/>
        <w:jc w:val="left"/>
      </w:pPr>
      <w:r>
        <w:rPr/>
        <w:t>□ 适用 √</w:t>
      </w:r>
      <w:r>
        <w:rPr>
          <w:spacing w:val="3"/>
        </w:rPr>
        <w:t> </w:t>
      </w:r>
      <w:r>
        <w:rPr/>
        <w:t>不适用</w:t>
      </w:r>
      <w:r>
        <w:rPr/>
        <w:t> 公司报告期无股权激励计划、员工持股计划或其他员工激励措施及其实施情况。</w:t>
      </w:r>
    </w:p>
    <w:p>
      <w:pPr>
        <w:pStyle w:val="Heading2"/>
        <w:spacing w:line="240" w:lineRule="auto" w:before="5"/>
        <w:ind w:right="0"/>
        <w:jc w:val="left"/>
        <w:rPr>
          <w:b w:val="0"/>
          <w:bCs w:val="0"/>
        </w:rPr>
      </w:pPr>
      <w:r>
        <w:rPr/>
        <w:t>十五、重大关联交易</w:t>
      </w:r>
      <w:r>
        <w:rPr>
          <w:b w:val="0"/>
          <w:bCs w:val="0"/>
        </w:rPr>
      </w:r>
    </w:p>
    <w:p>
      <w:pPr>
        <w:pStyle w:val="Heading3"/>
        <w:spacing w:line="240" w:lineRule="auto" w:before="182"/>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pStyle w:val="BodyText"/>
        <w:spacing w:line="240" w:lineRule="auto" w:before="198"/>
        <w:ind w:right="0"/>
        <w:jc w:val="left"/>
      </w:pPr>
      <w:r>
        <w:rPr/>
        <w:t>√ 适用 □</w:t>
      </w:r>
      <w:r>
        <w:rPr>
          <w:spacing w:val="3"/>
        </w:rPr>
        <w:t> </w:t>
      </w:r>
      <w:r>
        <w:rPr/>
        <w:t>不适用</w:t>
      </w:r>
    </w:p>
    <w:p>
      <w:pPr>
        <w:spacing w:after="0" w:line="240" w:lineRule="auto"/>
        <w:jc w:val="left"/>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2"/>
        <w:gridCol w:w="674"/>
        <w:gridCol w:w="674"/>
        <w:gridCol w:w="675"/>
        <w:gridCol w:w="670"/>
        <w:gridCol w:w="646"/>
      </w:tblGrid>
      <w:tr>
        <w:trPr>
          <w:trHeight w:val="1882"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62" w:right="59"/>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64" w:right="59"/>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可获得 的同类 交易市 价（万 元）</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37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漳浦国电 投光伏有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101"/>
              <w:jc w:val="both"/>
              <w:rPr>
                <w:rFonts w:ascii="宋体" w:hAnsi="宋体" w:cs="宋体" w:eastAsia="宋体" w:hint="default"/>
                <w:sz w:val="18"/>
                <w:szCs w:val="18"/>
              </w:rPr>
            </w:pPr>
            <w:r>
              <w:rPr>
                <w:rFonts w:ascii="宋体" w:hAnsi="宋体" w:cs="宋体" w:eastAsia="宋体" w:hint="default"/>
                <w:sz w:val="18"/>
                <w:szCs w:val="18"/>
              </w:rPr>
              <w:t>控股股 东间接 控制的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福建盈 丰工业 园</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9.932M</w:t>
            </w:r>
          </w:p>
          <w:p>
            <w:pPr>
              <w:pStyle w:val="TableParagraph"/>
              <w:spacing w:line="314" w:lineRule="auto" w:before="63"/>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屋顶 光伏发 电项目 设计、 采购、 施工总 承包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电汇或 承兑</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6068.63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p>
            <w:pPr>
              <w:pStyle w:val="TableParagraph"/>
              <w:spacing w:line="362" w:lineRule="auto" w:before="61"/>
              <w:ind w:left="23" w:right="4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469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漳浦国电 投光伏有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东间接 控制的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福建盈 丰食品 股份有 限公司 厂房屋 顶光伏 发电项 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接入工 程设 计、采 购、施 工总承 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电汇或 承兑</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225.20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2" w:lineRule="exact"/>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 开发行 股票并 在创业 板上市 招股说 明书巨 潮资讯 网 </w:t>
            </w:r>
            <w:hyperlink r:id="rId16">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362" w:lineRule="auto" w:before="82"/>
              <w:ind w:left="23" w:right="155"/>
              <w:jc w:val="left"/>
              <w:rPr>
                <w:rFonts w:ascii="Times New Roman" w:hAnsi="Times New Roman" w:cs="Times New Roman" w:eastAsia="Times New Roman" w:hint="default"/>
                <w:sz w:val="18"/>
                <w:szCs w:val="18"/>
              </w:rPr>
            </w:pPr>
            <w:r>
              <w:rPr>
                <w:rFonts w:ascii="Times New Roman"/>
                <w:sz w:val="18"/>
              </w:rPr>
              <w:t>nfo.co m.cn</w:t>
            </w:r>
          </w:p>
        </w:tc>
      </w:tr>
      <w:tr>
        <w:trPr>
          <w:trHeight w:val="297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漳浦国电 投光伏有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东间接 控制的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福建盈 丰食品 股份有 限公司 厂房屋 顶光伏 发电项 目</w:t>
            </w:r>
            <w:r>
              <w:rPr>
                <w:rFonts w:ascii="宋体" w:hAnsi="宋体" w:cs="宋体" w:eastAsia="宋体" w:hint="default"/>
                <w:spacing w:val="1"/>
                <w:sz w:val="18"/>
                <w:szCs w:val="18"/>
              </w:rPr>
              <w:t> </w:t>
            </w:r>
            <w:r>
              <w:rPr>
                <w:rFonts w:ascii="宋体" w:hAnsi="宋体" w:cs="宋体" w:eastAsia="宋体" w:hint="default"/>
                <w:sz w:val="18"/>
                <w:szCs w:val="18"/>
              </w:rPr>
              <w:t>接入</w:t>
            </w:r>
            <w:r>
              <w:rPr>
                <w:rFonts w:ascii="宋体" w:hAnsi="宋体" w:cs="宋体" w:eastAsia="宋体" w:hint="default"/>
                <w:sz w:val="18"/>
                <w:szCs w:val="18"/>
              </w:rPr>
              <w:t> 系统设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z w:val="18"/>
              </w:rPr>
              <w:t>18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0.02%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7"/>
              <w:jc w:val="right"/>
              <w:rPr>
                <w:rFonts w:ascii="Times New Roman" w:hAnsi="Times New Roman" w:cs="Times New Roman" w:eastAsia="Times New Roman" w:hint="default"/>
                <w:sz w:val="18"/>
                <w:szCs w:val="18"/>
              </w:rPr>
            </w:pPr>
            <w:r>
              <w:rPr>
                <w:rFonts w:ascii="Times New Roman"/>
                <w:sz w:val="18"/>
              </w:rPr>
              <w:t>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18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tc>
      </w:tr>
    </w:tbl>
    <w:p>
      <w:pPr>
        <w:spacing w:after="0" w:line="316" w:lineRule="auto"/>
        <w:jc w:val="both"/>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2"/>
        <w:gridCol w:w="674"/>
        <w:gridCol w:w="674"/>
        <w:gridCol w:w="675"/>
        <w:gridCol w:w="670"/>
        <w:gridCol w:w="646"/>
      </w:tblGrid>
      <w:tr>
        <w:trPr>
          <w:trHeight w:val="141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4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437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漳浦国电 投光伏有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23" w:right="101"/>
              <w:jc w:val="both"/>
              <w:rPr>
                <w:rFonts w:ascii="宋体" w:hAnsi="宋体" w:cs="宋体" w:eastAsia="宋体" w:hint="default"/>
                <w:sz w:val="18"/>
                <w:szCs w:val="18"/>
              </w:rPr>
            </w:pPr>
            <w:r>
              <w:rPr>
                <w:rFonts w:ascii="宋体" w:hAnsi="宋体" w:cs="宋体" w:eastAsia="宋体" w:hint="default"/>
                <w:sz w:val="18"/>
                <w:szCs w:val="18"/>
              </w:rPr>
              <w:t>控股股 东间接 控制的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福建盈 丰食品 股份有 限公司 厂房屋 顶光伏 发电项 目</w:t>
            </w:r>
            <w:r>
              <w:rPr>
                <w:rFonts w:ascii="宋体" w:hAnsi="宋体" w:cs="宋体" w:eastAsia="宋体" w:hint="default"/>
                <w:spacing w:val="1"/>
                <w:sz w:val="18"/>
                <w:szCs w:val="18"/>
              </w:rPr>
              <w:t> </w:t>
            </w:r>
            <w:r>
              <w:rPr>
                <w:rFonts w:ascii="宋体" w:hAnsi="宋体" w:cs="宋体" w:eastAsia="宋体" w:hint="default"/>
                <w:sz w:val="18"/>
                <w:szCs w:val="18"/>
              </w:rPr>
              <w:t>可行</w:t>
            </w:r>
            <w:r>
              <w:rPr>
                <w:rFonts w:ascii="宋体" w:hAnsi="宋体" w:cs="宋体" w:eastAsia="宋体" w:hint="default"/>
                <w:sz w:val="18"/>
                <w:szCs w:val="18"/>
              </w:rPr>
              <w:t> 性研究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p>
            <w:pPr>
              <w:pStyle w:val="TableParagraph"/>
              <w:spacing w:line="362" w:lineRule="auto" w:before="61"/>
              <w:ind w:left="23" w:right="4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437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福建省新 能海上风 电研发中 心有限公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01"/>
              <w:jc w:val="left"/>
              <w:rPr>
                <w:rFonts w:ascii="宋体" w:hAnsi="宋体" w:cs="宋体" w:eastAsia="宋体" w:hint="default"/>
                <w:sz w:val="18"/>
                <w:szCs w:val="18"/>
              </w:rPr>
            </w:pPr>
            <w:r>
              <w:rPr>
                <w:rFonts w:ascii="宋体" w:hAnsi="宋体" w:cs="宋体" w:eastAsia="宋体" w:hint="default"/>
                <w:sz w:val="18"/>
                <w:szCs w:val="18"/>
              </w:rPr>
              <w:t>公司实 际控制 人、副 总经理 陈强任 该公司 董事、 常务副 总经 理；公 司持股</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福清东 壁岛海 上风电 场接入 系统设 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p>
            <w:pPr>
              <w:pStyle w:val="TableParagraph"/>
              <w:spacing w:line="362" w:lineRule="auto" w:before="61"/>
              <w:ind w:left="23" w:right="4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6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福建省新 能海上风 电研发中 心有限公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公司实 际控制 人、副 总经理 陈强任 该公司 董事、 常务副 总经 理；公 司持股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福建省 第二批 新型研 发机构 申报技 术服务 合同</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p>
            <w:pPr>
              <w:pStyle w:val="TableParagraph"/>
              <w:spacing w:line="362" w:lineRule="auto" w:before="61"/>
              <w:ind w:left="23" w:right="48"/>
              <w:jc w:val="both"/>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p>
        </w:tc>
      </w:tr>
    </w:tbl>
    <w:p>
      <w:pPr>
        <w:spacing w:after="0" w:line="362" w:lineRule="auto"/>
        <w:jc w:val="both"/>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2"/>
        <w:gridCol w:w="674"/>
        <w:gridCol w:w="674"/>
        <w:gridCol w:w="675"/>
        <w:gridCol w:w="670"/>
        <w:gridCol w:w="646"/>
      </w:tblGrid>
      <w:tr>
        <w:trPr>
          <w:trHeight w:val="790"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55"/>
              <w:jc w:val="left"/>
              <w:rPr>
                <w:rFonts w:ascii="Times New Roman" w:hAnsi="Times New Roman" w:cs="Times New Roman" w:eastAsia="Times New Roman" w:hint="default"/>
                <w:sz w:val="18"/>
                <w:szCs w:val="18"/>
              </w:rPr>
            </w:pPr>
            <w:r>
              <w:rPr>
                <w:rFonts w:ascii="Times New Roman"/>
                <w:sz w:val="18"/>
              </w:rPr>
              <w:t>nfo.co m.cn</w:t>
            </w:r>
          </w:p>
        </w:tc>
      </w:tr>
      <w:tr>
        <w:trPr>
          <w:trHeight w:val="437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福建省新 能海上风 电研发中 心有限公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01"/>
              <w:jc w:val="left"/>
              <w:rPr>
                <w:rFonts w:ascii="宋体" w:hAnsi="宋体" w:cs="宋体" w:eastAsia="宋体" w:hint="default"/>
                <w:sz w:val="18"/>
                <w:szCs w:val="18"/>
              </w:rPr>
            </w:pPr>
            <w:r>
              <w:rPr>
                <w:rFonts w:ascii="宋体" w:hAnsi="宋体" w:cs="宋体" w:eastAsia="宋体" w:hint="default"/>
                <w:sz w:val="18"/>
                <w:szCs w:val="18"/>
              </w:rPr>
              <w:t>公司实 际控制 人、副 总经理 陈强任 该公司 董事、 常务副 总经 理；公 司持股</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借人劳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03"/>
              <w:jc w:val="both"/>
              <w:rPr>
                <w:rFonts w:ascii="宋体" w:hAnsi="宋体" w:cs="宋体" w:eastAsia="宋体" w:hint="default"/>
                <w:sz w:val="18"/>
                <w:szCs w:val="18"/>
              </w:rPr>
            </w:pPr>
            <w:r>
              <w:rPr>
                <w:rFonts w:ascii="宋体" w:hAnsi="宋体" w:cs="宋体" w:eastAsia="宋体" w:hint="default"/>
                <w:sz w:val="18"/>
                <w:szCs w:val="18"/>
              </w:rPr>
              <w:t>参考新 能研发 的薪酬 管理制 度，并 由双方 协商确 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98"/>
              <w:jc w:val="both"/>
              <w:rPr>
                <w:rFonts w:ascii="宋体" w:hAnsi="宋体" w:cs="宋体" w:eastAsia="宋体" w:hint="default"/>
                <w:sz w:val="18"/>
                <w:szCs w:val="18"/>
              </w:rPr>
            </w:pPr>
            <w:r>
              <w:rPr>
                <w:rFonts w:ascii="宋体" w:hAnsi="宋体" w:cs="宋体" w:eastAsia="宋体" w:hint="default"/>
                <w:sz w:val="18"/>
                <w:szCs w:val="18"/>
              </w:rPr>
              <w:t>参考新 能研发 的薪酬 管理制 度，并 由双方 协商确 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291.71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0.37%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291.71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明书巨 潮资讯 网</w:t>
            </w:r>
          </w:p>
          <w:p>
            <w:pPr>
              <w:pStyle w:val="TableParagraph"/>
              <w:spacing w:line="362" w:lineRule="auto" w:before="61"/>
              <w:ind w:left="23" w:right="4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r>
      <w:tr>
        <w:trPr>
          <w:trHeight w:val="624"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63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23" w:right="63" w:firstLine="360"/>
              <w:jc w:val="left"/>
              <w:rPr>
                <w:rFonts w:ascii="宋体" w:hAnsi="宋体" w:cs="宋体" w:eastAsia="宋体" w:hint="default"/>
                <w:sz w:val="18"/>
                <w:szCs w:val="18"/>
              </w:rPr>
            </w:pPr>
            <w:r>
              <w:rPr>
                <w:rFonts w:ascii="宋体" w:hAnsi="宋体" w:cs="宋体" w:eastAsia="宋体" w:hint="default"/>
                <w:sz w:val="18"/>
                <w:szCs w:val="18"/>
              </w:rPr>
              <w:t>向福建省新能海上风电研发中心有限公司提供劳务服务的关联交易发生额超出 预计范围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万元，系福建省新能海上风电研发中心有限公司在本报告期业务量增 大，增加借调人员致借人劳务金额超出原预计金额，超出部分在总经理权限内批准 实施。上述其他关联交易实际发生情况未超出报告期初的预计范围。</w:t>
            </w:r>
          </w:p>
        </w:tc>
      </w:tr>
      <w:tr>
        <w:trPr>
          <w:trHeight w:val="1248"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2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714" w:type="dxa"/>
            <w:gridSpan w:val="10"/>
            <w:vMerge/>
            <w:tcBorders>
              <w:left w:val="single" w:sz="4" w:space="0" w:color="000000"/>
              <w:right w:val="single" w:sz="4" w:space="0" w:color="000000"/>
            </w:tcBorders>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4" w:space="0" w:color="000000"/>
              <w:bottom w:val="single" w:sz="4" w:space="0" w:color="000000"/>
              <w:right w:val="single" w:sz="4" w:space="0" w:color="000000"/>
            </w:tcBorders>
          </w:tcPr>
          <w:p>
            <w:pPr/>
          </w:p>
        </w:tc>
      </w:tr>
      <w:tr>
        <w:trPr>
          <w:trHeight w:val="94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9"/>
          <w:szCs w:val="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15"/>
          <w:szCs w:val="15"/>
        </w:rPr>
      </w:pPr>
    </w:p>
    <w:p>
      <w:pPr>
        <w:spacing w:line="453" w:lineRule="auto" w:before="0"/>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公司报告期未发生资产或股权收购、出售的关联交易。</w:t>
      </w:r>
      <w:r>
        <w:rPr>
          <w:rFonts w:ascii="宋体" w:hAnsi="宋体" w:cs="宋体" w:eastAsia="宋体" w:hint="default"/>
          <w:w w:val="99"/>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465" w:lineRule="auto" w:before="0"/>
        <w:ind w:left="152" w:right="6174"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pStyle w:val="BodyText"/>
        <w:spacing w:line="215" w:lineRule="exact"/>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right="0"/>
        <w:jc w:val="left"/>
      </w:pPr>
      <w:r>
        <w:rPr/>
        <w:t>是否存在非经营性关联债权债务往来</w:t>
      </w:r>
    </w:p>
    <w:p>
      <w:pPr>
        <w:spacing w:line="240" w:lineRule="auto" w:before="10"/>
        <w:rPr>
          <w:rFonts w:ascii="宋体" w:hAnsi="宋体" w:cs="宋体" w:eastAsia="宋体" w:hint="default"/>
          <w:sz w:val="17"/>
          <w:szCs w:val="17"/>
        </w:rPr>
      </w:pPr>
    </w:p>
    <w:p>
      <w:pPr>
        <w:pStyle w:val="BodyText"/>
        <w:spacing w:line="240" w:lineRule="auto"/>
        <w:ind w:right="0"/>
        <w:jc w:val="left"/>
      </w:pPr>
      <w:r>
        <w:rPr/>
        <w:t>□ 是 √</w:t>
      </w:r>
      <w:r>
        <w:rPr>
          <w:spacing w:val="3"/>
        </w:rPr>
        <w:t> </w:t>
      </w:r>
      <w:r>
        <w:rPr/>
        <w:t>否</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公司报告期不存在非经营性关联债权债务往来。</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300" w:lineRule="auto"/>
        <w:ind w:right="142" w:firstLine="362"/>
        <w:jc w:val="left"/>
      </w:pPr>
      <w:r>
        <w:rPr/>
        <w:t>（</w:t>
      </w:r>
      <w:r>
        <w:rPr>
          <w:rFonts w:ascii="Times New Roman" w:hAnsi="Times New Roman" w:cs="Times New Roman" w:eastAsia="Times New Roman" w:hint="default"/>
        </w:rPr>
        <w:t>1</w:t>
      </w:r>
      <w:r>
        <w:rPr/>
        <w:t>）报告期内与关联方福建永福集团有限公司签订《房屋租赁合同》，合同金额为</w:t>
      </w:r>
      <w:r>
        <w:rPr>
          <w:rFonts w:ascii="Times New Roman" w:hAnsi="Times New Roman" w:cs="Times New Roman" w:eastAsia="Times New Roman" w:hint="default"/>
        </w:rPr>
        <w:t>21</w:t>
      </w:r>
      <w:r>
        <w:rPr/>
        <w:t>万元，未达到董事会审议额度， 总经理权限内批准实施。</w:t>
      </w:r>
    </w:p>
    <w:p>
      <w:pPr>
        <w:spacing w:line="240" w:lineRule="auto" w:before="4"/>
        <w:rPr>
          <w:rFonts w:ascii="宋体" w:hAnsi="宋体" w:cs="宋体" w:eastAsia="宋体" w:hint="default"/>
          <w:sz w:val="14"/>
          <w:szCs w:val="14"/>
        </w:rPr>
      </w:pPr>
    </w:p>
    <w:p>
      <w:pPr>
        <w:pStyle w:val="BodyText"/>
        <w:spacing w:line="300" w:lineRule="auto"/>
        <w:ind w:right="367" w:firstLine="362"/>
        <w:jc w:val="left"/>
      </w:pPr>
      <w:r>
        <w:rPr/>
        <w:t>（</w:t>
      </w:r>
      <w:r>
        <w:rPr>
          <w:rFonts w:ascii="Times New Roman" w:hAnsi="Times New Roman" w:cs="Times New Roman" w:eastAsia="Times New Roman" w:hint="default"/>
        </w:rPr>
        <w:t>2</w:t>
      </w:r>
      <w:r>
        <w:rPr/>
        <w:t>）报告期内与关联方福建昌明建材有限公司签订《房屋租赁合同》，合同金额为</w:t>
      </w:r>
      <w:r>
        <w:rPr>
          <w:rFonts w:ascii="Times New Roman" w:hAnsi="Times New Roman" w:cs="Times New Roman" w:eastAsia="Times New Roman" w:hint="default"/>
        </w:rPr>
        <w:t>8.40</w:t>
      </w:r>
      <w:r>
        <w:rPr/>
        <w:t>万元，未达到董事会审议额 度，总经理权限内批准实施。</w:t>
      </w:r>
    </w:p>
    <w:p>
      <w:pPr>
        <w:spacing w:line="240" w:lineRule="auto" w:before="4"/>
        <w:rPr>
          <w:rFonts w:ascii="宋体" w:hAnsi="宋体" w:cs="宋体" w:eastAsia="宋体" w:hint="default"/>
          <w:sz w:val="14"/>
          <w:szCs w:val="14"/>
        </w:rPr>
      </w:pPr>
    </w:p>
    <w:p>
      <w:pPr>
        <w:pStyle w:val="BodyText"/>
        <w:spacing w:line="300" w:lineRule="auto"/>
        <w:ind w:right="248" w:firstLine="451"/>
        <w:jc w:val="left"/>
      </w:pPr>
      <w:r>
        <w:rPr>
          <w:rFonts w:ascii="Times New Roman" w:hAnsi="Times New Roman" w:cs="Times New Roman" w:eastAsia="Times New Roman" w:hint="default"/>
        </w:rPr>
        <w:t>(3)</w:t>
      </w:r>
      <w:r>
        <w:rPr/>
        <w:t>报告期内与关联方福建省永福博发投资股份有限公司签订《房屋租赁合同》，合同金额为</w:t>
      </w:r>
      <w:r>
        <w:rPr>
          <w:rFonts w:ascii="Times New Roman" w:hAnsi="Times New Roman" w:cs="Times New Roman" w:eastAsia="Times New Roman" w:hint="default"/>
        </w:rPr>
        <w:t>25.74</w:t>
      </w:r>
      <w:r>
        <w:rPr/>
        <w:t>万元，未达到董事</w:t>
      </w:r>
      <w:r>
        <w:rPr>
          <w:w w:val="99"/>
        </w:rPr>
        <w:t> </w:t>
      </w:r>
      <w:r>
        <w:rPr/>
        <w:t>会审议额度，总经理权限内批准实施。</w:t>
      </w:r>
    </w:p>
    <w:p>
      <w:pPr>
        <w:spacing w:line="240" w:lineRule="auto" w:before="4"/>
        <w:rPr>
          <w:rFonts w:ascii="宋体" w:hAnsi="宋体" w:cs="宋体" w:eastAsia="宋体" w:hint="default"/>
          <w:sz w:val="14"/>
          <w:szCs w:val="14"/>
        </w:rPr>
      </w:pPr>
    </w:p>
    <w:p>
      <w:pPr>
        <w:pStyle w:val="BodyText"/>
        <w:spacing w:line="300" w:lineRule="auto"/>
        <w:ind w:right="201" w:firstLine="360"/>
        <w:jc w:val="both"/>
      </w:pPr>
      <w:r>
        <w:rPr/>
        <w:t>（</w:t>
      </w:r>
      <w:r>
        <w:rPr>
          <w:rFonts w:ascii="Times New Roman" w:hAnsi="Times New Roman" w:cs="Times New Roman" w:eastAsia="Times New Roman" w:hint="default"/>
        </w:rPr>
        <w:t>4</w:t>
      </w:r>
      <w:r>
        <w:rPr/>
        <w:t>）报告期内与关联方福建省新能海上风电研发中心有限公司签订《房屋租赁合同》，合同金额为</w:t>
      </w:r>
      <w:r>
        <w:rPr>
          <w:rFonts w:ascii="Times New Roman" w:hAnsi="Times New Roman" w:cs="Times New Roman" w:eastAsia="Times New Roman" w:hint="default"/>
        </w:rPr>
        <w:t>53.76</w:t>
      </w:r>
      <w:r>
        <w:rPr/>
        <w:t>万元</w:t>
      </w:r>
      <w:r>
        <w:rPr>
          <w:spacing w:val="1"/>
        </w:rPr>
        <w:t> </w:t>
      </w:r>
      <w:r>
        <w:rPr/>
        <w:t>，参照</w:t>
      </w:r>
      <w:r>
        <w:rPr/>
        <w:t> </w:t>
      </w:r>
      <w:r>
        <w:rPr>
          <w:rFonts w:ascii="Times New Roman" w:hAnsi="Times New Roman" w:cs="Times New Roman" w:eastAsia="Times New Roman" w:hint="default"/>
        </w:rPr>
        <w:t>2016</w:t>
      </w:r>
      <w:r>
        <w:rPr/>
        <w:t>年度签订的《办公家具、设备租赁协议》结算条款，报告期内结算的办公设备租赁金额</w:t>
      </w:r>
      <w:r>
        <w:rPr>
          <w:rFonts w:ascii="Times New Roman" w:hAnsi="Times New Roman" w:cs="Times New Roman" w:eastAsia="Times New Roman" w:hint="default"/>
        </w:rPr>
        <w:t>12.51</w:t>
      </w:r>
      <w:r>
        <w:rPr/>
        <w:t>万元。董事会审议批准金 额为</w:t>
      </w:r>
      <w:r>
        <w:rPr>
          <w:rFonts w:ascii="Times New Roman" w:hAnsi="Times New Roman" w:cs="Times New Roman" w:eastAsia="Times New Roman" w:hint="default"/>
        </w:rPr>
        <w:t>51.2</w:t>
      </w:r>
      <w:r>
        <w:rPr/>
        <w:t>万元，超出部分在总经理权限内批准实施。</w:t>
      </w:r>
    </w:p>
    <w:p>
      <w:pPr>
        <w:spacing w:line="240" w:lineRule="auto" w:before="12"/>
        <w:rPr>
          <w:rFonts w:ascii="宋体" w:hAnsi="宋体" w:cs="宋体" w:eastAsia="宋体" w:hint="default"/>
          <w:sz w:val="12"/>
          <w:szCs w:val="12"/>
        </w:rPr>
      </w:pPr>
    </w:p>
    <w:p>
      <w:pPr>
        <w:pStyle w:val="BodyText"/>
        <w:spacing w:line="240" w:lineRule="auto"/>
        <w:ind w:right="0"/>
        <w:jc w:val="left"/>
      </w:pPr>
      <w:r>
        <w:rPr/>
        <w:t>重大关联交易临时报告披露网站相关查询</w:t>
      </w:r>
    </w:p>
    <w:p>
      <w:pPr>
        <w:spacing w:line="240" w:lineRule="auto" w:before="2"/>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3459"/>
        <w:gridCol w:w="2652"/>
        <w:gridCol w:w="3459"/>
      </w:tblGrid>
      <w:tr>
        <w:trPr>
          <w:trHeight w:val="634" w:hRule="exact"/>
        </w:trPr>
        <w:tc>
          <w:tcPr>
            <w:tcW w:w="3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94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46" w:right="102" w:hanging="1441"/>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首次公开发行股票并在创业板上市招股说 明书</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7"/>
                <w:sz w:val="18"/>
                <w:szCs w:val="18"/>
              </w:rPr>
              <w:t> </w:t>
            </w:r>
            <w:hyperlink r:id="rId10">
              <w:r>
                <w:rPr>
                  <w:rFonts w:ascii="Times New Roman" w:hAnsi="Times New Roman" w:cs="Times New Roman" w:eastAsia="Times New Roman" w:hint="default"/>
                  <w:sz w:val="18"/>
                  <w:szCs w:val="18"/>
                </w:rPr>
                <w:t>http://www.cninfo.com.cn</w:t>
              </w:r>
            </w:hyperlink>
          </w:p>
        </w:tc>
      </w:tr>
    </w:tbl>
    <w:p>
      <w:pPr>
        <w:spacing w:line="240" w:lineRule="auto" w:before="11"/>
        <w:rPr>
          <w:rFonts w:ascii="宋体" w:hAnsi="宋体" w:cs="宋体" w:eastAsia="宋体" w:hint="default"/>
          <w:sz w:val="6"/>
          <w:szCs w:val="6"/>
        </w:rPr>
      </w:pPr>
    </w:p>
    <w:p>
      <w:pPr>
        <w:pStyle w:val="Heading2"/>
        <w:spacing w:line="240" w:lineRule="auto" w:before="26"/>
        <w:ind w:right="0"/>
        <w:jc w:val="left"/>
        <w:rPr>
          <w:b w:val="0"/>
          <w:bCs w:val="0"/>
        </w:rPr>
      </w:pPr>
      <w:r>
        <w:rPr/>
        <w:t>十六、重大合同及其履行情况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pStyle w:val="BodyText"/>
        <w:spacing w:line="477" w:lineRule="auto" w:before="198"/>
        <w:ind w:right="7434"/>
        <w:jc w:val="left"/>
      </w:pPr>
      <w:r>
        <w:rPr/>
        <w:t>□ 适用 √</w:t>
      </w:r>
      <w:r>
        <w:rPr>
          <w:spacing w:val="3"/>
        </w:rPr>
        <w:t> </w:t>
      </w:r>
      <w:r>
        <w:rPr/>
        <w:t>不适用</w:t>
      </w:r>
      <w:r>
        <w:rPr/>
        <w:t> 公司报告期不存在托管情况。</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15"/>
          <w:szCs w:val="15"/>
        </w:rPr>
      </w:pPr>
    </w:p>
    <w:p>
      <w:pPr>
        <w:pStyle w:val="BodyText"/>
        <w:spacing w:line="477" w:lineRule="auto"/>
        <w:ind w:right="7434"/>
        <w:jc w:val="left"/>
      </w:pPr>
      <w:r>
        <w:rPr/>
        <w:t>□ 适用 √</w:t>
      </w:r>
      <w:r>
        <w:rPr>
          <w:spacing w:val="3"/>
        </w:rPr>
        <w:t> </w:t>
      </w:r>
      <w:r>
        <w:rPr/>
        <w:t>不适用</w:t>
      </w:r>
      <w:r>
        <w:rPr/>
        <w:t> 公司报告期不存在承包情况。</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pStyle w:val="BodyText"/>
        <w:spacing w:line="477" w:lineRule="auto" w:before="198"/>
        <w:ind w:right="8241"/>
        <w:jc w:val="left"/>
      </w:pPr>
      <w:r>
        <w:rPr/>
        <w:t>√ 适用 □</w:t>
      </w:r>
      <w:r>
        <w:rPr>
          <w:spacing w:val="3"/>
        </w:rPr>
        <w:t> </w:t>
      </w:r>
      <w:r>
        <w:rPr/>
        <w:t>不适用</w:t>
      </w:r>
      <w:r>
        <w:rPr/>
        <w:t> 租赁情况说明</w:t>
      </w:r>
    </w:p>
    <w:p>
      <w:pPr>
        <w:pStyle w:val="BodyText"/>
        <w:spacing w:line="316" w:lineRule="auto" w:before="54"/>
        <w:ind w:right="234" w:firstLine="360"/>
        <w:jc w:val="left"/>
      </w:pPr>
      <w:r>
        <w:rPr/>
        <w:t>报告期，公司存在租赁房产情形，该等房屋租赁主要用于日常办公场地，工程总承包项目建设地的用房，勘察设计项 目地点的临时性用房，以及为上述各类业务配套的值班宿舍。该等租赁行为对公司的生产经营、财务状况不构成重大影 响。</w:t>
      </w:r>
    </w:p>
    <w:p>
      <w:pPr>
        <w:spacing w:line="240" w:lineRule="auto" w:before="5"/>
        <w:rPr>
          <w:rFonts w:ascii="宋体" w:hAnsi="宋体" w:cs="宋体" w:eastAsia="宋体" w:hint="default"/>
          <w:sz w:val="13"/>
          <w:szCs w:val="13"/>
        </w:rPr>
      </w:pPr>
    </w:p>
    <w:p>
      <w:pPr>
        <w:pStyle w:val="BodyText"/>
        <w:spacing w:line="240" w:lineRule="auto"/>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spacing w:after="0" w:line="240"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right="0"/>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709"/>
        <w:gridCol w:w="920"/>
        <w:gridCol w:w="926"/>
        <w:gridCol w:w="1302"/>
        <w:gridCol w:w="1057"/>
        <w:gridCol w:w="1041"/>
        <w:gridCol w:w="1047"/>
        <w:gridCol w:w="791"/>
        <w:gridCol w:w="783"/>
      </w:tblGrid>
      <w:tr>
        <w:trPr>
          <w:trHeight w:val="63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25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8" w:right="191"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5"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5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8" w:right="191"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11"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57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2,784.25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2,784.25</w:t>
            </w:r>
          </w:p>
        </w:tc>
      </w:tr>
      <w:tr>
        <w:trPr>
          <w:trHeight w:val="951"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5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1" w:right="19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27"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06"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0"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951"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w w:val="95"/>
                <w:sz w:val="18"/>
              </w:rPr>
              <w:t>2,784.25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620"/>
        <w:gridCol w:w="2236"/>
        <w:gridCol w:w="2098"/>
        <w:gridCol w:w="2621"/>
      </w:tblGrid>
      <w:tr>
        <w:trPr>
          <w:trHeight w:val="95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2"/>
        <w:rPr>
          <w:rFonts w:ascii="宋体" w:hAnsi="宋体" w:cs="宋体" w:eastAsia="宋体" w:hint="default"/>
          <w:sz w:val="9"/>
          <w:szCs w:val="9"/>
        </w:rPr>
      </w:pPr>
    </w:p>
    <w:p>
      <w:pPr>
        <w:pStyle w:val="BodyText"/>
        <w:spacing w:line="477" w:lineRule="auto" w:before="44"/>
        <w:ind w:right="7074"/>
        <w:jc w:val="left"/>
      </w:pPr>
      <w:r>
        <w:rPr/>
        <w:t>采用复合方式担保的具体情况说明 无</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465" w:lineRule="auto" w:before="198"/>
        <w:ind w:left="152" w:right="5994"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公司报告期无违规对外担保情况。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、委托他人进行现金资产管理情况</w:t>
      </w:r>
      <w:r>
        <w:rPr>
          <w:rFonts w:ascii="宋体" w:hAnsi="宋体" w:cs="宋体" w:eastAsia="宋体" w:hint="default"/>
          <w:spacing w:val="-1"/>
          <w:sz w:val="21"/>
          <w:szCs w:val="21"/>
        </w:rPr>
      </w:r>
    </w:p>
    <w:p>
      <w:pPr>
        <w:pStyle w:val="Heading3"/>
        <w:spacing w:line="249" w:lineRule="exact"/>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pStyle w:val="BodyText"/>
        <w:spacing w:line="477" w:lineRule="auto" w:before="198"/>
        <w:ind w:right="7974"/>
        <w:jc w:val="left"/>
      </w:pPr>
      <w:r>
        <w:rPr/>
        <w:t>√ 适用 □</w:t>
      </w:r>
      <w:r>
        <w:rPr>
          <w:spacing w:val="3"/>
        </w:rPr>
        <w:t> </w:t>
      </w:r>
      <w:r>
        <w:rPr/>
        <w:t>不适用</w:t>
      </w:r>
      <w:r>
        <w:rPr/>
        <w:t> 报告期内委托理财概况</w:t>
      </w:r>
    </w:p>
    <w:p>
      <w:pPr>
        <w:pStyle w:val="BodyText"/>
        <w:spacing w:line="240" w:lineRule="auto" w:before="54"/>
        <w:ind w:left="0" w:right="151"/>
        <w:jc w:val="right"/>
      </w:pPr>
      <w:r>
        <w:rPr/>
        <w:t>单位：万元</w:t>
      </w:r>
    </w:p>
    <w:p>
      <w:pPr>
        <w:spacing w:line="240" w:lineRule="auto" w:before="3"/>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9"/>
        <w:gridCol w:w="1848"/>
      </w:tblGrid>
      <w:tr>
        <w:trPr>
          <w:trHeight w:val="635"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63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单项金额重大或安全性较低、流动性较差、不保本的高风险委托理财具体情况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2818"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110" w:right="10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08"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96" w:right="9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96"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84" w:right="83"/>
              <w:jc w:val="both"/>
              <w:rPr>
                <w:rFonts w:ascii="宋体" w:hAnsi="宋体" w:cs="宋体" w:eastAsia="宋体" w:hint="default"/>
                <w:sz w:val="18"/>
                <w:szCs w:val="18"/>
              </w:rPr>
            </w:pPr>
            <w:r>
              <w:rPr>
                <w:rFonts w:ascii="宋体" w:hAnsi="宋体" w:cs="宋体" w:eastAsia="宋体" w:hint="default"/>
                <w:sz w:val="18"/>
                <w:szCs w:val="18"/>
              </w:rPr>
              <w:t>事项 概述 及相 关查 询索 引</w:t>
            </w:r>
          </w:p>
          <w:p>
            <w:pPr>
              <w:pStyle w:val="TableParagraph"/>
              <w:spacing w:line="316" w:lineRule="auto" w:before="19"/>
              <w:ind w:left="84" w:right="83"/>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10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中国民 生银行 人民币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4" w:right="16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4"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85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福州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9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 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4" w:right="31"/>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3"/>
                <w:sz w:val="18"/>
              </w:rPr>
              <w:t> </w:t>
            </w:r>
            <w:r>
              <w:rPr>
                <w:rFonts w:ascii="Times New Roman"/>
                <w:spacing w:val="-43"/>
                <w:sz w:val="18"/>
              </w:rPr>
            </w:r>
            <w:r>
              <w:rPr>
                <w:rFonts w:ascii="Times New Roman"/>
                <w:sz w:val="18"/>
              </w:rPr>
              <w:t>fo.co</w:t>
            </w:r>
            <w:r>
              <w:rPr>
                <w:rFonts w:ascii="Times New Roman"/>
                <w:sz w:val="18"/>
              </w:rPr>
              <w:t> 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）披</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露的</w:t>
            </w:r>
          </w:p>
          <w:p>
            <w:pPr>
              <w:pStyle w:val="TableParagraph"/>
              <w:spacing w:line="316" w:lineRule="auto" w:before="77"/>
              <w:ind w:left="24" w:right="143"/>
              <w:jc w:val="left"/>
              <w:rPr>
                <w:rFonts w:ascii="宋体" w:hAnsi="宋体" w:cs="宋体" w:eastAsia="宋体" w:hint="default"/>
                <w:sz w:val="18"/>
                <w:szCs w:val="18"/>
              </w:rPr>
            </w:pPr>
            <w:r>
              <w:rPr>
                <w:rFonts w:ascii="宋体" w:hAnsi="宋体" w:cs="宋体" w:eastAsia="宋体" w:hint="default"/>
                <w:sz w:val="18"/>
                <w:szCs w:val="18"/>
              </w:rPr>
              <w:t>《使 用部 分闲 置募 集资 金进 行现 金管 理的 公 告》</w:t>
            </w:r>
          </w:p>
          <w:p>
            <w:pPr>
              <w:pStyle w:val="TableParagraph"/>
              <w:spacing w:line="316" w:lineRule="auto" w:before="19"/>
              <w:ind w:left="24"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009</w:t>
            </w:r>
            <w:r>
              <w:rPr>
                <w:rFonts w:ascii="宋体" w:hAnsi="宋体" w:cs="宋体" w:eastAsia="宋体" w:hint="default"/>
                <w:sz w:val="18"/>
                <w:szCs w:val="18"/>
              </w:rPr>
              <w:t>）</w:t>
            </w:r>
          </w:p>
        </w:tc>
      </w:tr>
      <w:tr>
        <w:trPr>
          <w:trHeight w:val="51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3" w:right="29"/>
              <w:jc w:val="both"/>
              <w:rPr>
                <w:rFonts w:ascii="宋体" w:hAnsi="宋体" w:cs="宋体" w:eastAsia="宋体" w:hint="default"/>
                <w:sz w:val="18"/>
                <w:szCs w:val="18"/>
              </w:rPr>
            </w:pPr>
            <w:r>
              <w:rPr>
                <w:rFonts w:ascii="宋体" w:hAnsi="宋体" w:cs="宋体" w:eastAsia="宋体" w:hint="default"/>
                <w:sz w:val="18"/>
                <w:szCs w:val="18"/>
              </w:rPr>
              <w:t>中国民 生银行 人民币 结构性 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4" w:right="16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159.04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4" w:right="9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 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4" w:right="31"/>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3"/>
                <w:sz w:val="18"/>
              </w:rPr>
              <w:t> </w:t>
            </w:r>
            <w:r>
              <w:rPr>
                <w:rFonts w:ascii="Times New Roman"/>
                <w:spacing w:val="-43"/>
                <w:sz w:val="18"/>
              </w:rPr>
            </w:r>
            <w:r>
              <w:rPr>
                <w:rFonts w:ascii="Times New Roman"/>
                <w:sz w:val="18"/>
              </w:rPr>
              <w:t>fo.co</w:t>
            </w:r>
            <w:r>
              <w:rPr>
                <w:rFonts w:ascii="Times New Roman"/>
                <w:sz w:val="18"/>
              </w:rPr>
              <w:t> 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）披</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露的</w:t>
            </w:r>
          </w:p>
          <w:p>
            <w:pPr>
              <w:pStyle w:val="TableParagraph"/>
              <w:spacing w:line="316" w:lineRule="auto" w:before="77"/>
              <w:ind w:left="24" w:right="143"/>
              <w:jc w:val="left"/>
              <w:rPr>
                <w:rFonts w:ascii="宋体" w:hAnsi="宋体" w:cs="宋体" w:eastAsia="宋体" w:hint="default"/>
                <w:sz w:val="18"/>
                <w:szCs w:val="18"/>
              </w:rPr>
            </w:pPr>
            <w:r>
              <w:rPr>
                <w:rFonts w:ascii="宋体" w:hAnsi="宋体" w:cs="宋体" w:eastAsia="宋体" w:hint="default"/>
                <w:sz w:val="18"/>
                <w:szCs w:val="18"/>
              </w:rPr>
              <w:t>《使 用部</w:t>
            </w:r>
          </w:p>
        </w:tc>
      </w:tr>
    </w:tbl>
    <w:p>
      <w:pPr>
        <w:spacing w:after="0" w:line="316"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453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3"/>
              <w:jc w:val="left"/>
              <w:rPr>
                <w:rFonts w:ascii="宋体" w:hAnsi="宋体" w:cs="宋体" w:eastAsia="宋体" w:hint="default"/>
                <w:sz w:val="18"/>
                <w:szCs w:val="18"/>
              </w:rPr>
            </w:pPr>
            <w:r>
              <w:rPr>
                <w:rFonts w:ascii="宋体" w:hAnsi="宋体" w:cs="宋体" w:eastAsia="宋体" w:hint="default"/>
                <w:sz w:val="18"/>
                <w:szCs w:val="18"/>
              </w:rPr>
              <w:t>分闲 置募 集资 金进 行现 金管 理的 公 告》</w:t>
            </w:r>
          </w:p>
          <w:p>
            <w:pPr>
              <w:pStyle w:val="TableParagraph"/>
              <w:spacing w:line="319" w:lineRule="auto" w:before="19"/>
              <w:ind w:left="24"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009)</w:t>
            </w:r>
          </w:p>
        </w:tc>
      </w:tr>
      <w:tr>
        <w:trPr>
          <w:trHeight w:val="92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40" w:lineRule="auto" w:before="106"/>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招商银 行结构 性存款 </w:t>
            </w:r>
            <w:r>
              <w:rPr>
                <w:rFonts w:ascii="Times New Roman" w:hAnsi="Times New Roman" w:cs="Times New Roman" w:eastAsia="Times New Roman" w:hint="default"/>
                <w:sz w:val="18"/>
                <w:szCs w:val="18"/>
              </w:rPr>
              <w:t>CFZ00 360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50" w:right="0"/>
              <w:jc w:val="lef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6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3" w:right="0"/>
              <w:jc w:val="left"/>
              <w:rPr>
                <w:rFonts w:ascii="Times New Roman" w:hAnsi="Times New Roman" w:cs="Times New Roman" w:eastAsia="Times New Roman" w:hint="default"/>
                <w:sz w:val="18"/>
                <w:szCs w:val="18"/>
              </w:rPr>
            </w:pPr>
            <w:r>
              <w:rPr>
                <w:rFonts w:ascii="Times New Roman"/>
                <w:sz w:val="18"/>
              </w:rPr>
              <w:t>257.29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4" w:right="9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 网</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5"/>
              <w:ind w:left="24" w:right="31"/>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3"/>
                <w:sz w:val="18"/>
              </w:rPr>
              <w:t> </w:t>
            </w:r>
            <w:r>
              <w:rPr>
                <w:rFonts w:ascii="Times New Roman"/>
                <w:spacing w:val="-43"/>
                <w:sz w:val="18"/>
              </w:rPr>
            </w:r>
            <w:r>
              <w:rPr>
                <w:rFonts w:ascii="Times New Roman"/>
                <w:sz w:val="18"/>
              </w:rPr>
              <w:t>fo.co</w:t>
            </w:r>
            <w:r>
              <w:rPr>
                <w:rFonts w:ascii="Times New Roman"/>
                <w:sz w:val="18"/>
              </w:rPr>
              <w:t> 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）披</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露的</w:t>
            </w:r>
          </w:p>
          <w:p>
            <w:pPr>
              <w:pStyle w:val="TableParagraph"/>
              <w:spacing w:line="316" w:lineRule="auto" w:before="76"/>
              <w:ind w:left="24" w:right="143"/>
              <w:jc w:val="left"/>
              <w:rPr>
                <w:rFonts w:ascii="宋体" w:hAnsi="宋体" w:cs="宋体" w:eastAsia="宋体" w:hint="default"/>
                <w:sz w:val="18"/>
                <w:szCs w:val="18"/>
              </w:rPr>
            </w:pPr>
            <w:r>
              <w:rPr>
                <w:rFonts w:ascii="宋体" w:hAnsi="宋体" w:cs="宋体" w:eastAsia="宋体" w:hint="default"/>
                <w:sz w:val="18"/>
                <w:szCs w:val="18"/>
              </w:rPr>
              <w:t>《使 用部 分闲 置募 集资 金进 行现 金管 理的 公 告》</w:t>
            </w:r>
          </w:p>
          <w:p>
            <w:pPr>
              <w:pStyle w:val="TableParagraph"/>
              <w:spacing w:line="319" w:lineRule="auto" w:before="19"/>
              <w:ind w:left="24"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2017-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47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009</w:t>
            </w:r>
            <w:r>
              <w:rPr>
                <w:rFonts w:ascii="宋体" w:hAnsi="宋体" w:cs="宋体" w:eastAsia="宋体" w:hint="default"/>
                <w:sz w:val="18"/>
                <w:szCs w:val="18"/>
              </w:rPr>
              <w:t>）</w:t>
            </w:r>
          </w:p>
        </w:tc>
      </w:tr>
      <w:tr>
        <w:trPr>
          <w:trHeight w:val="634" w:hRule="exact"/>
        </w:trPr>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428.66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Times New Roman" w:hAnsi="Times New Roman" w:cs="Times New Roman" w:eastAsia="Times New Roman" w:hint="default"/>
          <w:sz w:val="10"/>
          <w:szCs w:val="10"/>
        </w:rPr>
      </w:pPr>
    </w:p>
    <w:p>
      <w:pPr>
        <w:pStyle w:val="BodyText"/>
        <w:spacing w:line="240" w:lineRule="auto" w:before="44"/>
        <w:ind w:right="0"/>
        <w:jc w:val="left"/>
      </w:pPr>
      <w:r>
        <w:rPr/>
        <w:t>委托理财出现预期无法收回本金或存在其他可能导致减值的情形</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465" w:lineRule="auto" w:before="198"/>
        <w:ind w:left="152" w:right="7434"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spacing w:line="215" w:lineRule="exact"/>
        <w:ind w:right="0"/>
        <w:jc w:val="left"/>
      </w:pPr>
      <w:r>
        <w:rPr/>
        <w:t>√ 适用 □</w:t>
      </w:r>
      <w:r>
        <w:rPr>
          <w:spacing w:val="3"/>
        </w:rPr>
        <w:t> </w:t>
      </w:r>
      <w:r>
        <w:rPr/>
        <w:t>不适用</w:t>
      </w:r>
    </w:p>
    <w:p>
      <w:pPr>
        <w:spacing w:line="240" w:lineRule="auto" w:before="3"/>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636"/>
        <w:gridCol w:w="638"/>
        <w:gridCol w:w="638"/>
        <w:gridCol w:w="641"/>
        <w:gridCol w:w="639"/>
        <w:gridCol w:w="638"/>
        <w:gridCol w:w="641"/>
        <w:gridCol w:w="638"/>
        <w:gridCol w:w="636"/>
        <w:gridCol w:w="638"/>
        <w:gridCol w:w="638"/>
        <w:gridCol w:w="638"/>
        <w:gridCol w:w="639"/>
        <w:gridCol w:w="638"/>
        <w:gridCol w:w="636"/>
      </w:tblGrid>
      <w:tr>
        <w:trPr>
          <w:trHeight w:val="2819"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5" w:right="41"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45"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47"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6"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5" w:right="39"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45" w:right="41"/>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46"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93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福建中 核高嵛 山风电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5"/>
              <w:ind w:left="23" w:right="62"/>
              <w:jc w:val="both"/>
              <w:rPr>
                <w:rFonts w:ascii="宋体" w:hAnsi="宋体" w:cs="宋体" w:eastAsia="宋体" w:hint="default"/>
                <w:sz w:val="18"/>
                <w:szCs w:val="18"/>
              </w:rPr>
            </w:pPr>
            <w:r>
              <w:rPr>
                <w:rFonts w:ascii="宋体" w:hAnsi="宋体" w:cs="宋体" w:eastAsia="宋体" w:hint="default"/>
                <w:sz w:val="18"/>
                <w:szCs w:val="18"/>
              </w:rPr>
              <w:t>中核汇 能福建 南安高 嵛山</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70MW</w:t>
            </w:r>
          </w:p>
          <w:p>
            <w:pPr>
              <w:pStyle w:val="TableParagraph"/>
              <w:spacing w:line="316" w:lineRule="auto" w:before="63"/>
              <w:ind w:left="23"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风电工 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EPC</w:t>
            </w: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总承包 合同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本工程 的勘察 设计， 风电场 设备</w:t>
            </w:r>
          </w:p>
          <w:p>
            <w:pPr>
              <w:pStyle w:val="TableParagraph"/>
              <w:spacing w:line="316"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（除风 机外） 与材料 采购、 试验、 安装与 调试， 风电 场、升 压站和</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35kV</w:t>
            </w:r>
          </w:p>
          <w:p>
            <w:pPr>
              <w:pStyle w:val="TableParagraph"/>
              <w:spacing w:line="316" w:lineRule="auto" w:before="63"/>
              <w:ind w:left="23" w:right="62"/>
              <w:jc w:val="left"/>
              <w:rPr>
                <w:rFonts w:ascii="宋体" w:hAnsi="宋体" w:cs="宋体" w:eastAsia="宋体" w:hint="default"/>
                <w:sz w:val="18"/>
                <w:szCs w:val="18"/>
              </w:rPr>
            </w:pPr>
            <w:r>
              <w:rPr>
                <w:rFonts w:ascii="宋体" w:hAnsi="宋体" w:cs="宋体" w:eastAsia="宋体" w:hint="default"/>
                <w:sz w:val="18"/>
                <w:szCs w:val="18"/>
              </w:rPr>
              <w:t>集电线 路施工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4" w:right="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 合同确 认收入</w:t>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87,807,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213.26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首次公 开发行 股票并 在创业 板上市 招股说 明书 巨潮资 讯网</w:t>
            </w:r>
          </w:p>
          <w:p>
            <w:pPr>
              <w:pStyle w:val="TableParagraph"/>
              <w:spacing w:line="362" w:lineRule="auto" w:before="61"/>
              <w:ind w:left="23" w:right="38"/>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852" w:footer="979" w:top="1260" w:bottom="1160" w:left="980" w:right="980"/>
        </w:sectPr>
      </w:pPr>
    </w:p>
    <w:p>
      <w:pPr>
        <w:pStyle w:val="Heading2"/>
        <w:spacing w:line="240" w:lineRule="auto" w:before="125"/>
        <w:ind w:right="0"/>
        <w:jc w:val="both"/>
        <w:rPr>
          <w:b w:val="0"/>
          <w:bCs w:val="0"/>
        </w:rPr>
      </w:pPr>
      <w:r>
        <w:rPr/>
        <w:t>十七、社会责任情况</w:t>
      </w:r>
      <w:r>
        <w:rPr>
          <w:b w:val="0"/>
          <w:bCs w:val="0"/>
        </w:rPr>
      </w:r>
    </w:p>
    <w:p>
      <w:pPr>
        <w:pStyle w:val="Heading3"/>
        <w:spacing w:line="240" w:lineRule="auto" w:before="181"/>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468" w:lineRule="exact" w:before="33"/>
        <w:ind w:left="513" w:right="173" w:hanging="89"/>
        <w:jc w:val="left"/>
        <w:rPr>
          <w:rFonts w:ascii="宋体" w:hAnsi="宋体" w:cs="宋体" w:eastAsia="宋体" w:hint="default"/>
          <w:sz w:val="18"/>
          <w:szCs w:val="18"/>
        </w:rPr>
      </w:pPr>
      <w:r>
        <w:rPr>
          <w:rFonts w:ascii="宋体" w:hAnsi="宋体" w:cs="宋体" w:eastAsia="宋体" w:hint="default"/>
          <w:b/>
          <w:bCs/>
          <w:sz w:val="18"/>
          <w:szCs w:val="18"/>
        </w:rPr>
        <w:t>（一）履行社会责任的宗旨和理念</w:t>
      </w:r>
      <w:r>
        <w:rPr>
          <w:rFonts w:ascii="宋体" w:hAnsi="宋体" w:cs="宋体" w:eastAsia="宋体" w:hint="default"/>
          <w:b/>
          <w:bCs/>
          <w:w w:val="99"/>
          <w:sz w:val="18"/>
          <w:szCs w:val="18"/>
        </w:rPr>
        <w:t> </w:t>
      </w:r>
      <w:r>
        <w:rPr>
          <w:rFonts w:ascii="宋体" w:hAnsi="宋体" w:cs="宋体" w:eastAsia="宋体" w:hint="default"/>
          <w:sz w:val="18"/>
          <w:szCs w:val="18"/>
        </w:rPr>
        <w:t>公司始终以</w:t>
      </w:r>
      <w:r>
        <w:rPr>
          <w:rFonts w:ascii="Times New Roman" w:hAnsi="Times New Roman" w:cs="Times New Roman" w:eastAsia="Times New Roman" w:hint="default"/>
          <w:sz w:val="18"/>
          <w:szCs w:val="18"/>
        </w:rPr>
        <w:t>“</w:t>
      </w:r>
      <w:r>
        <w:rPr>
          <w:rFonts w:ascii="宋体" w:hAnsi="宋体" w:cs="宋体" w:eastAsia="宋体" w:hint="default"/>
          <w:sz w:val="18"/>
          <w:szCs w:val="18"/>
        </w:rPr>
        <w:t>为社会创造精品，为股东创造价值，为员工创造幸福</w:t>
      </w:r>
      <w:r>
        <w:rPr>
          <w:rFonts w:ascii="Times New Roman" w:hAnsi="Times New Roman" w:cs="Times New Roman" w:eastAsia="Times New Roman" w:hint="default"/>
          <w:sz w:val="18"/>
          <w:szCs w:val="18"/>
        </w:rPr>
        <w:t>”</w:t>
      </w:r>
      <w:r>
        <w:rPr>
          <w:rFonts w:ascii="宋体" w:hAnsi="宋体" w:cs="宋体" w:eastAsia="宋体" w:hint="default"/>
          <w:sz w:val="18"/>
          <w:szCs w:val="18"/>
        </w:rPr>
        <w:t>为使命，秉承</w:t>
      </w:r>
      <w:r>
        <w:rPr>
          <w:rFonts w:ascii="Times New Roman" w:hAnsi="Times New Roman" w:cs="Times New Roman" w:eastAsia="Times New Roman" w:hint="default"/>
          <w:sz w:val="18"/>
          <w:szCs w:val="18"/>
        </w:rPr>
        <w:t>“</w:t>
      </w:r>
      <w:r>
        <w:rPr>
          <w:rFonts w:ascii="宋体" w:hAnsi="宋体" w:cs="宋体" w:eastAsia="宋体" w:hint="default"/>
          <w:sz w:val="18"/>
          <w:szCs w:val="18"/>
        </w:rPr>
        <w:t>以人为本、诚信服务、不断追求、和</w:t>
      </w:r>
    </w:p>
    <w:p>
      <w:pPr>
        <w:pStyle w:val="BodyText"/>
        <w:spacing w:line="300" w:lineRule="auto" w:before="8"/>
        <w:ind w:right="192"/>
        <w:jc w:val="both"/>
      </w:pPr>
      <w:r>
        <w:rPr/>
        <w:t>谐共进</w:t>
      </w:r>
      <w:r>
        <w:rPr>
          <w:rFonts w:ascii="Times New Roman" w:hAnsi="Times New Roman" w:cs="Times New Roman" w:eastAsia="Times New Roman" w:hint="default"/>
        </w:rPr>
        <w:t>”</w:t>
      </w:r>
      <w:r>
        <w:rPr/>
        <w:t>的核心价值观，努力实现</w:t>
      </w:r>
      <w:r>
        <w:rPr>
          <w:rFonts w:ascii="Times New Roman" w:hAnsi="Times New Roman" w:cs="Times New Roman" w:eastAsia="Times New Roman" w:hint="default"/>
        </w:rPr>
        <w:t>“</w:t>
      </w:r>
      <w:r>
        <w:rPr/>
        <w:t>以创新为驱动的国际知名电力设计咨询公司</w:t>
      </w:r>
      <w:r>
        <w:rPr>
          <w:rFonts w:ascii="Times New Roman" w:hAnsi="Times New Roman" w:cs="Times New Roman" w:eastAsia="Times New Roman" w:hint="default"/>
        </w:rPr>
        <w:t>”</w:t>
      </w:r>
      <w:r>
        <w:rPr/>
        <w:t>的战略目标。公司在企业文化和价值取向的 指引下，在积极创造价值的同时，坚持履行对社会的责任。</w:t>
      </w:r>
    </w:p>
    <w:p>
      <w:pPr>
        <w:spacing w:line="468" w:lineRule="exact" w:before="23"/>
        <w:ind w:left="513" w:right="233" w:hanging="89"/>
        <w:jc w:val="left"/>
        <w:rPr>
          <w:rFonts w:ascii="宋体" w:hAnsi="宋体" w:cs="宋体" w:eastAsia="宋体" w:hint="default"/>
          <w:sz w:val="18"/>
          <w:szCs w:val="18"/>
        </w:rPr>
      </w:pPr>
      <w:r>
        <w:rPr>
          <w:rFonts w:ascii="宋体" w:hAnsi="宋体" w:cs="宋体" w:eastAsia="宋体" w:hint="default"/>
          <w:b/>
          <w:bCs/>
          <w:sz w:val="18"/>
          <w:szCs w:val="18"/>
        </w:rPr>
        <w:t>（二）股东和债权人权益保护</w:t>
      </w:r>
      <w:r>
        <w:rPr>
          <w:rFonts w:ascii="宋体" w:hAnsi="宋体" w:cs="宋体" w:eastAsia="宋体" w:hint="default"/>
          <w:b/>
          <w:bCs/>
          <w:w w:val="99"/>
          <w:sz w:val="18"/>
          <w:szCs w:val="18"/>
        </w:rPr>
        <w:t> </w:t>
      </w:r>
      <w:r>
        <w:rPr>
          <w:rFonts w:ascii="宋体" w:hAnsi="宋体" w:cs="宋体" w:eastAsia="宋体" w:hint="default"/>
          <w:sz w:val="18"/>
          <w:szCs w:val="18"/>
        </w:rPr>
        <w:t>公司严格按照《公司法》、《证券法》、《深圳证券交易所创业板股票上市规则》、《深圳证券交易所创业板上市公</w:t>
      </w:r>
    </w:p>
    <w:p>
      <w:pPr>
        <w:pStyle w:val="BodyText"/>
        <w:spacing w:line="316" w:lineRule="auto" w:before="8"/>
        <w:ind w:right="251"/>
        <w:jc w:val="both"/>
      </w:pPr>
      <w:r>
        <w:rPr/>
        <w:t>司规范运作指引》等法律法规、部门规章、规范性文件和《公司章程》的规定，科学制定合理的组织框架，制定了《股东 大会议事规则》、《董事会议事规则》、《信息披露事务管理制度》等一系列规章制度，并继续落实内控工作，不断健全 和完善公司法人治理结构，保证公司长期、稳定、健康发展。公司股东大会、董事会、监事会和管理层之间权责分明、互 相制衡，形成了一套合理、完整、有效的经营管理框架。</w:t>
      </w:r>
    </w:p>
    <w:p>
      <w:pPr>
        <w:spacing w:line="240" w:lineRule="auto" w:before="5"/>
        <w:rPr>
          <w:rFonts w:ascii="宋体" w:hAnsi="宋体" w:cs="宋体" w:eastAsia="宋体" w:hint="default"/>
          <w:sz w:val="13"/>
          <w:szCs w:val="13"/>
        </w:rPr>
      </w:pPr>
    </w:p>
    <w:p>
      <w:pPr>
        <w:pStyle w:val="BodyText"/>
        <w:spacing w:line="316" w:lineRule="auto"/>
        <w:ind w:right="251" w:firstLine="360"/>
        <w:jc w:val="both"/>
      </w:pPr>
      <w:r>
        <w:rPr/>
        <w:t>公司注重保护投资者，特别是中小投资者的合法权益。公司依法召开股东大会，积极主动采取网络投票等方式扩大股 东参与股东大会的比例。同时积极开展投资者关系管理工作，通过网站、电话、邮件等方式保持与股东的有效沟通。公司 根据法律法规的相关要求做好信息披露工作，保证所有股东对公司重大事项都有知情权，为投资者公平获取公司信息创造 良好途径。此外，公司的财务政策稳健，资产、资金安全，在维护股东利益的同时兼顾债权人的利益。报告期内，公司无 大股东及关联方占用公司资金情形，亦不存在将资金直接或间接地提供给大股东及关联方使用的各种情形。</w:t>
      </w:r>
    </w:p>
    <w:p>
      <w:pPr>
        <w:pStyle w:val="BodyText"/>
        <w:spacing w:line="468" w:lineRule="exact" w:before="10"/>
        <w:ind w:left="513" w:right="233"/>
        <w:jc w:val="left"/>
      </w:pPr>
      <w:r>
        <w:rPr>
          <w:rFonts w:ascii="宋体" w:hAnsi="宋体" w:cs="宋体" w:eastAsia="宋体" w:hint="default"/>
          <w:b/>
          <w:bCs/>
        </w:rPr>
        <w:t>（三）职工权益保护</w:t>
      </w:r>
      <w:r>
        <w:rPr>
          <w:rFonts w:ascii="宋体" w:hAnsi="宋体" w:cs="宋体" w:eastAsia="宋体" w:hint="default"/>
          <w:b/>
          <w:bCs/>
          <w:w w:val="99"/>
        </w:rPr>
        <w:t> </w:t>
      </w:r>
      <w:r>
        <w:rPr/>
        <w:t>公司始终坚持以人为本的核心价值观，尊重员工人格，关注员工健康、安全和满意度，保障员工合法权益，致力于培</w:t>
      </w:r>
    </w:p>
    <w:p>
      <w:pPr>
        <w:pStyle w:val="BodyText"/>
        <w:spacing w:line="316" w:lineRule="auto" w:before="8"/>
        <w:ind w:right="250"/>
        <w:jc w:val="both"/>
      </w:pPr>
      <w:r>
        <w:rPr/>
        <w:t>育员工的认同感和归属感，实现员工与企业共同成长。为员工提供健康、安全的工作环境；尊重和保护员工权益，严格贯 彻执行《劳动合同法》《社会保险法》等各项法律法规；不断完善具有吸引力和竞争性的薪酬和福利体系；改善员工生产 环境，根据相关法规和公司具体情况发放劳保用品；持续优化员工关怀体系，努力为员工提供更好的工作环境及更多的人 文关怀；公司继续完善员工生活设施建设，公司定期举办技能竞赛，开展员工技术交流活动，定期评选优秀员工及技术能 手并给予奖励；注重员工培训与职业规划，积极开展职工内外部培训，公司试行内部讲师培训体系并按需求要求专家进行 授课培训，提升自身素质和综合能力，并为员工发展提供更多的机会和广阔的舞台。</w:t>
      </w:r>
    </w:p>
    <w:p>
      <w:pPr>
        <w:spacing w:line="468" w:lineRule="exact" w:before="10"/>
        <w:ind w:left="513" w:right="233" w:firstLine="0"/>
        <w:jc w:val="left"/>
        <w:rPr>
          <w:rFonts w:ascii="宋体" w:hAnsi="宋体" w:cs="宋体" w:eastAsia="宋体" w:hint="default"/>
          <w:sz w:val="18"/>
          <w:szCs w:val="18"/>
        </w:rPr>
      </w:pPr>
      <w:r>
        <w:rPr>
          <w:rFonts w:ascii="宋体" w:hAnsi="宋体" w:cs="宋体" w:eastAsia="宋体" w:hint="default"/>
          <w:b/>
          <w:bCs/>
          <w:sz w:val="18"/>
          <w:szCs w:val="18"/>
        </w:rPr>
        <w:t>（四）客户、供应商权益保护</w:t>
      </w:r>
      <w:r>
        <w:rPr>
          <w:rFonts w:ascii="宋体" w:hAnsi="宋体" w:cs="宋体" w:eastAsia="宋体" w:hint="default"/>
          <w:b/>
          <w:bCs/>
          <w:w w:val="99"/>
          <w:sz w:val="18"/>
          <w:szCs w:val="18"/>
        </w:rPr>
        <w:t> </w:t>
      </w:r>
      <w:r>
        <w:rPr>
          <w:rFonts w:ascii="宋体" w:hAnsi="宋体" w:cs="宋体" w:eastAsia="宋体" w:hint="default"/>
          <w:sz w:val="18"/>
          <w:szCs w:val="18"/>
        </w:rPr>
        <w:t>公司将诚信服务和和谐共进作为核心价值观，本着承担社会责任的宗旨，公司与客户和供应商建立深厚和长期良好的</w:t>
      </w:r>
    </w:p>
    <w:p>
      <w:pPr>
        <w:pStyle w:val="BodyText"/>
        <w:spacing w:line="240" w:lineRule="auto" w:before="8"/>
        <w:ind w:right="0"/>
        <w:jc w:val="both"/>
      </w:pPr>
      <w:r>
        <w:rPr/>
        <w:t>合作伙伴关系，充分尊重并保护客户和供应商的合法权益。</w:t>
      </w:r>
    </w:p>
    <w:p>
      <w:pPr>
        <w:spacing w:line="240" w:lineRule="auto" w:before="10"/>
        <w:rPr>
          <w:rFonts w:ascii="宋体" w:hAnsi="宋体" w:cs="宋体" w:eastAsia="宋体" w:hint="default"/>
          <w:sz w:val="17"/>
          <w:szCs w:val="17"/>
        </w:rPr>
      </w:pPr>
    </w:p>
    <w:p>
      <w:pPr>
        <w:pStyle w:val="BodyText"/>
        <w:spacing w:line="309" w:lineRule="auto"/>
        <w:ind w:right="144" w:firstLine="360"/>
        <w:jc w:val="left"/>
      </w:pPr>
      <w:r>
        <w:rPr/>
        <w:t>（</w:t>
      </w:r>
      <w:r>
        <w:rPr>
          <w:rFonts w:ascii="Times New Roman" w:hAnsi="Times New Roman" w:cs="Times New Roman" w:eastAsia="Times New Roman" w:hint="default"/>
        </w:rPr>
        <w:t>1</w:t>
      </w:r>
      <w:r>
        <w:rPr/>
        <w:t>）公司的主要客户是大型央企和地方大型国企，客户委托业务均严格遵守国家相关法律法规，主要采用公开招标模 式。公司通过公共媒体信息、客户邀约及合作伙伴的推荐来获取市场信息，根据具体项目的招标要求制定投标文件，参与 客户组织的公开招标，保证公平、公开、公正效果。</w:t>
      </w:r>
    </w:p>
    <w:p>
      <w:pPr>
        <w:spacing w:line="240" w:lineRule="auto" w:before="10"/>
        <w:rPr>
          <w:rFonts w:ascii="宋体" w:hAnsi="宋体" w:cs="宋体" w:eastAsia="宋体" w:hint="default"/>
          <w:sz w:val="13"/>
          <w:szCs w:val="13"/>
        </w:rPr>
      </w:pPr>
    </w:p>
    <w:p>
      <w:pPr>
        <w:pStyle w:val="BodyText"/>
        <w:spacing w:line="300" w:lineRule="auto"/>
        <w:ind w:right="248" w:firstLine="360"/>
        <w:jc w:val="left"/>
      </w:pPr>
      <w:r>
        <w:rPr/>
        <w:t>公司建立了完善的工程质量、环境和安全管理体系，获得中国电力联合会认证的</w:t>
      </w:r>
      <w:r>
        <w:rPr>
          <w:rFonts w:ascii="Times New Roman" w:hAnsi="Times New Roman" w:cs="Times New Roman" w:eastAsia="Times New Roman" w:hint="default"/>
        </w:rPr>
        <w:t>ISO9001:2015</w:t>
      </w:r>
      <w:r>
        <w:rPr/>
        <w:t>质量管理体系、 </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2015</w:t>
      </w:r>
      <w:r>
        <w:rPr/>
        <w:t>环境管理体系、</w:t>
      </w:r>
      <w:r>
        <w:rPr>
          <w:rFonts w:ascii="Times New Roman" w:hAnsi="Times New Roman" w:cs="Times New Roman" w:eastAsia="Times New Roman" w:hint="default"/>
        </w:rPr>
        <w:t>GB/T28001-2011</w:t>
      </w:r>
      <w:r>
        <w:rPr/>
        <w:t>职业健康安全管理体系证书；公司现拥有一支</w:t>
      </w:r>
      <w:r>
        <w:rPr>
          <w:rFonts w:ascii="Times New Roman" w:hAnsi="Times New Roman" w:cs="Times New Roman" w:eastAsia="Times New Roman" w:hint="default"/>
        </w:rPr>
        <w:t>628</w:t>
      </w:r>
      <w:r>
        <w:rPr/>
        <w:t>人的技术和管理专业团 队，其中，各类国家注册师</w:t>
      </w:r>
      <w:r>
        <w:rPr>
          <w:rFonts w:ascii="Times New Roman" w:hAnsi="Times New Roman" w:cs="Times New Roman" w:eastAsia="Times New Roman" w:hint="default"/>
        </w:rPr>
        <w:t>118</w:t>
      </w:r>
      <w:r>
        <w:rPr/>
        <w:t>人，高级工程师及以上</w:t>
      </w:r>
      <w:r>
        <w:rPr>
          <w:rFonts w:ascii="Times New Roman" w:hAnsi="Times New Roman" w:cs="Times New Roman" w:eastAsia="Times New Roman" w:hint="default"/>
        </w:rPr>
        <w:t>102</w:t>
      </w:r>
      <w:r>
        <w:rPr/>
        <w:t>人；公司的产品和服务多年来一直受到行业内和客户的高度认可 与赞誉。</w:t>
      </w:r>
    </w:p>
    <w:p>
      <w:pPr>
        <w:spacing w:line="240" w:lineRule="auto" w:before="4"/>
        <w:rPr>
          <w:rFonts w:ascii="宋体" w:hAnsi="宋体" w:cs="宋体" w:eastAsia="宋体" w:hint="default"/>
          <w:sz w:val="14"/>
          <w:szCs w:val="14"/>
        </w:rPr>
      </w:pPr>
    </w:p>
    <w:p>
      <w:pPr>
        <w:pStyle w:val="BodyText"/>
        <w:spacing w:line="309" w:lineRule="auto"/>
        <w:ind w:right="144" w:firstLine="360"/>
        <w:jc w:val="left"/>
      </w:pPr>
      <w:r>
        <w:rPr/>
        <w:t>（</w:t>
      </w:r>
      <w:r>
        <w:rPr>
          <w:rFonts w:ascii="Times New Roman" w:hAnsi="Times New Roman" w:cs="Times New Roman" w:eastAsia="Times New Roman" w:hint="default"/>
        </w:rPr>
        <w:t>2</w:t>
      </w:r>
      <w:r>
        <w:rPr/>
        <w:t>）公司建立完整的供应商管理体系，从供应商入库、选择、和评价等实施全过程管理。供应商的入库管理含资质、 人员、装备、业绩、经营和财务情况等；供应商的选择采用邀请招标或封闭式报价等形式，通过公司各项严谨完整的流程 确认；每年公司对供应商进行公平、公开和公正的年度绩效评价。公司通过全过程精细化管理，确保供应商的资质、资</w:t>
      </w:r>
    </w:p>
    <w:p>
      <w:pPr>
        <w:spacing w:after="0" w:line="309" w:lineRule="auto"/>
        <w:jc w:val="left"/>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信、技术能力等能全面满足公司的各项管理要求，提供的产品可以满足客户的要求。</w:t>
      </w:r>
    </w:p>
    <w:p>
      <w:pPr>
        <w:spacing w:line="470" w:lineRule="atLeast" w:before="0"/>
        <w:ind w:left="513" w:right="233" w:firstLine="0"/>
        <w:jc w:val="left"/>
        <w:rPr>
          <w:rFonts w:ascii="宋体" w:hAnsi="宋体" w:cs="宋体" w:eastAsia="宋体" w:hint="default"/>
          <w:sz w:val="18"/>
          <w:szCs w:val="18"/>
        </w:rPr>
      </w:pPr>
      <w:r>
        <w:rPr>
          <w:rFonts w:ascii="宋体" w:hAnsi="宋体" w:cs="宋体" w:eastAsia="宋体" w:hint="default"/>
          <w:b/>
          <w:bCs/>
          <w:sz w:val="18"/>
          <w:szCs w:val="18"/>
        </w:rPr>
        <w:t>（五）环境保护与可持续发展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公司坚持走可持续发展道路，力争成为核心竞争力突出、品牌和技术领先、具备较强的盈利能力和抗风险能力的优质</w:t>
      </w:r>
    </w:p>
    <w:p>
      <w:pPr>
        <w:pStyle w:val="BodyText"/>
        <w:spacing w:line="314" w:lineRule="auto" w:before="76"/>
        <w:ind w:right="234"/>
        <w:jc w:val="left"/>
      </w:pPr>
      <w:r>
        <w:rPr/>
        <w:t>上市公司。随着电力体制改革的不断深入，目前我国正处于低碳经济和节能减排的大环境中，公司紧跟行业发展趋势，注 重环境保护，优先发展天然气发电、风力发电、太阳能发电业务，通过加大相应的技术储备和提升业务能力使新能源发电 逐步成为公司的优势产品，在清洁能源及新能源发电（包括大型燃机及分布式能源站、风力发电、太阳能发电、生物质发 电、核电等）领域积累了丰富经验。公司积极开展海上风电关键技术研发、试验及示范，着力突破海上风电桩基、施工、 机组、检测、运维等关键技术，切实提升海上风电安全性、可靠性与经济性，形成公司海上风电的核心技术。公司承接多 项环保相关设计业务，例如为厦门瑞新热电有限公司锅炉进行环保改造，完成了一整套烟气脱硫系统和一整套</w:t>
      </w:r>
      <w:r>
        <w:rPr>
          <w:rFonts w:ascii="Times New Roman" w:hAnsi="Times New Roman" w:cs="Times New Roman" w:eastAsia="Times New Roman" w:hint="default"/>
        </w:rPr>
        <w:t>SNCR</w:t>
      </w:r>
      <w:r>
        <w:rPr/>
        <w:t>脱硝</w:t>
      </w:r>
      <w:r>
        <w:rPr>
          <w:w w:val="99"/>
        </w:rPr>
        <w:t> </w:t>
      </w:r>
      <w:r>
        <w:rPr/>
        <w:t>系统及</w:t>
      </w:r>
      <w:r>
        <w:rPr>
          <w:rFonts w:ascii="Times New Roman" w:hAnsi="Times New Roman" w:cs="Times New Roman" w:eastAsia="Times New Roman" w:hint="default"/>
        </w:rPr>
        <w:t>3</w:t>
      </w:r>
      <w:r>
        <w:rPr/>
        <w:t>套低氮燃烧烟气再循环系统。</w:t>
      </w:r>
    </w:p>
    <w:p>
      <w:pPr>
        <w:pStyle w:val="Heading5"/>
        <w:spacing w:line="240" w:lineRule="auto" w:before="157"/>
        <w:ind w:right="0"/>
        <w:jc w:val="left"/>
        <w:rPr>
          <w:b w:val="0"/>
          <w:bCs w:val="0"/>
        </w:rPr>
      </w:pPr>
      <w:r>
        <w:rPr/>
        <w:t>（六）社会公益事业</w:t>
      </w:r>
      <w:r>
        <w:rPr>
          <w:b w:val="0"/>
          <w:bCs w:val="0"/>
        </w:rPr>
      </w:r>
    </w:p>
    <w:p>
      <w:pPr>
        <w:spacing w:line="240" w:lineRule="auto" w:before="10"/>
        <w:rPr>
          <w:rFonts w:ascii="宋体" w:hAnsi="宋体" w:cs="宋体" w:eastAsia="宋体" w:hint="default"/>
          <w:b/>
          <w:bCs/>
          <w:sz w:val="17"/>
          <w:szCs w:val="17"/>
        </w:rPr>
      </w:pPr>
    </w:p>
    <w:p>
      <w:pPr>
        <w:pStyle w:val="BodyText"/>
        <w:spacing w:line="309" w:lineRule="auto"/>
        <w:ind w:right="250" w:firstLine="360"/>
        <w:jc w:val="both"/>
      </w:pPr>
      <w:r>
        <w:rPr/>
        <w:t>公司在力所能及的范围内，积极回馈社会，支持社会公益事业。公司在</w:t>
      </w:r>
      <w:r>
        <w:rPr>
          <w:rFonts w:ascii="Times New Roman" w:hAnsi="Times New Roman" w:cs="Times New Roman" w:eastAsia="Times New Roman" w:hint="default"/>
        </w:rPr>
        <w:t>2017</w:t>
      </w:r>
      <w:r>
        <w:rPr/>
        <w:t>年度与福建省仙游县大济镇古濑村民委员 会和仙游县扶贫促进会结对帮扶，向村集体企业签订农产品收购订单，有效地促进当地的多样化农产品开发销售，实现贫 困户增收。</w:t>
      </w:r>
    </w:p>
    <w:p>
      <w:pPr>
        <w:pStyle w:val="Heading3"/>
        <w:spacing w:line="240" w:lineRule="auto" w:before="159"/>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pStyle w:val="BodyText"/>
        <w:spacing w:line="319" w:lineRule="auto" w:before="198"/>
        <w:ind w:right="251" w:firstLine="360"/>
        <w:jc w:val="both"/>
      </w:pPr>
      <w:r>
        <w:rPr/>
        <w:t>公司积极响应政府扶贫号召，高度重视精准扶贫工作，结合福建多山，部分内陆山区落后贫困的现状，以及公司自身 的能力和特点，重点做好以下两方面的工作，一方面通过企村结对帮扶等途径，帮助贫困山区农村开拓特色农产品销售渠 道，促进农民增收，另一方面大力支持教育扶贫事业，资助贫困学生，改善贫困地区教育资源投入。</w:t>
      </w:r>
    </w:p>
    <w:p>
      <w:pPr>
        <w:pStyle w:val="Heading3"/>
        <w:spacing w:line="240" w:lineRule="auto" w:before="152"/>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pStyle w:val="BodyText"/>
        <w:spacing w:line="300" w:lineRule="auto" w:before="198"/>
        <w:ind w:right="148" w:firstLine="360"/>
        <w:jc w:val="both"/>
      </w:pPr>
      <w:r>
        <w:rPr>
          <w:spacing w:val="-2"/>
        </w:rPr>
        <w:t>贯彻落实政府精准扶贫的战略部署，响应政府动员民营企业力量参与扶贫开发的号召，公司在</w:t>
      </w:r>
      <w:r>
        <w:rPr>
          <w:rFonts w:ascii="Times New Roman" w:hAnsi="Times New Roman" w:cs="Times New Roman" w:eastAsia="Times New Roman" w:hint="default"/>
          <w:spacing w:val="-2"/>
        </w:rPr>
        <w:t>2017</w:t>
      </w:r>
      <w:r>
        <w:rPr>
          <w:spacing w:val="-2"/>
        </w:rPr>
        <w:t>年度与福建省仙游县</w:t>
      </w:r>
      <w:r>
        <w:rPr/>
        <w:t> 大济镇古濑村民委员会和仙游县扶贫促进会形成企村结对帮扶，向村集体企业签订农产品收购订单，累计投入</w:t>
      </w:r>
      <w:r>
        <w:rPr>
          <w:rFonts w:ascii="Times New Roman" w:hAnsi="Times New Roman" w:cs="Times New Roman" w:eastAsia="Times New Roman" w:hint="default"/>
        </w:rPr>
        <w:t>30.79</w:t>
      </w:r>
      <w:r>
        <w:rPr/>
        <w:t>万元，</w:t>
      </w:r>
      <w:r>
        <w:rPr>
          <w:spacing w:val="-39"/>
        </w:rPr>
        <w:t> </w:t>
      </w:r>
      <w:r>
        <w:rPr/>
        <w:t>有效地促进当地的多样化农产品开发销售，实现贫困户增收。</w:t>
      </w: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625"/>
        <w:gridCol w:w="1553"/>
        <w:gridCol w:w="4390"/>
      </w:tblGrid>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30.79</w:t>
            </w:r>
          </w:p>
        </w:tc>
      </w:tr>
      <w:tr>
        <w:trPr>
          <w:trHeight w:val="63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b/>
          <w:bCs/>
          <w:sz w:val="12"/>
          <w:szCs w:val="12"/>
        </w:rPr>
      </w:pPr>
    </w:p>
    <w:tbl>
      <w:tblPr>
        <w:tblW w:w="0" w:type="auto"/>
        <w:jc w:val="left"/>
        <w:tblInd w:w="181" w:type="dxa"/>
        <w:tblLayout w:type="fixed"/>
        <w:tblCellMar>
          <w:top w:w="0" w:type="dxa"/>
          <w:left w:w="0" w:type="dxa"/>
          <w:bottom w:w="0" w:type="dxa"/>
          <w:right w:w="0" w:type="dxa"/>
        </w:tblCellMar>
        <w:tblLook w:val="01E0"/>
      </w:tblPr>
      <w:tblGrid>
        <w:gridCol w:w="3625"/>
        <w:gridCol w:w="1553"/>
        <w:gridCol w:w="4390"/>
      </w:tblGrid>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30.79</w:t>
            </w:r>
          </w:p>
        </w:tc>
      </w:tr>
      <w:tr>
        <w:trPr>
          <w:trHeight w:val="63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63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8"/>
          <w:szCs w:val="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pStyle w:val="BodyText"/>
        <w:spacing w:line="319" w:lineRule="auto" w:before="198"/>
        <w:ind w:right="0" w:firstLine="360"/>
        <w:jc w:val="left"/>
      </w:pPr>
      <w:r>
        <w:rPr>
          <w:spacing w:val="-2"/>
        </w:rPr>
        <w:t>公司在巩固现有精准扶贫成果的基础上，将积极探索产业扶贫、教育扶贫等帮扶方式，以务实举措助力帮扶对象脱贫致</w:t>
      </w:r>
      <w:r>
        <w:rPr/>
        <w:t> 富进程。公司将根据实际情况，整合有关资源，参与到慈善总会发起的精准教育扶贫计划中。</w:t>
      </w:r>
    </w:p>
    <w:p>
      <w:pPr>
        <w:pStyle w:val="Heading3"/>
        <w:spacing w:line="240" w:lineRule="auto" w:before="152"/>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pStyle w:val="BodyText"/>
        <w:spacing w:line="477" w:lineRule="auto" w:before="198"/>
        <w:ind w:right="4734"/>
        <w:jc w:val="left"/>
      </w:pPr>
      <w:r>
        <w:rPr/>
        <w:t>上市公司及其子公司是否属于环境保护部门公布的重点排污单位 否</w:t>
      </w:r>
    </w:p>
    <w:p>
      <w:pPr>
        <w:pStyle w:val="BodyText"/>
        <w:spacing w:line="240" w:lineRule="auto" w:before="54"/>
        <w:ind w:left="513" w:right="0"/>
        <w:jc w:val="left"/>
      </w:pPr>
      <w:r>
        <w:rPr/>
        <w:t>公司及其子公司在日常生产经营中认真执行《中华人民共和国环境保护法》、《中华人民共和国水污染防治法》、</w:t>
      </w:r>
    </w:p>
    <w:p>
      <w:pPr>
        <w:pStyle w:val="BodyText"/>
        <w:spacing w:line="316" w:lineRule="auto" w:before="76"/>
        <w:ind w:right="414"/>
        <w:jc w:val="left"/>
      </w:pPr>
      <w:r>
        <w:rPr/>
        <w:t>《中华人民共和国大气污染防治法》、《中华人民共和国环境噪声污染防治法》、《中华人民共和国固体废物污染防治 法》等环保方面的法律法规，报告期内未出现因违反环境保护法律法规而受到行政处罚的情形。</w:t>
      </w:r>
    </w:p>
    <w:p>
      <w:pPr>
        <w:pStyle w:val="Heading2"/>
        <w:spacing w:line="240" w:lineRule="auto" w:before="126"/>
        <w:ind w:right="0"/>
        <w:jc w:val="left"/>
        <w:rPr>
          <w:b w:val="0"/>
          <w:bCs w:val="0"/>
        </w:rPr>
      </w:pPr>
      <w:r>
        <w:rPr/>
        <w:t>十八、其他重大事项的说明</w:t>
      </w:r>
      <w:r>
        <w:rPr>
          <w:b w:val="0"/>
          <w:bCs w:val="0"/>
        </w:rPr>
      </w:r>
    </w:p>
    <w:p>
      <w:pPr>
        <w:pStyle w:val="BodyText"/>
        <w:spacing w:line="477" w:lineRule="auto" w:before="203"/>
        <w:ind w:right="6174"/>
        <w:jc w:val="left"/>
      </w:pPr>
      <w:r>
        <w:rPr/>
        <w:t>□ 适用 √</w:t>
      </w:r>
      <w:r>
        <w:rPr>
          <w:spacing w:val="3"/>
        </w:rPr>
        <w:t> </w:t>
      </w:r>
      <w:r>
        <w:rPr/>
        <w:t>不适用</w:t>
      </w:r>
      <w:r>
        <w:rPr/>
        <w:t> 公司报告期不存在需要说明的其他重大事项。</w:t>
      </w:r>
    </w:p>
    <w:p>
      <w:pPr>
        <w:pStyle w:val="Heading2"/>
        <w:spacing w:line="240" w:lineRule="auto" w:before="5"/>
        <w:ind w:right="0"/>
        <w:jc w:val="left"/>
        <w:rPr>
          <w:b w:val="0"/>
          <w:bCs w:val="0"/>
        </w:rPr>
      </w:pPr>
      <w:r>
        <w:rPr/>
        <w:t>十九、公司子公司重大事项</w:t>
      </w:r>
      <w:r>
        <w:rPr>
          <w:b w:val="0"/>
          <w:bCs w:val="0"/>
        </w:rPr>
      </w:r>
    </w:p>
    <w:p>
      <w:pPr>
        <w:pStyle w:val="BodyText"/>
        <w:spacing w:line="240" w:lineRule="auto" w:before="202"/>
        <w:ind w:right="0"/>
        <w:jc w:val="left"/>
      </w:pPr>
      <w:r>
        <w:rPr/>
        <w:t>□ 适用 √</w:t>
      </w:r>
      <w:r>
        <w:rPr>
          <w:spacing w:val="3"/>
        </w:rPr>
        <w:t> </w:t>
      </w:r>
      <w:r>
        <w:rPr/>
        <w:t>不适用</w:t>
      </w:r>
    </w:p>
    <w:p>
      <w:pPr>
        <w:spacing w:after="0" w:line="240" w:lineRule="auto"/>
        <w:jc w:val="left"/>
        <w:sectPr>
          <w:pgSz w:w="11910" w:h="16840"/>
          <w:pgMar w:header="852" w:footer="979" w:top="1260" w:bottom="1160" w:left="980" w:right="980"/>
        </w:sectPr>
      </w:pPr>
    </w:p>
    <w:p>
      <w:pPr>
        <w:spacing w:line="240" w:lineRule="auto" w:before="7"/>
        <w:rPr>
          <w:rFonts w:ascii="宋体" w:hAnsi="宋体" w:cs="宋体" w:eastAsia="宋体" w:hint="default"/>
          <w:sz w:val="16"/>
          <w:szCs w:val="16"/>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一、股份变动情况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228"/>
        <w:gridCol w:w="824"/>
        <w:gridCol w:w="823"/>
        <w:gridCol w:w="821"/>
        <w:gridCol w:w="824"/>
        <w:gridCol w:w="821"/>
        <w:gridCol w:w="823"/>
        <w:gridCol w:w="821"/>
        <w:gridCol w:w="794"/>
        <w:gridCol w:w="794"/>
      </w:tblGrid>
      <w:tr>
        <w:trPr>
          <w:trHeight w:val="634"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6"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316"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75.00%</w:t>
            </w:r>
          </w:p>
        </w:tc>
      </w:tr>
      <w:tr>
        <w:trPr>
          <w:trHeight w:val="63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6,800,034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6,800,034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98,259,96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93.53%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98,259,96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70.15%</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94,485,96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89.94%</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94,485,96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67.45%</w:t>
            </w: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3,774,000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3,774,000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25.00%</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25.00%</w:t>
            </w:r>
          </w:p>
        </w:tc>
      </w:tr>
      <w:tr>
        <w:trPr>
          <w:trHeight w:val="949"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9"/>
          <w:szCs w:val="9"/>
        </w:rPr>
      </w:pPr>
    </w:p>
    <w:p>
      <w:pPr>
        <w:pStyle w:val="BodyText"/>
        <w:spacing w:line="240" w:lineRule="auto" w:before="44"/>
        <w:ind w:right="0"/>
        <w:jc w:val="both"/>
      </w:pPr>
      <w:r>
        <w:rPr/>
        <w:t>股份变动的原因</w:t>
      </w:r>
    </w:p>
    <w:p>
      <w:pPr>
        <w:pStyle w:val="BodyText"/>
        <w:spacing w:line="468" w:lineRule="exact" w:before="68"/>
        <w:ind w:left="513" w:right="293" w:hanging="361"/>
        <w:jc w:val="left"/>
      </w:pPr>
      <w:r>
        <w:rPr/>
        <w:t>√ 适用 □</w:t>
      </w:r>
      <w:r>
        <w:rPr>
          <w:spacing w:val="3"/>
        </w:rPr>
        <w:t> </w:t>
      </w:r>
      <w:r>
        <w:rPr/>
        <w:t>不适用</w:t>
      </w:r>
      <w:r>
        <w:rPr/>
        <w:t> 报告期内，根据中国证券监督管理委员会证监许可</w:t>
      </w:r>
      <w:r>
        <w:rPr>
          <w:rFonts w:ascii="Times New Roman" w:hAnsi="Times New Roman" w:cs="Times New Roman" w:eastAsia="Times New Roman" w:hint="default"/>
        </w:rPr>
        <w:t>[2017]1780</w:t>
      </w:r>
      <w:r>
        <w:rPr/>
        <w:t>号文《关于核准福建永福电力设计股份有限公司首次公</w:t>
      </w:r>
    </w:p>
    <w:p>
      <w:pPr>
        <w:pStyle w:val="BodyText"/>
        <w:spacing w:line="300" w:lineRule="auto" w:before="8"/>
        <w:ind w:right="160"/>
        <w:jc w:val="both"/>
      </w:pPr>
      <w:r>
        <w:rPr/>
        <w:t>开发行股票的批复》的核准，并经深圳交易所</w:t>
      </w:r>
      <w:r>
        <w:rPr>
          <w:rFonts w:ascii="Times New Roman" w:hAnsi="Times New Roman" w:cs="Times New Roman" w:eastAsia="Times New Roman" w:hint="default"/>
        </w:rPr>
        <w:t>[2017]682</w:t>
      </w:r>
      <w:r>
        <w:rPr/>
        <w:t>号文《关于福建永福电力设计股份有限公司人民币普通股股票在创 业板上市的通知》同意</w:t>
      </w:r>
      <w:r>
        <w:rPr>
          <w:rFonts w:ascii="Times New Roman" w:hAnsi="Times New Roman" w:cs="Times New Roman" w:eastAsia="Times New Roman" w:hint="default"/>
        </w:rPr>
        <w:t>,</w:t>
      </w:r>
      <w:r>
        <w:rPr/>
        <w:t>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3,502</w:t>
      </w:r>
      <w:r>
        <w:rPr/>
        <w:t>万股新股，每股发行价格</w:t>
      </w:r>
      <w:r>
        <w:rPr>
          <w:rFonts w:ascii="Times New Roman" w:hAnsi="Times New Roman" w:cs="Times New Roman" w:eastAsia="Times New Roman" w:hint="default"/>
        </w:rPr>
        <w:t>11.82</w:t>
      </w:r>
      <w:r>
        <w:rPr/>
        <w:t>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 深圳证券交易所创业板上市</w:t>
      </w:r>
      <w:r>
        <w:rPr>
          <w:rFonts w:ascii="Times New Roman" w:hAnsi="Times New Roman" w:cs="Times New Roman" w:eastAsia="Times New Roman" w:hint="default"/>
        </w:rPr>
        <w:t>,</w:t>
      </w:r>
      <w:r>
        <w:rPr/>
        <w:t>股票简称</w:t>
      </w:r>
      <w:r>
        <w:rPr>
          <w:rFonts w:ascii="Times New Roman" w:hAnsi="Times New Roman" w:cs="Times New Roman" w:eastAsia="Times New Roman" w:hint="default"/>
        </w:rPr>
        <w:t>“</w:t>
      </w:r>
      <w:r>
        <w:rPr/>
        <w:t>永福股份</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“300712”</w:t>
      </w:r>
      <w:r>
        <w:rPr/>
        <w:t>，本次发行的</w:t>
      </w:r>
      <w:r>
        <w:rPr>
          <w:rFonts w:ascii="Times New Roman" w:hAnsi="Times New Roman" w:cs="Times New Roman" w:eastAsia="Times New Roman" w:hint="default"/>
        </w:rPr>
        <w:t>3,502</w:t>
      </w:r>
      <w:r>
        <w:rPr/>
        <w:t>万股股票于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日起上市 交易。</w:t>
      </w:r>
    </w:p>
    <w:p>
      <w:pPr>
        <w:spacing w:line="240" w:lineRule="auto" w:before="4"/>
        <w:rPr>
          <w:rFonts w:ascii="宋体" w:hAnsi="宋体" w:cs="宋体" w:eastAsia="宋体" w:hint="default"/>
          <w:sz w:val="14"/>
          <w:szCs w:val="14"/>
        </w:rPr>
      </w:pPr>
    </w:p>
    <w:p>
      <w:pPr>
        <w:pStyle w:val="BodyText"/>
        <w:spacing w:line="240" w:lineRule="auto"/>
        <w:ind w:right="0"/>
        <w:jc w:val="both"/>
      </w:pPr>
      <w:r>
        <w:rPr/>
        <w:t>股份变动的批准情况</w:t>
      </w:r>
    </w:p>
    <w:p>
      <w:pPr>
        <w:spacing w:after="0" w:line="240" w:lineRule="auto"/>
        <w:jc w:val="both"/>
        <w:sectPr>
          <w:pgSz w:w="11910" w:h="16840"/>
          <w:pgMar w:header="852" w:footer="979" w:top="1260" w:bottom="1160" w:left="980" w:right="980"/>
        </w:sectPr>
      </w:pPr>
    </w:p>
    <w:p>
      <w:pPr>
        <w:spacing w:line="240" w:lineRule="auto" w:before="12"/>
        <w:rPr>
          <w:rFonts w:ascii="宋体" w:hAnsi="宋体" w:cs="宋体" w:eastAsia="宋体" w:hint="default"/>
          <w:sz w:val="9"/>
          <w:szCs w:val="9"/>
        </w:rPr>
      </w:pPr>
    </w:p>
    <w:p>
      <w:pPr>
        <w:pStyle w:val="BodyText"/>
        <w:spacing w:line="240" w:lineRule="auto" w:before="44"/>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451" w:lineRule="auto"/>
        <w:ind w:right="4064" w:firstLine="360"/>
        <w:jc w:val="left"/>
      </w:pPr>
      <w:r>
        <w:rPr/>
        <w:t>股份变动的批准情况同本章节</w:t>
      </w:r>
      <w:r>
        <w:rPr>
          <w:rFonts w:ascii="Times New Roman" w:hAnsi="Times New Roman" w:cs="Times New Roman" w:eastAsia="Times New Roman" w:hint="default"/>
        </w:rPr>
        <w:t>“1</w:t>
      </w:r>
      <w:r>
        <w:rPr/>
        <w:t>、股份变动情况</w:t>
      </w:r>
      <w:r>
        <w:rPr>
          <w:rFonts w:ascii="Times New Roman" w:hAnsi="Times New Roman" w:cs="Times New Roman" w:eastAsia="Times New Roman" w:hint="default"/>
        </w:rPr>
        <w:t>-</w:t>
      </w:r>
      <w:r>
        <w:rPr/>
        <w:t>股份变动的原因</w:t>
      </w:r>
      <w:r>
        <w:rPr>
          <w:rFonts w:ascii="Times New Roman" w:hAnsi="Times New Roman" w:cs="Times New Roman" w:eastAsia="Times New Roman" w:hint="default"/>
        </w:rPr>
        <w:t>”</w:t>
      </w:r>
      <w:r>
        <w:rPr/>
        <w:t>。 股份变动的过户情况</w:t>
      </w:r>
    </w:p>
    <w:p>
      <w:pPr>
        <w:pStyle w:val="BodyText"/>
        <w:spacing w:line="240" w:lineRule="auto" w:before="74"/>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300" w:lineRule="auto"/>
        <w:ind w:right="239" w:firstLine="360"/>
        <w:jc w:val="left"/>
      </w:pPr>
      <w:r>
        <w:rPr/>
        <w:t>报告期内，公司首次公开发行人民币普通股（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3,502</w:t>
      </w:r>
      <w:r>
        <w:rPr/>
        <w:t>万股，持有人新增股票已全部在中国证券登记结算有限 责任公司深圳分公司办理股权登记手续。</w:t>
      </w:r>
    </w:p>
    <w:p>
      <w:pPr>
        <w:spacing w:line="240" w:lineRule="auto" w:before="4"/>
        <w:rPr>
          <w:rFonts w:ascii="宋体" w:hAnsi="宋体" w:cs="宋体" w:eastAsia="宋体" w:hint="default"/>
          <w:sz w:val="14"/>
          <w:szCs w:val="14"/>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468" w:lineRule="exact" w:before="68"/>
        <w:ind w:left="515" w:right="0" w:hanging="363"/>
        <w:jc w:val="left"/>
      </w:pPr>
      <w:r>
        <w:rPr/>
        <w:t>√ 适用 □</w:t>
      </w:r>
      <w:r>
        <w:rPr>
          <w:spacing w:val="3"/>
        </w:rPr>
        <w:t> </w:t>
      </w:r>
      <w:r>
        <w:rPr/>
        <w:t>不适用</w:t>
      </w:r>
      <w:r>
        <w:rPr/>
        <w:t>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日发行新股，总股本由</w:t>
      </w:r>
      <w:r>
        <w:rPr>
          <w:rFonts w:ascii="Times New Roman" w:hAnsi="Times New Roman" w:cs="Times New Roman" w:eastAsia="Times New Roman" w:hint="default"/>
          <w:spacing w:val="-1"/>
        </w:rPr>
        <w:t>10,506</w:t>
      </w:r>
      <w:r>
        <w:rPr>
          <w:spacing w:val="-1"/>
        </w:rPr>
        <w:t>万股增加至</w:t>
      </w:r>
      <w:r>
        <w:rPr>
          <w:rFonts w:ascii="Times New Roman" w:hAnsi="Times New Roman" w:cs="Times New Roman" w:eastAsia="Times New Roman" w:hint="default"/>
          <w:spacing w:val="-1"/>
        </w:rPr>
        <w:t>14,008</w:t>
      </w:r>
      <w:r>
        <w:rPr>
          <w:spacing w:val="-1"/>
        </w:rPr>
        <w:t>万股。本次股份变动，对公司最近一期的基本每股</w:t>
      </w:r>
    </w:p>
    <w:p>
      <w:pPr>
        <w:pStyle w:val="BodyText"/>
        <w:spacing w:line="309" w:lineRule="auto" w:before="8"/>
        <w:ind w:right="234"/>
        <w:jc w:val="left"/>
      </w:pPr>
      <w:r>
        <w:rPr/>
        <w:t>收益、稀释每股收益及归属于公司普通股东的每股净资产等财务指标的影响情况如下：报告期公司基本每股收益、稀释每 股收益均为</w:t>
      </w:r>
      <w:r>
        <w:rPr>
          <w:rFonts w:ascii="Times New Roman" w:hAnsi="Times New Roman" w:cs="Times New Roman" w:eastAsia="Times New Roman" w:hint="default"/>
        </w:rPr>
        <w:t>0.6940</w:t>
      </w:r>
      <w:r>
        <w:rPr/>
        <w:t>元</w:t>
      </w:r>
      <w:r>
        <w:rPr>
          <w:rFonts w:ascii="Times New Roman" w:hAnsi="Times New Roman" w:cs="Times New Roman" w:eastAsia="Times New Roman" w:hint="default"/>
        </w:rPr>
        <w:t>/</w:t>
      </w:r>
      <w:r>
        <w:rPr/>
        <w:t>股，比去年同期减少</w:t>
      </w:r>
      <w:r>
        <w:rPr>
          <w:rFonts w:ascii="Times New Roman" w:hAnsi="Times New Roman" w:cs="Times New Roman" w:eastAsia="Times New Roman" w:hint="default"/>
        </w:rPr>
        <w:t>0.53%</w:t>
      </w:r>
      <w:r>
        <w:rPr/>
        <w:t>，报告期末归属于公司普通股东的每股净资产为</w:t>
      </w:r>
      <w:r>
        <w:rPr>
          <w:rFonts w:ascii="Times New Roman" w:hAnsi="Times New Roman" w:cs="Times New Roman" w:eastAsia="Times New Roman" w:hint="default"/>
        </w:rPr>
        <w:t>6.21</w:t>
      </w:r>
      <w:r>
        <w:rPr/>
        <w:t>元，较上期末增长 </w:t>
      </w:r>
      <w:r>
        <w:rPr>
          <w:rFonts w:ascii="Times New Roman" w:hAnsi="Times New Roman" w:cs="Times New Roman" w:eastAsia="Times New Roman" w:hint="default"/>
        </w:rPr>
        <w:t>55.64%</w:t>
      </w:r>
      <w:r>
        <w:rPr/>
        <w:t>。</w:t>
      </w:r>
    </w:p>
    <w:p>
      <w:pPr>
        <w:pStyle w:val="BodyText"/>
        <w:spacing w:line="240" w:lineRule="auto" w:before="161"/>
        <w:ind w:right="0"/>
        <w:jc w:val="left"/>
      </w:pPr>
      <w:r>
        <w:rPr/>
        <w:t>公司认为必要或证券监管机构要求披露的其他内容</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单位：股</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946"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福州博宏投资管 理有限公司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41,995,950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41,995,950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65"/>
              <w:jc w:val="both"/>
              <w:rPr>
                <w:rFonts w:ascii="宋体" w:hAnsi="宋体" w:cs="宋体" w:eastAsia="宋体" w:hint="default"/>
                <w:sz w:val="18"/>
                <w:szCs w:val="18"/>
              </w:rPr>
            </w:pPr>
            <w:r>
              <w:rPr>
                <w:rFonts w:ascii="宋体" w:hAnsi="宋体" w:cs="宋体" w:eastAsia="宋体" w:hint="default"/>
                <w:sz w:val="18"/>
                <w:szCs w:val="18"/>
              </w:rPr>
              <w:t>福州永福恒诚投 资管理股份有限 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34,216,716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34,216,716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26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65"/>
              <w:jc w:val="both"/>
              <w:rPr>
                <w:rFonts w:ascii="宋体" w:hAnsi="宋体" w:cs="宋体" w:eastAsia="宋体" w:hint="default"/>
                <w:sz w:val="18"/>
                <w:szCs w:val="18"/>
              </w:rPr>
            </w:pPr>
            <w:r>
              <w:rPr>
                <w:rFonts w:ascii="宋体" w:hAnsi="宋体" w:cs="宋体" w:eastAsia="宋体" w:hint="default"/>
                <w:sz w:val="18"/>
                <w:szCs w:val="18"/>
              </w:rPr>
              <w:t>福建省平潭卓成 股权投资合伙企 业（有限合伙）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65"/>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 接股权投资基金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6,800,034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6,800,034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65"/>
              <w:jc w:val="left"/>
              <w:rPr>
                <w:rFonts w:ascii="宋体" w:hAnsi="宋体" w:cs="宋体" w:eastAsia="宋体" w:hint="default"/>
                <w:sz w:val="18"/>
                <w:szCs w:val="18"/>
              </w:rPr>
            </w:pPr>
            <w:r>
              <w:rPr>
                <w:rFonts w:ascii="宋体" w:hAnsi="宋体" w:cs="宋体" w:eastAsia="宋体" w:hint="default"/>
                <w:sz w:val="18"/>
                <w:szCs w:val="18"/>
              </w:rPr>
              <w:t>青岛汉缆股份有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4,080,000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65"/>
              <w:jc w:val="both"/>
              <w:rPr>
                <w:rFonts w:ascii="宋体" w:hAnsi="宋体" w:cs="宋体" w:eastAsia="宋体" w:hint="default"/>
                <w:sz w:val="18"/>
                <w:szCs w:val="18"/>
              </w:rPr>
            </w:pPr>
            <w:r>
              <w:rPr>
                <w:rFonts w:ascii="宋体" w:hAnsi="宋体" w:cs="宋体" w:eastAsia="宋体" w:hint="default"/>
                <w:sz w:val="18"/>
                <w:szCs w:val="18"/>
              </w:rPr>
              <w:t>福建省永福博发 投资股份有限公 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3,483,300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3,483,300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林文丹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57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65"/>
              <w:jc w:val="left"/>
              <w:rPr>
                <w:rFonts w:ascii="宋体" w:hAnsi="宋体" w:cs="宋体" w:eastAsia="宋体" w:hint="default"/>
                <w:sz w:val="18"/>
                <w:szCs w:val="18"/>
              </w:rPr>
            </w:pPr>
            <w:r>
              <w:rPr>
                <w:rFonts w:ascii="宋体" w:hAnsi="宋体" w:cs="宋体" w:eastAsia="宋体" w:hint="default"/>
                <w:sz w:val="18"/>
                <w:szCs w:val="18"/>
              </w:rPr>
              <w:t>宁波梅山保税港 区领慧投资合伙 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林华明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714,000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714,000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34"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105,060,000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6"/>
          <w:szCs w:val="6"/>
        </w:rPr>
      </w:pPr>
    </w:p>
    <w:p>
      <w:pPr>
        <w:pStyle w:val="Heading2"/>
        <w:spacing w:line="240" w:lineRule="auto" w:before="26"/>
        <w:ind w:right="0"/>
        <w:jc w:val="left"/>
        <w:rPr>
          <w:b w:val="0"/>
          <w:bCs w:val="0"/>
        </w:rPr>
      </w:pPr>
      <w:r>
        <w:rPr/>
        <w:t>二、证券发行与上市情况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12"/>
        <w:gridCol w:w="1294"/>
        <w:gridCol w:w="1294"/>
        <w:gridCol w:w="1296"/>
        <w:gridCol w:w="1296"/>
        <w:gridCol w:w="1297"/>
        <w:gridCol w:w="1682"/>
      </w:tblGrid>
      <w:tr>
        <w:trPr>
          <w:trHeight w:val="94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71" w:right="98"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63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94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3" w:right="0"/>
              <w:jc w:val="left"/>
              <w:rPr>
                <w:rFonts w:ascii="Times New Roman" w:hAnsi="Times New Roman" w:cs="Times New Roman" w:eastAsia="Times New Roman" w:hint="default"/>
                <w:sz w:val="18"/>
                <w:szCs w:val="18"/>
              </w:rPr>
            </w:pPr>
            <w:r>
              <w:rPr>
                <w:rFonts w:ascii="Times New Roman"/>
                <w:sz w:val="18"/>
              </w:rPr>
              <w:t>35,020,000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35,020,000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63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报告期内证券发行（不含优先股）情况的说明</w:t>
      </w:r>
    </w:p>
    <w:p>
      <w:pPr>
        <w:spacing w:line="240" w:lineRule="auto" w:before="10"/>
        <w:rPr>
          <w:rFonts w:ascii="宋体" w:hAnsi="宋体" w:cs="宋体" w:eastAsia="宋体" w:hint="default"/>
          <w:sz w:val="17"/>
          <w:szCs w:val="17"/>
        </w:rPr>
      </w:pPr>
    </w:p>
    <w:p>
      <w:pPr>
        <w:pStyle w:val="BodyText"/>
        <w:spacing w:line="300" w:lineRule="auto"/>
        <w:ind w:right="159" w:firstLine="360"/>
        <w:jc w:val="left"/>
      </w:pPr>
      <w:r>
        <w:rPr/>
        <w:t>报告期内，根据中国证券监督管理委员会证监许可</w:t>
      </w:r>
      <w:r>
        <w:rPr>
          <w:rFonts w:ascii="Times New Roman" w:hAnsi="Times New Roman" w:cs="Times New Roman" w:eastAsia="Times New Roman" w:hint="default"/>
        </w:rPr>
        <w:t>[2017]1780</w:t>
      </w:r>
      <w:r>
        <w:rPr/>
        <w:t>号文《关于核准福建永福电力设计股份有限公司首次公 开发行股票的批复》核准</w:t>
      </w:r>
      <w:r>
        <w:rPr>
          <w:rFonts w:ascii="Times New Roman" w:hAnsi="Times New Roman" w:cs="Times New Roman" w:eastAsia="Times New Roman" w:hint="default"/>
        </w:rPr>
        <w:t>,</w:t>
      </w:r>
      <w:r>
        <w:rPr/>
        <w:t>并经深圳交易所</w:t>
      </w:r>
      <w:r>
        <w:rPr>
          <w:rFonts w:ascii="Times New Roman" w:hAnsi="Times New Roman" w:cs="Times New Roman" w:eastAsia="Times New Roman" w:hint="default"/>
        </w:rPr>
        <w:t>[2017]682</w:t>
      </w:r>
      <w:r>
        <w:rPr/>
        <w:t>号文《关于福建永福电力设计股份有限公司人民币普通股股票在创业板 上市的通知》同意，公司公开发行人民币普通股（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3,502</w:t>
      </w:r>
      <w:r>
        <w:rPr/>
        <w:t>万股新股，每股发行价格</w:t>
      </w:r>
      <w:r>
        <w:rPr>
          <w:rFonts w:ascii="Times New Roman" w:hAnsi="Times New Roman" w:cs="Times New Roman" w:eastAsia="Times New Roman" w:hint="default"/>
        </w:rPr>
        <w:t>11.82</w:t>
      </w:r>
      <w:r>
        <w:rPr/>
        <w:t>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日在深 圳证券交易所创业板上市。首次公开发行后，股本增加到</w:t>
      </w:r>
      <w:r>
        <w:rPr>
          <w:rFonts w:ascii="Times New Roman" w:hAnsi="Times New Roman" w:cs="Times New Roman" w:eastAsia="Times New Roman" w:hint="default"/>
        </w:rPr>
        <w:t>14,008</w:t>
      </w:r>
      <w:r>
        <w:rPr/>
        <w:t>万股，新增股份已全部在中国证券登记结算有限责任公司 深圳分公司办理股份登记手续。</w:t>
      </w:r>
    </w:p>
    <w:p>
      <w:pPr>
        <w:spacing w:after="0" w:line="300" w:lineRule="auto"/>
        <w:jc w:val="left"/>
        <w:sectPr>
          <w:pgSz w:w="11910" w:h="16840"/>
          <w:pgMar w:header="852" w:footer="979" w:top="1260" w:bottom="1160" w:left="980" w:right="980"/>
        </w:sectPr>
      </w:pPr>
    </w:p>
    <w:p>
      <w:pPr>
        <w:spacing w:line="240" w:lineRule="auto" w:before="13"/>
        <w:rPr>
          <w:rFonts w:ascii="宋体" w:hAnsi="宋体" w:cs="宋体" w:eastAsia="宋体" w:hint="default"/>
          <w:sz w:val="8"/>
          <w:szCs w:val="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468" w:lineRule="exact" w:before="33"/>
        <w:ind w:left="513" w:right="293" w:hanging="361"/>
        <w:jc w:val="left"/>
      </w:pPr>
      <w:r>
        <w:rPr/>
        <w:t>√ 适用 □</w:t>
      </w:r>
      <w:r>
        <w:rPr>
          <w:spacing w:val="3"/>
        </w:rPr>
        <w:t> </w:t>
      </w:r>
      <w:r>
        <w:rPr/>
        <w:t>不适用</w:t>
      </w:r>
      <w:r>
        <w:rPr/>
        <w:t> 报告期内，根据中国证券监督管理委员会证监许可</w:t>
      </w:r>
      <w:r>
        <w:rPr>
          <w:rFonts w:ascii="Times New Roman" w:hAnsi="Times New Roman" w:cs="Times New Roman" w:eastAsia="Times New Roman" w:hint="default"/>
        </w:rPr>
        <w:t>[2017]1780</w:t>
      </w:r>
      <w:r>
        <w:rPr/>
        <w:t>号文《关于核准福建永福电力设计股份有限公司首次公</w:t>
      </w:r>
    </w:p>
    <w:p>
      <w:pPr>
        <w:pStyle w:val="BodyText"/>
        <w:spacing w:line="300" w:lineRule="auto" w:before="8"/>
        <w:ind w:right="144"/>
        <w:jc w:val="left"/>
      </w:pPr>
      <w:r>
        <w:rPr/>
        <w:t>开发行股票的批复》核准</w:t>
      </w:r>
      <w:r>
        <w:rPr>
          <w:rFonts w:ascii="Times New Roman" w:hAnsi="Times New Roman" w:cs="Times New Roman" w:eastAsia="Times New Roman" w:hint="default"/>
        </w:rPr>
        <w:t>,</w:t>
      </w:r>
      <w:r>
        <w:rPr/>
        <w:t>并经深圳交易所</w:t>
      </w:r>
      <w:r>
        <w:rPr>
          <w:rFonts w:ascii="Times New Roman" w:hAnsi="Times New Roman" w:cs="Times New Roman" w:eastAsia="Times New Roman" w:hint="default"/>
        </w:rPr>
        <w:t>[2017]682</w:t>
      </w:r>
      <w:r>
        <w:rPr/>
        <w:t>号文《关于福建永福电力设计股份有限公司人民币普通股股票在创业板 上市的通知》同意，公司公开发行人民币普通股（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3,502</w:t>
      </w:r>
      <w:r>
        <w:rPr/>
        <w:t>万股新股，每股发行价格</w:t>
      </w:r>
      <w:r>
        <w:rPr>
          <w:rFonts w:ascii="Times New Roman" w:hAnsi="Times New Roman" w:cs="Times New Roman" w:eastAsia="Times New Roman" w:hint="default"/>
        </w:rPr>
        <w:t>11.82</w:t>
      </w:r>
      <w:r>
        <w:rPr/>
        <w:t>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日在深 圳证券交易所创业板上市。新股发行，导致公司总股数从</w:t>
      </w:r>
      <w:r>
        <w:rPr>
          <w:rFonts w:ascii="Times New Roman" w:hAnsi="Times New Roman" w:cs="Times New Roman" w:eastAsia="Times New Roman" w:hint="default"/>
        </w:rPr>
        <w:t>10,506</w:t>
      </w:r>
      <w:r>
        <w:rPr/>
        <w:t>万股增加至</w:t>
      </w:r>
      <w:r>
        <w:rPr>
          <w:rFonts w:ascii="Times New Roman" w:hAnsi="Times New Roman" w:cs="Times New Roman" w:eastAsia="Times New Roman" w:hint="default"/>
        </w:rPr>
        <w:t>14,008</w:t>
      </w:r>
      <w:r>
        <w:rPr/>
        <w:t>万股，本次新发行的公司股份为社会公众 股，占公司总股本的</w:t>
      </w:r>
      <w:r>
        <w:rPr>
          <w:rFonts w:ascii="Times New Roman" w:hAnsi="Times New Roman" w:cs="Times New Roman" w:eastAsia="Times New Roman" w:hint="default"/>
        </w:rPr>
        <w:t>25%</w:t>
      </w:r>
      <w:r>
        <w:rPr/>
        <w:t>。新股发行募集资金扣除发行费用后，净额</w:t>
      </w:r>
      <w:r>
        <w:rPr>
          <w:rFonts w:ascii="Times New Roman" w:hAnsi="Times New Roman" w:cs="Times New Roman" w:eastAsia="Times New Roman" w:hint="default"/>
        </w:rPr>
        <w:t>37,409</w:t>
      </w:r>
      <w:r>
        <w:rPr/>
        <w:t>万元，导致公司资产大幅增加。因募集资金中 偿还贷款项目，短期借款较年初减少，其他负债规模基本与年初持平。</w:t>
      </w: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三、股东和实际控制人情况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pStyle w:val="BodyText"/>
        <w:spacing w:line="240" w:lineRule="auto" w:before="198"/>
        <w:ind w:left="0" w:right="151"/>
        <w:jc w:val="right"/>
      </w:pPr>
      <w:r>
        <w:rPr/>
        <w:t>单位：股</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35"/>
        <w:gridCol w:w="134"/>
        <w:gridCol w:w="661"/>
        <w:gridCol w:w="751"/>
        <w:gridCol w:w="749"/>
        <w:gridCol w:w="826"/>
        <w:gridCol w:w="332"/>
        <w:gridCol w:w="455"/>
        <w:gridCol w:w="830"/>
        <w:gridCol w:w="797"/>
        <w:gridCol w:w="311"/>
        <w:gridCol w:w="1039"/>
        <w:gridCol w:w="290"/>
        <w:gridCol w:w="1058"/>
      </w:tblGrid>
      <w:tr>
        <w:trPr>
          <w:trHeight w:val="2199"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26,632</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1"/>
              <w:ind w:left="22" w:right="20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22,102</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2" w:right="34"/>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 </w:t>
            </w:r>
            <w:r>
              <w:rPr>
                <w:rFonts w:ascii="宋体" w:hAnsi="宋体" w:cs="宋体" w:eastAsia="宋体" w:hint="default"/>
                <w:spacing w:val="-16"/>
                <w:sz w:val="18"/>
                <w:szCs w:val="18"/>
              </w:rPr>
              <w:t>有）（参见注</w:t>
            </w:r>
          </w:p>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635"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67"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 w:right="7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5"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94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4" w:right="173"/>
              <w:jc w:val="left"/>
              <w:rPr>
                <w:rFonts w:ascii="宋体" w:hAnsi="宋体" w:cs="宋体" w:eastAsia="宋体" w:hint="default"/>
                <w:sz w:val="18"/>
                <w:szCs w:val="18"/>
              </w:rPr>
            </w:pPr>
            <w:r>
              <w:rPr>
                <w:rFonts w:ascii="宋体" w:hAnsi="宋体" w:cs="宋体" w:eastAsia="宋体" w:hint="default"/>
                <w:sz w:val="18"/>
                <w:szCs w:val="18"/>
              </w:rPr>
              <w:t>福州博宏投资管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29.98%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41,995,95</w:t>
            </w:r>
          </w:p>
          <w:p>
            <w:pPr>
              <w:pStyle w:val="TableParagraph"/>
              <w:spacing w:line="240" w:lineRule="auto" w:before="105"/>
              <w:ind w:right="66"/>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福州永福恒诚投 资管理股份有限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34,216,71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4"/>
              <w:jc w:val="right"/>
              <w:rPr>
                <w:rFonts w:ascii="Times New Roman" w:hAnsi="Times New Roman" w:cs="Times New Roman" w:eastAsia="Times New Roman" w:hint="default"/>
                <w:sz w:val="18"/>
                <w:szCs w:val="18"/>
              </w:rPr>
            </w:pPr>
            <w:r>
              <w:rPr>
                <w:rFonts w:ascii="Times New Roman"/>
                <w:spacing w:val="-1"/>
                <w:sz w:val="18"/>
              </w:rPr>
              <w:t>34,216,71</w:t>
            </w:r>
          </w:p>
          <w:p>
            <w:pPr>
              <w:pStyle w:val="TableParagraph"/>
              <w:spacing w:line="240" w:lineRule="auto" w:before="105"/>
              <w:ind w:right="66"/>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福建省平潭卓成 股权投资合伙企 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7,650,000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比利时直接 股权投资基金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4.85%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6,800,034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4"/>
              <w:jc w:val="right"/>
              <w:rPr>
                <w:rFonts w:ascii="Times New Roman" w:hAnsi="Times New Roman" w:cs="Times New Roman" w:eastAsia="Times New Roman" w:hint="default"/>
                <w:sz w:val="18"/>
                <w:szCs w:val="18"/>
              </w:rPr>
            </w:pPr>
            <w:r>
              <w:rPr>
                <w:rFonts w:ascii="Times New Roman"/>
                <w:spacing w:val="-1"/>
                <w:sz w:val="18"/>
              </w:rPr>
              <w:t>6,800,034</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469"/>
        <w:gridCol w:w="1412"/>
        <w:gridCol w:w="787"/>
        <w:gridCol w:w="787"/>
        <w:gridCol w:w="788"/>
        <w:gridCol w:w="787"/>
        <w:gridCol w:w="840"/>
        <w:gridCol w:w="1349"/>
        <w:gridCol w:w="1349"/>
      </w:tblGrid>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青岛汉缆股份有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4,080,000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4,080,000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福建省永福博发 投资股份有限公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3,483,300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3,483,300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林文丹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3,073,000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57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4" w:right="173"/>
              <w:jc w:val="left"/>
              <w:rPr>
                <w:rFonts w:ascii="宋体" w:hAnsi="宋体" w:cs="宋体" w:eastAsia="宋体" w:hint="default"/>
                <w:sz w:val="18"/>
                <w:szCs w:val="18"/>
              </w:rPr>
            </w:pPr>
            <w:r>
              <w:rPr>
                <w:rFonts w:ascii="宋体" w:hAnsi="宋体" w:cs="宋体" w:eastAsia="宋体" w:hint="default"/>
                <w:sz w:val="18"/>
                <w:szCs w:val="18"/>
              </w:rPr>
              <w:t>宁波梅山保税港 区领慧投资合伙 企业（有限合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国开证券有限责 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2,225,922</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2,225,922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林华明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3" w:right="80" w:firstLine="360"/>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福州博宏投资管理有限公司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福州永福恒诚投资管理股份有限公司和福 建省永福博发投资股份有限公司均为公司实际控制人控制，为公司的控股股东。</w:t>
            </w:r>
          </w:p>
        </w:tc>
      </w:tr>
      <w:tr>
        <w:trPr>
          <w:trHeight w:val="635"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2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1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31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国开证券有限责任公司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2,225,922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2,225,922</w:t>
            </w:r>
          </w:p>
        </w:tc>
      </w:tr>
      <w:tr>
        <w:trPr>
          <w:trHeight w:val="63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418,537</w:t>
            </w:r>
          </w:p>
        </w:tc>
      </w:tr>
      <w:tr>
        <w:trPr>
          <w:trHeight w:val="63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w:t>
            </w:r>
          </w:p>
        </w:tc>
      </w:tr>
      <w:tr>
        <w:trPr>
          <w:trHeight w:val="63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张红艳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134,700</w:t>
            </w:r>
          </w:p>
        </w:tc>
      </w:tr>
      <w:tr>
        <w:trPr>
          <w:trHeight w:val="63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王巨海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133,013</w:t>
            </w:r>
          </w:p>
        </w:tc>
      </w:tr>
      <w:tr>
        <w:trPr>
          <w:trHeight w:val="63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叶振朗</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5"/>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2881"/>
        <w:gridCol w:w="3989"/>
        <w:gridCol w:w="1349"/>
        <w:gridCol w:w="1349"/>
      </w:tblGrid>
      <w:tr>
        <w:trPr>
          <w:trHeight w:val="63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吴霖</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100,500</w:t>
            </w:r>
          </w:p>
        </w:tc>
      </w:tr>
      <w:tr>
        <w:trPr>
          <w:trHeight w:val="63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隋敏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93,800</w:t>
            </w:r>
          </w:p>
        </w:tc>
      </w:tr>
      <w:tr>
        <w:trPr>
          <w:trHeight w:val="63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罗忠平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92,400</w:t>
            </w:r>
          </w:p>
        </w:tc>
      </w:tr>
      <w:tr>
        <w:trPr>
          <w:trHeight w:val="63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王国水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88,300</w:t>
            </w:r>
          </w:p>
        </w:tc>
      </w:tr>
      <w:tr>
        <w:trPr>
          <w:trHeight w:val="157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3" w:right="171" w:firstLine="360"/>
              <w:jc w:val="left"/>
              <w:rPr>
                <w:rFonts w:ascii="宋体" w:hAnsi="宋体" w:cs="宋体" w:eastAsia="宋体" w:hint="default"/>
                <w:sz w:val="18"/>
                <w:szCs w:val="18"/>
              </w:rPr>
            </w:pPr>
            <w:r>
              <w:rPr>
                <w:rFonts w:ascii="宋体" w:hAnsi="宋体" w:cs="宋体" w:eastAsia="宋体" w:hint="default"/>
                <w:sz w:val="18"/>
                <w:szCs w:val="18"/>
              </w:rPr>
              <w:t>公司未知上述股东之间以及上述股东和前十名股东之间是否存在关联关系，也 未知是否属于一致行动人。</w:t>
            </w:r>
          </w:p>
        </w:tc>
      </w:tr>
      <w:tr>
        <w:trPr>
          <w:trHeight w:val="94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公司股东叶振朗除通过普通证券账户持有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股外，还通过东莞证券股份有限公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5"/>
        <w:rPr>
          <w:rFonts w:ascii="Times New Roman" w:hAnsi="Times New Roman" w:cs="Times New Roman" w:eastAsia="Times New Roman" w:hint="default"/>
          <w:sz w:val="10"/>
          <w:szCs w:val="10"/>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9"/>
        <w:rPr>
          <w:rFonts w:ascii="宋体" w:hAnsi="宋体" w:cs="宋体" w:eastAsia="宋体" w:hint="default"/>
          <w:sz w:val="16"/>
          <w:szCs w:val="16"/>
        </w:rPr>
      </w:pPr>
    </w:p>
    <w:p>
      <w:pPr>
        <w:pStyle w:val="BodyText"/>
        <w:spacing w:line="240" w:lineRule="auto"/>
        <w:ind w:right="0"/>
        <w:jc w:val="left"/>
      </w:pPr>
      <w:r>
        <w:rPr/>
        <w:t>□ 是 √</w:t>
      </w:r>
      <w:r>
        <w:rPr>
          <w:spacing w:val="3"/>
        </w:rPr>
        <w:t> </w:t>
      </w:r>
      <w:r>
        <w:rPr/>
        <w:t>否</w:t>
      </w:r>
    </w:p>
    <w:p>
      <w:pPr>
        <w:spacing w:line="240" w:lineRule="auto" w:before="10"/>
        <w:rPr>
          <w:rFonts w:ascii="宋体" w:hAnsi="宋体" w:cs="宋体" w:eastAsia="宋体" w:hint="default"/>
          <w:sz w:val="17"/>
          <w:szCs w:val="17"/>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pStyle w:val="BodyText"/>
        <w:spacing w:line="477" w:lineRule="auto" w:before="198"/>
        <w:ind w:right="7614"/>
        <w:jc w:val="left"/>
      </w:pPr>
      <w:r>
        <w:rPr/>
        <w:t>控股股东性质：自然人控股 控股股东类型：法人</w:t>
      </w:r>
    </w:p>
    <w:p>
      <w:pPr>
        <w:spacing w:line="240" w:lineRule="auto" w:before="7"/>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199"/>
        <w:gridCol w:w="1793"/>
        <w:gridCol w:w="1592"/>
        <w:gridCol w:w="1754"/>
        <w:gridCol w:w="2230"/>
      </w:tblGrid>
      <w:tr>
        <w:trPr>
          <w:trHeight w:val="94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19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24" w:right="183"/>
              <w:jc w:val="left"/>
              <w:rPr>
                <w:rFonts w:ascii="宋体" w:hAnsi="宋体" w:cs="宋体" w:eastAsia="宋体" w:hint="default"/>
                <w:sz w:val="18"/>
                <w:szCs w:val="18"/>
              </w:rPr>
            </w:pPr>
            <w:r>
              <w:rPr>
                <w:rFonts w:ascii="宋体" w:hAnsi="宋体" w:cs="宋体" w:eastAsia="宋体" w:hint="default"/>
                <w:sz w:val="18"/>
                <w:szCs w:val="18"/>
              </w:rPr>
              <w:t>福州博宏投资管理有限公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91350100060378750J</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4" w:lineRule="auto"/>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投资管理；对电力业、房地 产业、通讯业、计算机网络 的投资；企业资产管理；企 业管理咨询。</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 准的项目，经相关部门批准 后方可开展经营活动</w:t>
            </w:r>
            <w:r>
              <w:rPr>
                <w:rFonts w:ascii="Times New Roman" w:hAnsi="Times New Roman" w:cs="Times New Roman" w:eastAsia="Times New Roman" w:hint="default"/>
                <w:sz w:val="18"/>
                <w:szCs w:val="18"/>
              </w:rPr>
              <w:t>)</w:t>
            </w:r>
          </w:p>
        </w:tc>
      </w:tr>
      <w:tr>
        <w:trPr>
          <w:trHeight w:val="219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福州永福恒诚投资管理股 份有限公司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0"/>
              <w:jc w:val="center"/>
              <w:rPr>
                <w:rFonts w:ascii="Times New Roman" w:hAnsi="Times New Roman" w:cs="Times New Roman" w:eastAsia="Times New Roman" w:hint="default"/>
                <w:sz w:val="18"/>
                <w:szCs w:val="18"/>
              </w:rPr>
            </w:pPr>
            <w:r>
              <w:rPr>
                <w:rFonts w:ascii="Times New Roman"/>
                <w:sz w:val="18"/>
              </w:rPr>
              <w:t>913501000603524468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对电力业、房地产业、通讯 业、计算机网络的投资及资 产管理，企业管理咨询。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 相关部门批准后方可开展经 营活动</w:t>
            </w:r>
            <w:r>
              <w:rPr>
                <w:rFonts w:ascii="Times New Roman" w:hAnsi="Times New Roman" w:cs="Times New Roman" w:eastAsia="Times New Roman" w:hint="default"/>
                <w:sz w:val="18"/>
                <w:szCs w:val="18"/>
              </w:rPr>
              <w:t>)</w:t>
            </w:r>
          </w:p>
        </w:tc>
      </w:tr>
    </w:tbl>
    <w:p>
      <w:pPr>
        <w:spacing w:after="0" w:line="314" w:lineRule="auto"/>
        <w:jc w:val="left"/>
        <w:rPr>
          <w:rFonts w:ascii="Times New Roman" w:hAnsi="Times New Roman" w:cs="Times New Roman" w:eastAsia="Times New Roman" w:hint="default"/>
          <w:sz w:val="18"/>
          <w:szCs w:val="18"/>
        </w:rPr>
        <w:sectPr>
          <w:pgSz w:w="11910" w:h="16840"/>
          <w:pgMar w:header="852" w:footer="979" w:top="1260" w:bottom="1160" w:left="980" w:right="980"/>
        </w:sectPr>
      </w:pPr>
    </w:p>
    <w:p>
      <w:pPr>
        <w:spacing w:line="240" w:lineRule="auto" w:before="9"/>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199"/>
        <w:gridCol w:w="1793"/>
        <w:gridCol w:w="1592"/>
        <w:gridCol w:w="1754"/>
        <w:gridCol w:w="2230"/>
      </w:tblGrid>
      <w:tr>
        <w:trPr>
          <w:trHeight w:val="219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福建省永福博发投资股份 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913501000561386157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4" w:lineRule="auto"/>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对电力业、房地产业、通讯 业、计算机网络的投资及资 产管理，企业管理咨询。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 相关部门批准后方可开展经 营活动</w:t>
            </w:r>
            <w:r>
              <w:rPr>
                <w:rFonts w:ascii="Times New Roman" w:hAnsi="Times New Roman" w:cs="Times New Roman" w:eastAsia="Times New Roman" w:hint="default"/>
                <w:sz w:val="18"/>
                <w:szCs w:val="18"/>
              </w:rPr>
              <w:t>)</w:t>
            </w:r>
          </w:p>
        </w:tc>
      </w:tr>
      <w:tr>
        <w:trPr>
          <w:trHeight w:val="125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9"/>
          <w:szCs w:val="9"/>
        </w:rPr>
      </w:pPr>
    </w:p>
    <w:p>
      <w:pPr>
        <w:pStyle w:val="BodyText"/>
        <w:spacing w:line="240" w:lineRule="auto" w:before="44"/>
        <w:ind w:right="0"/>
        <w:jc w:val="left"/>
      </w:pPr>
      <w:r>
        <w:rPr/>
        <w:t>控股股东报告期内变更</w:t>
      </w:r>
    </w:p>
    <w:p>
      <w:pPr>
        <w:spacing w:line="240" w:lineRule="auto" w:before="10"/>
        <w:rPr>
          <w:rFonts w:ascii="宋体" w:hAnsi="宋体" w:cs="宋体" w:eastAsia="宋体" w:hint="default"/>
          <w:sz w:val="17"/>
          <w:szCs w:val="17"/>
        </w:rPr>
      </w:pPr>
    </w:p>
    <w:p>
      <w:pPr>
        <w:spacing w:line="465" w:lineRule="auto" w:before="0"/>
        <w:ind w:left="152" w:right="7074" w:firstLine="0"/>
        <w:jc w:val="left"/>
        <w:rPr>
          <w:rFonts w:ascii="宋体" w:hAnsi="宋体" w:cs="宋体" w:eastAsia="宋体" w:hint="default"/>
          <w:sz w:val="21"/>
          <w:szCs w:val="21"/>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公司报告期控股股东未发生变更。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pStyle w:val="BodyText"/>
        <w:spacing w:line="215" w:lineRule="exact"/>
        <w:ind w:right="0"/>
        <w:jc w:val="left"/>
      </w:pPr>
      <w:r>
        <w:rPr/>
        <w:t>实际控制人性质：境内自然人</w:t>
      </w:r>
    </w:p>
    <w:p>
      <w:pPr>
        <w:spacing w:line="240" w:lineRule="auto" w:before="10"/>
        <w:rPr>
          <w:rFonts w:ascii="宋体" w:hAnsi="宋体" w:cs="宋体" w:eastAsia="宋体" w:hint="default"/>
          <w:sz w:val="17"/>
          <w:szCs w:val="17"/>
        </w:rPr>
      </w:pPr>
    </w:p>
    <w:p>
      <w:pPr>
        <w:pStyle w:val="BodyText"/>
        <w:spacing w:line="240" w:lineRule="auto"/>
        <w:ind w:right="0"/>
        <w:jc w:val="left"/>
      </w:pPr>
      <w:r>
        <w:rPr/>
        <w:t>实际控制人类型：自然人</w:t>
      </w:r>
    </w:p>
    <w:p>
      <w:pPr>
        <w:spacing w:line="240" w:lineRule="auto" w:before="3"/>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35"/>
        <w:gridCol w:w="2057"/>
        <w:gridCol w:w="4177"/>
      </w:tblGrid>
      <w:tr>
        <w:trPr>
          <w:trHeight w:val="63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70"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78" w:firstLine="360"/>
              <w:jc w:val="left"/>
              <w:rPr>
                <w:rFonts w:ascii="宋体" w:hAnsi="宋体" w:cs="宋体" w:eastAsia="宋体" w:hint="default"/>
                <w:sz w:val="18"/>
                <w:szCs w:val="18"/>
              </w:rPr>
            </w:pPr>
            <w:r>
              <w:rPr>
                <w:rFonts w:ascii="宋体" w:hAnsi="宋体" w:cs="宋体" w:eastAsia="宋体" w:hint="default"/>
                <w:sz w:val="18"/>
                <w:szCs w:val="18"/>
              </w:rPr>
              <w:t>报告期内，林一文先生担任公司董事长、总经理；季征南先生担任公司副 董事长；王劲军先生担任公司董事、副总经理；宋发兴先生担任公司副总经 理；钱有武先生担任公司董事、副总经理；卓秀者女士担任公司副总经理；陈 强先生担任公司副总经理；卢庆议先生担任公司副总经理、董事会秘书。</w:t>
            </w:r>
          </w:p>
        </w:tc>
      </w:tr>
    </w:tbl>
    <w:p>
      <w:pPr>
        <w:spacing w:after="0" w:line="319" w:lineRule="auto"/>
        <w:jc w:val="left"/>
        <w:rPr>
          <w:rFonts w:ascii="宋体" w:hAnsi="宋体" w:cs="宋体" w:eastAsia="宋体" w:hint="default"/>
          <w:sz w:val="18"/>
          <w:szCs w:val="18"/>
        </w:rPr>
        <w:sectPr>
          <w:pgSz w:w="11910" w:h="16840"/>
          <w:pgMar w:header="852" w:footer="979" w:top="1260" w:bottom="1160" w:left="980" w:right="980"/>
        </w:sectPr>
      </w:pPr>
    </w:p>
    <w:p>
      <w:pPr>
        <w:spacing w:line="240" w:lineRule="auto" w:before="11"/>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335"/>
        <w:gridCol w:w="6234"/>
      </w:tblGrid>
      <w:tr>
        <w:trPr>
          <w:trHeight w:val="178" w:hRule="exact"/>
        </w:trPr>
        <w:tc>
          <w:tcPr>
            <w:tcW w:w="3335" w:type="dxa"/>
            <w:tcBorders>
              <w:top w:val="single" w:sz="6" w:space="0" w:color="000000"/>
              <w:left w:val="nil" w:sz="6" w:space="0" w:color="auto"/>
              <w:bottom w:val="single" w:sz="4" w:space="0" w:color="000000"/>
              <w:right w:val="nil" w:sz="6" w:space="0" w:color="auto"/>
            </w:tcBorders>
          </w:tcPr>
          <w:p>
            <w:pPr/>
          </w:p>
        </w:tc>
        <w:tc>
          <w:tcPr>
            <w:tcW w:w="6234" w:type="dxa"/>
            <w:tcBorders>
              <w:top w:val="single" w:sz="6" w:space="0" w:color="000000"/>
              <w:left w:val="nil" w:sz="6" w:space="0" w:color="auto"/>
              <w:bottom w:val="single" w:sz="4" w:space="0" w:color="000000"/>
              <w:right w:val="nil" w:sz="6" w:space="0" w:color="auto"/>
            </w:tcBorders>
          </w:tcPr>
          <w:p>
            <w:pPr/>
          </w:p>
        </w:tc>
      </w:tr>
      <w:tr>
        <w:trPr>
          <w:trHeight w:val="63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9"/>
          <w:szCs w:val="9"/>
        </w:rPr>
      </w:pPr>
    </w:p>
    <w:p>
      <w:pPr>
        <w:pStyle w:val="BodyText"/>
        <w:spacing w:line="240" w:lineRule="auto" w:before="44"/>
        <w:ind w:left="112" w:right="5774"/>
        <w:jc w:val="left"/>
      </w:pPr>
      <w:r>
        <w:rPr/>
        <w:t>实际控制人报告期内变更</w:t>
      </w:r>
    </w:p>
    <w:p>
      <w:pPr>
        <w:spacing w:line="240" w:lineRule="auto" w:before="10"/>
        <w:rPr>
          <w:rFonts w:ascii="宋体" w:hAnsi="宋体" w:cs="宋体" w:eastAsia="宋体" w:hint="default"/>
          <w:sz w:val="17"/>
          <w:szCs w:val="17"/>
        </w:rPr>
      </w:pPr>
    </w:p>
    <w:p>
      <w:pPr>
        <w:pStyle w:val="BodyText"/>
        <w:spacing w:line="477" w:lineRule="auto"/>
        <w:ind w:left="112" w:right="5774"/>
        <w:jc w:val="left"/>
      </w:pPr>
      <w:r>
        <w:rPr/>
        <w:t>□ 适用 √</w:t>
      </w:r>
      <w:r>
        <w:rPr>
          <w:spacing w:val="3"/>
        </w:rPr>
        <w:t> </w:t>
      </w:r>
      <w:r>
        <w:rPr/>
        <w:t>不适用</w:t>
      </w:r>
      <w:r>
        <w:rPr/>
        <w:t> 公司报告期实际控制人未发生变更。 公司与实际控制人之间的产权及控制关系的方框图</w:t>
      </w:r>
    </w:p>
    <w:p>
      <w:pPr>
        <w:spacing w:line="240" w:lineRule="auto" w:before="9"/>
        <w:rPr>
          <w:rFonts w:ascii="宋体" w:hAnsi="宋体" w:cs="宋体" w:eastAsia="宋体" w:hint="default"/>
          <w:sz w:val="7"/>
          <w:szCs w:val="7"/>
        </w:rPr>
      </w:pPr>
    </w:p>
    <w:p>
      <w:pPr>
        <w:spacing w:line="4260" w:lineRule="exact"/>
        <w:ind w:left="1318"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050" cy="27051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4591050"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9"/>
        <w:rPr>
          <w:rFonts w:ascii="宋体" w:hAnsi="宋体" w:cs="宋体" w:eastAsia="宋体" w:hint="default"/>
          <w:sz w:val="16"/>
          <w:szCs w:val="16"/>
        </w:rPr>
      </w:pPr>
    </w:p>
    <w:p>
      <w:pPr>
        <w:pStyle w:val="BodyText"/>
        <w:spacing w:line="240" w:lineRule="auto"/>
        <w:ind w:left="112" w:right="0"/>
        <w:jc w:val="left"/>
      </w:pPr>
      <w:r>
        <w:rPr/>
        <w:t>实际控制人通过信托或其他资产管理方式控制公司</w:t>
      </w:r>
    </w:p>
    <w:p>
      <w:pPr>
        <w:spacing w:line="240" w:lineRule="auto" w:before="10"/>
        <w:rPr>
          <w:rFonts w:ascii="宋体" w:hAnsi="宋体" w:cs="宋体" w:eastAsia="宋体" w:hint="default"/>
          <w:sz w:val="17"/>
          <w:szCs w:val="17"/>
        </w:rPr>
      </w:pPr>
    </w:p>
    <w:p>
      <w:pPr>
        <w:pStyle w:val="BodyText"/>
        <w:spacing w:line="240" w:lineRule="auto"/>
        <w:ind w:left="112" w:right="577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15"/>
          <w:szCs w:val="15"/>
        </w:rPr>
      </w:pPr>
    </w:p>
    <w:p>
      <w:pPr>
        <w:pStyle w:val="Heading3"/>
        <w:spacing w:line="240" w:lineRule="auto"/>
        <w:ind w:left="112" w:right="5774"/>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198"/>
        <w:ind w:left="112" w:right="5774"/>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left="1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pStyle w:val="BodyText"/>
        <w:spacing w:line="240" w:lineRule="auto" w:before="198"/>
        <w:ind w:left="112" w:right="5774"/>
        <w:jc w:val="left"/>
      </w:pPr>
      <w:r>
        <w:rPr/>
        <w:t>□ 适用 √</w:t>
      </w:r>
      <w:r>
        <w:rPr>
          <w:spacing w:val="3"/>
        </w:rPr>
        <w:t> </w:t>
      </w:r>
      <w:r>
        <w:rPr/>
        <w:t>不适用</w:t>
      </w:r>
    </w:p>
    <w:p>
      <w:pPr>
        <w:spacing w:after="0" w:line="240" w:lineRule="auto"/>
        <w:jc w:val="left"/>
        <w:sectPr>
          <w:pgSz w:w="11910" w:h="16840"/>
          <w:pgMar w:header="852" w:footer="979" w:top="122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12"/>
        <w:rPr>
          <w:rFonts w:ascii="宋体" w:hAnsi="宋体" w:cs="宋体" w:eastAsia="宋体" w:hint="default"/>
          <w:b/>
          <w:bCs/>
          <w:sz w:val="20"/>
          <w:szCs w:val="20"/>
        </w:rPr>
      </w:pPr>
    </w:p>
    <w:p>
      <w:pPr>
        <w:pStyle w:val="BodyText"/>
        <w:spacing w:line="477" w:lineRule="auto" w:before="44"/>
        <w:ind w:right="7614"/>
        <w:jc w:val="left"/>
      </w:pPr>
      <w:r>
        <w:rPr/>
        <w:t>□ 适用 √</w:t>
      </w:r>
      <w:r>
        <w:rPr>
          <w:spacing w:val="3"/>
        </w:rPr>
        <w:t> </w:t>
      </w:r>
      <w:r>
        <w:rPr/>
        <w:t>不适用</w:t>
      </w:r>
      <w:r>
        <w:rPr/>
        <w:t> 报告期公司不存在优先股。</w:t>
      </w:r>
    </w:p>
    <w:p>
      <w:pPr>
        <w:spacing w:after="0" w:line="477" w:lineRule="auto"/>
        <w:jc w:val="left"/>
        <w:sectPr>
          <w:pgSz w:w="11910" w:h="16840"/>
          <w:pgMar w:header="852" w:footer="979" w:top="1220" w:bottom="1160" w:left="980" w:right="980"/>
        </w:sectPr>
      </w:pPr>
    </w:p>
    <w:p>
      <w:pPr>
        <w:spacing w:line="240" w:lineRule="auto" w:before="6"/>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pStyle w:val="Heading2"/>
        <w:spacing w:line="240" w:lineRule="auto" w:before="270"/>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25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6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6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41"/>
              <w:jc w:val="left"/>
              <w:rPr>
                <w:rFonts w:ascii="宋体" w:hAnsi="宋体" w:cs="宋体" w:eastAsia="宋体" w:hint="default"/>
                <w:sz w:val="18"/>
                <w:szCs w:val="18"/>
              </w:rPr>
            </w:pPr>
            <w:r>
              <w:rPr>
                <w:rFonts w:ascii="宋体" w:hAnsi="宋体" w:cs="宋体" w:eastAsia="宋体" w:hint="default"/>
                <w:sz w:val="18"/>
                <w:szCs w:val="18"/>
              </w:rPr>
              <w:t>监事、总 经理助理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188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监事、副 总工程 师、线路 设计部主 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88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席、职工 代表监 事、工程 部副主任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r>
        <w:trPr>
          <w:trHeight w:val="126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7"/>
              <w:jc w:val="right"/>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2"/>
        <w:rPr>
          <w:rFonts w:ascii="Times New Roman" w:hAnsi="Times New Roman" w:cs="Times New Roman" w:eastAsia="Times New Roman" w:hint="default"/>
          <w:sz w:val="13"/>
          <w:szCs w:val="13"/>
        </w:rPr>
      </w:pPr>
    </w:p>
    <w:p>
      <w:pPr>
        <w:pStyle w:val="Heading2"/>
        <w:spacing w:line="240" w:lineRule="auto" w:before="26"/>
        <w:ind w:right="94"/>
        <w:jc w:val="left"/>
        <w:rPr>
          <w:b w:val="0"/>
          <w:bCs w:val="0"/>
        </w:rPr>
      </w:pPr>
      <w:r>
        <w:rPr/>
        <w:t>二、公司董事、监事、高级管理人员变动情况</w:t>
      </w:r>
      <w:r>
        <w:rPr>
          <w:b w:val="0"/>
          <w:bCs w:val="0"/>
        </w:rPr>
      </w:r>
    </w:p>
    <w:p>
      <w:pPr>
        <w:pStyle w:val="BodyText"/>
        <w:spacing w:line="240" w:lineRule="auto" w:before="202"/>
        <w:ind w:right="94"/>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1"/>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63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94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根据公司内部工作安排，公司副总经理兼总工程师王 劲军先生不再兼任公司总工程师职务。</w:t>
            </w:r>
          </w:p>
        </w:tc>
      </w:tr>
      <w:tr>
        <w:trPr>
          <w:trHeight w:val="157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74"/>
              <w:jc w:val="both"/>
              <w:rPr>
                <w:rFonts w:ascii="宋体" w:hAnsi="宋体" w:cs="宋体" w:eastAsia="宋体" w:hint="default"/>
                <w:sz w:val="18"/>
                <w:szCs w:val="18"/>
              </w:rPr>
            </w:pPr>
            <w:r>
              <w:rPr>
                <w:rFonts w:ascii="宋体" w:hAnsi="宋体" w:cs="宋体" w:eastAsia="宋体" w:hint="default"/>
                <w:sz w:val="18"/>
                <w:szCs w:val="18"/>
              </w:rPr>
              <w:t>经总经理提名，公司董事会同意聘任公司副总经理刘 勇先生为福建永福电力设计股份有限公司副总经理兼 总工程师，聘期为自第一届董事会第二十次会议决议 做出之日起至本届董事会任期届满之日。</w:t>
            </w:r>
          </w:p>
        </w:tc>
      </w:tr>
    </w:tbl>
    <w:p>
      <w:pPr>
        <w:spacing w:line="240" w:lineRule="auto" w:before="11"/>
        <w:rPr>
          <w:rFonts w:ascii="宋体" w:hAnsi="宋体" w:cs="宋体" w:eastAsia="宋体" w:hint="default"/>
          <w:sz w:val="6"/>
          <w:szCs w:val="6"/>
        </w:rPr>
      </w:pPr>
    </w:p>
    <w:p>
      <w:pPr>
        <w:pStyle w:val="Heading2"/>
        <w:spacing w:line="240" w:lineRule="auto" w:before="26"/>
        <w:ind w:right="0"/>
        <w:jc w:val="both"/>
        <w:rPr>
          <w:b w:val="0"/>
          <w:bCs w:val="0"/>
        </w:rPr>
      </w:pPr>
      <w:r>
        <w:rPr/>
        <w:t>三、任职情况</w:t>
      </w:r>
      <w:r>
        <w:rPr>
          <w:b w:val="0"/>
          <w:bCs w:val="0"/>
        </w:rPr>
      </w:r>
    </w:p>
    <w:p>
      <w:pPr>
        <w:pStyle w:val="BodyText"/>
        <w:spacing w:line="240" w:lineRule="auto" w:before="202"/>
        <w:ind w:right="0"/>
        <w:jc w:val="both"/>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pStyle w:val="BodyText"/>
        <w:spacing w:line="240" w:lineRule="auto"/>
        <w:ind w:left="633" w:right="94"/>
        <w:jc w:val="left"/>
      </w:pPr>
      <w:r>
        <w:rPr/>
        <w:t>（一）公司董事任职情况：</w:t>
      </w:r>
    </w:p>
    <w:p>
      <w:pPr>
        <w:spacing w:line="240" w:lineRule="auto" w:before="10"/>
        <w:rPr>
          <w:rFonts w:ascii="宋体" w:hAnsi="宋体" w:cs="宋体" w:eastAsia="宋体" w:hint="default"/>
          <w:sz w:val="17"/>
          <w:szCs w:val="17"/>
        </w:rPr>
      </w:pPr>
    </w:p>
    <w:p>
      <w:pPr>
        <w:pStyle w:val="BodyText"/>
        <w:spacing w:line="240" w:lineRule="auto"/>
        <w:ind w:left="633" w:right="94"/>
        <w:jc w:val="left"/>
      </w:pPr>
      <w:r>
        <w:rPr>
          <w:rFonts w:ascii="Times New Roman" w:hAnsi="Times New Roman" w:cs="Times New Roman" w:eastAsia="Times New Roman" w:hint="default"/>
        </w:rPr>
        <w:t>1</w:t>
      </w:r>
      <w:r>
        <w:rPr/>
        <w:t>、林一文先生：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月出生，中国国籍，无永久境外居留权，上海交通大学热能工程学本科学历，高级工程师。</w:t>
      </w:r>
    </w:p>
    <w:p>
      <w:pPr>
        <w:pStyle w:val="BodyText"/>
        <w:spacing w:line="300" w:lineRule="auto" w:before="63"/>
        <w:ind w:right="188"/>
        <w:jc w:val="both"/>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月，福建省电力勘测设计院部门副主任、院副总工程师；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月，福建永福工程顾问有</w:t>
      </w:r>
      <w:r>
        <w:rPr>
          <w:spacing w:val="-53"/>
        </w:rPr>
        <w:t> </w:t>
      </w:r>
      <w:r>
        <w:rPr>
          <w:spacing w:val="-53"/>
        </w:rPr>
      </w:r>
      <w:r>
        <w:rPr>
          <w:spacing w:val="-2"/>
        </w:rPr>
        <w:t>限公司总经理；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月，福建永福工程顾问有限公司董事兼总经理；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月，福建永福工</w:t>
      </w:r>
      <w:r>
        <w:rPr>
          <w:spacing w:val="-50"/>
        </w:rPr>
        <w:t> </w:t>
      </w:r>
      <w:r>
        <w:rPr>
          <w:spacing w:val="-50"/>
        </w:rPr>
      </w:r>
      <w:r>
        <w:rPr>
          <w:spacing w:val="-3"/>
        </w:rPr>
        <w:t>程顾问有限公司副董事长兼总经理；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月，福建永福工程顾问有限公司董事长兼总经理；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月至今，</w:t>
      </w:r>
      <w:r>
        <w:rPr>
          <w:spacing w:val="-81"/>
        </w:rPr>
        <w:t> </w:t>
      </w:r>
      <w:r>
        <w:rPr>
          <w:spacing w:val="-81"/>
        </w:rPr>
      </w:r>
      <w:r>
        <w:rPr/>
        <w:t>福建永福电力设计股份有限公司董事长兼总经理。</w:t>
      </w:r>
    </w:p>
    <w:p>
      <w:pPr>
        <w:spacing w:line="240" w:lineRule="auto" w:before="4"/>
        <w:rPr>
          <w:rFonts w:ascii="宋体" w:hAnsi="宋体" w:cs="宋体" w:eastAsia="宋体" w:hint="default"/>
          <w:sz w:val="14"/>
          <w:szCs w:val="14"/>
        </w:rPr>
      </w:pPr>
    </w:p>
    <w:p>
      <w:pPr>
        <w:pStyle w:val="BodyText"/>
        <w:spacing w:line="240" w:lineRule="auto"/>
        <w:ind w:left="633" w:right="94"/>
        <w:jc w:val="left"/>
      </w:pPr>
      <w:r>
        <w:rPr>
          <w:rFonts w:ascii="Times New Roman" w:hAnsi="Times New Roman" w:cs="Times New Roman" w:eastAsia="Times New Roman" w:hint="default"/>
        </w:rPr>
        <w:t>2</w:t>
      </w:r>
      <w:r>
        <w:rPr/>
        <w:t>、季征南先生：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月出生，中国国籍，无永久境外居留权，同济大学工业自动化专业本科学历，高级工程师。</w:t>
      </w:r>
    </w:p>
    <w:p>
      <w:pPr>
        <w:pStyle w:val="BodyText"/>
        <w:spacing w:line="300" w:lineRule="auto" w:before="63"/>
        <w:ind w:right="186"/>
        <w:jc w:val="both"/>
      </w:pP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月，福建省电力勘测设计院组长、副主任、主任；</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月，福建永福工程顾问有限公</w:t>
      </w:r>
      <w:r>
        <w:rPr>
          <w:spacing w:val="-87"/>
        </w:rPr>
        <w:t> </w:t>
      </w:r>
      <w:r>
        <w:rPr>
          <w:spacing w:val="-87"/>
        </w:rPr>
      </w:r>
      <w:r>
        <w:rPr>
          <w:spacing w:val="-2"/>
        </w:rPr>
        <w:t>司董事、总经理；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月，福建永福工程顾问有限公司董事长；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w:t>
      </w:r>
      <w:r>
        <w:rPr>
          <w:spacing w:val="-47"/>
        </w:rPr>
        <w:t> </w:t>
      </w:r>
      <w:r>
        <w:rPr>
          <w:spacing w:val="-47"/>
        </w:rPr>
      </w:r>
      <w:r>
        <w:rPr/>
        <w:t>有限公司副董事长；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月至今，福建永福电力设计股份有限公司副董事长。</w:t>
      </w:r>
    </w:p>
    <w:p>
      <w:pPr>
        <w:spacing w:line="240" w:lineRule="auto" w:before="12"/>
        <w:rPr>
          <w:rFonts w:ascii="宋体" w:hAnsi="宋体" w:cs="宋体" w:eastAsia="宋体" w:hint="default"/>
          <w:sz w:val="12"/>
          <w:szCs w:val="12"/>
        </w:rPr>
      </w:pPr>
    </w:p>
    <w:p>
      <w:pPr>
        <w:pStyle w:val="BodyText"/>
        <w:spacing w:line="300" w:lineRule="auto"/>
        <w:ind w:right="188" w:firstLine="480"/>
        <w:jc w:val="both"/>
      </w:pPr>
      <w:r>
        <w:rPr>
          <w:rFonts w:ascii="Times New Roman" w:hAnsi="Times New Roman" w:cs="Times New Roman" w:eastAsia="Times New Roman" w:hint="default"/>
          <w:spacing w:val="-1"/>
        </w:rPr>
        <w:t>3</w:t>
      </w:r>
      <w:r>
        <w:rPr>
          <w:spacing w:val="-1"/>
        </w:rPr>
        <w:t>、王劲军先生：</w:t>
      </w:r>
      <w:r>
        <w:rPr>
          <w:rFonts w:ascii="Times New Roman" w:hAnsi="Times New Roman" w:cs="Times New Roman" w:eastAsia="Times New Roman" w:hint="default"/>
          <w:spacing w:val="-1"/>
        </w:rPr>
        <w:t>1969</w:t>
      </w:r>
      <w:r>
        <w:rPr>
          <w:spacing w:val="-1"/>
        </w:rPr>
        <w:t>年</w:t>
      </w:r>
      <w:r>
        <w:rPr>
          <w:rFonts w:ascii="Times New Roman" w:hAnsi="Times New Roman" w:cs="Times New Roman" w:eastAsia="Times New Roman" w:hint="default"/>
          <w:spacing w:val="-1"/>
        </w:rPr>
        <w:t>11</w:t>
      </w:r>
      <w:r>
        <w:rPr>
          <w:spacing w:val="-1"/>
        </w:rPr>
        <w:t>月出生，中国国籍，无永久境外居留权，华南理工大学本科学历，高级工程师。</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8</w:t>
      </w:r>
      <w:r>
        <w:rPr>
          <w:spacing w:val="-1"/>
        </w:rPr>
        <w:t>月</w:t>
      </w:r>
      <w:r>
        <w:rPr/>
        <w:t>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月，福建省电力勘测设计院电控设计部主任；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月，福建永福工程顾问有限公司董事、副总经 </w:t>
      </w:r>
      <w:r>
        <w:rPr>
          <w:spacing w:val="-1"/>
        </w:rPr>
        <w:t>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日，福建永福电力设计股份有限公司董事、副总经理、总工程师；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日至今</w:t>
      </w:r>
      <w:r>
        <w:rPr>
          <w:rFonts w:ascii="Times New Roman" w:hAnsi="Times New Roman" w:cs="Times New Roman" w:eastAsia="Times New Roman" w:hint="default"/>
          <w:spacing w:val="-1"/>
        </w:rPr>
        <w:t>,</w:t>
      </w:r>
      <w:r>
        <w:rPr>
          <w:spacing w:val="-1"/>
        </w:rPr>
        <w:t>福建永</w:t>
      </w:r>
      <w:r>
        <w:rPr>
          <w:spacing w:val="-74"/>
        </w:rPr>
        <w:t> </w:t>
      </w:r>
      <w:r>
        <w:rPr>
          <w:spacing w:val="-74"/>
        </w:rPr>
      </w:r>
      <w:r>
        <w:rPr/>
        <w:t>福电力设计股份有限公司董事、副总经理</w:t>
      </w:r>
    </w:p>
    <w:p>
      <w:pPr>
        <w:spacing w:line="240" w:lineRule="auto" w:before="5"/>
        <w:rPr>
          <w:rFonts w:ascii="宋体" w:hAnsi="宋体" w:cs="宋体" w:eastAsia="宋体" w:hint="default"/>
          <w:sz w:val="14"/>
          <w:szCs w:val="14"/>
        </w:rPr>
      </w:pPr>
    </w:p>
    <w:p>
      <w:pPr>
        <w:pStyle w:val="BodyText"/>
        <w:spacing w:line="300" w:lineRule="auto"/>
        <w:ind w:right="191" w:firstLine="480"/>
        <w:jc w:val="both"/>
      </w:pPr>
      <w:r>
        <w:rPr>
          <w:rFonts w:ascii="Times New Roman" w:hAnsi="Times New Roman" w:cs="Times New Roman" w:eastAsia="Times New Roman" w:hint="default"/>
          <w:spacing w:val="-3"/>
        </w:rPr>
        <w:t>4</w:t>
      </w:r>
      <w:r>
        <w:rPr>
          <w:spacing w:val="-3"/>
        </w:rPr>
        <w:t>、钱有武先生：</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10</w:t>
      </w:r>
      <w:r>
        <w:rPr>
          <w:spacing w:val="-3"/>
        </w:rPr>
        <w:t>月出生，中国国籍，无永久境外居留权，山东建筑工程学院工民建专业本科学历，高级工程</w:t>
      </w:r>
      <w:r>
        <w:rPr/>
        <w:t> </w:t>
      </w:r>
      <w:r>
        <w:rPr>
          <w:spacing w:val="-2"/>
        </w:rPr>
        <w:t>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月，福建省电力勘测设计院组长、专职设总；</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w:t>
      </w:r>
      <w:r>
        <w:rPr>
          <w:spacing w:val="-54"/>
        </w:rPr>
        <w:t> </w:t>
      </w:r>
      <w:r>
        <w:rPr>
          <w:spacing w:val="-54"/>
        </w:rPr>
      </w:r>
      <w:r>
        <w:rPr/>
        <w:t>董事、副总经理；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月至今任福建永福电力设计股份有限公司董事、副总经理。</w:t>
      </w:r>
    </w:p>
    <w:p>
      <w:pPr>
        <w:spacing w:line="240" w:lineRule="auto" w:before="12"/>
        <w:rPr>
          <w:rFonts w:ascii="宋体" w:hAnsi="宋体" w:cs="宋体" w:eastAsia="宋体" w:hint="default"/>
          <w:sz w:val="12"/>
          <w:szCs w:val="12"/>
        </w:rPr>
      </w:pPr>
    </w:p>
    <w:p>
      <w:pPr>
        <w:pStyle w:val="BodyText"/>
        <w:spacing w:line="300" w:lineRule="auto"/>
        <w:ind w:right="191" w:firstLine="480"/>
        <w:jc w:val="both"/>
      </w:pPr>
      <w:r>
        <w:rPr>
          <w:rFonts w:ascii="Times New Roman" w:hAnsi="Times New Roman" w:cs="Times New Roman" w:eastAsia="Times New Roman" w:hint="default"/>
          <w:spacing w:val="-4"/>
        </w:rPr>
        <w:t>5</w:t>
      </w:r>
      <w:r>
        <w:rPr>
          <w:spacing w:val="-4"/>
        </w:rPr>
        <w:t>、刘勇先生：</w:t>
      </w:r>
      <w:r>
        <w:rPr>
          <w:rFonts w:ascii="Times New Roman" w:hAnsi="Times New Roman" w:cs="Times New Roman" w:eastAsia="Times New Roman" w:hint="default"/>
          <w:spacing w:val="-4"/>
        </w:rPr>
        <w:t>1973</w:t>
      </w:r>
      <w:r>
        <w:rPr>
          <w:spacing w:val="-4"/>
        </w:rPr>
        <w:t>年</w:t>
      </w:r>
      <w:r>
        <w:rPr>
          <w:rFonts w:ascii="Times New Roman" w:hAnsi="Times New Roman" w:cs="Times New Roman" w:eastAsia="Times New Roman" w:hint="default"/>
          <w:spacing w:val="-4"/>
        </w:rPr>
        <w:t>3</w:t>
      </w:r>
      <w:r>
        <w:rPr>
          <w:spacing w:val="-4"/>
        </w:rPr>
        <w:t>月出生，中国国籍，无永久境外居留权，上海交通大学热能工程专业和技术经济专业本科学历，</w:t>
      </w:r>
      <w:r>
        <w:rPr/>
        <w:t> 高级工程师，注册公用设备师（动力）、注册咨询工程师（投资）、注册环保工程师。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月，福建省电</w:t>
      </w:r>
      <w:r>
        <w:rPr>
          <w:spacing w:val="-86"/>
        </w:rPr>
        <w:t> </w:t>
      </w:r>
      <w:r>
        <w:rPr>
          <w:spacing w:val="-86"/>
        </w:rPr>
      </w:r>
      <w:r>
        <w:rPr>
          <w:spacing w:val="-2"/>
        </w:rPr>
        <w:t>力勘测设计院设计师、专职设总、主任工程师、副主任、副总工程师；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w:t>
      </w:r>
      <w:r>
        <w:rPr>
          <w:spacing w:val="-60"/>
        </w:rPr>
        <w:t> </w:t>
      </w:r>
      <w:r>
        <w:rPr>
          <w:spacing w:val="-60"/>
        </w:rPr>
      </w:r>
      <w:r>
        <w:rPr/>
        <w:t>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日任福建永福电力设计股份有限公司董事、副总经理、副总工程师；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日至 今，任福建永福电力设计股份有限公司董事、副总经理、总工程师。</w:t>
      </w:r>
    </w:p>
    <w:p>
      <w:pPr>
        <w:spacing w:line="240" w:lineRule="auto" w:before="4"/>
        <w:rPr>
          <w:rFonts w:ascii="宋体" w:hAnsi="宋体" w:cs="宋体" w:eastAsia="宋体" w:hint="default"/>
          <w:sz w:val="14"/>
          <w:szCs w:val="14"/>
        </w:rPr>
      </w:pPr>
    </w:p>
    <w:p>
      <w:pPr>
        <w:pStyle w:val="BodyText"/>
        <w:spacing w:line="240" w:lineRule="auto"/>
        <w:ind w:left="633" w:right="94"/>
        <w:jc w:val="left"/>
      </w:pPr>
      <w:r>
        <w:rPr>
          <w:rFonts w:ascii="Times New Roman" w:hAnsi="Times New Roman" w:cs="Times New Roman" w:eastAsia="Times New Roman" w:hint="default"/>
        </w:rPr>
        <w:t>6</w:t>
      </w:r>
      <w:r>
        <w:rPr/>
        <w:t>、李卫国先生：男，中国国籍，无境外永久居留权。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2</w:t>
      </w:r>
      <w:r>
        <w:rPr/>
        <w:t>月出生，中国人民大学货币银行学硕士研究生，经济师</w:t>
      </w:r>
    </w:p>
    <w:p>
      <w:pPr>
        <w:pStyle w:val="BodyText"/>
        <w:spacing w:line="300" w:lineRule="auto" w:before="63"/>
        <w:ind w:right="190"/>
        <w:jc w:val="both"/>
        <w:rPr>
          <w:rFonts w:ascii="Times New Roman" w:hAnsi="Times New Roman" w:cs="Times New Roman" w:eastAsia="Times New Roman" w:hint="default"/>
        </w:rPr>
      </w:pPr>
      <w:r>
        <w:rPr>
          <w:spacing w:val="-5"/>
        </w:rPr>
        <w:t>（金融）。</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1993</w:t>
      </w:r>
      <w:r>
        <w:rPr>
          <w:spacing w:val="-5"/>
        </w:rPr>
        <w:t>年</w:t>
      </w:r>
      <w:r>
        <w:rPr>
          <w:rFonts w:ascii="Times New Roman" w:hAnsi="Times New Roman" w:cs="Times New Roman" w:eastAsia="Times New Roman" w:hint="default"/>
          <w:spacing w:val="-5"/>
        </w:rPr>
        <w:t>8</w:t>
      </w:r>
      <w:r>
        <w:rPr>
          <w:spacing w:val="-5"/>
        </w:rPr>
        <w:t>月，三峡大学助教；</w:t>
      </w:r>
      <w:r>
        <w:rPr>
          <w:rFonts w:ascii="Times New Roman" w:hAnsi="Times New Roman" w:cs="Times New Roman" w:eastAsia="Times New Roman" w:hint="default"/>
          <w:spacing w:val="-5"/>
        </w:rPr>
        <w:t>1993</w:t>
      </w:r>
      <w:r>
        <w:rPr>
          <w:spacing w:val="-5"/>
        </w:rPr>
        <w:t>年</w:t>
      </w:r>
      <w:r>
        <w:rPr>
          <w:rFonts w:ascii="Times New Roman" w:hAnsi="Times New Roman" w:cs="Times New Roman" w:eastAsia="Times New Roman" w:hint="default"/>
          <w:spacing w:val="-5"/>
        </w:rPr>
        <w:t>9</w:t>
      </w:r>
      <w:r>
        <w:rPr>
          <w:spacing w:val="-5"/>
        </w:rPr>
        <w:t>月至</w:t>
      </w:r>
      <w:r>
        <w:rPr>
          <w:rFonts w:ascii="Times New Roman" w:hAnsi="Times New Roman" w:cs="Times New Roman" w:eastAsia="Times New Roman" w:hint="default"/>
          <w:spacing w:val="-5"/>
        </w:rPr>
        <w:t>1996</w:t>
      </w:r>
      <w:r>
        <w:rPr>
          <w:spacing w:val="-5"/>
        </w:rPr>
        <w:t>年</w:t>
      </w:r>
      <w:r>
        <w:rPr>
          <w:rFonts w:ascii="Times New Roman" w:hAnsi="Times New Roman" w:cs="Times New Roman" w:eastAsia="Times New Roman" w:hint="default"/>
          <w:spacing w:val="-5"/>
        </w:rPr>
        <w:t>7</w:t>
      </w:r>
      <w:r>
        <w:rPr>
          <w:spacing w:val="-5"/>
        </w:rPr>
        <w:t>月，在中国人民大学学习；</w:t>
      </w:r>
      <w:r>
        <w:rPr>
          <w:rFonts w:ascii="Times New Roman" w:hAnsi="Times New Roman" w:cs="Times New Roman" w:eastAsia="Times New Roman" w:hint="default"/>
          <w:spacing w:val="-5"/>
        </w:rPr>
        <w:t>1996</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w:t>
      </w:r>
      <w:r>
        <w:rPr>
          <w:spacing w:val="-5"/>
        </w:rPr>
        <w:t>月，</w:t>
      </w:r>
      <w:r>
        <w:rPr>
          <w:spacing w:val="-22"/>
        </w:rPr>
        <w:t> </w:t>
      </w:r>
      <w:r>
        <w:rPr>
          <w:spacing w:val="-3"/>
        </w:rPr>
        <w:t>北京中体改投资顾问有限公司高级项目经理；</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6</w:t>
      </w:r>
      <w:r>
        <w:rPr>
          <w:spacing w:val="-3"/>
        </w:rPr>
        <w:t>月，金地（集团）股份有限公司研究员；</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2002</w:t>
      </w:r>
    </w:p>
    <w:p>
      <w:pPr>
        <w:spacing w:after="0" w:line="300" w:lineRule="auto"/>
        <w:jc w:val="both"/>
        <w:rPr>
          <w:rFonts w:ascii="Times New Roman" w:hAnsi="Times New Roman" w:cs="Times New Roman" w:eastAsia="Times New Roman" w:hint="default"/>
        </w:rPr>
        <w:sectPr>
          <w:pgSz w:w="11910" w:h="16840"/>
          <w:pgMar w:header="852" w:footer="979" w:top="1220" w:bottom="1160" w:left="980" w:right="940"/>
        </w:sectPr>
      </w:pPr>
    </w:p>
    <w:p>
      <w:pPr>
        <w:spacing w:line="240" w:lineRule="auto" w:before="8"/>
        <w:rPr>
          <w:rFonts w:ascii="Times New Roman" w:hAnsi="Times New Roman" w:cs="Times New Roman" w:eastAsia="Times New Roman" w:hint="default"/>
          <w:sz w:val="15"/>
          <w:szCs w:val="15"/>
        </w:rPr>
      </w:pPr>
    </w:p>
    <w:p>
      <w:pPr>
        <w:pStyle w:val="BodyText"/>
        <w:spacing w:line="300" w:lineRule="auto" w:before="44"/>
        <w:ind w:right="191"/>
        <w:jc w:val="both"/>
      </w:pPr>
      <w:r>
        <w:rPr/>
        <w:t>年</w:t>
      </w:r>
      <w:r>
        <w:rPr>
          <w:rFonts w:ascii="Times New Roman" w:hAnsi="Times New Roman" w:cs="Times New Roman" w:eastAsia="Times New Roman" w:hint="default"/>
        </w:rPr>
        <w:t>5</w:t>
      </w:r>
      <w:r>
        <w:rPr/>
        <w:t>月，海通证券股份有限公司深圳分公司投行高级经理、高级研究员、证券营业部总经理助理；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spacing w:val="-3"/>
        </w:rPr>
        <w:t> </w:t>
      </w:r>
      <w:r>
        <w:rPr>
          <w:spacing w:val="-5"/>
        </w:rPr>
        <w:t>深圳市北大纵横财务顾问有限公司副总经理、研究总监；</w:t>
      </w:r>
      <w:r>
        <w:rPr>
          <w:rFonts w:ascii="Times New Roman" w:hAnsi="Times New Roman" w:cs="Times New Roman" w:eastAsia="Times New Roman" w:hint="default"/>
          <w:spacing w:val="-5"/>
        </w:rPr>
        <w:t>2004</w:t>
      </w:r>
      <w:r>
        <w:rPr>
          <w:spacing w:val="-5"/>
        </w:rPr>
        <w:t>年</w:t>
      </w:r>
      <w:r>
        <w:rPr>
          <w:rFonts w:ascii="Times New Roman" w:hAnsi="Times New Roman" w:cs="Times New Roman" w:eastAsia="Times New Roman" w:hint="default"/>
          <w:spacing w:val="-5"/>
        </w:rPr>
        <w:t>8</w:t>
      </w:r>
      <w:r>
        <w:rPr>
          <w:spacing w:val="-5"/>
        </w:rPr>
        <w:t>月至</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7</w:t>
      </w:r>
      <w:r>
        <w:rPr>
          <w:spacing w:val="-5"/>
        </w:rPr>
        <w:t>月，昆仑证券有限责任公司并购业务部总经理；</w:t>
      </w:r>
      <w:r>
        <w:rPr>
          <w:spacing w:val="-57"/>
        </w:rPr>
        <w:t> </w:t>
      </w:r>
      <w:r>
        <w:rPr>
          <w:spacing w:val="-57"/>
        </w:rPr>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月，北京盛世华商投资咨询有限公司副总经理；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月，国泰君安证券股份有限公司 投资银行总部董事；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月至今，海富产业投资基金管理有限公司执行总经理、执行董事、董事总经理。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月今任福建永福电力设计股份有限公司董事。</w:t>
      </w:r>
    </w:p>
    <w:p>
      <w:pPr>
        <w:spacing w:line="240" w:lineRule="auto" w:before="12"/>
        <w:rPr>
          <w:rFonts w:ascii="宋体" w:hAnsi="宋体" w:cs="宋体" w:eastAsia="宋体" w:hint="default"/>
          <w:sz w:val="12"/>
          <w:szCs w:val="12"/>
        </w:rPr>
      </w:pPr>
    </w:p>
    <w:p>
      <w:pPr>
        <w:pStyle w:val="BodyText"/>
        <w:spacing w:line="300" w:lineRule="auto"/>
        <w:ind w:right="190" w:firstLine="480"/>
        <w:jc w:val="both"/>
      </w:pPr>
      <w:r>
        <w:rPr>
          <w:rFonts w:ascii="Times New Roman" w:hAnsi="Times New Roman" w:cs="Times New Roman" w:eastAsia="Times New Roman" w:hint="default"/>
          <w:spacing w:val="-4"/>
        </w:rPr>
        <w:t>7</w:t>
      </w:r>
      <w:r>
        <w:rPr>
          <w:spacing w:val="-4"/>
        </w:rPr>
        <w:t>、陈冲先生：</w:t>
      </w:r>
      <w:r>
        <w:rPr>
          <w:rFonts w:ascii="Times New Roman" w:hAnsi="Times New Roman" w:cs="Times New Roman" w:eastAsia="Times New Roman" w:hint="default"/>
          <w:spacing w:val="-4"/>
        </w:rPr>
        <w:t>1954</w:t>
      </w:r>
      <w:r>
        <w:rPr>
          <w:spacing w:val="-4"/>
        </w:rPr>
        <w:t>年</w:t>
      </w:r>
      <w:r>
        <w:rPr>
          <w:rFonts w:ascii="Times New Roman" w:hAnsi="Times New Roman" w:cs="Times New Roman" w:eastAsia="Times New Roman" w:hint="default"/>
          <w:spacing w:val="-4"/>
        </w:rPr>
        <w:t>7</w:t>
      </w:r>
      <w:r>
        <w:rPr>
          <w:spacing w:val="-4"/>
        </w:rPr>
        <w:t>月出生，中国国籍，无永久境外居留权，哈尔滨工业大学自动控制专业博士研究生，教授。</w:t>
      </w:r>
      <w:r>
        <w:rPr>
          <w:rFonts w:ascii="Times New Roman" w:hAnsi="Times New Roman" w:cs="Times New Roman" w:eastAsia="Times New Roman" w:hint="default"/>
          <w:spacing w:val="-4"/>
        </w:rPr>
        <w:t>1985</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月，哈尔滨工业大学副教授；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8</w:t>
      </w:r>
      <w:r>
        <w:rPr>
          <w:spacing w:val="-2"/>
        </w:rPr>
        <w:t>月至今，福州大学教授、博士生导师；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月至今任福建永福电力</w:t>
      </w:r>
      <w:r>
        <w:rPr>
          <w:spacing w:val="-56"/>
        </w:rPr>
        <w:t> </w:t>
      </w:r>
      <w:r>
        <w:rPr>
          <w:spacing w:val="-56"/>
        </w:rPr>
      </w:r>
      <w:r>
        <w:rPr/>
        <w:t>设计股份有限公司独立董事。</w:t>
      </w:r>
    </w:p>
    <w:p>
      <w:pPr>
        <w:spacing w:line="240" w:lineRule="auto" w:before="4"/>
        <w:rPr>
          <w:rFonts w:ascii="宋体" w:hAnsi="宋体" w:cs="宋体" w:eastAsia="宋体" w:hint="default"/>
          <w:sz w:val="14"/>
          <w:szCs w:val="14"/>
        </w:rPr>
      </w:pPr>
    </w:p>
    <w:p>
      <w:pPr>
        <w:pStyle w:val="BodyText"/>
        <w:spacing w:line="240" w:lineRule="auto"/>
        <w:ind w:left="633" w:right="94"/>
        <w:jc w:val="left"/>
      </w:pPr>
      <w:r>
        <w:rPr>
          <w:rFonts w:ascii="Times New Roman" w:hAnsi="Times New Roman" w:cs="Times New Roman" w:eastAsia="Times New Roman" w:hint="default"/>
        </w:rPr>
        <w:t>8</w:t>
      </w:r>
      <w:r>
        <w:rPr/>
        <w:t>、林雁先生：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4</w:t>
      </w:r>
      <w:r>
        <w:rPr/>
        <w:t>月出生，中国国籍，无永久境外居留权，厦门大学国际经济法专业硕士研究生，律师。</w:t>
      </w:r>
      <w:r>
        <w:rPr>
          <w:rFonts w:ascii="Times New Roman" w:hAnsi="Times New Roman" w:cs="Times New Roman" w:eastAsia="Times New Roman" w:hint="default"/>
        </w:rPr>
        <w:t>1987</w:t>
      </w:r>
      <w:r>
        <w:rPr/>
        <w:t>年</w:t>
      </w:r>
    </w:p>
    <w:p>
      <w:pPr>
        <w:pStyle w:val="BodyText"/>
        <w:spacing w:line="300" w:lineRule="auto" w:before="63"/>
        <w:ind w:right="192"/>
        <w:jc w:val="both"/>
      </w:pP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1995</w:t>
      </w:r>
      <w:r>
        <w:rPr>
          <w:spacing w:val="-5"/>
        </w:rPr>
        <w:t>年</w:t>
      </w:r>
      <w:r>
        <w:rPr>
          <w:rFonts w:ascii="Times New Roman" w:hAnsi="Times New Roman" w:cs="Times New Roman" w:eastAsia="Times New Roman" w:hint="default"/>
          <w:spacing w:val="-5"/>
        </w:rPr>
        <w:t>12</w:t>
      </w:r>
      <w:r>
        <w:rPr>
          <w:spacing w:val="-5"/>
        </w:rPr>
        <w:t>月，福建侨务经济律师事务所律师；</w:t>
      </w:r>
      <w:r>
        <w:rPr>
          <w:rFonts w:ascii="Times New Roman" w:hAnsi="Times New Roman" w:cs="Times New Roman" w:eastAsia="Times New Roman" w:hint="default"/>
          <w:spacing w:val="-5"/>
        </w:rPr>
        <w:t>1996</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12</w:t>
      </w:r>
      <w:r>
        <w:rPr>
          <w:spacing w:val="-5"/>
        </w:rPr>
        <w:t>月，福建汇成律师事务所律师、合伙人、主任；</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月，福建远东大成律师事务所律师、合伙人；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月至今，上海锦天城（福州）律师事务所高级合伙</w:t>
      </w:r>
      <w:r>
        <w:rPr>
          <w:spacing w:val="-59"/>
        </w:rPr>
        <w:t> </w:t>
      </w:r>
      <w:r>
        <w:rPr>
          <w:spacing w:val="-59"/>
        </w:rPr>
      </w:r>
      <w:r>
        <w:rPr/>
        <w:t>人、管委会主任；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月至今，福建永福电力设计股份有限公司独立董事。</w:t>
      </w:r>
    </w:p>
    <w:p>
      <w:pPr>
        <w:spacing w:line="240" w:lineRule="auto" w:before="12"/>
        <w:rPr>
          <w:rFonts w:ascii="宋体" w:hAnsi="宋体" w:cs="宋体" w:eastAsia="宋体" w:hint="default"/>
          <w:sz w:val="12"/>
          <w:szCs w:val="12"/>
        </w:rPr>
      </w:pPr>
    </w:p>
    <w:p>
      <w:pPr>
        <w:pStyle w:val="BodyText"/>
        <w:spacing w:line="300" w:lineRule="auto"/>
        <w:ind w:right="192" w:firstLine="480"/>
        <w:jc w:val="both"/>
      </w:pPr>
      <w:r>
        <w:rPr>
          <w:rFonts w:ascii="Times New Roman" w:hAnsi="Times New Roman" w:cs="Times New Roman" w:eastAsia="Times New Roman" w:hint="default"/>
          <w:spacing w:val="-1"/>
        </w:rPr>
        <w:t>9</w:t>
      </w:r>
      <w:r>
        <w:rPr>
          <w:spacing w:val="-1"/>
        </w:rPr>
        <w:t>、胡继荣先生：</w:t>
      </w:r>
      <w:r>
        <w:rPr>
          <w:rFonts w:ascii="Times New Roman" w:hAnsi="Times New Roman" w:cs="Times New Roman" w:eastAsia="Times New Roman" w:hint="default"/>
          <w:spacing w:val="-1"/>
        </w:rPr>
        <w:t>1956</w:t>
      </w:r>
      <w:r>
        <w:rPr>
          <w:spacing w:val="-1"/>
        </w:rPr>
        <w:t>年</w:t>
      </w:r>
      <w:r>
        <w:rPr>
          <w:rFonts w:ascii="Times New Roman" w:hAnsi="Times New Roman" w:cs="Times New Roman" w:eastAsia="Times New Roman" w:hint="default"/>
          <w:spacing w:val="-1"/>
        </w:rPr>
        <w:t>8</w:t>
      </w:r>
      <w:r>
        <w:rPr>
          <w:spacing w:val="-1"/>
        </w:rPr>
        <w:t>月出生，中国国籍，无永久境外居留权，香港公开大学工商管理硕士研究生，教授、注册会</w:t>
      </w:r>
      <w:r>
        <w:rPr/>
        <w:t> </w:t>
      </w:r>
      <w:r>
        <w:rPr>
          <w:spacing w:val="-3"/>
        </w:rPr>
        <w:t>计师。</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8</w:t>
      </w:r>
      <w:r>
        <w:rPr>
          <w:spacing w:val="-3"/>
        </w:rPr>
        <w:t>月，江西省吉安县文工团演员；</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1983</w:t>
      </w:r>
      <w:r>
        <w:rPr>
          <w:spacing w:val="-3"/>
        </w:rPr>
        <w:t>年</w:t>
      </w:r>
      <w:r>
        <w:rPr>
          <w:rFonts w:ascii="Times New Roman" w:hAnsi="Times New Roman" w:cs="Times New Roman" w:eastAsia="Times New Roman" w:hint="default"/>
          <w:spacing w:val="-3"/>
        </w:rPr>
        <w:t>6</w:t>
      </w:r>
      <w:r>
        <w:rPr>
          <w:spacing w:val="-3"/>
        </w:rPr>
        <w:t>月，在江西财经大学学习；</w:t>
      </w:r>
      <w:r>
        <w:rPr>
          <w:rFonts w:ascii="Times New Roman" w:hAnsi="Times New Roman" w:cs="Times New Roman" w:eastAsia="Times New Roman" w:hint="default"/>
          <w:spacing w:val="-3"/>
        </w:rPr>
        <w:t>1983</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1986</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9</w:t>
      </w:r>
      <w:r>
        <w:rPr/>
        <w:t>月，任教于扬州大学水建学院；</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月，扬州大学理工学院讲师；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4</w:t>
      </w:r>
      <w:r>
        <w:rPr/>
        <w:t>月至今，福州大学经济与管 理学院副教授、教授；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月至今，福建永福电力设计股份有限公司独立董事。</w:t>
      </w:r>
    </w:p>
    <w:p>
      <w:pPr>
        <w:spacing w:line="240" w:lineRule="auto" w:before="12"/>
        <w:rPr>
          <w:rFonts w:ascii="宋体" w:hAnsi="宋体" w:cs="宋体" w:eastAsia="宋体" w:hint="default"/>
          <w:sz w:val="12"/>
          <w:szCs w:val="12"/>
        </w:rPr>
      </w:pPr>
    </w:p>
    <w:p>
      <w:pPr>
        <w:pStyle w:val="BodyText"/>
        <w:spacing w:line="240" w:lineRule="auto"/>
        <w:ind w:left="633" w:right="94"/>
        <w:jc w:val="left"/>
      </w:pPr>
      <w:r>
        <w:rPr/>
        <w:t>（二）公司监事任职情况：</w:t>
      </w:r>
    </w:p>
    <w:p>
      <w:pPr>
        <w:spacing w:line="240" w:lineRule="auto" w:before="10"/>
        <w:rPr>
          <w:rFonts w:ascii="宋体" w:hAnsi="宋体" w:cs="宋体" w:eastAsia="宋体" w:hint="default"/>
          <w:sz w:val="17"/>
          <w:szCs w:val="17"/>
        </w:rPr>
      </w:pPr>
    </w:p>
    <w:p>
      <w:pPr>
        <w:pStyle w:val="BodyText"/>
        <w:spacing w:line="300" w:lineRule="auto"/>
        <w:ind w:right="94" w:firstLine="480"/>
        <w:jc w:val="left"/>
      </w:pPr>
      <w:r>
        <w:rPr>
          <w:rFonts w:ascii="Times New Roman" w:hAnsi="Times New Roman" w:cs="Times New Roman" w:eastAsia="Times New Roman" w:hint="default"/>
        </w:rPr>
        <w:t>1</w:t>
      </w:r>
      <w:r>
        <w:rPr/>
        <w:t>、郭泗煊先生：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2</w:t>
      </w:r>
      <w:r>
        <w:rPr/>
        <w:t>月出生，中国国籍，无永久境外居留权，西南交通大学工商管理专业本科学历。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10</w:t>
      </w:r>
      <w:r>
        <w:rPr/>
        <w:t>月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月，福建省电力勘测设计院出纳、会计；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月，福建永福集团有限公司财务部主办、副主任；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月，福建永福工程顾问有限公司审计部主任；</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月，任福建永福电力设计股份有限公</w:t>
      </w:r>
      <w:r>
        <w:rPr>
          <w:spacing w:val="-52"/>
        </w:rPr>
        <w:t> </w:t>
      </w:r>
      <w:r>
        <w:rPr>
          <w:spacing w:val="-52"/>
        </w:rPr>
      </w:r>
      <w:r>
        <w:rPr/>
        <w:t>司审计部主任、监事会主席；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月至今任福建永福电力设计股份有限公司监事会主席、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月至今任工程部副主</w:t>
      </w:r>
      <w:r>
        <w:rPr>
          <w:spacing w:val="-86"/>
        </w:rPr>
        <w:t> </w:t>
      </w:r>
      <w:r>
        <w:rPr/>
        <w:t>任。</w:t>
      </w:r>
    </w:p>
    <w:p>
      <w:pPr>
        <w:spacing w:line="240" w:lineRule="auto" w:before="4"/>
        <w:rPr>
          <w:rFonts w:ascii="宋体" w:hAnsi="宋体" w:cs="宋体" w:eastAsia="宋体" w:hint="default"/>
          <w:sz w:val="14"/>
          <w:szCs w:val="14"/>
        </w:rPr>
      </w:pPr>
    </w:p>
    <w:p>
      <w:pPr>
        <w:pStyle w:val="BodyText"/>
        <w:spacing w:line="300" w:lineRule="auto"/>
        <w:ind w:right="192" w:firstLine="480"/>
        <w:jc w:val="both"/>
      </w:pPr>
      <w:r>
        <w:rPr>
          <w:rFonts w:ascii="Times New Roman" w:hAnsi="Times New Roman" w:cs="Times New Roman" w:eastAsia="Times New Roman" w:hint="default"/>
          <w:spacing w:val="-3"/>
        </w:rPr>
        <w:t>2</w:t>
      </w:r>
      <w:r>
        <w:rPr>
          <w:spacing w:val="-3"/>
        </w:rPr>
        <w:t>、李庆先先生：</w:t>
      </w:r>
      <w:r>
        <w:rPr>
          <w:rFonts w:ascii="Times New Roman" w:hAnsi="Times New Roman" w:cs="Times New Roman" w:eastAsia="Times New Roman" w:hint="default"/>
          <w:spacing w:val="-3"/>
        </w:rPr>
        <w:t>1978</w:t>
      </w:r>
      <w:r>
        <w:rPr>
          <w:spacing w:val="-3"/>
        </w:rPr>
        <w:t>年</w:t>
      </w:r>
      <w:r>
        <w:rPr>
          <w:rFonts w:ascii="Times New Roman" w:hAnsi="Times New Roman" w:cs="Times New Roman" w:eastAsia="Times New Roman" w:hint="default"/>
          <w:spacing w:val="-3"/>
        </w:rPr>
        <w:t>11</w:t>
      </w:r>
      <w:r>
        <w:rPr>
          <w:spacing w:val="-3"/>
        </w:rPr>
        <w:t>月出生，中国国籍，无永久境外居留权，福州大学电力系统及其自动化专业本科学历，高级</w:t>
      </w:r>
      <w:r>
        <w:rPr/>
        <w:t> </w:t>
      </w:r>
      <w:r>
        <w:rPr>
          <w:spacing w:val="-2"/>
        </w:rPr>
        <w:t>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月，福建省电力勘测设计院设计员、副组长、组长；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w:t>
      </w:r>
      <w:r>
        <w:rPr>
          <w:spacing w:val="-56"/>
        </w:rPr>
        <w:t> </w:t>
      </w:r>
      <w:r>
        <w:rPr>
          <w:spacing w:val="-56"/>
        </w:rPr>
      </w:r>
      <w:r>
        <w:rPr/>
        <w:t>问有限公司副主任、主任、副总工程师；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月至今，福建永福电力设计股份有限公司监事，副总工程师、线路设计部</w:t>
      </w:r>
      <w:r>
        <w:rPr>
          <w:spacing w:val="-85"/>
        </w:rPr>
        <w:t> </w:t>
      </w:r>
      <w:r>
        <w:rPr>
          <w:spacing w:val="-85"/>
        </w:rPr>
      </w:r>
      <w:r>
        <w:rPr/>
        <w:t>主任。</w:t>
      </w:r>
    </w:p>
    <w:p>
      <w:pPr>
        <w:spacing w:line="240" w:lineRule="auto" w:before="4"/>
        <w:rPr>
          <w:rFonts w:ascii="宋体" w:hAnsi="宋体" w:cs="宋体" w:eastAsia="宋体" w:hint="default"/>
          <w:sz w:val="14"/>
          <w:szCs w:val="14"/>
        </w:rPr>
      </w:pPr>
    </w:p>
    <w:p>
      <w:pPr>
        <w:pStyle w:val="BodyText"/>
        <w:spacing w:line="300" w:lineRule="auto"/>
        <w:ind w:right="188" w:firstLine="480"/>
        <w:jc w:val="both"/>
      </w:pPr>
      <w:r>
        <w:rPr>
          <w:rFonts w:ascii="Times New Roman" w:hAnsi="Times New Roman" w:cs="Times New Roman" w:eastAsia="Times New Roman" w:hint="default"/>
          <w:spacing w:val="-1"/>
        </w:rPr>
        <w:t>3</w:t>
      </w:r>
      <w:r>
        <w:rPr>
          <w:spacing w:val="-1"/>
        </w:rPr>
        <w:t>、王建明先生：</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9</w:t>
      </w:r>
      <w:r>
        <w:rPr>
          <w:spacing w:val="-1"/>
        </w:rPr>
        <w:t>月出生，中国国籍，无永久境外居留权，曾用名王永革，上海交通大学电力系统及其自动化</w:t>
      </w:r>
      <w:r>
        <w:rPr/>
        <w:t> </w:t>
      </w:r>
      <w:r>
        <w:rPr>
          <w:spacing w:val="-2"/>
        </w:rPr>
        <w:t>专业本科学历。</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月，福建省电力勘测设计院系统设计部工作；</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w:t>
      </w:r>
      <w:r>
        <w:rPr>
          <w:spacing w:val="-50"/>
        </w:rPr>
        <w:t> </w:t>
      </w:r>
      <w:r>
        <w:rPr>
          <w:spacing w:val="-50"/>
        </w:rPr>
      </w:r>
      <w:r>
        <w:rPr>
          <w:spacing w:val="-4"/>
        </w:rPr>
        <w:t>问有限公司公共事业部副主任、主任、总经理工作部主任、总经理助理；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月至今，福建永福设计股份有限公司监事、</w:t>
      </w:r>
      <w:r>
        <w:rPr>
          <w:spacing w:val="-38"/>
        </w:rPr>
        <w:t> </w:t>
      </w:r>
      <w:r>
        <w:rPr>
          <w:spacing w:val="-38"/>
        </w:rPr>
      </w:r>
      <w:r>
        <w:rPr/>
        <w:t>总经理助理。</w:t>
      </w:r>
    </w:p>
    <w:p>
      <w:pPr>
        <w:spacing w:line="240" w:lineRule="auto" w:before="4"/>
        <w:rPr>
          <w:rFonts w:ascii="宋体" w:hAnsi="宋体" w:cs="宋体" w:eastAsia="宋体" w:hint="default"/>
          <w:sz w:val="14"/>
          <w:szCs w:val="14"/>
        </w:rPr>
      </w:pPr>
    </w:p>
    <w:p>
      <w:pPr>
        <w:pStyle w:val="BodyText"/>
        <w:spacing w:line="240" w:lineRule="auto"/>
        <w:ind w:left="633" w:right="94"/>
        <w:jc w:val="left"/>
      </w:pPr>
      <w:r>
        <w:rPr/>
        <w:t>（三）公司高级管理人员任职情况：</w:t>
      </w:r>
    </w:p>
    <w:p>
      <w:pPr>
        <w:spacing w:line="240" w:lineRule="auto" w:before="10"/>
        <w:rPr>
          <w:rFonts w:ascii="宋体" w:hAnsi="宋体" w:cs="宋体" w:eastAsia="宋体" w:hint="default"/>
          <w:sz w:val="17"/>
          <w:szCs w:val="17"/>
        </w:rPr>
      </w:pPr>
    </w:p>
    <w:p>
      <w:pPr>
        <w:pStyle w:val="BodyText"/>
        <w:spacing w:line="240" w:lineRule="auto"/>
        <w:ind w:left="633" w:right="94"/>
        <w:jc w:val="left"/>
      </w:pPr>
      <w:r>
        <w:rPr>
          <w:rFonts w:ascii="Times New Roman" w:hAnsi="Times New Roman" w:cs="Times New Roman" w:eastAsia="Times New Roman" w:hint="default"/>
        </w:rPr>
        <w:t>1</w:t>
      </w:r>
      <w:r>
        <w:rPr/>
        <w:t>、林一文先生：公司总经理（详见董事简历）</w:t>
      </w:r>
    </w:p>
    <w:p>
      <w:pPr>
        <w:spacing w:line="240" w:lineRule="auto" w:before="9"/>
        <w:rPr>
          <w:rFonts w:ascii="宋体" w:hAnsi="宋体" w:cs="宋体" w:eastAsia="宋体" w:hint="default"/>
          <w:sz w:val="16"/>
          <w:szCs w:val="16"/>
        </w:rPr>
      </w:pPr>
    </w:p>
    <w:p>
      <w:pPr>
        <w:pStyle w:val="BodyText"/>
        <w:spacing w:line="240" w:lineRule="auto"/>
        <w:ind w:left="633" w:right="94"/>
        <w:jc w:val="left"/>
      </w:pPr>
      <w:r>
        <w:rPr>
          <w:rFonts w:ascii="Times New Roman" w:hAnsi="Times New Roman" w:cs="Times New Roman" w:eastAsia="Times New Roman" w:hint="default"/>
        </w:rPr>
        <w:t>2</w:t>
      </w:r>
      <w:r>
        <w:rPr/>
        <w:t>、王劲军先生：公司副总经理（详见董事简历）</w:t>
      </w:r>
    </w:p>
    <w:p>
      <w:pPr>
        <w:spacing w:line="240" w:lineRule="auto" w:before="9"/>
        <w:rPr>
          <w:rFonts w:ascii="宋体" w:hAnsi="宋体" w:cs="宋体" w:eastAsia="宋体" w:hint="default"/>
          <w:sz w:val="16"/>
          <w:szCs w:val="16"/>
        </w:rPr>
      </w:pPr>
    </w:p>
    <w:p>
      <w:pPr>
        <w:pStyle w:val="BodyText"/>
        <w:spacing w:line="240" w:lineRule="auto"/>
        <w:ind w:left="633" w:right="0"/>
        <w:jc w:val="left"/>
      </w:pPr>
      <w:r>
        <w:rPr>
          <w:rFonts w:ascii="Times New Roman" w:hAnsi="Times New Roman" w:cs="Times New Roman" w:eastAsia="Times New Roman" w:hint="default"/>
        </w:rPr>
        <w:t>3</w:t>
      </w:r>
      <w:r>
        <w:rPr/>
        <w:t>、宋发兴先生：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11</w:t>
      </w:r>
      <w:r>
        <w:rPr/>
        <w:t>月出生，中国国籍，无永久境外居留权，中共中央党校函授学院本科学历，工程师。</w:t>
      </w:r>
      <w:r>
        <w:rPr>
          <w:rFonts w:ascii="Times New Roman" w:hAnsi="Times New Roman" w:cs="Times New Roman" w:eastAsia="Times New Roman" w:hint="default"/>
        </w:rPr>
        <w:t>1984</w:t>
      </w:r>
      <w:r>
        <w:rPr/>
        <w:t>年</w:t>
      </w:r>
    </w:p>
    <w:p>
      <w:pPr>
        <w:pStyle w:val="BodyText"/>
        <w:spacing w:line="300" w:lineRule="auto" w:before="63"/>
        <w:ind w:right="196"/>
        <w:jc w:val="both"/>
      </w:pP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月，福建省电力勘测设计院组长、副主任；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月，福建永福工程顾问有限公司董事、副总 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月至今，福建永福电力设计股份有限公司副总经理。</w:t>
      </w:r>
    </w:p>
    <w:p>
      <w:pPr>
        <w:spacing w:line="240" w:lineRule="auto" w:before="12"/>
        <w:rPr>
          <w:rFonts w:ascii="宋体" w:hAnsi="宋体" w:cs="宋体" w:eastAsia="宋体" w:hint="default"/>
          <w:sz w:val="12"/>
          <w:szCs w:val="12"/>
        </w:rPr>
      </w:pPr>
    </w:p>
    <w:p>
      <w:pPr>
        <w:pStyle w:val="BodyText"/>
        <w:spacing w:line="240" w:lineRule="auto"/>
        <w:ind w:left="633" w:right="94"/>
        <w:jc w:val="left"/>
      </w:pPr>
      <w:r>
        <w:rPr>
          <w:rFonts w:ascii="Times New Roman" w:hAnsi="Times New Roman" w:cs="Times New Roman" w:eastAsia="Times New Roman" w:hint="default"/>
        </w:rPr>
        <w:t>4</w:t>
      </w:r>
      <w:r>
        <w:rPr/>
        <w:t>、钱有武先生：公司副总经理（详见董事简历）</w:t>
      </w:r>
    </w:p>
    <w:p>
      <w:pPr>
        <w:spacing w:line="240" w:lineRule="auto" w:before="9"/>
        <w:rPr>
          <w:rFonts w:ascii="宋体" w:hAnsi="宋体" w:cs="宋体" w:eastAsia="宋体" w:hint="default"/>
          <w:sz w:val="16"/>
          <w:szCs w:val="16"/>
        </w:rPr>
      </w:pPr>
    </w:p>
    <w:p>
      <w:pPr>
        <w:pStyle w:val="BodyText"/>
        <w:spacing w:line="240" w:lineRule="auto"/>
        <w:ind w:left="633" w:right="94"/>
        <w:jc w:val="left"/>
      </w:pPr>
      <w:r>
        <w:rPr>
          <w:rFonts w:ascii="Times New Roman" w:hAnsi="Times New Roman" w:cs="Times New Roman" w:eastAsia="Times New Roman" w:hint="default"/>
        </w:rPr>
        <w:t>5</w:t>
      </w:r>
      <w:r>
        <w:rPr/>
        <w:t>、刘勇先生：公司副总经理（详见董事简历）</w:t>
      </w:r>
    </w:p>
    <w:p>
      <w:pPr>
        <w:spacing w:after="0" w:line="240" w:lineRule="auto"/>
        <w:jc w:val="left"/>
        <w:sectPr>
          <w:pgSz w:w="11910" w:h="16840"/>
          <w:pgMar w:header="852" w:footer="979" w:top="1220" w:bottom="1160" w:left="980" w:right="940"/>
        </w:sectPr>
      </w:pPr>
    </w:p>
    <w:p>
      <w:pPr>
        <w:spacing w:line="240" w:lineRule="auto" w:before="11"/>
        <w:rPr>
          <w:rFonts w:ascii="宋体" w:hAnsi="宋体" w:cs="宋体" w:eastAsia="宋体" w:hint="default"/>
          <w:sz w:val="13"/>
          <w:szCs w:val="13"/>
        </w:rPr>
      </w:pPr>
    </w:p>
    <w:p>
      <w:pPr>
        <w:pStyle w:val="BodyText"/>
        <w:spacing w:line="300" w:lineRule="auto" w:before="44"/>
        <w:ind w:right="151" w:firstLine="480"/>
        <w:jc w:val="both"/>
      </w:pPr>
      <w:r>
        <w:rPr>
          <w:rFonts w:ascii="Times New Roman" w:hAnsi="Times New Roman" w:cs="Times New Roman" w:eastAsia="Times New Roman" w:hint="default"/>
          <w:spacing w:val="-3"/>
        </w:rPr>
        <w:t>6</w:t>
      </w:r>
      <w:r>
        <w:rPr>
          <w:spacing w:val="-3"/>
        </w:rPr>
        <w:t>、卓秀者女士：</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11</w:t>
      </w:r>
      <w:r>
        <w:rPr>
          <w:spacing w:val="-3"/>
        </w:rPr>
        <w:t>月出生，中国国籍，无永久境外居留权，华中科技大学通信工程专业工程硕士研究生，高级</w:t>
      </w:r>
      <w:r>
        <w:rPr/>
        <w:t> 工程师。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4</w:t>
      </w:r>
      <w:r>
        <w:rPr/>
        <w:t>月，供职福建省石狮电力联营公司；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月，福建省电力勘测设计院职工、 </w:t>
      </w:r>
      <w:r>
        <w:rPr>
          <w:spacing w:val="-2"/>
        </w:rPr>
        <w:t>副组长；</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月，福建永福电通技术开发有限公司副总经理（主持工作）、总经理；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月至今，福</w:t>
      </w:r>
      <w:r>
        <w:rPr>
          <w:spacing w:val="-57"/>
        </w:rPr>
        <w:t> </w:t>
      </w:r>
      <w:r>
        <w:rPr>
          <w:spacing w:val="-57"/>
        </w:rPr>
      </w:r>
      <w:r>
        <w:rPr/>
        <w:t>建永福电通技术开发有限公司总经理；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w:t>
      </w:r>
      <w:r>
        <w:rPr>
          <w:spacing w:val="-87"/>
        </w:rPr>
        <w:t> </w:t>
      </w:r>
      <w:r>
        <w:rPr>
          <w:spacing w:val="-87"/>
        </w:rPr>
      </w:r>
      <w:r>
        <w:rPr/>
        <w:t>建永福电力设计股份有限公司副总经理。</w:t>
      </w:r>
    </w:p>
    <w:p>
      <w:pPr>
        <w:spacing w:line="240" w:lineRule="auto" w:before="4"/>
        <w:rPr>
          <w:rFonts w:ascii="宋体" w:hAnsi="宋体" w:cs="宋体" w:eastAsia="宋体" w:hint="default"/>
          <w:sz w:val="14"/>
          <w:szCs w:val="14"/>
        </w:rPr>
      </w:pPr>
    </w:p>
    <w:p>
      <w:pPr>
        <w:pStyle w:val="BodyText"/>
        <w:spacing w:line="300" w:lineRule="auto"/>
        <w:ind w:right="150" w:firstLine="480"/>
        <w:jc w:val="both"/>
      </w:pPr>
      <w:r>
        <w:rPr>
          <w:rFonts w:ascii="Times New Roman" w:hAnsi="Times New Roman" w:cs="Times New Roman" w:eastAsia="Times New Roman" w:hint="default"/>
          <w:spacing w:val="-1"/>
        </w:rPr>
        <w:t>7</w:t>
      </w:r>
      <w:r>
        <w:rPr>
          <w:spacing w:val="-1"/>
        </w:rPr>
        <w:t>、陈强先生：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2</w:t>
      </w:r>
      <w:r>
        <w:rPr>
          <w:spacing w:val="-1"/>
        </w:rPr>
        <w:t>月出生，中国国籍，无永久境外居留权，西安理工大学建筑工程专业本科学历，二级注册结构</w:t>
      </w:r>
      <w:r>
        <w:rPr/>
        <w:t> 师、高级工程师。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月，福建省电力勘测设计研究院线路设计部结构设计师、副组长；</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12</w:t>
      </w:r>
      <w:r>
        <w:rPr/>
        <w:t>月，福建永福工程顾问有限公司组长；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月至今，福建永福铁塔技术开发有限公司副总经理、总经理；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月至今，福建永福电力设计股份有限公司副总经理，期间兼</w:t>
      </w:r>
      <w:r>
        <w:rPr>
          <w:spacing w:val="-58"/>
        </w:rPr>
        <w:t> </w:t>
      </w:r>
      <w:r>
        <w:rPr>
          <w:spacing w:val="-58"/>
        </w:rPr>
      </w:r>
      <w:r>
        <w:rPr/>
        <w:t>任福建省新能海上风电研发中心有限公司董事、常务副总经理。</w:t>
      </w:r>
    </w:p>
    <w:p>
      <w:pPr>
        <w:spacing w:line="240" w:lineRule="auto" w:before="5"/>
        <w:rPr>
          <w:rFonts w:ascii="宋体" w:hAnsi="宋体" w:cs="宋体" w:eastAsia="宋体" w:hint="default"/>
          <w:sz w:val="14"/>
          <w:szCs w:val="14"/>
        </w:rPr>
      </w:pPr>
    </w:p>
    <w:p>
      <w:pPr>
        <w:pStyle w:val="BodyText"/>
        <w:spacing w:line="300" w:lineRule="auto"/>
        <w:ind w:right="151" w:firstLine="480"/>
        <w:jc w:val="both"/>
      </w:pPr>
      <w:r>
        <w:rPr>
          <w:rFonts w:ascii="Times New Roman" w:hAnsi="Times New Roman" w:cs="Times New Roman" w:eastAsia="Times New Roman" w:hint="default"/>
          <w:spacing w:val="-1"/>
        </w:rPr>
        <w:t>8</w:t>
      </w:r>
      <w:r>
        <w:rPr>
          <w:spacing w:val="-1"/>
        </w:rPr>
        <w:t>、卢庆议先生：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9</w:t>
      </w:r>
      <w:r>
        <w:rPr>
          <w:spacing w:val="-1"/>
        </w:rPr>
        <w:t>月出生，中国国籍，无永久境外居留权，上海电力学院工业自动化专业本科学历，高级工程</w:t>
      </w:r>
      <w:r>
        <w:rPr/>
        <w:t> </w:t>
      </w:r>
      <w:r>
        <w:rPr>
          <w:spacing w:val="-2"/>
        </w:rPr>
        <w:t>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月，任职福建省电力勘测设计研究院电控设计部；</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月，福建永福工程顾问有</w:t>
      </w:r>
      <w:r>
        <w:rPr>
          <w:spacing w:val="-52"/>
        </w:rPr>
        <w:t> </w:t>
      </w:r>
      <w:r>
        <w:rPr>
          <w:spacing w:val="-52"/>
        </w:rPr>
      </w:r>
      <w:r>
        <w:rPr>
          <w:spacing w:val="-5"/>
        </w:rPr>
        <w:t>限公司监事；</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6</w:t>
      </w:r>
      <w:r>
        <w:rPr>
          <w:spacing w:val="-5"/>
        </w:rPr>
        <w:t>月，福建永福集团有限公司工会主席、董事会秘书、监事会主席；</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spacing w:val="-37"/>
        </w:rPr>
        <w:t> </w:t>
      </w:r>
      <w:r>
        <w:rPr/>
        <w:t>福建永福工程顾问有限公司工会主席；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月，永福工程顾问有限公司副总经理、董事会秘书；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spacing w:val="-87"/>
        </w:rPr>
        <w:t> </w:t>
      </w:r>
      <w:r>
        <w:rPr/>
        <w:t>至今，福建永福电力设计股份有限公司副总经理、董事会秘书。</w:t>
      </w:r>
    </w:p>
    <w:p>
      <w:pPr>
        <w:spacing w:line="240" w:lineRule="auto" w:before="4"/>
        <w:rPr>
          <w:rFonts w:ascii="宋体" w:hAnsi="宋体" w:cs="宋体" w:eastAsia="宋体" w:hint="default"/>
          <w:sz w:val="14"/>
          <w:szCs w:val="14"/>
        </w:rPr>
      </w:pPr>
    </w:p>
    <w:p>
      <w:pPr>
        <w:pStyle w:val="BodyText"/>
        <w:spacing w:line="240" w:lineRule="auto"/>
        <w:ind w:left="633" w:right="0"/>
        <w:jc w:val="left"/>
      </w:pPr>
      <w:r>
        <w:rPr>
          <w:rFonts w:ascii="Times New Roman" w:hAnsi="Times New Roman" w:cs="Times New Roman" w:eastAsia="Times New Roman" w:hint="default"/>
          <w:spacing w:val="-3"/>
        </w:rPr>
        <w:t>9</w:t>
      </w:r>
      <w:r>
        <w:rPr>
          <w:spacing w:val="-3"/>
        </w:rPr>
        <w:t>、张善传先生：</w:t>
      </w:r>
      <w:r>
        <w:rPr>
          <w:rFonts w:ascii="Times New Roman" w:hAnsi="Times New Roman" w:cs="Times New Roman" w:eastAsia="Times New Roman" w:hint="default"/>
          <w:spacing w:val="-3"/>
        </w:rPr>
        <w:t>1970</w:t>
      </w:r>
      <w:r>
        <w:rPr>
          <w:spacing w:val="-3"/>
        </w:rPr>
        <w:t>年</w:t>
      </w:r>
      <w:r>
        <w:rPr>
          <w:rFonts w:ascii="Times New Roman" w:hAnsi="Times New Roman" w:cs="Times New Roman" w:eastAsia="Times New Roman" w:hint="default"/>
          <w:spacing w:val="-3"/>
        </w:rPr>
        <w:t>10</w:t>
      </w:r>
      <w:r>
        <w:rPr>
          <w:spacing w:val="-3"/>
        </w:rPr>
        <w:t>月出生，中国国籍，无永久境外居留权，福州大学会计与审计专业本科学历，高级会计师。</w:t>
      </w:r>
    </w:p>
    <w:p>
      <w:pPr>
        <w:pStyle w:val="BodyText"/>
        <w:spacing w:line="300" w:lineRule="auto" w:before="63"/>
        <w:ind w:right="151"/>
        <w:jc w:val="both"/>
      </w:pP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月，福建省古田溪水电厂主办会计、多经财务主任、审计部副主任；</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月，福建省瑞</w:t>
      </w:r>
      <w:r>
        <w:rPr>
          <w:spacing w:val="-54"/>
        </w:rPr>
        <w:t> </w:t>
      </w:r>
      <w:r>
        <w:rPr>
          <w:spacing w:val="-54"/>
        </w:rPr>
      </w:r>
      <w:r>
        <w:rPr>
          <w:spacing w:val="-2"/>
        </w:rPr>
        <w:t>新集团有限公司财务主任、财务总监、董事会秘书；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月，福建永福工程顾问有限公司副总会计师兼财务</w:t>
      </w:r>
      <w:r>
        <w:rPr>
          <w:spacing w:val="-59"/>
        </w:rPr>
        <w:t> </w:t>
      </w:r>
      <w:r>
        <w:rPr>
          <w:spacing w:val="-59"/>
        </w:rPr>
      </w:r>
      <w:r>
        <w:rPr/>
        <w:t>主任、财务总监；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月至今，福建永福电力设计股份有限公司财务总监。</w:t>
      </w:r>
    </w:p>
    <w:p>
      <w:pPr>
        <w:spacing w:line="240" w:lineRule="auto" w:before="12"/>
        <w:rPr>
          <w:rFonts w:ascii="宋体" w:hAnsi="宋体" w:cs="宋体" w:eastAsia="宋体" w:hint="default"/>
          <w:sz w:val="12"/>
          <w:szCs w:val="12"/>
        </w:rPr>
      </w:pPr>
    </w:p>
    <w:p>
      <w:pPr>
        <w:pStyle w:val="BodyText"/>
        <w:spacing w:line="300" w:lineRule="auto"/>
        <w:ind w:right="150" w:firstLine="480"/>
        <w:jc w:val="both"/>
      </w:pPr>
      <w:r>
        <w:rPr>
          <w:rFonts w:ascii="Times New Roman" w:hAnsi="Times New Roman" w:cs="Times New Roman" w:eastAsia="Times New Roman" w:hint="default"/>
          <w:spacing w:val="-3"/>
        </w:rPr>
        <w:t>10</w:t>
      </w:r>
      <w:r>
        <w:rPr>
          <w:spacing w:val="-3"/>
        </w:rPr>
        <w:t>、罗志青先生：</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5</w:t>
      </w:r>
      <w:r>
        <w:rPr>
          <w:spacing w:val="-3"/>
        </w:rPr>
        <w:t>月出生，中国国籍，无永久境外居留权，福州大学会计系本科学历，湖南大学会计学研究生</w:t>
      </w:r>
      <w:r>
        <w:rPr/>
        <w:t> </w:t>
      </w:r>
      <w:r>
        <w:rPr>
          <w:spacing w:val="-2"/>
        </w:rPr>
        <w:t>班研究生结业，高级会计师。</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9</w:t>
      </w:r>
      <w:r>
        <w:rPr>
          <w:spacing w:val="-2"/>
        </w:rPr>
        <w:t>月，福建省火电工程承包公司财务部出纳、成本会计；</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年</w:t>
      </w:r>
      <w:r>
        <w:rPr>
          <w:rFonts w:ascii="Times New Roman" w:hAnsi="Times New Roman" w:cs="Times New Roman" w:eastAsia="Times New Roman" w:hint="default"/>
          <w:spacing w:val="-2"/>
        </w:rPr>
        <w:t>3</w:t>
      </w:r>
      <w:r>
        <w:rPr>
          <w:spacing w:val="-2"/>
        </w:rPr>
        <w:t>月，福建省电力有限公司（福建省电力工业局）财务部机关会计、预算管理；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月，福建省第一电力</w:t>
      </w:r>
      <w:r>
        <w:rPr>
          <w:spacing w:val="-62"/>
        </w:rPr>
        <w:t> </w:t>
      </w:r>
      <w:r>
        <w:rPr>
          <w:spacing w:val="-62"/>
        </w:rPr>
      </w:r>
      <w:r>
        <w:rPr/>
        <w:t>建设公司总会计师（委派）；</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月，华电集团福建公司财务部副主任；</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月，中海福 建燃气发电有限公司财务总监（兼）；</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月，华电福建发电有限公司财务部副主任；</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2007</w:t>
      </w:r>
      <w:r>
        <w:rPr/>
        <w:t>年 </w:t>
      </w:r>
      <w:r>
        <w:rPr>
          <w:rFonts w:ascii="Times New Roman" w:hAnsi="Times New Roman" w:cs="Times New Roman" w:eastAsia="Times New Roman" w:hint="default"/>
          <w:spacing w:val="-2"/>
        </w:rPr>
        <w:t>10</w:t>
      </w:r>
      <w:r>
        <w:rPr>
          <w:spacing w:val="-2"/>
        </w:rPr>
        <w:t>月，中国华电集团财务部会计处副处长（挂职主持工作）；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月，华电福新能源股份有限公司财务管理</w:t>
      </w:r>
      <w:r>
        <w:rPr>
          <w:spacing w:val="-61"/>
        </w:rPr>
        <w:t> </w:t>
      </w:r>
      <w:r>
        <w:rPr>
          <w:spacing w:val="-61"/>
        </w:rPr>
      </w:r>
      <w:r>
        <w:rPr/>
        <w:t>部主任；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月，华电福新能源股份有限公司资本运营及产权管理部主任；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月，上海 华信国际集团工业装备有限公司副总经理；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月至今，福建永福电力设计股份有限公司副总经理。</w:t>
      </w:r>
    </w:p>
    <w:p>
      <w:pPr>
        <w:spacing w:line="240" w:lineRule="auto" w:before="12"/>
        <w:rPr>
          <w:rFonts w:ascii="宋体" w:hAnsi="宋体" w:cs="宋体" w:eastAsia="宋体" w:hint="default"/>
          <w:sz w:val="12"/>
          <w:szCs w:val="12"/>
        </w:rPr>
      </w:pPr>
    </w:p>
    <w:p>
      <w:pPr>
        <w:pStyle w:val="BodyText"/>
        <w:spacing w:line="240" w:lineRule="auto"/>
        <w:ind w:right="0"/>
        <w:jc w:val="both"/>
      </w:pPr>
      <w:r>
        <w:rPr/>
        <w:t>在股东单位任职情况</w:t>
      </w:r>
    </w:p>
    <w:p>
      <w:pPr>
        <w:spacing w:line="240" w:lineRule="auto" w:before="10"/>
        <w:rPr>
          <w:rFonts w:ascii="宋体" w:hAnsi="宋体" w:cs="宋体" w:eastAsia="宋体" w:hint="default"/>
          <w:sz w:val="17"/>
          <w:szCs w:val="17"/>
        </w:rPr>
      </w:pPr>
    </w:p>
    <w:p>
      <w:pPr>
        <w:pStyle w:val="BodyText"/>
        <w:spacing w:line="240" w:lineRule="auto"/>
        <w:ind w:right="0"/>
        <w:jc w:val="both"/>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30"/>
        <w:gridCol w:w="1586"/>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福州博宏投资管理有限公司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30"/>
        <w:gridCol w:w="1586"/>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30"/>
        <w:gridCol w:w="1586"/>
      </w:tblGrid>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Times New Roman" w:hAnsi="Times New Roman" w:cs="Times New Roman" w:eastAsia="Times New Roman" w:hint="default"/>
          <w:sz w:val="10"/>
          <w:szCs w:val="10"/>
        </w:rPr>
      </w:pPr>
    </w:p>
    <w:p>
      <w:pPr>
        <w:pStyle w:val="BodyText"/>
        <w:spacing w:line="240" w:lineRule="auto" w:before="44"/>
        <w:ind w:right="0"/>
        <w:jc w:val="left"/>
      </w:pPr>
      <w:r>
        <w:rPr/>
        <w:t>在其他单位任职情况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福建辉迪福信息科技有限公司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福建辉迪福信息科技有限公司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南平兴峰水电有限公司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福建和盛高科技产业有限公司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福建辉迪福信息科技有限公司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江苏金刚文化科技集团股份有限公司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海富产业投资基金管理有限公司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中能电气股份有限公司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福建海源自动化机械股份有限公司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上海锦天城（福州）律师事务所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高级合伙 人、</w:t>
            </w:r>
            <w:r>
              <w:rPr>
                <w:rFonts w:ascii="宋体" w:hAnsi="宋体" w:cs="宋体" w:eastAsia="宋体" w:hint="default"/>
                <w:spacing w:val="1"/>
                <w:sz w:val="18"/>
                <w:szCs w:val="18"/>
              </w:rPr>
              <w:t> </w:t>
            </w:r>
            <w:r>
              <w:rPr>
                <w:rFonts w:ascii="宋体" w:hAnsi="宋体" w:cs="宋体" w:eastAsia="宋体" w:hint="default"/>
                <w:sz w:val="18"/>
                <w:szCs w:val="18"/>
              </w:rPr>
              <w:t>管委会</w:t>
            </w:r>
            <w:r>
              <w:rPr>
                <w:rFonts w:ascii="宋体" w:hAnsi="宋体" w:cs="宋体" w:eastAsia="宋体" w:hint="default"/>
                <w:sz w:val="18"/>
                <w:szCs w:val="18"/>
              </w:rPr>
              <w:t> 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福建海峡科化股份有限公司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四川福蓉科技股份公司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福建福光股份有限公司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闽清永盛生态农业综合开发有限公司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福建省新能海上风电研发中心有限公司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福建永帆风电科技有限公司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Times New Roman" w:hAnsi="Times New Roman" w:cs="Times New Roman" w:eastAsia="Times New Roman" w:hint="default"/>
          <w:sz w:val="10"/>
          <w:szCs w:val="10"/>
        </w:rPr>
      </w:pPr>
    </w:p>
    <w:p>
      <w:pPr>
        <w:pStyle w:val="BodyText"/>
        <w:spacing w:line="240" w:lineRule="auto" w:before="44"/>
        <w:ind w:right="0"/>
        <w:jc w:val="left"/>
      </w:pPr>
      <w:r>
        <w:rPr/>
        <w:t>公司现任及报告期内离任董事、监事和高级管理人员近三年证券监管机构处罚的情况</w:t>
      </w:r>
    </w:p>
    <w:p>
      <w:pPr>
        <w:spacing w:line="240" w:lineRule="auto" w:before="11"/>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四、董事、监事、高级管理人员报酬情况</w:t>
      </w:r>
      <w:r>
        <w:rPr>
          <w:b w:val="0"/>
          <w:bCs w:val="0"/>
        </w:rPr>
      </w:r>
    </w:p>
    <w:p>
      <w:pPr>
        <w:pStyle w:val="BodyText"/>
        <w:spacing w:line="240" w:lineRule="auto" w:before="202"/>
        <w:ind w:right="0"/>
        <w:jc w:val="left"/>
      </w:pPr>
      <w:r>
        <w:rPr/>
        <w:t>董事、监事、高级管理人员报酬的决策程序、确定依据、实际支付情况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t>（一）董事、监事、高级管理人员报酬的决策程序</w:t>
      </w:r>
    </w:p>
    <w:p>
      <w:pPr>
        <w:spacing w:line="240" w:lineRule="auto" w:before="10"/>
        <w:rPr>
          <w:rFonts w:ascii="宋体" w:hAnsi="宋体" w:cs="宋体" w:eastAsia="宋体" w:hint="default"/>
          <w:sz w:val="17"/>
          <w:szCs w:val="17"/>
        </w:rPr>
      </w:pPr>
    </w:p>
    <w:p>
      <w:pPr>
        <w:pStyle w:val="BodyText"/>
        <w:spacing w:line="304" w:lineRule="auto"/>
        <w:ind w:right="142" w:firstLine="36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日福建永福电力设计股份有限公司创立大会暨</w:t>
      </w:r>
      <w:r>
        <w:rPr>
          <w:rFonts w:ascii="Times New Roman" w:hAnsi="Times New Roman" w:cs="Times New Roman" w:eastAsia="Times New Roman" w:hint="default"/>
        </w:rPr>
        <w:t>2015</w:t>
      </w:r>
      <w:r>
        <w:rPr/>
        <w:t>年第一次股东大会审议通过了《关于董事、监事薪酬的 议案》。依据《公司章程》，公司制定了《福建永福电力设计股份有限公司高管薪酬管理规定》（</w:t>
      </w:r>
      <w:r>
        <w:rPr>
          <w:rFonts w:ascii="Times New Roman" w:hAnsi="Times New Roman" w:cs="Times New Roman" w:eastAsia="Times New Roman" w:hint="default"/>
        </w:rPr>
        <w:t>2015</w:t>
      </w:r>
      <w:r>
        <w:rPr/>
        <w:t>年）及《总经理绩 效考核办法》，并经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日公司第一届董事会第二次会议审议通过。总经理薪酬由董事会薪酬与绩效考核委员会考 核确定，报董事会批准执行。公司其他高管薪酬由总经理考核确定，经董事会薪酬与绩效考核委员会审核后报董事会批准 执行。</w:t>
      </w:r>
    </w:p>
    <w:p>
      <w:pPr>
        <w:spacing w:line="240" w:lineRule="auto" w:before="1"/>
        <w:rPr>
          <w:rFonts w:ascii="宋体" w:hAnsi="宋体" w:cs="宋体" w:eastAsia="宋体" w:hint="default"/>
          <w:sz w:val="14"/>
          <w:szCs w:val="14"/>
        </w:rPr>
      </w:pPr>
    </w:p>
    <w:p>
      <w:pPr>
        <w:pStyle w:val="BodyText"/>
        <w:spacing w:line="240" w:lineRule="auto"/>
        <w:ind w:right="0"/>
        <w:jc w:val="left"/>
      </w:pPr>
      <w:r>
        <w:rPr/>
        <w:t>（二）董事、监事、高级管理人员报酬的确定依据</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09" w:lineRule="auto" w:before="44"/>
        <w:ind w:right="251" w:firstLine="362"/>
        <w:jc w:val="both"/>
      </w:pPr>
      <w:r>
        <w:rPr/>
        <w:t>董事津贴（含独立董事）为</w:t>
      </w:r>
      <w:r>
        <w:rPr>
          <w:rFonts w:ascii="Times New Roman" w:hAnsi="Times New Roman" w:cs="Times New Roman" w:eastAsia="Times New Roman" w:hint="default"/>
        </w:rPr>
        <w:t>8</w:t>
      </w:r>
      <w:r>
        <w:rPr/>
        <w:t>万元</w:t>
      </w:r>
      <w:r>
        <w:rPr>
          <w:rFonts w:ascii="Times New Roman" w:hAnsi="Times New Roman" w:cs="Times New Roman" w:eastAsia="Times New Roman" w:hint="default"/>
        </w:rPr>
        <w:t>/</w:t>
      </w:r>
      <w:r>
        <w:rPr/>
        <w:t>年，在公司担任高级管理人员的董事领取其职务薪酬，公司不另行支付其作为董事 的薪酬。公司监事在公司领取其原职务薪酬，公司不再另行支付其作为监事的薪酬。公司高级管理人员薪酬由年薪、福利 两部分组成。公司根据绩效考核结果兑现其年薪。</w:t>
      </w:r>
    </w:p>
    <w:p>
      <w:pPr>
        <w:spacing w:line="240" w:lineRule="auto" w:before="10"/>
        <w:rPr>
          <w:rFonts w:ascii="宋体" w:hAnsi="宋体" w:cs="宋体" w:eastAsia="宋体" w:hint="default"/>
          <w:sz w:val="13"/>
          <w:szCs w:val="13"/>
        </w:rPr>
      </w:pPr>
    </w:p>
    <w:p>
      <w:pPr>
        <w:pStyle w:val="BodyText"/>
        <w:spacing w:line="477" w:lineRule="auto"/>
        <w:ind w:left="515" w:right="3516" w:hanging="363"/>
        <w:jc w:val="left"/>
      </w:pPr>
      <w:r>
        <w:rPr/>
        <w:t>（三）董事、监事、高级管理人员报酬的实际支付情况 公司董事、监事、高级管理人员共</w:t>
      </w:r>
      <w:r>
        <w:rPr>
          <w:rFonts w:ascii="Times New Roman" w:hAnsi="Times New Roman" w:cs="Times New Roman" w:eastAsia="Times New Roman" w:hint="default"/>
        </w:rPr>
        <w:t>18</w:t>
      </w:r>
      <w:r>
        <w:rPr/>
        <w:t>人，</w:t>
      </w:r>
      <w:r>
        <w:rPr>
          <w:rFonts w:ascii="Times New Roman" w:hAnsi="Times New Roman" w:cs="Times New Roman" w:eastAsia="Times New Roman" w:hint="default"/>
        </w:rPr>
        <w:t>2017</w:t>
      </w:r>
      <w:r>
        <w:rPr/>
        <w:t>年支付薪酬合计</w:t>
      </w:r>
      <w:r>
        <w:rPr>
          <w:rFonts w:ascii="Times New Roman" w:hAnsi="Times New Roman" w:cs="Times New Roman" w:eastAsia="Times New Roman" w:hint="default"/>
        </w:rPr>
        <w:t>669.73</w:t>
      </w:r>
      <w:r>
        <w:rPr/>
        <w:t>万元。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right="0"/>
        <w:jc w:val="left"/>
      </w:pPr>
      <w:r>
        <w:rPr/>
        <w:t>公司报告期内董事、监事和高级管理人员报酬情况</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单位：万元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254"/>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监事会主席、职 工代表监事、工 程部副主任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74"/>
              <w:jc w:val="both"/>
              <w:rPr>
                <w:rFonts w:ascii="宋体" w:hAnsi="宋体" w:cs="宋体" w:eastAsia="宋体" w:hint="default"/>
                <w:sz w:val="18"/>
                <w:szCs w:val="18"/>
              </w:rPr>
            </w:pPr>
            <w:r>
              <w:rPr>
                <w:rFonts w:ascii="宋体" w:hAnsi="宋体" w:cs="宋体" w:eastAsia="宋体" w:hint="default"/>
                <w:sz w:val="18"/>
                <w:szCs w:val="18"/>
              </w:rPr>
              <w:t>监事、副总工程 师、线路设计部 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监事、总经理助 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88" w:right="0"/>
              <w:jc w:val="lef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41.57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669.73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9"/>
          <w:szCs w:val="9"/>
        </w:rPr>
      </w:pPr>
    </w:p>
    <w:p>
      <w:pPr>
        <w:pStyle w:val="BodyText"/>
        <w:spacing w:line="240" w:lineRule="auto" w:before="44"/>
        <w:ind w:right="0"/>
        <w:jc w:val="left"/>
      </w:pPr>
      <w:r>
        <w:rPr/>
        <w:t>公司董事、高级管理人员报告期内被授予的股权激励情况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五、公司员工情况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63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527</w:t>
            </w:r>
          </w:p>
        </w:tc>
      </w:tr>
      <w:tr>
        <w:trPr>
          <w:trHeight w:val="63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r>
      <w:tr>
        <w:trPr>
          <w:trHeight w:val="63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63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63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404</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后勤人员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r>
      <w:tr>
        <w:trPr>
          <w:trHeight w:val="64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r>
      <w:tr>
        <w:trPr>
          <w:trHeight w:val="629"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425</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106</w:t>
            </w:r>
          </w:p>
        </w:tc>
      </w:tr>
      <w:tr>
        <w:trPr>
          <w:trHeight w:val="63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r>
    </w:tbl>
    <w:p>
      <w:pPr>
        <w:spacing w:line="240" w:lineRule="auto" w:before="3"/>
        <w:rPr>
          <w:rFonts w:ascii="宋体" w:hAnsi="宋体" w:cs="宋体" w:eastAsia="宋体" w:hint="default"/>
          <w:b/>
          <w:bCs/>
          <w:sz w:val="8"/>
          <w:szCs w:val="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pStyle w:val="BodyText"/>
        <w:spacing w:line="319" w:lineRule="auto" w:before="198"/>
        <w:ind w:right="251" w:firstLine="360"/>
        <w:jc w:val="both"/>
      </w:pPr>
      <w:r>
        <w:rPr/>
        <w:t>公司结合自身的实际情况，建立了较为完善的薪酬体系，薪酬政策及薪酬标准年度定期进行检视和优化。公司遵循按 劳分配、多劳多得、效益优先、公平公正的原则，结合薪酬内部公平性与外部竞争力，同时考虑公司长期战略发展，制定 公司薪酬政策及薪酬标准。公司对不同序列、不同层级的员工均制定了具有针对性的薪酬政策定位及实施规则，保证了对 各类人员的薪酬激励力度和激励效果。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r>
        <w:rPr>
          <w:rFonts w:ascii="Times New Roman" w:hAnsi="Times New Roman" w:cs="Times New Roman" w:eastAsia="Times New Roman" w:hint="default"/>
        </w:rPr>
        <w:t>3</w:t>
      </w:r>
      <w:r>
        <w:rPr/>
        <w:t>、培训计划</w:t>
      </w:r>
      <w:r>
        <w:rPr>
          <w:b w:val="0"/>
          <w:bCs w:val="0"/>
        </w:rPr>
      </w:r>
    </w:p>
    <w:p>
      <w:pPr>
        <w:pStyle w:val="BodyText"/>
        <w:spacing w:line="314" w:lineRule="auto" w:before="198"/>
        <w:ind w:right="234" w:firstLine="360"/>
        <w:jc w:val="left"/>
      </w:pPr>
      <w:r>
        <w:rPr/>
        <w:t>公司以企业管理人才、市场营销人才、项目管理人才为三大培训重点对象，统筹推进各类人才队伍的协调发展，同时 结合考虑公司长期战略发展、企业文化，围绕用好用活人才建立相关的培训管理、考核激励等制度。公司按照培训对象所 处的层次、岗位类别，构建了以专业技术、职业素养、文化素养、领导力为</w:t>
      </w:r>
      <w:r>
        <w:rPr>
          <w:rFonts w:ascii="Times New Roman" w:hAnsi="Times New Roman" w:cs="Times New Roman" w:eastAsia="Times New Roman" w:hint="default"/>
        </w:rPr>
        <w:t>“</w:t>
      </w:r>
      <w:r>
        <w:rPr/>
        <w:t>四大模块</w:t>
      </w:r>
      <w:r>
        <w:rPr>
          <w:rFonts w:ascii="Times New Roman" w:hAnsi="Times New Roman" w:cs="Times New Roman" w:eastAsia="Times New Roman" w:hint="default"/>
        </w:rPr>
        <w:t>”</w:t>
      </w:r>
      <w:r>
        <w:rPr/>
        <w:t>培训课程体系。公司一方面以员工 的培训需求、岗位职责以及员工个人绩效为依据，制定相应的培训计划为培训工作有序开展提供基本纲要，缩小岗位所需 能力和现有能力之间的差距；另一方面公司结合员工职业发展路径，针对从新员工到高层之间不同的能力要求，制定了不 同课程类别比例要求的进阶式的培训计划，促进员工的个人绩效提升，从而提升公司组织绩效。公司相继开展了新员工入 职培训、师带徒、百问百答、月度大讲堂、班组管理人员培训、中层管理人员培训、在岗技能培训等多种形式的培训活 动，有效的促进员工参与培训的热情，提升培训效果。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3"/>
        <w:ind w:right="0"/>
        <w:jc w:val="left"/>
        <w:rPr>
          <w:b w:val="0"/>
          <w:bCs w:val="0"/>
        </w:rPr>
      </w:pPr>
      <w:r>
        <w:rPr>
          <w:rFonts w:ascii="Times New Roman" w:hAnsi="Times New Roman" w:cs="Times New Roman" w:eastAsia="Times New Roman" w:hint="default"/>
        </w:rPr>
        <w:t>4</w:t>
      </w:r>
      <w:r>
        <w:rPr/>
        <w:t>、劳务外包情况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6,883,731.20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3"/>
        <w:rPr>
          <w:rFonts w:ascii="Times New Roman" w:hAnsi="Times New Roman" w:cs="Times New Roman" w:eastAsia="Times New Roman" w:hint="default"/>
          <w:sz w:val="23"/>
          <w:szCs w:val="23"/>
        </w:rPr>
      </w:pPr>
    </w:p>
    <w:p>
      <w:pPr>
        <w:pStyle w:val="Heading1"/>
        <w:spacing w:line="240" w:lineRule="auto"/>
        <w:ind w:right="451"/>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一、公司治理的基本状况</w:t>
      </w:r>
      <w:r>
        <w:rPr>
          <w:b w:val="0"/>
          <w:bCs w:val="0"/>
        </w:rPr>
      </w:r>
    </w:p>
    <w:p>
      <w:pPr>
        <w:pStyle w:val="Heading4"/>
        <w:spacing w:line="468" w:lineRule="exact" w:before="52"/>
        <w:ind w:left="513" w:right="0"/>
        <w:jc w:val="left"/>
      </w:pPr>
      <w:r>
        <w:rPr/>
        <w:t>（一）关于股东和股东大会</w:t>
      </w:r>
      <w:r>
        <w:rPr>
          <w:w w:val="100"/>
        </w:rPr>
        <w:t> </w:t>
      </w:r>
      <w:r>
        <w:rPr>
          <w:spacing w:val="-2"/>
        </w:rPr>
        <w:t>公司严格按照《公司法》、《上市公司股东大会规则》、《公司章程》和《股东大会议事规则》等规</w:t>
      </w:r>
    </w:p>
    <w:p>
      <w:pPr>
        <w:pStyle w:val="Heading4"/>
        <w:spacing w:line="248" w:lineRule="exact"/>
        <w:ind w:right="0"/>
        <w:jc w:val="left"/>
      </w:pPr>
      <w:r>
        <w:rPr/>
        <w:t>定和要求，规范地召集、召开股东大会、平等的对待所有股东，并尽可能为股东参加股东大会提供便</w:t>
      </w:r>
    </w:p>
    <w:p>
      <w:pPr>
        <w:pStyle w:val="Heading4"/>
        <w:spacing w:line="240" w:lineRule="auto" w:before="37"/>
        <w:ind w:right="0"/>
        <w:jc w:val="left"/>
      </w:pPr>
      <w:r>
        <w:rPr/>
        <w:t>利，使其充分行使股东权利。</w:t>
      </w:r>
    </w:p>
    <w:p>
      <w:pPr>
        <w:spacing w:line="240" w:lineRule="auto" w:before="10"/>
        <w:rPr>
          <w:rFonts w:ascii="宋体" w:hAnsi="宋体" w:cs="宋体" w:eastAsia="宋体" w:hint="default"/>
          <w:sz w:val="14"/>
          <w:szCs w:val="14"/>
        </w:rPr>
      </w:pPr>
    </w:p>
    <w:p>
      <w:pPr>
        <w:pStyle w:val="Heading4"/>
        <w:spacing w:line="266" w:lineRule="auto"/>
        <w:ind w:right="0" w:firstLine="360"/>
        <w:jc w:val="left"/>
      </w:pPr>
      <w:r>
        <w:rPr>
          <w:spacing w:val="-2"/>
        </w:rPr>
        <w:t>报告期内，公司共召开</w:t>
      </w:r>
      <w:r>
        <w:rPr>
          <w:rFonts w:ascii="Times New Roman" w:hAnsi="Times New Roman" w:cs="Times New Roman" w:eastAsia="Times New Roman" w:hint="default"/>
          <w:spacing w:val="-2"/>
        </w:rPr>
        <w:t>4</w:t>
      </w:r>
      <w:r>
        <w:rPr>
          <w:spacing w:val="-2"/>
        </w:rPr>
        <w:t>次股东大会，其中</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3</w:t>
      </w:r>
      <w:r>
        <w:rPr>
          <w:spacing w:val="-2"/>
        </w:rPr>
        <w:t>次临时股东大会，均由董事会召集召</w:t>
      </w:r>
      <w:r>
        <w:rPr>
          <w:w w:val="100"/>
        </w:rPr>
        <w:t> </w:t>
      </w:r>
      <w:r>
        <w:rPr/>
        <w:t>开，董事长主持。股东大会召集、召开和表决程序合法，并确保全体股东特别是中小股东享有平等地</w:t>
      </w:r>
      <w:r>
        <w:rPr>
          <w:w w:val="100"/>
        </w:rPr>
        <w:t> </w:t>
      </w:r>
      <w:r>
        <w:rPr/>
        <w:t>位，充分行使自己的权利。</w:t>
      </w:r>
    </w:p>
    <w:p>
      <w:pPr>
        <w:pStyle w:val="Heading4"/>
        <w:spacing w:line="468" w:lineRule="exact" w:before="41"/>
        <w:ind w:left="513" w:right="0"/>
        <w:jc w:val="left"/>
      </w:pPr>
      <w:r>
        <w:rPr/>
        <w:t>（二）关于公司与控股股东</w:t>
      </w:r>
      <w:r>
        <w:rPr>
          <w:w w:val="100"/>
        </w:rPr>
        <w:t> </w:t>
      </w:r>
      <w:r>
        <w:rPr>
          <w:spacing w:val="-2"/>
        </w:rPr>
        <w:t>公司控股股东和实际控制人严格按照《上市公司治理准则》、《深圳证券交易所创业板股票上市规</w:t>
      </w:r>
    </w:p>
    <w:p>
      <w:pPr>
        <w:pStyle w:val="Heading4"/>
        <w:spacing w:line="248" w:lineRule="exact"/>
        <w:ind w:right="0"/>
        <w:jc w:val="left"/>
      </w:pPr>
      <w:r>
        <w:rPr/>
        <w:t>则》、《深圳证券交易所创业板上市公司规范运作指引》、《公司章程》等规定和要求，规范自己的行</w:t>
      </w:r>
    </w:p>
    <w:p>
      <w:pPr>
        <w:pStyle w:val="Heading4"/>
        <w:spacing w:line="273" w:lineRule="auto" w:before="37"/>
        <w:ind w:right="0"/>
        <w:jc w:val="left"/>
      </w:pPr>
      <w:r>
        <w:rPr/>
        <w:t>为，不存在超越股东大会直接或间接干预公司的决策和经营活动的行为，未损害公司及其他股东的利</w:t>
      </w:r>
      <w:r>
        <w:rPr>
          <w:w w:val="100"/>
        </w:rPr>
        <w:t> </w:t>
      </w:r>
      <w:r>
        <w:rPr>
          <w:spacing w:val="-2"/>
        </w:rPr>
        <w:t>益，不存在控股股东占用公司资金的现象，亦无为控股股东提供担保的情形。公司拥有独立完整的业务</w:t>
      </w:r>
      <w:r>
        <w:rPr>
          <w:spacing w:val="-21"/>
        </w:rPr>
        <w:t> </w:t>
      </w:r>
      <w:r>
        <w:rPr>
          <w:spacing w:val="-21"/>
        </w:rPr>
      </w:r>
      <w:r>
        <w:rPr>
          <w:spacing w:val="-2"/>
        </w:rPr>
        <w:t>和自主经营能力，在业务、人员、资产、机构、财务上独立于控股股东，公司董事会、监事会和内部机</w:t>
      </w:r>
      <w:r>
        <w:rPr>
          <w:spacing w:val="-21"/>
        </w:rPr>
        <w:t> </w:t>
      </w:r>
      <w:r>
        <w:rPr>
          <w:spacing w:val="-21"/>
        </w:rPr>
      </w:r>
      <w:r>
        <w:rPr/>
        <w:t>构独立运作。</w:t>
      </w:r>
    </w:p>
    <w:p>
      <w:pPr>
        <w:pStyle w:val="Heading4"/>
        <w:spacing w:line="468" w:lineRule="exact" w:before="34"/>
        <w:ind w:left="513" w:right="0"/>
        <w:jc w:val="left"/>
      </w:pPr>
      <w:r>
        <w:rPr/>
        <w:t>（三）关于董事和董事会</w:t>
      </w:r>
      <w:r>
        <w:rPr>
          <w:w w:val="100"/>
        </w:rPr>
        <w:t> </w:t>
      </w:r>
      <w:r>
        <w:rPr>
          <w:spacing w:val="-2"/>
        </w:rPr>
        <w:t>公司第一届董事会设董事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w:t>
      </w:r>
    </w:p>
    <w:p>
      <w:pPr>
        <w:pStyle w:val="Heading4"/>
        <w:spacing w:line="248" w:lineRule="exact"/>
        <w:ind w:right="0"/>
        <w:jc w:val="left"/>
      </w:pPr>
      <w:r>
        <w:rPr/>
        <w:t>章程》的要求。全体董事能够依据《公司章程》、《董事会议事规则》、《独立董事工作细则》等要求</w:t>
      </w:r>
    </w:p>
    <w:p>
      <w:pPr>
        <w:pStyle w:val="Heading4"/>
        <w:spacing w:line="273" w:lineRule="auto" w:before="37"/>
        <w:ind w:right="0"/>
        <w:jc w:val="left"/>
      </w:pPr>
      <w:r>
        <w:rPr>
          <w:spacing w:val="-2"/>
        </w:rPr>
        <w:t>开展工作，出席董事会、董事会专门委员会和股东大会，勤勉尽责的履行职责和义务，同时积极参加相</w:t>
      </w:r>
      <w:r>
        <w:rPr>
          <w:spacing w:val="-21"/>
        </w:rPr>
        <w:t> </w:t>
      </w:r>
      <w:r>
        <w:rPr>
          <w:spacing w:val="-21"/>
        </w:rPr>
      </w:r>
      <w:r>
        <w:rPr/>
        <w:t>关培训，熟悉相关法律法规。</w:t>
      </w:r>
    </w:p>
    <w:p>
      <w:pPr>
        <w:pStyle w:val="Heading4"/>
        <w:spacing w:line="273" w:lineRule="auto" w:before="163"/>
        <w:ind w:right="0" w:firstLine="360"/>
        <w:jc w:val="left"/>
      </w:pPr>
      <w:r>
        <w:rPr>
          <w:spacing w:val="-2"/>
        </w:rPr>
        <w:t>按照《深圳证券交易所创业板上市公司规范运作指引》的要求，公司董事会下设审计委员会、提名委</w:t>
      </w:r>
      <w:r>
        <w:rPr>
          <w:w w:val="100"/>
        </w:rPr>
        <w:t> </w:t>
      </w:r>
      <w:r>
        <w:rPr/>
        <w:t>员会、薪酬与绩效考核委员会、战略委员会四个专门委员会，并制定了各委员会工作细则。各专门委员</w:t>
      </w:r>
      <w:r>
        <w:rPr>
          <w:w w:val="100"/>
        </w:rPr>
        <w:t> </w:t>
      </w:r>
      <w:r>
        <w:rPr/>
        <w:t>会组成情况如下：审计委员会成员为董事季征南、独立董事胡继荣和林雁，其中独立董事胡继荣为主任</w:t>
      </w:r>
      <w:r>
        <w:rPr>
          <w:w w:val="100"/>
        </w:rPr>
        <w:t> </w:t>
      </w:r>
      <w:r>
        <w:rPr/>
        <w:t>委员；提名委员会成员为董事林一文、独立董事林雁和陈冲，其中独立董事林雁为主任委员；薪酬与绩</w:t>
      </w:r>
      <w:r>
        <w:rPr>
          <w:w w:val="100"/>
        </w:rPr>
        <w:t> </w:t>
      </w:r>
      <w:r>
        <w:rPr/>
        <w:t>效考核委员会成员为董事林一文、独立董事陈冲和胡继荣，其中独立董事陈冲为主任委员；战略委员会</w:t>
      </w:r>
      <w:r>
        <w:rPr>
          <w:w w:val="100"/>
        </w:rPr>
        <w:t> </w:t>
      </w:r>
      <w:r>
        <w:rPr/>
        <w:t>成员为董事林一文、季征南和独立董事林雁，其中董事林一文为主任委员。各专门委员会依据《公司章</w:t>
      </w:r>
      <w:r>
        <w:rPr>
          <w:w w:val="100"/>
        </w:rPr>
        <w:t> </w:t>
      </w:r>
      <w:r>
        <w:rPr/>
        <w:t>程》和各委员会工作细则的规定履行职权，不受公司其他部门和个人的干预，为公司董事会的决策提供</w:t>
      </w:r>
      <w:r>
        <w:rPr>
          <w:w w:val="100"/>
        </w:rPr>
        <w:t> </w:t>
      </w:r>
      <w:r>
        <w:rPr/>
        <w:t>了专业意见和参考依据。</w:t>
      </w:r>
    </w:p>
    <w:p>
      <w:pPr>
        <w:pStyle w:val="Heading4"/>
        <w:spacing w:line="468" w:lineRule="exact" w:before="34"/>
        <w:ind w:left="513" w:right="0"/>
        <w:jc w:val="left"/>
      </w:pPr>
      <w:r>
        <w:rPr/>
        <w:t>（四）关于监事和监事会</w:t>
      </w:r>
      <w:r>
        <w:rPr>
          <w:w w:val="100"/>
        </w:rPr>
        <w:t> </w:t>
      </w:r>
      <w:r>
        <w:rPr>
          <w:spacing w:val="-2"/>
        </w:rPr>
        <w:t>公司第一届监事会设监事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名，非职工代表监事</w:t>
      </w:r>
      <w:r>
        <w:rPr>
          <w:rFonts w:ascii="Times New Roman" w:hAnsi="Times New Roman" w:cs="Times New Roman" w:eastAsia="Times New Roman" w:hint="default"/>
          <w:spacing w:val="-2"/>
        </w:rPr>
        <w:t>2</w:t>
      </w:r>
      <w:r>
        <w:rPr>
          <w:spacing w:val="-2"/>
        </w:rPr>
        <w:t>名，监事会的人数和构成符</w:t>
      </w:r>
    </w:p>
    <w:p>
      <w:pPr>
        <w:pStyle w:val="Heading4"/>
        <w:spacing w:line="248" w:lineRule="exact"/>
        <w:ind w:right="0"/>
        <w:jc w:val="left"/>
      </w:pPr>
      <w:r>
        <w:rPr/>
        <w:t>合法律、法规的要求。各监事能够按照《公司章程》、《监事会议事规则》等规定的要求，认真履行自</w:t>
      </w:r>
    </w:p>
    <w:p>
      <w:pPr>
        <w:pStyle w:val="Heading4"/>
        <w:spacing w:line="273" w:lineRule="auto" w:before="37"/>
        <w:ind w:right="0"/>
        <w:jc w:val="left"/>
      </w:pPr>
      <w:r>
        <w:rPr>
          <w:spacing w:val="-2"/>
        </w:rPr>
        <w:t>己的职责，对公司的重大事项、关联交易、财务状况以及董事、经理和其他高级管理人员履行职责的合</w:t>
      </w:r>
      <w:r>
        <w:rPr>
          <w:spacing w:val="-21"/>
        </w:rPr>
        <w:t> </w:t>
      </w:r>
      <w:r>
        <w:rPr>
          <w:spacing w:val="-21"/>
        </w:rPr>
      </w:r>
      <w:r>
        <w:rPr/>
        <w:t>法合规性进行监督，维护公司及股东的合法权益。</w:t>
      </w:r>
    </w:p>
    <w:p>
      <w:pPr>
        <w:pStyle w:val="Heading4"/>
        <w:spacing w:line="468" w:lineRule="exact" w:before="34"/>
        <w:ind w:left="513" w:right="0"/>
        <w:jc w:val="left"/>
      </w:pPr>
      <w:r>
        <w:rPr/>
        <w:t>（五）关于绩效评价与激励约束机制</w:t>
      </w:r>
      <w:r>
        <w:rPr>
          <w:w w:val="100"/>
        </w:rPr>
        <w:t> </w:t>
      </w:r>
      <w:r>
        <w:rPr>
          <w:spacing w:val="-2"/>
        </w:rPr>
        <w:t>公司建立了科学有效的激励约束机制，以完善公司高级管理人员绩效考核，规范公司高管人员薪酬管</w:t>
      </w:r>
    </w:p>
    <w:p>
      <w:pPr>
        <w:pStyle w:val="Heading4"/>
        <w:spacing w:line="248" w:lineRule="exact"/>
        <w:ind w:right="0"/>
        <w:jc w:val="left"/>
      </w:pPr>
      <w:r>
        <w:rPr/>
        <w:t>理，提高公司经营管理水平和核心竞争力。公司高级管理人员薪酬由年薪、福利两部分组成。公司以企</w:t>
      </w:r>
    </w:p>
    <w:p>
      <w:pPr>
        <w:spacing w:after="0" w:line="248" w:lineRule="exact"/>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4"/>
        <w:spacing w:line="273" w:lineRule="auto" w:before="36"/>
        <w:ind w:right="0"/>
        <w:jc w:val="left"/>
      </w:pPr>
      <w:r>
        <w:rPr>
          <w:spacing w:val="-2"/>
        </w:rPr>
        <w:t>业经济效益为出发点，由董事会薪酬与绩效考核委员会考核确定总经理薪酬，由总经理考核确定公司其</w:t>
      </w:r>
      <w:r>
        <w:rPr>
          <w:spacing w:val="-21"/>
        </w:rPr>
        <w:t> </w:t>
      </w:r>
      <w:r>
        <w:rPr>
          <w:spacing w:val="-21"/>
        </w:rPr>
      </w:r>
      <w:r>
        <w:rPr/>
        <w:t>他高管的薪酬，高管薪酬均由董事会批准执行。</w:t>
      </w:r>
    </w:p>
    <w:p>
      <w:pPr>
        <w:pStyle w:val="Heading4"/>
        <w:spacing w:line="468" w:lineRule="exact" w:before="34"/>
        <w:ind w:left="513" w:right="0"/>
        <w:jc w:val="left"/>
      </w:pPr>
      <w:r>
        <w:rPr/>
        <w:t>（六）关于利益相关者</w:t>
      </w:r>
      <w:r>
        <w:rPr>
          <w:w w:val="100"/>
        </w:rPr>
        <w:t> </w:t>
      </w:r>
      <w:r>
        <w:rPr>
          <w:spacing w:val="-2"/>
        </w:rPr>
        <w:t>公司充分尊重和维护利益相关者的合法权益，积极与利益相关者合作，加强与各方的沟通与交流，实</w:t>
      </w:r>
    </w:p>
    <w:p>
      <w:pPr>
        <w:pStyle w:val="Heading4"/>
        <w:spacing w:line="248" w:lineRule="exact"/>
        <w:ind w:right="0"/>
        <w:jc w:val="left"/>
      </w:pPr>
      <w:r>
        <w:rPr/>
        <w:t>现股东、员工、社会等各方利益的协调平衡，共同推动公司持续健康发展。</w:t>
      </w:r>
    </w:p>
    <w:p>
      <w:pPr>
        <w:pStyle w:val="Heading4"/>
        <w:spacing w:line="460" w:lineRule="atLeast" w:before="8"/>
        <w:ind w:left="513" w:right="0"/>
        <w:jc w:val="left"/>
      </w:pPr>
      <w:r>
        <w:rPr/>
        <w:t>（七）关于信息披露与透明度</w:t>
      </w:r>
      <w:r>
        <w:rPr>
          <w:w w:val="100"/>
        </w:rPr>
        <w:t> </w:t>
      </w:r>
      <w:r>
        <w:rPr>
          <w:spacing w:val="-2"/>
        </w:rPr>
        <w:t>公司严格按照《中华人民共和国证券法》、《深圳证券交易所创业板股票上市规则》、《深圳证券交</w:t>
      </w:r>
    </w:p>
    <w:p>
      <w:pPr>
        <w:pStyle w:val="Heading4"/>
        <w:spacing w:line="268" w:lineRule="auto" w:before="37"/>
        <w:ind w:right="0"/>
        <w:jc w:val="left"/>
      </w:pPr>
      <w:r>
        <w:rPr/>
        <w:t>易所创业板上市公司规范运作指引》、《公司章程》及《信息披露事务管理制度》等法律法规及规范性</w:t>
      </w:r>
      <w:r>
        <w:rPr>
          <w:w w:val="100"/>
        </w:rPr>
        <w:t> </w:t>
      </w:r>
      <w:r>
        <w:rPr/>
        <w:t>文件的要求，真实、准确、完整、及时、公平地披露有关信息。公司指定董事会秘书负责信息披露工</w:t>
      </w:r>
      <w:r>
        <w:rPr>
          <w:w w:val="100"/>
        </w:rPr>
        <w:t> </w:t>
      </w:r>
      <w:r>
        <w:rPr/>
        <w:t>作，并负责接待投资者来访和咨询及投资者关系管理，设立董事会办公室负责信息披露日常事务。《证</w:t>
      </w:r>
      <w:r>
        <w:rPr>
          <w:w w:val="100"/>
        </w:rPr>
        <w:t> </w:t>
      </w:r>
      <w:r>
        <w:rPr>
          <w:spacing w:val="-2"/>
        </w:rPr>
        <w:t>券时报》、《中国证券报》、《上海证券报》、《证券日报》和巨潮资讯网（</w:t>
      </w:r>
      <w:hyperlink r:id="rId10">
        <w:r>
          <w:rPr>
            <w:rFonts w:ascii="Times New Roman" w:hAnsi="Times New Roman" w:cs="Times New Roman" w:eastAsia="Times New Roman" w:hint="default"/>
            <w:spacing w:val="-2"/>
          </w:rPr>
          <w:t>http://www.cninfo.com.cn</w:t>
        </w:r>
      </w:hyperlink>
      <w:r>
        <w:rPr>
          <w:spacing w:val="-2"/>
        </w:rPr>
        <w:t>）</w:t>
      </w:r>
      <w:r>
        <w:rPr>
          <w:spacing w:val="1"/>
        </w:rPr>
        <w:t> </w:t>
      </w:r>
      <w:r>
        <w:rPr/>
        <w:t>为公司信息披露媒体，确保公司所有股东能够平等享有获取公司信息的机会。</w:t>
      </w:r>
    </w:p>
    <w:p>
      <w:pPr>
        <w:spacing w:line="240" w:lineRule="auto" w:before="5"/>
        <w:rPr>
          <w:rFonts w:ascii="宋体" w:hAnsi="宋体" w:cs="宋体" w:eastAsia="宋体" w:hint="default"/>
          <w:sz w:val="14"/>
          <w:szCs w:val="14"/>
        </w:rPr>
      </w:pPr>
    </w:p>
    <w:p>
      <w:pPr>
        <w:pStyle w:val="BodyText"/>
        <w:spacing w:line="240" w:lineRule="auto"/>
        <w:ind w:right="0"/>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7"/>
          <w:szCs w:val="17"/>
        </w:rPr>
      </w:pPr>
    </w:p>
    <w:p>
      <w:pPr>
        <w:pStyle w:val="BodyText"/>
        <w:spacing w:line="477" w:lineRule="auto"/>
        <w:ind w:right="2634"/>
        <w:jc w:val="left"/>
      </w:pPr>
      <w:r>
        <w:rPr/>
        <w:t>□ 是 √</w:t>
      </w:r>
      <w:r>
        <w:rPr>
          <w:spacing w:val="3"/>
        </w:rPr>
        <w:t> </w:t>
      </w:r>
      <w:r>
        <w:rPr/>
        <w:t>否</w:t>
      </w:r>
      <w:r>
        <w:rPr/>
        <w:t> 公司治理的实际状况与中国证监会发布的有关上市公司治理的规范性文件不存在重大差异。</w:t>
      </w:r>
    </w:p>
    <w:p>
      <w:pPr>
        <w:pStyle w:val="Heading2"/>
        <w:spacing w:line="240" w:lineRule="auto" w:before="5"/>
        <w:ind w:right="0"/>
        <w:jc w:val="left"/>
        <w:rPr>
          <w:b w:val="0"/>
          <w:bCs w:val="0"/>
        </w:rPr>
      </w:pPr>
      <w:r>
        <w:rPr/>
        <w:t>二、公司相对于控股股东在业务、人员、资产、机构、财务等方面的独立情况</w:t>
      </w:r>
      <w:r>
        <w:rPr>
          <w:b w:val="0"/>
          <w:bCs w:val="0"/>
        </w:rPr>
      </w:r>
    </w:p>
    <w:p>
      <w:pPr>
        <w:pStyle w:val="Heading4"/>
        <w:spacing w:line="273" w:lineRule="auto" w:before="181"/>
        <w:ind w:right="209" w:firstLine="480"/>
        <w:jc w:val="both"/>
      </w:pPr>
      <w:r>
        <w:rPr>
          <w:spacing w:val="-4"/>
        </w:rPr>
        <w:t>公司严格按照《公司法》、《证券法》等有关法律、法规和《公司章程》的相关规定规范运作，与控</w:t>
      </w:r>
      <w:r>
        <w:rPr>
          <w:w w:val="100"/>
        </w:rPr>
        <w:t> </w:t>
      </w:r>
      <w:r>
        <w:rPr>
          <w:spacing w:val="-7"/>
        </w:rPr>
        <w:t>股股东、实际控制人及其控制的其他企业在在业务、人员、资产、机构、财务等方面完全分开、独立运行，</w:t>
      </w:r>
      <w:r>
        <w:rPr>
          <w:spacing w:val="-19"/>
        </w:rPr>
        <w:t> </w:t>
      </w:r>
      <w:r>
        <w:rPr>
          <w:spacing w:val="-19"/>
        </w:rPr>
      </w:r>
      <w:r>
        <w:rPr/>
        <w:t>具有完整的业务体系和面向市场独立经营的能力。</w:t>
      </w:r>
    </w:p>
    <w:p>
      <w:pPr>
        <w:pStyle w:val="Heading4"/>
        <w:spacing w:line="468" w:lineRule="exact" w:before="34"/>
        <w:ind w:left="633" w:right="0"/>
        <w:jc w:val="left"/>
      </w:pPr>
      <w:r>
        <w:rPr/>
        <w:t>（一）业务独立情况</w:t>
      </w:r>
      <w:r>
        <w:rPr>
          <w:w w:val="100"/>
        </w:rPr>
        <w:t> </w:t>
      </w:r>
      <w:r>
        <w:rPr>
          <w:spacing w:val="-3"/>
        </w:rPr>
        <w:t>公司主要从事电力工程勘察设计（含规划咨询）及</w:t>
      </w:r>
      <w:r>
        <w:rPr>
          <w:rFonts w:ascii="Times New Roman" w:hAnsi="Times New Roman" w:cs="Times New Roman" w:eastAsia="Times New Roman" w:hint="default"/>
          <w:spacing w:val="-3"/>
        </w:rPr>
        <w:t>EPC</w:t>
      </w:r>
      <w:r>
        <w:rPr>
          <w:spacing w:val="-3"/>
        </w:rPr>
        <w:t>工程总承包等电力工程技术服务，具备了经营</w:t>
      </w:r>
    </w:p>
    <w:p>
      <w:pPr>
        <w:pStyle w:val="Heading4"/>
        <w:spacing w:line="248" w:lineRule="exact"/>
        <w:ind w:right="0"/>
        <w:jc w:val="left"/>
      </w:pPr>
      <w:r>
        <w:rPr/>
        <w:t>所需的相应资质，拥有从事经营业务所必须的和独立完整的业务体系、信息系统及管理系统。公司的业务</w:t>
      </w:r>
    </w:p>
    <w:p>
      <w:pPr>
        <w:pStyle w:val="Heading4"/>
        <w:spacing w:line="273" w:lineRule="auto" w:before="37"/>
        <w:ind w:right="0"/>
        <w:jc w:val="left"/>
      </w:pPr>
      <w:r>
        <w:rPr>
          <w:spacing w:val="-2"/>
        </w:rPr>
        <w:t>独立于控股股东、实际控制人及其控制的其他企业，与控股股东、实际控制人及其控制的其他企业间不存</w:t>
      </w:r>
      <w:r>
        <w:rPr>
          <w:spacing w:val="-45"/>
        </w:rPr>
        <w:t> </w:t>
      </w:r>
      <w:r>
        <w:rPr>
          <w:spacing w:val="-45"/>
        </w:rPr>
      </w:r>
      <w:r>
        <w:rPr/>
        <w:t>在同业竞争或者显失公平的关联交易。</w:t>
      </w:r>
    </w:p>
    <w:p>
      <w:pPr>
        <w:pStyle w:val="Heading4"/>
        <w:spacing w:line="468" w:lineRule="exact" w:before="34"/>
        <w:ind w:left="633" w:right="0"/>
        <w:jc w:val="left"/>
      </w:pPr>
      <w:r>
        <w:rPr/>
        <w:t>（二）人员独立情况</w:t>
      </w:r>
      <w:r>
        <w:rPr>
          <w:w w:val="100"/>
        </w:rPr>
        <w:t> </w:t>
      </w:r>
      <w:r>
        <w:rPr>
          <w:spacing w:val="-1"/>
        </w:rPr>
        <w:t>本公司的人员独立于控股股东、实际控制人及其控制的其他企业。公司独立管理员工的劳动、人事、</w:t>
      </w:r>
    </w:p>
    <w:p>
      <w:pPr>
        <w:pStyle w:val="Heading4"/>
        <w:spacing w:line="248" w:lineRule="exact"/>
        <w:ind w:right="0"/>
        <w:jc w:val="left"/>
      </w:pPr>
      <w:r>
        <w:rPr/>
        <w:t>工资报酬以及相应的社会保障。股东推荐的董事人选均按照《公司章程》规定的程序当选，总经理和其他</w:t>
      </w:r>
    </w:p>
    <w:p>
      <w:pPr>
        <w:pStyle w:val="Heading4"/>
        <w:spacing w:line="273" w:lineRule="auto" w:before="37"/>
        <w:ind w:right="206"/>
        <w:jc w:val="both"/>
      </w:pPr>
      <w:r>
        <w:rPr>
          <w:spacing w:val="-7"/>
        </w:rPr>
        <w:t>高级管理人员均由董事会聘任。总经理、副总经理、财务总监、董事会秘书等高级管理人员未在控股股东、</w:t>
      </w:r>
      <w:r>
        <w:rPr>
          <w:spacing w:val="-17"/>
        </w:rPr>
        <w:t> </w:t>
      </w:r>
      <w:r>
        <w:rPr>
          <w:spacing w:val="-17"/>
        </w:rPr>
      </w:r>
      <w:r>
        <w:rPr>
          <w:spacing w:val="-2"/>
        </w:rPr>
        <w:t>实际控制人及其控制的其他企业中担任除董事、监事以外的其他职务，未在控股股东、实际控制人及其控</w:t>
      </w:r>
      <w:r>
        <w:rPr>
          <w:spacing w:val="-44"/>
        </w:rPr>
        <w:t> </w:t>
      </w:r>
      <w:r>
        <w:rPr>
          <w:spacing w:val="-44"/>
        </w:rPr>
      </w:r>
      <w:r>
        <w:rPr/>
        <w:t>制的其他企业处领薪。公司的财务人员未在控股股东、实际控制人及其控制的其他企业中兼职。</w:t>
      </w:r>
    </w:p>
    <w:p>
      <w:pPr>
        <w:pStyle w:val="Heading4"/>
        <w:spacing w:line="468" w:lineRule="exact" w:before="34"/>
        <w:ind w:left="633" w:right="0"/>
        <w:jc w:val="left"/>
      </w:pPr>
      <w:r>
        <w:rPr/>
        <w:t>（三）资产完整情况</w:t>
      </w:r>
      <w:r>
        <w:rPr>
          <w:w w:val="100"/>
        </w:rPr>
        <w:t> </w:t>
      </w:r>
      <w:r>
        <w:rPr>
          <w:spacing w:val="-4"/>
        </w:rPr>
        <w:t>公司合法、独立的拥有与经营相关的房屋、设备、专利等主要资产的所有权或使用权，该等资产不存</w:t>
      </w:r>
    </w:p>
    <w:p>
      <w:pPr>
        <w:pStyle w:val="Heading4"/>
        <w:spacing w:line="248" w:lineRule="exact"/>
        <w:ind w:right="0"/>
        <w:jc w:val="left"/>
      </w:pPr>
      <w:r>
        <w:rPr/>
        <w:t>在法律纠纷或潜在纠纷，与控股股东、实际控制人及其控制的其他企业的资产产权界定明晰。</w:t>
      </w:r>
    </w:p>
    <w:p>
      <w:pPr>
        <w:pStyle w:val="Heading4"/>
        <w:spacing w:line="468" w:lineRule="exact" w:before="64"/>
        <w:ind w:left="633" w:right="0"/>
        <w:jc w:val="left"/>
      </w:pPr>
      <w:r>
        <w:rPr/>
        <w:t>（四）机构独立情况</w:t>
      </w:r>
      <w:r>
        <w:rPr>
          <w:w w:val="100"/>
        </w:rPr>
        <w:t> </w:t>
      </w:r>
      <w:r>
        <w:rPr>
          <w:spacing w:val="-4"/>
        </w:rPr>
        <w:t>公司建立了健全的法人治理结构，设置了股东大会、董事会、监事会等决策及监督机构、同时建立了</w:t>
      </w:r>
    </w:p>
    <w:p>
      <w:pPr>
        <w:pStyle w:val="Heading4"/>
        <w:spacing w:line="248" w:lineRule="exact"/>
        <w:ind w:right="0"/>
        <w:jc w:val="left"/>
      </w:pPr>
      <w:r>
        <w:rPr/>
        <w:t>独立完整的内部组织机构，各机构按照相关规定在各自职责范围内独立决策、规范运作。公司独立行使经</w:t>
      </w:r>
    </w:p>
    <w:p>
      <w:pPr>
        <w:spacing w:after="0" w:line="248" w:lineRule="exact"/>
        <w:jc w:val="left"/>
        <w:sectPr>
          <w:pgSz w:w="11910" w:h="16840"/>
          <w:pgMar w:header="852" w:footer="979" w:top="1220" w:bottom="1160" w:left="980" w:right="920"/>
        </w:sectPr>
      </w:pPr>
    </w:p>
    <w:p>
      <w:pPr>
        <w:spacing w:line="240" w:lineRule="auto" w:before="12"/>
        <w:rPr>
          <w:rFonts w:ascii="宋体" w:hAnsi="宋体" w:cs="宋体" w:eastAsia="宋体" w:hint="default"/>
          <w:sz w:val="12"/>
          <w:szCs w:val="12"/>
        </w:rPr>
      </w:pPr>
    </w:p>
    <w:p>
      <w:pPr>
        <w:pStyle w:val="Heading4"/>
        <w:spacing w:line="240" w:lineRule="auto" w:before="36"/>
        <w:ind w:right="0"/>
        <w:jc w:val="both"/>
      </w:pPr>
      <w:r>
        <w:rPr/>
        <w:t>营管理权，与控股股东和实际控制人及其控制的其他企业之间不存在机构混同的情形。</w:t>
      </w:r>
    </w:p>
    <w:p>
      <w:pPr>
        <w:pStyle w:val="Heading4"/>
        <w:spacing w:line="460" w:lineRule="atLeast" w:before="8"/>
        <w:ind w:left="633" w:right="0"/>
        <w:jc w:val="left"/>
      </w:pPr>
      <w:r>
        <w:rPr/>
        <w:t>（五）财务独立情况</w:t>
      </w:r>
      <w:r>
        <w:rPr>
          <w:w w:val="100"/>
        </w:rPr>
        <w:t> </w:t>
      </w:r>
      <w:r>
        <w:rPr>
          <w:spacing w:val="-4"/>
        </w:rPr>
        <w:t>公司设立了独立的财务部门，建立了独立的财务核算体系，能够独立作出财务决策，具有规范的财务</w:t>
      </w:r>
    </w:p>
    <w:p>
      <w:pPr>
        <w:pStyle w:val="Heading4"/>
        <w:spacing w:line="273" w:lineRule="auto" w:before="37"/>
        <w:ind w:right="146"/>
        <w:jc w:val="both"/>
      </w:pPr>
      <w:r>
        <w:rPr>
          <w:spacing w:val="-2"/>
        </w:rPr>
        <w:t>会计制度和对子公司的财务管理制度。公司在银行开设了独立账户，独立支配自有资金和资产，不存在与</w:t>
      </w:r>
      <w:r>
        <w:rPr>
          <w:spacing w:val="-43"/>
        </w:rPr>
        <w:t> </w:t>
      </w:r>
      <w:r>
        <w:rPr>
          <w:spacing w:val="-43"/>
        </w:rPr>
      </w:r>
      <w:r>
        <w:rPr>
          <w:spacing w:val="-2"/>
        </w:rPr>
        <w:t>控股股东、实际控制人及其控制的其他企业共用银行账户的情形。公司作为独立的纳税人进行纳税申报及</w:t>
      </w:r>
      <w:r>
        <w:rPr>
          <w:spacing w:val="-42"/>
        </w:rPr>
        <w:t> </w:t>
      </w:r>
      <w:r>
        <w:rPr>
          <w:spacing w:val="-42"/>
        </w:rPr>
      </w:r>
      <w:r>
        <w:rPr/>
        <w:t>履行纳税义务，不存在与控股股东、实际控制人及其控制的其他企业混合纳税的情形。</w:t>
      </w:r>
    </w:p>
    <w:p>
      <w:pPr>
        <w:pStyle w:val="Heading2"/>
        <w:spacing w:line="240" w:lineRule="auto" w:before="136"/>
        <w:ind w:right="0"/>
        <w:jc w:val="both"/>
        <w:rPr>
          <w:b w:val="0"/>
          <w:bCs w:val="0"/>
        </w:rPr>
      </w:pPr>
      <w:r>
        <w:rPr/>
        <w:t>三、同业竞争情况</w:t>
      </w:r>
      <w:r>
        <w:rPr>
          <w:b w:val="0"/>
          <w:bCs w:val="0"/>
        </w:rPr>
      </w:r>
    </w:p>
    <w:p>
      <w:pPr>
        <w:pStyle w:val="BodyText"/>
        <w:spacing w:line="240" w:lineRule="auto" w:before="202"/>
        <w:ind w:right="0"/>
        <w:jc w:val="both"/>
      </w:pPr>
      <w:r>
        <w:rPr/>
        <w:t>□ 适用 √</w:t>
      </w:r>
      <w:r>
        <w:rPr>
          <w:spacing w:val="3"/>
        </w:rPr>
        <w:t> </w:t>
      </w:r>
      <w:r>
        <w:rPr/>
        <w:t>不适用</w:t>
      </w:r>
    </w:p>
    <w:p>
      <w:pPr>
        <w:spacing w:line="240" w:lineRule="auto" w:before="1"/>
        <w:rPr>
          <w:rFonts w:ascii="宋体" w:hAnsi="宋体" w:cs="宋体" w:eastAsia="宋体" w:hint="default"/>
          <w:sz w:val="14"/>
          <w:szCs w:val="14"/>
        </w:rPr>
      </w:pPr>
    </w:p>
    <w:p>
      <w:pPr>
        <w:pStyle w:val="Heading2"/>
        <w:spacing w:line="240" w:lineRule="auto"/>
        <w:ind w:right="0"/>
        <w:jc w:val="both"/>
        <w:rPr>
          <w:b w:val="0"/>
          <w:bCs w:val="0"/>
        </w:rPr>
      </w:pPr>
      <w:r>
        <w:rPr/>
        <w:t>四、报告期内召开的年度股东大会和临时股东大会的有关情况</w:t>
      </w:r>
      <w:r>
        <w:rPr>
          <w:b w:val="0"/>
          <w:bCs w:val="0"/>
        </w:rPr>
      </w:r>
    </w:p>
    <w:p>
      <w:pPr>
        <w:pStyle w:val="Heading3"/>
        <w:spacing w:line="240" w:lineRule="auto" w:before="181"/>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63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5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69.90%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307" w:lineRule="auto" w:before="105"/>
              <w:ind w:left="26"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18">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2017-011</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临时股东大会决议 公告</w:t>
            </w:r>
          </w:p>
        </w:tc>
      </w:tr>
    </w:tbl>
    <w:p>
      <w:pPr>
        <w:spacing w:line="240" w:lineRule="auto" w:before="3"/>
        <w:rPr>
          <w:rFonts w:ascii="宋体" w:hAnsi="宋体" w:cs="宋体" w:eastAsia="宋体" w:hint="default"/>
          <w:b/>
          <w:bCs/>
          <w:sz w:val="8"/>
          <w:szCs w:val="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pStyle w:val="BodyText"/>
        <w:spacing w:line="240" w:lineRule="auto" w:before="198"/>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r>
        <w:rPr/>
        <w:t>五、报告期内独立董事履行职责的情况</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634"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本报告期应参</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现场出席董事</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委托出席董事</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缺席董事会次</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是否连续两次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出席股东大会</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79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6" w:right="38" w:hanging="180"/>
              <w:jc w:val="left"/>
              <w:rPr>
                <w:rFonts w:ascii="宋体" w:hAnsi="宋体" w:cs="宋体" w:eastAsia="宋体" w:hint="default"/>
                <w:sz w:val="18"/>
                <w:szCs w:val="18"/>
              </w:rPr>
            </w:pPr>
            <w:r>
              <w:rPr>
                <w:rFonts w:ascii="宋体" w:hAnsi="宋体" w:cs="宋体" w:eastAsia="宋体" w:hint="default"/>
                <w:sz w:val="18"/>
                <w:szCs w:val="18"/>
              </w:rPr>
              <w:t>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次数</w:t>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r>
        <w:trPr>
          <w:trHeight w:val="636"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b/>
          <w:bCs/>
          <w:sz w:val="9"/>
          <w:szCs w:val="9"/>
        </w:rPr>
      </w:pPr>
    </w:p>
    <w:p>
      <w:pPr>
        <w:pStyle w:val="BodyText"/>
        <w:spacing w:line="240" w:lineRule="auto" w:before="44"/>
        <w:ind w:right="0"/>
        <w:jc w:val="left"/>
      </w:pPr>
      <w:r>
        <w:rPr/>
        <w:t>连续两次未亲自出席董事会的说明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pStyle w:val="BodyText"/>
        <w:spacing w:line="240" w:lineRule="auto" w:before="198"/>
        <w:ind w:right="0"/>
        <w:jc w:val="left"/>
      </w:pPr>
      <w:r>
        <w:rPr/>
        <w:t>独立董事对公司有关事项是否提出异议</w:t>
      </w:r>
    </w:p>
    <w:p>
      <w:pPr>
        <w:spacing w:line="240" w:lineRule="auto" w:before="10"/>
        <w:rPr>
          <w:rFonts w:ascii="宋体" w:hAnsi="宋体" w:cs="宋体" w:eastAsia="宋体" w:hint="default"/>
          <w:sz w:val="17"/>
          <w:szCs w:val="17"/>
        </w:rPr>
      </w:pPr>
    </w:p>
    <w:p>
      <w:pPr>
        <w:spacing w:line="465" w:lineRule="auto" w:before="0"/>
        <w:ind w:left="152" w:right="5994" w:firstLine="0"/>
        <w:jc w:val="left"/>
        <w:rPr>
          <w:rFonts w:ascii="宋体" w:hAnsi="宋体" w:cs="宋体" w:eastAsia="宋体" w:hint="default"/>
          <w:sz w:val="21"/>
          <w:szCs w:val="21"/>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pStyle w:val="BodyText"/>
        <w:spacing w:line="215" w:lineRule="exact"/>
        <w:ind w:right="0"/>
        <w:jc w:val="left"/>
      </w:pPr>
      <w:r>
        <w:rPr/>
        <w:t>独立董事对公司有关建议是否被采纳</w:t>
      </w:r>
    </w:p>
    <w:p>
      <w:pPr>
        <w:spacing w:line="240" w:lineRule="auto" w:before="10"/>
        <w:rPr>
          <w:rFonts w:ascii="宋体" w:hAnsi="宋体" w:cs="宋体" w:eastAsia="宋体" w:hint="default"/>
          <w:sz w:val="17"/>
          <w:szCs w:val="17"/>
        </w:rPr>
      </w:pPr>
    </w:p>
    <w:p>
      <w:pPr>
        <w:pStyle w:val="BodyText"/>
        <w:spacing w:line="477" w:lineRule="auto"/>
        <w:ind w:right="5814"/>
        <w:jc w:val="left"/>
      </w:pPr>
      <w:r>
        <w:rPr/>
        <w:t>√ 是 □</w:t>
      </w:r>
      <w:r>
        <w:rPr>
          <w:spacing w:val="3"/>
        </w:rPr>
        <w:t> </w:t>
      </w:r>
      <w:r>
        <w:rPr/>
        <w:t>否</w:t>
      </w:r>
      <w:r>
        <w:rPr/>
        <w:t> 独立董事对公司有关建议被采纳或未被采纳的说明</w:t>
      </w:r>
    </w:p>
    <w:p>
      <w:pPr>
        <w:pStyle w:val="BodyText"/>
        <w:spacing w:line="316" w:lineRule="auto" w:before="54"/>
        <w:ind w:right="251" w:firstLine="360"/>
        <w:jc w:val="both"/>
      </w:pPr>
      <w:r>
        <w:rPr/>
        <w:t>报告期内，公司独立董事严格按照《公司法》、《证券法》、《公司章程》及《独立董事工作细则》等相关法律、法 规及规范性文件的要求，本着对公司全体股东负责的态度和诚信勤勉的义务，独立公正地履行职责，积极出席公司历次董 事会会议、股东大会会议，利用各自专业上的优势和经验对公司的关联交易、利润分配、考核公司高级管理人员的薪酬， 聘任证券事务代表、调整公司会计政策、关于利用部分闲置资金进行现金管理等重要事项做出独立、客观、公正的判断， 公司也根据实际情况积极的采纳了独立董事提出的专业性、建设性的建议。</w:t>
      </w:r>
    </w:p>
    <w:p>
      <w:pPr>
        <w:spacing w:line="240" w:lineRule="auto" w:before="5"/>
        <w:rPr>
          <w:rFonts w:ascii="宋体" w:hAnsi="宋体" w:cs="宋体" w:eastAsia="宋体" w:hint="default"/>
          <w:sz w:val="13"/>
          <w:szCs w:val="13"/>
        </w:rPr>
      </w:pPr>
    </w:p>
    <w:p>
      <w:pPr>
        <w:pStyle w:val="BodyText"/>
        <w:spacing w:line="316" w:lineRule="auto"/>
        <w:ind w:right="414" w:firstLine="360"/>
        <w:jc w:val="left"/>
      </w:pPr>
      <w:r>
        <w:rPr/>
        <w:t>独立董事在公司的战略发展、内部控制、重大经营决策都提出了合理的意见和建议，为公司未来的健康发展出谋划 策，切实的维护了公司股东尤其是社会公众股东的利益。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4"/>
        <w:ind w:right="0"/>
        <w:jc w:val="left"/>
        <w:rPr>
          <w:b w:val="0"/>
          <w:bCs w:val="0"/>
        </w:rPr>
      </w:pPr>
      <w:r>
        <w:rPr/>
        <w:t>六、董事会下设专门委员会在报告期内履行职责情况</w:t>
      </w:r>
      <w:r>
        <w:rPr>
          <w:b w:val="0"/>
          <w:bCs w:val="0"/>
        </w:rPr>
      </w:r>
    </w:p>
    <w:p>
      <w:pPr>
        <w:pStyle w:val="BodyText"/>
        <w:spacing w:line="240" w:lineRule="auto" w:before="202"/>
        <w:ind w:right="0"/>
        <w:jc w:val="left"/>
      </w:pPr>
      <w:r>
        <w:rPr/>
        <w:t>公司董事会下设有审计委员会，薪酬与绩效考核委员会，提名委员会和战略委员会四个专门委员会。</w:t>
      </w:r>
    </w:p>
    <w:p>
      <w:pPr>
        <w:pStyle w:val="BodyText"/>
        <w:spacing w:line="470" w:lineRule="atLeast"/>
        <w:ind w:left="513" w:right="233" w:hanging="361"/>
        <w:jc w:val="left"/>
      </w:pPr>
      <w:r>
        <w:rPr/>
        <w:t>（一）审计委员会履行职责情况 报告期内，公司董事会审计委员会依照相关法规及《公司章程》、《董事会审计委员会工作细则》的规定，认真履行</w:t>
      </w:r>
    </w:p>
    <w:p>
      <w:pPr>
        <w:pStyle w:val="BodyText"/>
        <w:spacing w:line="316" w:lineRule="auto" w:before="76"/>
        <w:ind w:right="251"/>
        <w:jc w:val="both"/>
      </w:pPr>
      <w:r>
        <w:rPr/>
        <w:t>职责，对公司聘任审计机构、财务报告，内部控制的评价等重要事项进行了审议和决议，时与外部审计机构沟通，确定审 计工作方案，有序展开外部审计工作。同时，全面深入了解公司内部控制制度运行有效性情况，保证公司的内部控制实际 运行情况符合有关上市公司治理规范的要求。</w:t>
      </w:r>
    </w:p>
    <w:p>
      <w:pPr>
        <w:spacing w:line="240" w:lineRule="auto" w:before="5"/>
        <w:rPr>
          <w:rFonts w:ascii="宋体" w:hAnsi="宋体" w:cs="宋体" w:eastAsia="宋体" w:hint="default"/>
          <w:sz w:val="13"/>
          <w:szCs w:val="13"/>
        </w:rPr>
      </w:pPr>
    </w:p>
    <w:p>
      <w:pPr>
        <w:pStyle w:val="BodyText"/>
        <w:spacing w:line="300" w:lineRule="auto"/>
        <w:ind w:right="144" w:firstLine="360"/>
        <w:jc w:val="left"/>
      </w:pPr>
      <w:r>
        <w:rPr/>
        <w:t>报告期内，董事会审计委员会共召开了</w:t>
      </w:r>
      <w:r>
        <w:rPr>
          <w:rFonts w:ascii="Times New Roman" w:hAnsi="Times New Roman" w:cs="Times New Roman" w:eastAsia="Times New Roman" w:hint="default"/>
        </w:rPr>
        <w:t>2</w:t>
      </w:r>
      <w:r>
        <w:rPr/>
        <w:t>次会议，分别为：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日召开的第一届董事会审计委员会第五次会 议，并提交董事会审议《关于续聘公司审计机构的议案》；</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3</w:t>
      </w:r>
      <w:r>
        <w:rPr/>
        <w:t>日召开的第一届董事会审计委员会第六次会议， 并提交董事会审议《关于大华会计师事务所（特殊普通合伙）为公司出具截止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日止前三个年度财务报表审计</w:t>
      </w:r>
    </w:p>
    <w:p>
      <w:pPr>
        <w:spacing w:after="0" w:line="30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right="0"/>
        <w:jc w:val="left"/>
      </w:pPr>
      <w:r>
        <w:rPr/>
        <w:t>报告的议案》、《关于公司内部控制评价报告的议案》。</w:t>
      </w:r>
    </w:p>
    <w:p>
      <w:pPr>
        <w:pStyle w:val="BodyText"/>
        <w:spacing w:line="470" w:lineRule="atLeast"/>
        <w:ind w:left="513" w:right="233" w:hanging="361"/>
        <w:jc w:val="left"/>
      </w:pPr>
      <w:r>
        <w:rPr/>
        <w:t>（二）薪酬与绩效考核委员会履行职责情况 报告期内，公司董事会薪酬与绩效考核委员会依照相关法规及《公司章程》、《董事会薪酬与绩效考核委员会工作细</w:t>
      </w:r>
    </w:p>
    <w:p>
      <w:pPr>
        <w:pStyle w:val="BodyText"/>
        <w:spacing w:line="316" w:lineRule="auto" w:before="76"/>
        <w:ind w:right="234"/>
        <w:jc w:val="left"/>
      </w:pPr>
      <w:r>
        <w:rPr/>
        <w:t>则》的规定，认真履行职责。对董事、高级管理人员的勤勉尽责情况、业绩指标完成情况进行考评，审议公司董事、高级 管理人员的薪酬情况，并提出合理化建议。</w:t>
      </w:r>
    </w:p>
    <w:p>
      <w:pPr>
        <w:spacing w:line="240" w:lineRule="auto" w:before="5"/>
        <w:rPr>
          <w:rFonts w:ascii="宋体" w:hAnsi="宋体" w:cs="宋体" w:eastAsia="宋体" w:hint="default"/>
          <w:sz w:val="13"/>
          <w:szCs w:val="13"/>
        </w:rPr>
      </w:pPr>
    </w:p>
    <w:p>
      <w:pPr>
        <w:pStyle w:val="BodyText"/>
        <w:spacing w:line="300" w:lineRule="auto"/>
        <w:ind w:right="144" w:firstLine="360"/>
        <w:jc w:val="left"/>
      </w:pPr>
      <w:r>
        <w:rPr/>
        <w:t>报告期内，董事会薪酬与绩效考核委员会召开了一次会议，即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日召开的第一届董事会薪酬与绩效考核委员 会第四次会议</w:t>
      </w:r>
      <w:r>
        <w:rPr>
          <w:spacing w:val="1"/>
        </w:rPr>
        <w:t> </w:t>
      </w:r>
      <w:r>
        <w:rPr/>
        <w:t>，并提交董事会审议《关于公司高级管理人员薪酬的议案》。</w:t>
      </w:r>
    </w:p>
    <w:p>
      <w:pPr>
        <w:pStyle w:val="BodyText"/>
        <w:spacing w:line="468" w:lineRule="exact" w:before="23"/>
        <w:ind w:left="513" w:right="233" w:hanging="361"/>
        <w:jc w:val="left"/>
      </w:pPr>
      <w:r>
        <w:rPr/>
        <w:t>（三）提名委员会 报告期内，公司董事会提名委员会依照相关法规及《公司章程》、《董事会提名委员会工作细则》的规定，积极履行</w:t>
      </w:r>
    </w:p>
    <w:p>
      <w:pPr>
        <w:pStyle w:val="BodyText"/>
        <w:spacing w:line="240" w:lineRule="auto" w:before="8"/>
        <w:ind w:right="0"/>
        <w:jc w:val="left"/>
      </w:pPr>
      <w:r>
        <w:rPr/>
        <w:t>了职责，未发现公司董事有违反《公司法》及相关法律法规的情况出现。</w:t>
      </w:r>
    </w:p>
    <w:p>
      <w:pPr>
        <w:pStyle w:val="BodyText"/>
        <w:spacing w:line="470" w:lineRule="atLeast"/>
        <w:ind w:left="513" w:right="233" w:hanging="361"/>
        <w:jc w:val="left"/>
      </w:pPr>
      <w:r>
        <w:rPr/>
        <w:t>（四）战略委员会 报告期内，公司董事会战略委员会依照相关法规及《公司章程》、《董事会战略委员会工作细则》的规定，根据公司</w:t>
      </w:r>
    </w:p>
    <w:p>
      <w:pPr>
        <w:pStyle w:val="BodyText"/>
        <w:spacing w:line="316" w:lineRule="auto" w:before="76"/>
        <w:ind w:right="234"/>
        <w:jc w:val="left"/>
      </w:pPr>
      <w:r>
        <w:rPr/>
        <w:t>所处的行业和市场形势对公司发展战略进行研究，并按照公司的实际情况，对公司发展战略的实施及修订提出了合理的建 议。</w:t>
      </w:r>
    </w:p>
    <w:p>
      <w:pPr>
        <w:pStyle w:val="Heading2"/>
        <w:spacing w:line="240" w:lineRule="auto" w:before="126"/>
        <w:ind w:right="0"/>
        <w:jc w:val="left"/>
        <w:rPr>
          <w:b w:val="0"/>
          <w:bCs w:val="0"/>
        </w:rPr>
      </w:pPr>
      <w:r>
        <w:rPr/>
        <w:t>七、监事会工作情况</w:t>
      </w:r>
      <w:r>
        <w:rPr>
          <w:b w:val="0"/>
          <w:bCs w:val="0"/>
        </w:rPr>
      </w:r>
    </w:p>
    <w:p>
      <w:pPr>
        <w:pStyle w:val="BodyText"/>
        <w:spacing w:line="240" w:lineRule="auto" w:before="202"/>
        <w:ind w:right="0"/>
        <w:jc w:val="left"/>
      </w:pPr>
      <w:r>
        <w:rPr/>
        <w:t>监事会在报告期内的监督活动中发现公司是否存在风险</w:t>
      </w:r>
    </w:p>
    <w:p>
      <w:pPr>
        <w:spacing w:line="240" w:lineRule="auto" w:before="10"/>
        <w:rPr>
          <w:rFonts w:ascii="宋体" w:hAnsi="宋体" w:cs="宋体" w:eastAsia="宋体" w:hint="default"/>
          <w:sz w:val="17"/>
          <w:szCs w:val="17"/>
        </w:rPr>
      </w:pPr>
    </w:p>
    <w:p>
      <w:pPr>
        <w:pStyle w:val="BodyText"/>
        <w:spacing w:line="477" w:lineRule="auto"/>
        <w:ind w:right="6354"/>
        <w:jc w:val="left"/>
      </w:pPr>
      <w:r>
        <w:rPr/>
        <w:t>□ 是 √</w:t>
      </w:r>
      <w:r>
        <w:rPr>
          <w:spacing w:val="3"/>
        </w:rPr>
        <w:t> </w:t>
      </w:r>
      <w:r>
        <w:rPr/>
        <w:t>否</w:t>
      </w:r>
      <w:r>
        <w:rPr/>
        <w:t> 公司监事会对报告期内的监督事项无异议。</w:t>
      </w:r>
    </w:p>
    <w:p>
      <w:pPr>
        <w:pStyle w:val="Heading2"/>
        <w:spacing w:line="240" w:lineRule="auto" w:before="5"/>
        <w:ind w:right="0"/>
        <w:jc w:val="left"/>
        <w:rPr>
          <w:b w:val="0"/>
          <w:bCs w:val="0"/>
        </w:rPr>
      </w:pPr>
      <w:r>
        <w:rPr/>
        <w:t>八、高级管理人员的考评及激励情况</w:t>
      </w:r>
      <w:r>
        <w:rPr>
          <w:b w:val="0"/>
          <w:bCs w:val="0"/>
        </w:rPr>
      </w:r>
    </w:p>
    <w:p>
      <w:pPr>
        <w:pStyle w:val="BodyText"/>
        <w:spacing w:line="307" w:lineRule="auto" w:before="202"/>
        <w:ind w:right="144" w:firstLine="360"/>
        <w:jc w:val="left"/>
      </w:pPr>
      <w:r>
        <w:rPr/>
        <w:t>公司建立了科学有效的激励约束机制，以完善公司高管人员绩效考核，规范公司高管人员薪酬管理，提高公司经营管 理水平和核心竞争力。依据《公司章程》，公司制定了《福建永福电力设计股份有限公司高管薪酬管理规定》（</w:t>
      </w:r>
      <w:r>
        <w:rPr>
          <w:rFonts w:ascii="Times New Roman" w:hAnsi="Times New Roman" w:cs="Times New Roman" w:eastAsia="Times New Roman" w:hint="default"/>
        </w:rPr>
        <w:t>2015</w:t>
      </w:r>
      <w:r>
        <w:rPr/>
        <w:t>年）</w:t>
      </w:r>
      <w:r>
        <w:rPr>
          <w:spacing w:val="-3"/>
        </w:rPr>
        <w:t> </w:t>
      </w:r>
      <w:r>
        <w:rPr/>
        <w:t>及《总经理绩效考核办法》，并经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日公司第一届董事会第二次会议审议通过。同时，公司制定了《福建永福电 力设计股份有限公司经营层副职绩效考核办法》，并经总经理办公会审议通过。</w:t>
      </w:r>
    </w:p>
    <w:p>
      <w:pPr>
        <w:spacing w:line="240" w:lineRule="auto" w:before="12"/>
        <w:rPr>
          <w:rFonts w:ascii="宋体" w:hAnsi="宋体" w:cs="宋体" w:eastAsia="宋体" w:hint="default"/>
          <w:sz w:val="13"/>
          <w:szCs w:val="13"/>
        </w:rPr>
      </w:pPr>
    </w:p>
    <w:p>
      <w:pPr>
        <w:pStyle w:val="BodyText"/>
        <w:spacing w:line="314" w:lineRule="auto"/>
        <w:ind w:right="248" w:firstLine="360"/>
        <w:jc w:val="both"/>
      </w:pPr>
      <w:r>
        <w:rPr/>
        <w:t>公司以企业经济效益为出发点，根据公司经营完成利润目标的情况及高管完成工作目标的情况，由董事会薪酬与绩效 考核委员会考核确定总经理薪酬，报董事会批准执行，由总经理考核确定公司其他高级管理人员薪酬，经董事会薪酬与绩 效考核委员会审核后报董事会批准执行。公司则根据绩效考核结果兑现其年薪。公司董事会薪酬与绩效考核委员会根据实 际情况对公司高级管理人员进行考核或审核后，一致认为：</w:t>
      </w:r>
      <w:r>
        <w:rPr>
          <w:rFonts w:ascii="Times New Roman" w:hAnsi="Times New Roman" w:cs="Times New Roman" w:eastAsia="Times New Roman" w:hint="default"/>
        </w:rPr>
        <w:t>2017</w:t>
      </w:r>
      <w:r>
        <w:rPr/>
        <w:t>年度公司高级管理人员薪酬方案严格执行了公司高管薪酬 管理规定，起到了应有的激励和约束作用。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r>
        <w:rPr/>
        <w:t>九、内部控制评价报告</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198"/>
        <w:ind w:right="0"/>
        <w:jc w:val="left"/>
      </w:pPr>
      <w:r>
        <w:rPr/>
        <w:t>□ 是 √</w:t>
      </w:r>
      <w:r>
        <w:rPr>
          <w:spacing w:val="3"/>
        </w:rPr>
        <w:t> </w:t>
      </w:r>
      <w:r>
        <w:rPr/>
        <w:t>否</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94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94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34"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14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）财务报告内部控制重大缺陷包括：</w:t>
            </w:r>
          </w:p>
          <w:p>
            <w:pPr>
              <w:pStyle w:val="TableParagraph"/>
              <w:spacing w:line="316" w:lineRule="auto" w:before="63"/>
              <w:ind w:left="24" w:right="43"/>
              <w:jc w:val="both"/>
              <w:rPr>
                <w:rFonts w:ascii="宋体" w:hAnsi="宋体" w:cs="宋体" w:eastAsia="宋体" w:hint="default"/>
                <w:sz w:val="18"/>
                <w:szCs w:val="18"/>
              </w:rPr>
            </w:pPr>
            <w:r>
              <w:rPr>
                <w:rFonts w:ascii="宋体" w:hAnsi="宋体" w:cs="宋体" w:eastAsia="宋体" w:hint="default"/>
                <w:sz w:val="18"/>
                <w:szCs w:val="18"/>
              </w:rPr>
              <w:t>①控制环境无效，审计委员会及内部审计 部门对内控的监督无效；②董事、监事和 高级管理人员舞弊，或员工存在串通舞弊 的情形并给公司造成损失或不利影响；③ 公司更正已公布的财务报告，注册会计师 发现当期财务报告存在重大错报而内控在 运行过程中未能发现；④沟通后的重大缺 </w:t>
            </w:r>
            <w:r>
              <w:rPr>
                <w:rFonts w:ascii="宋体" w:hAnsi="宋体" w:cs="宋体" w:eastAsia="宋体" w:hint="default"/>
                <w:spacing w:val="-5"/>
                <w:sz w:val="18"/>
                <w:szCs w:val="18"/>
              </w:rPr>
              <w:t>陷没有在合理的期限得到纠正。（</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w:t>
            </w:r>
            <w:r>
              <w:rPr>
                <w:rFonts w:ascii="宋体" w:hAnsi="宋体" w:cs="宋体" w:eastAsia="宋体" w:hint="default"/>
                <w:spacing w:val="-83"/>
                <w:sz w:val="18"/>
                <w:szCs w:val="18"/>
              </w:rPr>
              <w:t> </w:t>
            </w:r>
            <w:r>
              <w:rPr>
                <w:rFonts w:ascii="宋体" w:hAnsi="宋体" w:cs="宋体" w:eastAsia="宋体" w:hint="default"/>
                <w:sz w:val="18"/>
                <w:szCs w:val="18"/>
              </w:rPr>
              <w:t>报告内部控制重要缺陷包括：①未依照公 认会计准则选择和应用会计政策；②未建 立反舞弊程序和控制措施；③期末财务报 告流程的内控问题，对于期末财务报告过 程的控制存在一项或多项缺陷且不能合理 保证编制的财务报表达到真实、准确的目 标；④对于非常规或特殊交易的账务处理 没有建立相应的控制机制或没有实施相应 </w:t>
            </w:r>
            <w:r>
              <w:rPr>
                <w:rFonts w:ascii="宋体" w:hAnsi="宋体" w:cs="宋体" w:eastAsia="宋体" w:hint="default"/>
                <w:spacing w:val="-5"/>
                <w:sz w:val="18"/>
                <w:szCs w:val="18"/>
              </w:rPr>
              <w:t>的补偿性控制。（</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）财务报告内部控制一</w:t>
            </w:r>
            <w:r>
              <w:rPr>
                <w:rFonts w:ascii="宋体" w:hAnsi="宋体" w:cs="宋体" w:eastAsia="宋体" w:hint="default"/>
                <w:spacing w:val="-86"/>
                <w:sz w:val="18"/>
                <w:szCs w:val="18"/>
              </w:rPr>
              <w:t> </w:t>
            </w:r>
            <w:r>
              <w:rPr>
                <w:rFonts w:ascii="宋体" w:hAnsi="宋体" w:cs="宋体" w:eastAsia="宋体" w:hint="default"/>
                <w:sz w:val="18"/>
                <w:szCs w:val="18"/>
              </w:rPr>
              <w:t>般缺陷包括：其他不属于重大缺陷、重要 缺陷判断标准范畴的缺陷。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4" w:lineRule="auto"/>
              <w:ind w:left="23"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）非财务报告内部控制重大缺陷包 括：①项目违规操作，出现重大质量 事故，造成重大经济损失或重大人员 伤亡事故，引起政府、监管机构调查 或引发诉讼；②公司经营活动严重违 反国家法律法规；③重要业务缺乏制 度、流程控制或系统失效；④内部控 制重大缺陷未得到整改；⑤中高级管 理人员和高级技术人员严重流失；⑥ 媒体负面新闻频频曝光，对公司声誉 </w:t>
            </w:r>
            <w:r>
              <w:rPr>
                <w:rFonts w:ascii="宋体" w:hAnsi="宋体" w:cs="宋体" w:eastAsia="宋体" w:hint="default"/>
                <w:spacing w:val="-6"/>
                <w:sz w:val="18"/>
                <w:szCs w:val="18"/>
              </w:rPr>
              <w:t>造成重大损害。（</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）非财务报告内部</w:t>
            </w:r>
            <w:r>
              <w:rPr>
                <w:rFonts w:ascii="宋体" w:hAnsi="宋体" w:cs="宋体" w:eastAsia="宋体" w:hint="default"/>
                <w:spacing w:val="-79"/>
                <w:sz w:val="18"/>
                <w:szCs w:val="18"/>
              </w:rPr>
              <w:t> </w:t>
            </w:r>
            <w:r>
              <w:rPr>
                <w:rFonts w:ascii="宋体" w:hAnsi="宋体" w:cs="宋体" w:eastAsia="宋体" w:hint="default"/>
                <w:sz w:val="18"/>
                <w:szCs w:val="18"/>
              </w:rPr>
              <w:t>控制重要缺陷包括：①大型项目管理 不善，出现一般质量事故，造成经济 损失或人员伤亡事故，引发业主书面 投诉；②公司违反国家法律法规受到 轻微处罚；③重要业务制度、流程或 系统存在缺陷；④内部控制重要缺陷 未得到整改；⑤关键岗位业务人员流 失严重；⑥媒体出现负面新闻，波及 </w:t>
            </w:r>
            <w:r>
              <w:rPr>
                <w:rFonts w:ascii="宋体" w:hAnsi="宋体" w:cs="宋体" w:eastAsia="宋体" w:hint="default"/>
                <w:spacing w:val="-6"/>
                <w:sz w:val="18"/>
                <w:szCs w:val="18"/>
              </w:rPr>
              <w:t>局部区域。（</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）非财务报告内部控制</w:t>
            </w:r>
            <w:r>
              <w:rPr>
                <w:rFonts w:ascii="宋体" w:hAnsi="宋体" w:cs="宋体" w:eastAsia="宋体" w:hint="default"/>
                <w:spacing w:val="-79"/>
                <w:sz w:val="18"/>
                <w:szCs w:val="18"/>
              </w:rPr>
              <w:t> </w:t>
            </w:r>
            <w:r>
              <w:rPr>
                <w:rFonts w:ascii="宋体" w:hAnsi="宋体" w:cs="宋体" w:eastAsia="宋体" w:hint="default"/>
                <w:sz w:val="18"/>
                <w:szCs w:val="18"/>
              </w:rPr>
              <w:t>一般缺陷包括：①项目管理存在漏 洞，造成项目延期时间较长或存在一 定质量、安全隐患，引发业主不满；</w:t>
            </w:r>
          </w:p>
          <w:p>
            <w:pPr>
              <w:pStyle w:val="TableParagraph"/>
              <w:spacing w:line="319" w:lineRule="auto" w:before="20"/>
              <w:ind w:left="23" w:right="135"/>
              <w:jc w:val="left"/>
              <w:rPr>
                <w:rFonts w:ascii="宋体" w:hAnsi="宋体" w:cs="宋体" w:eastAsia="宋体" w:hint="default"/>
                <w:sz w:val="18"/>
                <w:szCs w:val="18"/>
              </w:rPr>
            </w:pPr>
            <w:r>
              <w:rPr>
                <w:rFonts w:ascii="宋体" w:hAnsi="宋体" w:cs="宋体" w:eastAsia="宋体" w:hint="default"/>
                <w:sz w:val="18"/>
                <w:szCs w:val="18"/>
              </w:rPr>
              <w:t>②违反企业内部规章，但未形成损 失；③一般业务制度、流程或系统存 在缺陷；④内部控制一般缺陷未得到 整改；⑤一般岗位业务人员流动频 繁；⑥媒体出现负面新闻，但影响不</w:t>
            </w:r>
          </w:p>
        </w:tc>
      </w:tr>
      <w:tr>
        <w:trPr>
          <w:trHeight w:val="62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413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47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大。</w:t>
            </w:r>
          </w:p>
        </w:tc>
      </w:tr>
      <w:tr>
        <w:trPr>
          <w:trHeight w:val="50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4"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）资产总额影响程度：①一般缺陷：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；②重要 缺陷：合并资产总额的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合并资产总额的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；③重大缺陷：错报 金额≥合并资产总额的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）营业收</w:t>
            </w:r>
            <w:r>
              <w:rPr>
                <w:rFonts w:ascii="宋体" w:hAnsi="宋体" w:cs="宋体" w:eastAsia="宋体" w:hint="default"/>
                <w:spacing w:val="-85"/>
                <w:sz w:val="18"/>
                <w:szCs w:val="18"/>
              </w:rPr>
              <w:t> </w:t>
            </w:r>
            <w:r>
              <w:rPr>
                <w:rFonts w:ascii="宋体" w:hAnsi="宋体" w:cs="宋体" w:eastAsia="宋体" w:hint="default"/>
                <w:sz w:val="18"/>
                <w:szCs w:val="18"/>
              </w:rPr>
              <w:t>入影响程度：①一般缺陷：错报金额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 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；②重要缺陷：合并 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；③重大缺陷：错报金额≥合并 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）利润总额影响程</w:t>
            </w:r>
            <w:r>
              <w:rPr>
                <w:rFonts w:ascii="宋体" w:hAnsi="宋体" w:cs="宋体" w:eastAsia="宋体" w:hint="default"/>
                <w:spacing w:val="-80"/>
                <w:sz w:val="18"/>
                <w:szCs w:val="18"/>
              </w:rPr>
              <w:t> </w:t>
            </w:r>
            <w:r>
              <w:rPr>
                <w:rFonts w:ascii="宋体" w:hAnsi="宋体" w:cs="宋体" w:eastAsia="宋体" w:hint="default"/>
                <w:sz w:val="18"/>
                <w:szCs w:val="18"/>
              </w:rPr>
              <w:t>度：①一般缺陷：错报金额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；②重要缺陷：合并利润总额的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；③ 重大缺陷：错报金额≥合并利润总额的</w:t>
            </w:r>
          </w:p>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sz w:val="18"/>
              </w:rPr>
              <w:t>10%</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）一般缺陷：直接财产损失金额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&lt;</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）重要缺陷</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&lt;500</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万元；（</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w:t>
            </w:r>
            <w:r>
              <w:rPr>
                <w:rFonts w:ascii="宋体" w:hAnsi="宋体" w:cs="宋体" w:eastAsia="宋体" w:hint="default"/>
                <w:sz w:val="18"/>
                <w:szCs w:val="18"/>
              </w:rPr>
              <w:t> 重大缺陷：直接财产损失金额≥</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b/>
          <w:bCs/>
          <w:sz w:val="6"/>
          <w:szCs w:val="6"/>
        </w:rPr>
      </w:pPr>
    </w:p>
    <w:p>
      <w:pPr>
        <w:pStyle w:val="Heading2"/>
        <w:spacing w:line="240" w:lineRule="auto" w:before="26"/>
        <w:ind w:right="0"/>
        <w:jc w:val="left"/>
        <w:rPr>
          <w:b w:val="0"/>
          <w:bCs w:val="0"/>
        </w:rPr>
      </w:pPr>
      <w:r>
        <w:rPr/>
        <w:t>十、内部控制审计报告或鉴证报告</w:t>
      </w:r>
      <w:r>
        <w:rPr>
          <w:b w:val="0"/>
          <w:bCs w:val="0"/>
        </w:rPr>
      </w:r>
    </w:p>
    <w:p>
      <w:pPr>
        <w:pStyle w:val="BodyText"/>
        <w:spacing w:line="240" w:lineRule="auto" w:before="202"/>
        <w:ind w:right="0"/>
        <w:jc w:val="left"/>
      </w:pPr>
      <w:r>
        <w:rPr/>
        <w:t>不适用</w:t>
      </w:r>
    </w:p>
    <w:p>
      <w:pPr>
        <w:spacing w:after="0" w:line="240" w:lineRule="auto"/>
        <w:jc w:val="left"/>
        <w:sectPr>
          <w:pgSz w:w="11910" w:h="16840"/>
          <w:pgMar w:header="852" w:footer="979" w:top="1220" w:bottom="1160" w:left="980" w:right="980"/>
        </w:sectPr>
      </w:pPr>
    </w:p>
    <w:p>
      <w:pPr>
        <w:spacing w:line="240" w:lineRule="auto" w:before="6"/>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4"/>
        <w:rPr>
          <w:rFonts w:ascii="宋体" w:hAnsi="宋体" w:cs="宋体" w:eastAsia="宋体" w:hint="default"/>
          <w:b/>
          <w:bCs/>
          <w:sz w:val="24"/>
          <w:szCs w:val="24"/>
        </w:rPr>
      </w:pPr>
    </w:p>
    <w:p>
      <w:pPr>
        <w:pStyle w:val="BodyText"/>
        <w:spacing w:line="477" w:lineRule="auto"/>
        <w:ind w:right="1134"/>
        <w:jc w:val="left"/>
      </w:pPr>
      <w:r>
        <w:rPr/>
        <w:t>公司是否存在公开发行并在证券交易所上市，且在年度报告批准报出日未到期或到期未能全额兑付的公司债券 否</w:t>
      </w:r>
    </w:p>
    <w:p>
      <w:pPr>
        <w:spacing w:after="0" w:line="477" w:lineRule="auto"/>
        <w:jc w:val="left"/>
        <w:sectPr>
          <w:pgSz w:w="11910" w:h="16840"/>
          <w:pgMar w:header="852" w:footer="979" w:top="1220" w:bottom="1160" w:left="980" w:right="980"/>
        </w:sectPr>
      </w:pPr>
    </w:p>
    <w:p>
      <w:pPr>
        <w:spacing w:line="240" w:lineRule="auto" w:before="6"/>
        <w:rPr>
          <w:rFonts w:ascii="宋体" w:hAnsi="宋体" w:cs="宋体" w:eastAsia="宋体" w:hint="default"/>
          <w:sz w:val="20"/>
          <w:szCs w:val="20"/>
        </w:rPr>
      </w:pPr>
    </w:p>
    <w:p>
      <w:pPr>
        <w:pStyle w:val="Heading1"/>
        <w:spacing w:line="240" w:lineRule="auto"/>
        <w:ind w:right="453"/>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ZA12738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5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杨志平</w:t>
            </w:r>
            <w:r>
              <w:rPr>
                <w:rFonts w:ascii="宋体" w:hAnsi="宋体" w:cs="宋体" w:eastAsia="宋体" w:hint="default"/>
                <w:spacing w:val="1"/>
                <w:sz w:val="18"/>
                <w:szCs w:val="18"/>
              </w:rPr>
              <w:t> </w:t>
            </w:r>
            <w:r>
              <w:rPr>
                <w:rFonts w:ascii="宋体" w:hAnsi="宋体" w:cs="宋体" w:eastAsia="宋体" w:hint="default"/>
                <w:sz w:val="18"/>
                <w:szCs w:val="18"/>
              </w:rPr>
              <w:t>瞿玉敏</w:t>
            </w:r>
          </w:p>
        </w:tc>
      </w:tr>
    </w:tbl>
    <w:p>
      <w:pPr>
        <w:pStyle w:val="BodyText"/>
        <w:spacing w:line="240" w:lineRule="auto" w:before="58"/>
        <w:ind w:left="452" w:right="452"/>
        <w:jc w:val="center"/>
      </w:pPr>
      <w:r>
        <w:rPr/>
        <w:t>审计报告正文</w:t>
      </w:r>
    </w:p>
    <w:p>
      <w:pPr>
        <w:spacing w:line="240" w:lineRule="auto" w:before="5"/>
        <w:rPr>
          <w:rFonts w:ascii="宋体" w:hAnsi="宋体" w:cs="宋体" w:eastAsia="宋体" w:hint="default"/>
          <w:sz w:val="14"/>
          <w:szCs w:val="14"/>
        </w:rPr>
      </w:pPr>
    </w:p>
    <w:p>
      <w:pPr>
        <w:pStyle w:val="Heading5"/>
        <w:spacing w:line="240" w:lineRule="auto" w:before="44"/>
        <w:ind w:left="152" w:right="0"/>
        <w:jc w:val="left"/>
        <w:rPr>
          <w:b w:val="0"/>
          <w:bCs w:val="0"/>
        </w:rPr>
      </w:pPr>
      <w:r>
        <w:rPr/>
        <w:t>福建永福电力设计股份有限公司全体股东：</w:t>
      </w:r>
      <w:r>
        <w:rPr>
          <w:b w:val="0"/>
          <w:bCs w:val="0"/>
        </w:rPr>
      </w:r>
    </w:p>
    <w:p>
      <w:pPr>
        <w:pStyle w:val="BodyText"/>
        <w:spacing w:line="460" w:lineRule="atLeast" w:before="21"/>
        <w:ind w:left="513" w:right="233" w:firstLine="2"/>
        <w:jc w:val="left"/>
      </w:pPr>
      <w:r>
        <w:rPr>
          <w:rFonts w:ascii="Times New Roman" w:hAnsi="Times New Roman" w:cs="Times New Roman" w:eastAsia="Times New Roman" w:hint="default"/>
          <w:b/>
          <w:bCs/>
        </w:rPr>
        <w:t>1</w:t>
      </w:r>
      <w:r>
        <w:rPr>
          <w:rFonts w:ascii="宋体" w:hAnsi="宋体" w:cs="宋体" w:eastAsia="宋体" w:hint="default"/>
          <w:b/>
          <w:bCs/>
        </w:rPr>
        <w:t>、审计意见</w:t>
      </w:r>
      <w:r>
        <w:rPr>
          <w:rFonts w:ascii="宋体" w:hAnsi="宋体" w:cs="宋体" w:eastAsia="宋体" w:hint="default"/>
          <w:b/>
          <w:bCs/>
          <w:w w:val="99"/>
        </w:rPr>
        <w:t> </w:t>
      </w:r>
      <w:r>
        <w:rPr/>
        <w:t>我们审计了福建永福电力设计股份有限公司（以下简称永福股份）财务报表，包括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w:t>
      </w:r>
    </w:p>
    <w:p>
      <w:pPr>
        <w:pStyle w:val="BodyText"/>
        <w:spacing w:line="300" w:lineRule="auto" w:before="63"/>
        <w:ind w:right="234"/>
        <w:jc w:val="left"/>
      </w:pPr>
      <w:r>
        <w:rPr/>
        <w:t>产负债表，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 附注。</w:t>
      </w:r>
    </w:p>
    <w:p>
      <w:pPr>
        <w:spacing w:line="240" w:lineRule="auto" w:before="4"/>
        <w:rPr>
          <w:rFonts w:ascii="宋体" w:hAnsi="宋体" w:cs="宋体" w:eastAsia="宋体" w:hint="default"/>
          <w:sz w:val="14"/>
          <w:szCs w:val="14"/>
        </w:rPr>
      </w:pPr>
    </w:p>
    <w:p>
      <w:pPr>
        <w:pStyle w:val="BodyText"/>
        <w:spacing w:line="300" w:lineRule="auto"/>
        <w:ind w:right="234" w:firstLine="360"/>
        <w:jc w:val="left"/>
      </w:pPr>
      <w:r>
        <w:rPr/>
        <w:t>我们认为，后附的财务报表在所有重大方面按照企业会计准则的规定编制，公允反映了永福股份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468" w:lineRule="exact" w:before="5"/>
        <w:ind w:left="513" w:right="253" w:firstLine="2"/>
        <w:jc w:val="left"/>
      </w:pPr>
      <w:r>
        <w:rPr>
          <w:rFonts w:ascii="Times New Roman" w:hAnsi="Times New Roman" w:cs="Times New Roman" w:eastAsia="Times New Roman" w:hint="default"/>
          <w:b/>
          <w:bCs/>
        </w:rPr>
        <w:t>2</w:t>
      </w:r>
      <w:r>
        <w:rPr>
          <w:rFonts w:ascii="宋体" w:hAnsi="宋体" w:cs="宋体" w:eastAsia="宋体" w:hint="default"/>
          <w:b/>
          <w:bCs/>
        </w:rPr>
        <w:t>、形成审计意见的基础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before="8"/>
        <w:ind w:right="234"/>
        <w:jc w:val="left"/>
      </w:pPr>
      <w:r>
        <w:rPr/>
        <w:t>步阐述了我们在这些准则下的责任。按照中国注册会计师职业道德守则，我们独立于永福股份，并履行了职业道德方面的 其他责任。我们相信，我们获取的审计证据是充分、适当的，为发表审计意见提供了基础。</w:t>
      </w:r>
    </w:p>
    <w:p>
      <w:pPr>
        <w:pStyle w:val="BodyText"/>
        <w:spacing w:line="468" w:lineRule="exact" w:before="10"/>
        <w:ind w:left="513" w:right="233" w:firstLine="2"/>
        <w:jc w:val="left"/>
      </w:pPr>
      <w:r>
        <w:rPr>
          <w:rFonts w:ascii="Times New Roman" w:hAnsi="Times New Roman" w:cs="Times New Roman" w:eastAsia="Times New Roman" w:hint="default"/>
          <w:b/>
          <w:bCs/>
        </w:rPr>
        <w:t>3</w:t>
      </w:r>
      <w:r>
        <w:rPr>
          <w:rFonts w:ascii="宋体" w:hAnsi="宋体" w:cs="宋体" w:eastAsia="宋体" w:hint="default"/>
          <w:b/>
          <w:bCs/>
        </w:rPr>
        <w:t>、关键审计事项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319" w:lineRule="auto" w:before="8"/>
        <w:ind w:right="234"/>
        <w:jc w:val="left"/>
      </w:pPr>
      <w:r>
        <w:rPr/>
        <w:t>行审计并形成审计意见为背景，我们不对这些事项单独发表意见。我们确定下列事项是需要在审计报告中沟通的关键审计 事项。</w:t>
      </w:r>
    </w:p>
    <w:p>
      <w:pPr>
        <w:spacing w:line="240" w:lineRule="auto" w:before="8"/>
        <w:rPr>
          <w:rFonts w:ascii="宋体" w:hAnsi="宋体" w:cs="宋体" w:eastAsia="宋体" w:hint="default"/>
          <w:sz w:val="12"/>
          <w:szCs w:val="12"/>
        </w:rPr>
      </w:pPr>
    </w:p>
    <w:tbl>
      <w:tblPr>
        <w:tblW w:w="0" w:type="auto"/>
        <w:jc w:val="left"/>
        <w:tblInd w:w="292" w:type="dxa"/>
        <w:tblLayout w:type="fixed"/>
        <w:tblCellMar>
          <w:top w:w="0" w:type="dxa"/>
          <w:left w:w="0" w:type="dxa"/>
          <w:bottom w:w="0" w:type="dxa"/>
          <w:right w:w="0" w:type="dxa"/>
        </w:tblCellMar>
        <w:tblLook w:val="01E0"/>
      </w:tblPr>
      <w:tblGrid>
        <w:gridCol w:w="4676"/>
        <w:gridCol w:w="4674"/>
      </w:tblGrid>
      <w:tr>
        <w:trPr>
          <w:trHeight w:val="552" w:hRule="exact"/>
        </w:trPr>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15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554" w:hRule="exact"/>
        </w:trPr>
        <w:tc>
          <w:tcPr>
            <w:tcW w:w="9350" w:type="dxa"/>
            <w:gridSpan w:val="2"/>
            <w:tcBorders>
              <w:top w:val="single" w:sz="6" w:space="0" w:color="000000"/>
              <w:left w:val="single" w:sz="6" w:space="0" w:color="000000"/>
              <w:bottom w:val="single" w:sz="6" w:space="0" w:color="000000"/>
              <w:right w:val="single" w:sz="6" w:space="0" w:color="000000"/>
            </w:tcBorders>
          </w:tcPr>
          <w:p>
            <w:pPr>
              <w:pStyle w:val="TableParagraph"/>
              <w:tabs>
                <w:tab w:pos="842" w:val="left" w:leader="none"/>
              </w:tabs>
              <w:spacing w:line="240" w:lineRule="auto" w:before="70"/>
              <w:ind w:left="2" w:right="0"/>
              <w:jc w:val="left"/>
              <w:rPr>
                <w:rFonts w:ascii="宋体" w:hAnsi="宋体" w:cs="宋体" w:eastAsia="宋体" w:hint="default"/>
                <w:sz w:val="18"/>
                <w:szCs w:val="18"/>
              </w:rPr>
            </w:pPr>
            <w:r>
              <w:rPr>
                <w:rFonts w:ascii="宋体" w:hAnsi="宋体" w:cs="宋体" w:eastAsia="宋体" w:hint="default"/>
                <w:b/>
                <w:bCs/>
                <w:w w:val="95"/>
                <w:sz w:val="18"/>
                <w:szCs w:val="18"/>
              </w:rPr>
              <w:t>（一）</w:t>
              <w:tab/>
            </w:r>
            <w:r>
              <w:rPr>
                <w:rFonts w:ascii="宋体" w:hAnsi="宋体" w:cs="宋体" w:eastAsia="宋体" w:hint="default"/>
                <w:b/>
                <w:bCs/>
                <w:sz w:val="18"/>
                <w:szCs w:val="18"/>
              </w:rPr>
              <w:t>应收账款的可回收性及坏账准备的计提</w:t>
            </w:r>
            <w:r>
              <w:rPr>
                <w:rFonts w:ascii="宋体" w:hAnsi="宋体" w:cs="宋体" w:eastAsia="宋体" w:hint="default"/>
                <w:sz w:val="18"/>
                <w:szCs w:val="18"/>
              </w:rPr>
            </w:r>
          </w:p>
        </w:tc>
      </w:tr>
      <w:tr>
        <w:trPr>
          <w:trHeight w:val="2424" w:hRule="exact"/>
        </w:trPr>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2" w:right="156"/>
              <w:jc w:val="left"/>
              <w:rPr>
                <w:rFonts w:ascii="宋体" w:hAnsi="宋体" w:cs="宋体" w:eastAsia="宋体" w:hint="default"/>
                <w:sz w:val="18"/>
                <w:szCs w:val="18"/>
              </w:rPr>
            </w:pPr>
            <w:r>
              <w:rPr>
                <w:rFonts w:ascii="宋体" w:hAnsi="宋体" w:cs="宋体" w:eastAsia="宋体" w:hint="default"/>
                <w:sz w:val="18"/>
                <w:szCs w:val="18"/>
              </w:rPr>
              <w:t>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三（九）应收账款坏账准备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所述的 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五（三）应收账款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p>
          <w:p>
            <w:pPr>
              <w:pStyle w:val="TableParagraph"/>
              <w:spacing w:line="240" w:lineRule="auto" w:before="12"/>
              <w:ind w:right="0"/>
              <w:jc w:val="left"/>
              <w:rPr>
                <w:rFonts w:ascii="宋体" w:hAnsi="宋体" w:cs="宋体" w:eastAsia="宋体" w:hint="default"/>
                <w:sz w:val="12"/>
                <w:szCs w:val="12"/>
              </w:rPr>
            </w:pPr>
          </w:p>
          <w:p>
            <w:pPr>
              <w:pStyle w:val="TableParagraph"/>
              <w:spacing w:line="300" w:lineRule="auto"/>
              <w:ind w:left="2" w:right="156"/>
              <w:jc w:val="left"/>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日，永福股份合并财务报表中应收账款的 原值为</w:t>
            </w:r>
            <w:r>
              <w:rPr>
                <w:rFonts w:ascii="Times New Roman" w:hAnsi="Times New Roman" w:cs="Times New Roman" w:eastAsia="Times New Roman" w:hint="default"/>
                <w:sz w:val="18"/>
                <w:szCs w:val="18"/>
              </w:rPr>
              <w:t>323,922,395.96</w:t>
            </w:r>
            <w:r>
              <w:rPr>
                <w:rFonts w:ascii="宋体" w:hAnsi="宋体" w:cs="宋体" w:eastAsia="宋体" w:hint="default"/>
                <w:sz w:val="18"/>
                <w:szCs w:val="18"/>
              </w:rPr>
              <w:t>元，坏帐准备合计为</w:t>
            </w:r>
            <w:r>
              <w:rPr>
                <w:rFonts w:ascii="Times New Roman" w:hAnsi="Times New Roman" w:cs="Times New Roman" w:eastAsia="Times New Roman" w:hint="default"/>
                <w:sz w:val="18"/>
                <w:szCs w:val="18"/>
              </w:rPr>
              <w:t>27,856,528.82 </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由于应收账款可回收金额涉及管理层运用重大会计估计和</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、了解并评价公司关于销售与收款的内部控制；</w:t>
            </w:r>
          </w:p>
          <w:p>
            <w:pPr>
              <w:pStyle w:val="TableParagraph"/>
              <w:spacing w:line="240" w:lineRule="auto" w:before="9"/>
              <w:ind w:right="0"/>
              <w:jc w:val="left"/>
              <w:rPr>
                <w:rFonts w:ascii="宋体" w:hAnsi="宋体" w:cs="宋体" w:eastAsia="宋体" w:hint="default"/>
                <w:sz w:val="16"/>
                <w:szCs w:val="16"/>
              </w:rPr>
            </w:pPr>
          </w:p>
          <w:p>
            <w:pPr>
              <w:pStyle w:val="TableParagraph"/>
              <w:spacing w:line="300"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、获取公司的坏账准备政策，检查本期坏账准备计提政策 是否与上期保持一致；</w:t>
            </w:r>
          </w:p>
          <w:p>
            <w:pPr>
              <w:pStyle w:val="TableParagraph"/>
              <w:spacing w:line="240" w:lineRule="auto" w:before="4"/>
              <w:ind w:right="0"/>
              <w:jc w:val="left"/>
              <w:rPr>
                <w:rFonts w:ascii="宋体" w:hAnsi="宋体" w:cs="宋体" w:eastAsia="宋体" w:hint="default"/>
                <w:sz w:val="14"/>
                <w:szCs w:val="14"/>
              </w:rPr>
            </w:pPr>
          </w:p>
          <w:p>
            <w:pPr>
              <w:pStyle w:val="TableParagraph"/>
              <w:spacing w:line="309"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、获取应收款项账龄，关注账龄划分的准确性，根据管理 层的坏账计提政策及客户信誉情况，关注管理层是否充分 识别已发生减值的项目；</w:t>
            </w:r>
          </w:p>
        </w:tc>
      </w:tr>
    </w:tbl>
    <w:p>
      <w:pPr>
        <w:spacing w:after="0" w:line="309"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292" w:type="dxa"/>
        <w:tblLayout w:type="fixed"/>
        <w:tblCellMar>
          <w:top w:w="0" w:type="dxa"/>
          <w:left w:w="0" w:type="dxa"/>
          <w:bottom w:w="0" w:type="dxa"/>
          <w:right w:w="0" w:type="dxa"/>
        </w:tblCellMar>
        <w:tblLook w:val="01E0"/>
      </w:tblPr>
      <w:tblGrid>
        <w:gridCol w:w="4676"/>
        <w:gridCol w:w="4674"/>
      </w:tblGrid>
      <w:tr>
        <w:trPr>
          <w:trHeight w:val="1596" w:hRule="exact"/>
        </w:trPr>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判断，为此我们将应收账款的可回收性为关键审计事项。</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、实施函证程序，并将函证结果与管理层记录的金额进行 了核对；</w:t>
            </w:r>
          </w:p>
          <w:p>
            <w:pPr>
              <w:pStyle w:val="TableParagraph"/>
              <w:spacing w:line="240" w:lineRule="auto" w:before="4"/>
              <w:ind w:right="0"/>
              <w:jc w:val="left"/>
              <w:rPr>
                <w:rFonts w:ascii="宋体" w:hAnsi="宋体" w:cs="宋体" w:eastAsia="宋体" w:hint="default"/>
                <w:sz w:val="14"/>
                <w:szCs w:val="14"/>
              </w:rPr>
            </w:pPr>
          </w:p>
          <w:p>
            <w:pPr>
              <w:pStyle w:val="TableParagraph"/>
              <w:spacing w:line="300"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、结合期后回款情况检查，评价管理层坏账准备计提的合 理性。</w:t>
            </w:r>
          </w:p>
        </w:tc>
      </w:tr>
      <w:tr>
        <w:trPr>
          <w:trHeight w:val="552" w:hRule="exact"/>
        </w:trPr>
        <w:tc>
          <w:tcPr>
            <w:tcW w:w="9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b/>
                <w:bCs/>
                <w:sz w:val="18"/>
                <w:szCs w:val="18"/>
              </w:rPr>
              <w:t>（二）主营业务收入的确认</w:t>
            </w:r>
            <w:r>
              <w:rPr>
                <w:rFonts w:ascii="宋体" w:hAnsi="宋体" w:cs="宋体" w:eastAsia="宋体" w:hint="default"/>
                <w:sz w:val="18"/>
                <w:szCs w:val="18"/>
              </w:rPr>
            </w:r>
          </w:p>
        </w:tc>
      </w:tr>
      <w:tr>
        <w:trPr>
          <w:trHeight w:val="7263" w:hRule="exact"/>
        </w:trPr>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both"/>
              <w:rPr>
                <w:rFonts w:ascii="宋体" w:hAnsi="宋体" w:cs="宋体" w:eastAsia="宋体" w:hint="default"/>
                <w:sz w:val="18"/>
                <w:szCs w:val="18"/>
              </w:rPr>
            </w:pPr>
            <w:r>
              <w:rPr>
                <w:rFonts w:ascii="宋体" w:hAnsi="宋体" w:cs="宋体" w:eastAsia="宋体" w:hint="default"/>
                <w:sz w:val="18"/>
                <w:szCs w:val="18"/>
              </w:rPr>
              <w:t>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三（十九）收入</w:t>
            </w:r>
            <w:r>
              <w:rPr>
                <w:rFonts w:ascii="Times New Roman" w:hAnsi="Times New Roman" w:cs="Times New Roman" w:eastAsia="Times New Roman" w:hint="default"/>
                <w:sz w:val="18"/>
                <w:szCs w:val="18"/>
              </w:rPr>
              <w:t>”</w:t>
            </w:r>
            <w:r>
              <w:rPr>
                <w:rFonts w:ascii="宋体" w:hAnsi="宋体" w:cs="宋体" w:eastAsia="宋体" w:hint="default"/>
                <w:sz w:val="18"/>
                <w:szCs w:val="18"/>
              </w:rPr>
              <w:t>所述的会计政策及</w:t>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五（二十六）营业收入和营业成本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p>
          <w:p>
            <w:pPr>
              <w:pStyle w:val="TableParagraph"/>
              <w:spacing w:line="240" w:lineRule="auto" w:before="9"/>
              <w:ind w:right="0"/>
              <w:jc w:val="left"/>
              <w:rPr>
                <w:rFonts w:ascii="宋体" w:hAnsi="宋体" w:cs="宋体" w:eastAsia="宋体" w:hint="default"/>
                <w:sz w:val="16"/>
                <w:szCs w:val="16"/>
              </w:rPr>
            </w:pPr>
          </w:p>
          <w:p>
            <w:pPr>
              <w:pStyle w:val="TableParagraph"/>
              <w:spacing w:line="312" w:lineRule="auto"/>
              <w:ind w:left="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年度永福股份主营业务收入金额</w:t>
            </w:r>
            <w:r>
              <w:rPr>
                <w:rFonts w:ascii="Times New Roman" w:hAnsi="Times New Roman" w:cs="Times New Roman" w:eastAsia="Times New Roman" w:hint="default"/>
                <w:sz w:val="18"/>
                <w:szCs w:val="18"/>
              </w:rPr>
              <w:t>560,391,150.90</w:t>
            </w:r>
            <w:r>
              <w:rPr>
                <w:rFonts w:ascii="宋体" w:hAnsi="宋体" w:cs="宋体" w:eastAsia="宋体" w:hint="default"/>
                <w:sz w:val="18"/>
                <w:szCs w:val="18"/>
              </w:rPr>
              <w:t>元，公 司主营业务包括勘查设计业务与工程总承包业务，该两项 业务分别根据提供劳务收入的收入确认政策以及建造合同 的收入确认政策，采用完工百分比法确认收入。</w:t>
            </w: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 w:right="156"/>
              <w:jc w:val="both"/>
              <w:rPr>
                <w:rFonts w:ascii="宋体" w:hAnsi="宋体" w:cs="宋体" w:eastAsia="宋体" w:hint="default"/>
                <w:sz w:val="18"/>
                <w:szCs w:val="18"/>
              </w:rPr>
            </w:pPr>
            <w:r>
              <w:rPr>
                <w:rFonts w:ascii="宋体" w:hAnsi="宋体" w:cs="宋体" w:eastAsia="宋体" w:hint="default"/>
                <w:sz w:val="18"/>
                <w:szCs w:val="18"/>
              </w:rPr>
              <w:t>根据完工百分比法确认的收入涉及管理层的重大判断和估 计，因此我们将主营业务收入的确认列为关键审计事项。</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、了解并评价与收入确认相关的关键内部控制，复核相关 的会计政策是否正确且一贯地运行。</w:t>
            </w:r>
          </w:p>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、获取公司项目销售合同，检查合同中所列示的重要信 息，包括客户名称、项目名称、业务类型及金额、结算依 据、项目进度、签订双方盖章签字等；根据合同金额、项 目进度、结算依据测算应确认收入金额，并逐一与公司财 务账面记载内容进行核对；</w:t>
            </w: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、获取公司各项目收入确认依据，包括评审文件、资料交 付确认证明等收入确认依据，核查文件或证明中所列示的 包括客户名称、合同名称、合同编号、项目名称、确认信 息、文件或证明日期、评审方或接收方签章，并逐一与公 司财务账面记载内容进行核对。</w:t>
            </w:r>
          </w:p>
          <w:p>
            <w:pPr>
              <w:pStyle w:val="TableParagraph"/>
              <w:spacing w:line="240" w:lineRule="auto" w:before="7"/>
              <w:ind w:right="0"/>
              <w:jc w:val="left"/>
              <w:rPr>
                <w:rFonts w:ascii="宋体" w:hAnsi="宋体" w:cs="宋体" w:eastAsia="宋体" w:hint="default"/>
                <w:sz w:val="13"/>
                <w:szCs w:val="13"/>
              </w:rPr>
            </w:pPr>
          </w:p>
          <w:p>
            <w:pPr>
              <w:pStyle w:val="TableParagraph"/>
              <w:spacing w:line="312"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、获取客户、施工方、监理单位、公司项目部共同出具总 承包工程进度完成签证单，分析比对各期总承包工程完工 进度，根据完工进度重新计算确认工程总承包业务收入金 额是否准确；</w:t>
            </w:r>
          </w:p>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、实施分析性程序，分析评价公司综合毛利率、业务毛利 率、项目毛利率的波动情况。</w:t>
            </w:r>
          </w:p>
          <w:p>
            <w:pPr>
              <w:pStyle w:val="TableParagraph"/>
              <w:spacing w:line="240" w:lineRule="auto" w:before="4"/>
              <w:ind w:right="0"/>
              <w:jc w:val="left"/>
              <w:rPr>
                <w:rFonts w:ascii="宋体" w:hAnsi="宋体" w:cs="宋体" w:eastAsia="宋体" w:hint="default"/>
                <w:sz w:val="14"/>
                <w:szCs w:val="14"/>
              </w:rPr>
            </w:pPr>
          </w:p>
          <w:p>
            <w:pPr>
              <w:pStyle w:val="TableParagraph"/>
              <w:spacing w:line="300" w:lineRule="auto"/>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、针对大额收入及应收款项实施函证程序，函证内容包括 合同约定条款、总包项目的完工进度等。</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5"/>
        <w:spacing w:line="240" w:lineRule="auto" w:before="44"/>
        <w:ind w:left="664" w:right="0"/>
        <w:jc w:val="left"/>
        <w:rPr>
          <w:b w:val="0"/>
          <w:bCs w:val="0"/>
        </w:rPr>
      </w:pPr>
      <w:r>
        <w:rPr>
          <w:rFonts w:ascii="Times New Roman" w:hAnsi="Times New Roman" w:cs="Times New Roman" w:eastAsia="Times New Roman" w:hint="default"/>
        </w:rPr>
        <w:t>4</w:t>
      </w:r>
      <w:r>
        <w:rPr/>
        <w:t>、其他信息</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234" w:firstLine="360"/>
        <w:jc w:val="left"/>
      </w:pPr>
      <w:r>
        <w:rPr/>
        <w:t>永福股份管理层（以下简称管理层）对其他信息负责。其他信息包括永福股份</w:t>
      </w:r>
      <w:r>
        <w:rPr>
          <w:rFonts w:ascii="Times New Roman" w:hAnsi="Times New Roman" w:cs="Times New Roman" w:eastAsia="Times New Roman" w:hint="default"/>
        </w:rPr>
        <w:t>2017</w:t>
      </w:r>
      <w:r>
        <w:rPr/>
        <w:t>年年度报告中涵盖的信息，但不包 括财务报表和我们的审计报告。</w:t>
      </w:r>
    </w:p>
    <w:p>
      <w:pPr>
        <w:pStyle w:val="BodyText"/>
        <w:spacing w:line="468" w:lineRule="exact" w:before="23"/>
        <w:ind w:left="513" w:right="233"/>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40" w:lineRule="auto" w:before="8"/>
        <w:ind w:right="0"/>
        <w:jc w:val="left"/>
      </w:pPr>
      <w:r>
        <w:rPr/>
        <w:t>过程中了解到的情况存在重大不一致或者似乎存在重大错报。</w:t>
      </w:r>
    </w:p>
    <w:p>
      <w:pPr>
        <w:spacing w:line="240" w:lineRule="auto" w:before="10"/>
        <w:rPr>
          <w:rFonts w:ascii="宋体" w:hAnsi="宋体" w:cs="宋体" w:eastAsia="宋体" w:hint="default"/>
          <w:sz w:val="17"/>
          <w:szCs w:val="17"/>
        </w:rPr>
      </w:pPr>
    </w:p>
    <w:p>
      <w:pPr>
        <w:pStyle w:val="BodyText"/>
        <w:spacing w:line="316" w:lineRule="auto"/>
        <w:ind w:right="234" w:firstLine="360"/>
        <w:jc w:val="left"/>
      </w:pPr>
      <w:r>
        <w:rPr/>
        <w:t>基于我们已执行的工作，如果我们确定其他信息存在重大错报，我们应当报告该事实。在这方面，我们无任何事项需 要报告。</w:t>
      </w:r>
    </w:p>
    <w:p>
      <w:pPr>
        <w:spacing w:line="240" w:lineRule="auto" w:before="5"/>
        <w:rPr>
          <w:rFonts w:ascii="宋体" w:hAnsi="宋体" w:cs="宋体" w:eastAsia="宋体" w:hint="default"/>
          <w:sz w:val="13"/>
          <w:szCs w:val="13"/>
        </w:rPr>
      </w:pPr>
    </w:p>
    <w:p>
      <w:pPr>
        <w:pStyle w:val="Heading5"/>
        <w:spacing w:line="240" w:lineRule="auto"/>
        <w:ind w:left="515" w:right="0"/>
        <w:jc w:val="left"/>
        <w:rPr>
          <w:b w:val="0"/>
          <w:bCs w:val="0"/>
        </w:rPr>
      </w:pPr>
      <w:r>
        <w:rPr>
          <w:rFonts w:ascii="Times New Roman" w:hAnsi="Times New Roman" w:cs="Times New Roman" w:eastAsia="Times New Roman" w:hint="default"/>
        </w:rPr>
        <w:t>5</w:t>
      </w:r>
      <w:r>
        <w:rPr/>
        <w:t>、管理层和治理层对财务报表的责任</w:t>
      </w:r>
      <w:r>
        <w:rPr>
          <w:b w:val="0"/>
          <w:bCs w:val="0"/>
        </w:rPr>
      </w:r>
    </w:p>
    <w:p>
      <w:pPr>
        <w:spacing w:after="0" w:line="240" w:lineRule="auto"/>
        <w:jc w:val="left"/>
        <w:sectPr>
          <w:footerReference w:type="default" r:id="rId19"/>
          <w:pgSz w:w="11910" w:h="16840"/>
          <w:pgMar w:footer="979" w:header="852" w:top="1220" w:bottom="1160" w:left="980" w:right="980"/>
        </w:sectPr>
      </w:pPr>
    </w:p>
    <w:p>
      <w:pPr>
        <w:spacing w:line="240" w:lineRule="auto" w:before="11"/>
        <w:rPr>
          <w:rFonts w:ascii="宋体" w:hAnsi="宋体" w:cs="宋体" w:eastAsia="宋体" w:hint="default"/>
          <w:b/>
          <w:bCs/>
          <w:sz w:val="13"/>
          <w:szCs w:val="13"/>
        </w:rPr>
      </w:pPr>
    </w:p>
    <w:p>
      <w:pPr>
        <w:pStyle w:val="BodyText"/>
        <w:spacing w:line="316" w:lineRule="auto" w:before="44"/>
        <w:ind w:right="594" w:firstLine="360"/>
        <w:jc w:val="left"/>
      </w:pPr>
      <w:r>
        <w:rPr/>
        <w:t>管理层负责按照企业会计准则的规定编制财务报表，使其实现公允反映，并设计、执行和维护必要的内部控制， 以使财务报表不存在由于舞弊或错误导致的重大错报。</w:t>
      </w:r>
    </w:p>
    <w:p>
      <w:pPr>
        <w:spacing w:line="240" w:lineRule="auto" w:before="5"/>
        <w:rPr>
          <w:rFonts w:ascii="宋体" w:hAnsi="宋体" w:cs="宋体" w:eastAsia="宋体" w:hint="default"/>
          <w:sz w:val="13"/>
          <w:szCs w:val="13"/>
        </w:rPr>
      </w:pPr>
    </w:p>
    <w:p>
      <w:pPr>
        <w:pStyle w:val="BodyText"/>
        <w:spacing w:line="316" w:lineRule="auto"/>
        <w:ind w:right="594" w:firstLine="360"/>
        <w:jc w:val="left"/>
      </w:pPr>
      <w:r>
        <w:rPr/>
        <w:t>在编制财务报表时，管理层负责评估永福股份的持续经营能力，披露与持续经营相关的事项（如适用），并运用 持续经营假设，除非计划进行清算、终止运营或别无其他现实的选择。</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治理层负责监督永福股份的财务报告过程。</w:t>
      </w:r>
    </w:p>
    <w:p>
      <w:pPr>
        <w:spacing w:line="450" w:lineRule="atLeast" w:before="31"/>
        <w:ind w:left="424" w:right="142" w:firstLine="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我们的目标是对财务报表整体是否不存在由于舞弊或错误导致的重大错报获取合理保证，并出具包含审计意见的审计报</w:t>
      </w:r>
    </w:p>
    <w:p>
      <w:pPr>
        <w:pStyle w:val="BodyText"/>
        <w:spacing w:line="319" w:lineRule="auto" w:before="76"/>
        <w:ind w:right="251"/>
        <w:jc w:val="both"/>
      </w:pPr>
      <w:r>
        <w:rPr/>
        <w:t>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 报是重大的。</w:t>
      </w:r>
    </w:p>
    <w:p>
      <w:pPr>
        <w:spacing w:line="240" w:lineRule="auto" w:before="3"/>
        <w:rPr>
          <w:rFonts w:ascii="宋体" w:hAnsi="宋体" w:cs="宋体" w:eastAsia="宋体" w:hint="default"/>
          <w:sz w:val="13"/>
          <w:szCs w:val="13"/>
        </w:rPr>
      </w:pPr>
    </w:p>
    <w:p>
      <w:pPr>
        <w:pStyle w:val="BodyText"/>
        <w:spacing w:line="240" w:lineRule="auto"/>
        <w:ind w:left="424" w:right="0"/>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309" w:lineRule="auto"/>
        <w:ind w:right="233" w:firstLine="271"/>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 上，未能发现由于舞弊导致的重大错报的风险高于未能发现由于错误导致的重大错报的风险。</w:t>
      </w:r>
    </w:p>
    <w:p>
      <w:pPr>
        <w:spacing w:line="240" w:lineRule="auto" w:before="10"/>
        <w:rPr>
          <w:rFonts w:ascii="宋体" w:hAnsi="宋体" w:cs="宋体" w:eastAsia="宋体" w:hint="default"/>
          <w:sz w:val="13"/>
          <w:szCs w:val="13"/>
        </w:rPr>
      </w:pPr>
    </w:p>
    <w:p>
      <w:pPr>
        <w:pStyle w:val="BodyText"/>
        <w:spacing w:line="240" w:lineRule="auto"/>
        <w:ind w:left="42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9"/>
        <w:rPr>
          <w:rFonts w:ascii="宋体" w:hAnsi="宋体" w:cs="宋体" w:eastAsia="宋体" w:hint="default"/>
          <w:sz w:val="16"/>
          <w:szCs w:val="16"/>
        </w:rPr>
      </w:pPr>
    </w:p>
    <w:p>
      <w:pPr>
        <w:pStyle w:val="BodyText"/>
        <w:spacing w:line="240" w:lineRule="auto"/>
        <w:ind w:left="42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16"/>
          <w:szCs w:val="16"/>
        </w:rPr>
      </w:pPr>
    </w:p>
    <w:p>
      <w:pPr>
        <w:pStyle w:val="BodyText"/>
        <w:spacing w:line="312" w:lineRule="auto"/>
        <w:ind w:right="248" w:firstLine="271"/>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）对管理层使用持续经营假设的恰当性得出结论。同时，根据获取的审计证据，就可能导致对永福股份持续经营能 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 论基于截至审计报告日可获得的信息。然而，未来的事项或情况可能导致永福股份不能持续经营。</w:t>
      </w:r>
    </w:p>
    <w:p>
      <w:pPr>
        <w:spacing w:line="240" w:lineRule="auto" w:before="8"/>
        <w:rPr>
          <w:rFonts w:ascii="宋体" w:hAnsi="宋体" w:cs="宋体" w:eastAsia="宋体" w:hint="default"/>
          <w:sz w:val="13"/>
          <w:szCs w:val="13"/>
        </w:rPr>
      </w:pPr>
    </w:p>
    <w:p>
      <w:pPr>
        <w:pStyle w:val="BodyText"/>
        <w:spacing w:line="240" w:lineRule="auto"/>
        <w:ind w:left="42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9"/>
        <w:rPr>
          <w:rFonts w:ascii="宋体" w:hAnsi="宋体" w:cs="宋体" w:eastAsia="宋体" w:hint="default"/>
          <w:sz w:val="16"/>
          <w:szCs w:val="16"/>
        </w:rPr>
      </w:pPr>
    </w:p>
    <w:p>
      <w:pPr>
        <w:pStyle w:val="BodyText"/>
        <w:spacing w:line="300" w:lineRule="auto"/>
        <w:ind w:right="233" w:firstLine="271"/>
        <w:jc w:val="left"/>
      </w:pPr>
      <w:r>
        <w:rPr/>
        <w:t>（</w:t>
      </w:r>
      <w:r>
        <w:rPr>
          <w:rFonts w:ascii="Times New Roman" w:hAnsi="Times New Roman" w:cs="Times New Roman" w:eastAsia="Times New Roman" w:hint="default"/>
        </w:rPr>
        <w:t>6</w:t>
      </w:r>
      <w:r>
        <w:rPr/>
        <w:t>）就永福股份中实体或业务活动的财务信息获取充分、适当的审计证据，以对财务报表发表审计意见。我们负责指 导、监督和执行集团审计，并对审计意见承担全部责任。</w:t>
      </w:r>
    </w:p>
    <w:p>
      <w:pPr>
        <w:spacing w:line="240" w:lineRule="auto" w:before="4"/>
        <w:rPr>
          <w:rFonts w:ascii="宋体" w:hAnsi="宋体" w:cs="宋体" w:eastAsia="宋体" w:hint="default"/>
          <w:sz w:val="14"/>
          <w:szCs w:val="14"/>
        </w:rPr>
      </w:pPr>
    </w:p>
    <w:p>
      <w:pPr>
        <w:pStyle w:val="BodyText"/>
        <w:spacing w:line="316" w:lineRule="auto"/>
        <w:ind w:right="143" w:firstLine="271"/>
        <w:jc w:val="left"/>
      </w:pPr>
      <w:r>
        <w:rPr/>
        <w:t>我们与治理层就计划的审计范围、时间安排和重大审计发现等事项进行沟通，包括沟通我们在审计中识别出的值得关注 的内部控制缺陷。</w:t>
      </w:r>
    </w:p>
    <w:p>
      <w:pPr>
        <w:spacing w:line="240" w:lineRule="auto" w:before="5"/>
        <w:rPr>
          <w:rFonts w:ascii="宋体" w:hAnsi="宋体" w:cs="宋体" w:eastAsia="宋体" w:hint="default"/>
          <w:sz w:val="13"/>
          <w:szCs w:val="13"/>
        </w:rPr>
      </w:pPr>
    </w:p>
    <w:p>
      <w:pPr>
        <w:pStyle w:val="BodyText"/>
        <w:spacing w:line="316" w:lineRule="auto"/>
        <w:ind w:right="143" w:firstLine="271"/>
        <w:jc w:val="left"/>
      </w:pPr>
      <w:r>
        <w:rPr/>
        <w:t>我们还就已遵守与独立性相关的职业道德要求向治理层提供声明，并与治理层沟通可能被合理认为影响我们独立性的所 有关系和其他事项，以及相关的防范措施（如适用）。</w:t>
      </w:r>
    </w:p>
    <w:p>
      <w:pPr>
        <w:spacing w:line="240" w:lineRule="auto" w:before="5"/>
        <w:rPr>
          <w:rFonts w:ascii="宋体" w:hAnsi="宋体" w:cs="宋体" w:eastAsia="宋体" w:hint="default"/>
          <w:sz w:val="13"/>
          <w:szCs w:val="13"/>
        </w:rPr>
      </w:pPr>
    </w:p>
    <w:p>
      <w:pPr>
        <w:pStyle w:val="BodyText"/>
        <w:spacing w:line="316" w:lineRule="auto"/>
        <w:ind w:right="143" w:firstLine="271"/>
        <w:jc w:val="left"/>
      </w:pPr>
      <w:r>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5"/>
        <w:tabs>
          <w:tab w:pos="5316" w:val="left" w:leader="none"/>
        </w:tabs>
        <w:spacing w:line="240" w:lineRule="auto"/>
        <w:ind w:left="0" w:right="493"/>
        <w:jc w:val="right"/>
        <w:rPr>
          <w:b w:val="0"/>
          <w:bCs w:val="0"/>
        </w:rPr>
      </w:pPr>
      <w:r>
        <w:rPr>
          <w:w w:val="95"/>
        </w:rPr>
        <w:t>立信会计师事务所</w:t>
        <w:tab/>
        <w:t>中国注册会计师：杨志平（项目合伙人）</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left="791" w:right="0"/>
        <w:jc w:val="left"/>
        <w:rPr>
          <w:b w:val="0"/>
          <w:bCs w:val="0"/>
        </w:rPr>
      </w:pPr>
      <w:r>
        <w:rPr/>
        <w:t>（特殊普通合伙）</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left="0" w:right="550"/>
        <w:jc w:val="right"/>
        <w:rPr>
          <w:b w:val="0"/>
          <w:bCs w:val="0"/>
        </w:rPr>
      </w:pPr>
      <w:r>
        <w:rPr>
          <w:w w:val="95"/>
        </w:rPr>
        <w:t>中国注册会计师：瞿玉敏</w:t>
      </w:r>
      <w:r>
        <w:rPr>
          <w:b w:val="0"/>
          <w:bCs w:val="0"/>
        </w:rPr>
      </w:r>
    </w:p>
    <w:p>
      <w:pPr>
        <w:spacing w:line="240" w:lineRule="auto" w:before="10"/>
        <w:rPr>
          <w:rFonts w:ascii="宋体" w:hAnsi="宋体" w:cs="宋体" w:eastAsia="宋体" w:hint="default"/>
          <w:b/>
          <w:bCs/>
          <w:sz w:val="17"/>
          <w:szCs w:val="17"/>
        </w:rPr>
      </w:pPr>
    </w:p>
    <w:p>
      <w:pPr>
        <w:pStyle w:val="Heading5"/>
        <w:tabs>
          <w:tab w:pos="2856" w:val="left" w:leader="none"/>
        </w:tabs>
        <w:spacing w:line="240" w:lineRule="auto"/>
        <w:ind w:left="695"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r>
        <w:rPr>
          <w:b w:val="0"/>
          <w:bCs w:val="0"/>
        </w:rPr>
      </w:r>
    </w:p>
    <w:p>
      <w:pPr>
        <w:spacing w:after="0" w:line="240" w:lineRule="auto"/>
        <w:jc w:val="left"/>
        <w:sectPr>
          <w:footerReference w:type="default" r:id="rId20"/>
          <w:pgSz w:w="11910" w:h="16840"/>
          <w:pgMar w:footer="979" w:header="852" w:top="1220" w:bottom="1160" w:left="980" w:right="980"/>
          <w:pgNumType w:start="101"/>
        </w:sectPr>
      </w:pPr>
    </w:p>
    <w:p>
      <w:pPr>
        <w:spacing w:line="240" w:lineRule="auto" w:before="7"/>
        <w:rPr>
          <w:rFonts w:ascii="宋体" w:hAnsi="宋体" w:cs="宋体" w:eastAsia="宋体" w:hint="default"/>
          <w:b/>
          <w:bCs/>
          <w:sz w:val="11"/>
          <w:szCs w:val="11"/>
        </w:rPr>
      </w:pPr>
    </w:p>
    <w:p>
      <w:pPr>
        <w:pStyle w:val="Heading2"/>
        <w:spacing w:line="240" w:lineRule="auto" w:before="26"/>
        <w:ind w:right="0"/>
        <w:jc w:val="left"/>
        <w:rPr>
          <w:b w:val="0"/>
          <w:bCs w:val="0"/>
        </w:rPr>
      </w:pPr>
      <w:r>
        <w:rPr/>
        <w:t>二、财务报表</w:t>
      </w:r>
      <w:r>
        <w:rPr>
          <w:b w:val="0"/>
          <w:bCs w:val="0"/>
        </w:rPr>
      </w:r>
    </w:p>
    <w:p>
      <w:pPr>
        <w:pStyle w:val="BodyText"/>
        <w:spacing w:line="240" w:lineRule="auto" w:before="202"/>
        <w:ind w:right="0"/>
        <w:jc w:val="left"/>
      </w:pPr>
      <w:r>
        <w:rPr/>
        <w:t>财务附注中报表的单位为：人民币元</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pStyle w:val="BodyText"/>
        <w:spacing w:line="240" w:lineRule="auto" w:before="198"/>
        <w:ind w:right="0"/>
        <w:jc w:val="left"/>
      </w:pPr>
      <w:r>
        <w:rPr/>
        <w:t>编制单位：福建永福电力设计股份有限公司</w:t>
      </w:r>
    </w:p>
    <w:p>
      <w:pPr>
        <w:spacing w:line="240" w:lineRule="auto" w:before="5"/>
        <w:rPr>
          <w:rFonts w:ascii="宋体" w:hAnsi="宋体" w:cs="宋体" w:eastAsia="宋体" w:hint="default"/>
          <w:sz w:val="14"/>
          <w:szCs w:val="14"/>
        </w:rPr>
      </w:pPr>
    </w:p>
    <w:p>
      <w:pPr>
        <w:pStyle w:val="BodyText"/>
        <w:spacing w:line="240" w:lineRule="auto" w:before="44"/>
        <w:ind w:left="452" w:right="452"/>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4"/>
        <w:rPr>
          <w:rFonts w:ascii="宋体" w:hAnsi="宋体" w:cs="宋体" w:eastAsia="宋体" w:hint="default"/>
          <w:sz w:val="13"/>
          <w:szCs w:val="1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202,617,016.85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117,106,156.50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43,994,047.00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296,065,867.14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232,324,118.86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7,162,993.34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18,112,919.67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4,675,266.89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6,666,442.43</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143,126,022.64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125,403,727.99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300,296,629.67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186,016.20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954,243,796.53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543,793,428.65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7,357,650.79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7,759,775.24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215,769,432.68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231,115,864.26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14,025,343.26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15,186,086.39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110,330.42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772,311.98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5,033,300.61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4,155,477.25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247,996,057.76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262,789,515.12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1,202,239,854.29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806,582,943.77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134,410,000.00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157,199,746.78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28,118,901.36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89,607,570.58</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122,530,988.80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96,141,031.49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10,454,808.66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17,974,477.94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7,492,959.53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3,568,410.54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17,998,718.50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16,525,858.76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181,311.16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262,847.88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10,653,750.01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5,960,701.99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331,841,438.02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387,240,645.96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331,841,438.02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387,240,645.96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140,080,000.00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105,060,000.00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506,922,843.17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167,852,843.17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19,026,071.82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12,292,843.03</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204,369,501.28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134,136,611.61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870,398,416.27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419,342,297.81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870,398,416.27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419,342,297.81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08" w:right="0"/>
              <w:jc w:val="left"/>
              <w:rPr>
                <w:rFonts w:ascii="Times New Roman" w:hAnsi="Times New Roman" w:cs="Times New Roman" w:eastAsia="Times New Roman" w:hint="default"/>
                <w:sz w:val="18"/>
                <w:szCs w:val="18"/>
              </w:rPr>
            </w:pPr>
            <w:r>
              <w:rPr>
                <w:rFonts w:ascii="Times New Roman"/>
                <w:sz w:val="18"/>
              </w:rPr>
              <w:t>1,202,239,854.29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43" w:right="0"/>
              <w:jc w:val="left"/>
              <w:rPr>
                <w:rFonts w:ascii="Times New Roman" w:hAnsi="Times New Roman" w:cs="Times New Roman" w:eastAsia="Times New Roman" w:hint="default"/>
                <w:sz w:val="18"/>
                <w:szCs w:val="18"/>
              </w:rPr>
            </w:pPr>
            <w:r>
              <w:rPr>
                <w:rFonts w:ascii="Times New Roman"/>
                <w:sz w:val="18"/>
              </w:rPr>
              <w:t>806,582,943.77</w:t>
            </w:r>
          </w:p>
        </w:tc>
      </w:tr>
    </w:tbl>
    <w:p>
      <w:pPr>
        <w:pStyle w:val="BodyText"/>
        <w:tabs>
          <w:tab w:pos="3425" w:val="left" w:leader="none"/>
          <w:tab w:pos="7568" w:val="left" w:leader="none"/>
        </w:tabs>
        <w:spacing w:line="240" w:lineRule="auto" w:before="58"/>
        <w:ind w:left="0" w:right="243"/>
        <w:jc w:val="right"/>
      </w:pPr>
      <w:r>
        <w:rPr/>
        <w:t>法定代表人：林一文</w:t>
        <w:tab/>
      </w:r>
      <w:r>
        <w:rPr>
          <w:spacing w:val="-1"/>
        </w:rPr>
        <w:t>主管会计工作负责人：张善传</w:t>
        <w:tab/>
      </w:r>
      <w:r>
        <w:rPr/>
        <w:t>会计机构负责人：蒋昌敏</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pStyle w:val="BodyText"/>
        <w:spacing w:line="240" w:lineRule="auto" w:before="198"/>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190,833,057.40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108,888,799.88</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13,269,047.00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269,326,761.46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193,252,802.71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7,010,169.00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5,509,712.85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81,214,538.24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64,686,260.74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132,702,475.18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115,272,158.18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300,078,044.32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184,136.20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981,465,045.60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501,062,917.56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42,720,000.00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17,720,000.00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7,357,650.79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7,759,775.24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214,793,815.89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230,244,920.92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311"/>
              <w:jc w:val="righ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13,922,618.65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15,079,370.56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110,330.42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772,311.98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31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4,181,093.88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3,335,619.72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311"/>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288,785,509.63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278,711,998.42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1,270,250,555.23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779,774,915.98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134,410,000.00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157,199,746.78</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28,118,901.36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89,607,570.58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171,230,912.84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76,637,143.22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10,213,759.61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16,889,326.81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6,777,462.67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3,168,725.60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16,268,085.47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12,337,401.55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181,311.16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262,847.88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80,925,950.18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42,970,269.49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448,126,383.29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399,073,031.91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448,126,383.29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399,073,031.91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140,080,000.00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105,060,000.00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506,922,843.17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167,852,843.17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19,026,071.82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12,292,843.03</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156,095,256.95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95,496,197.87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822,124,171.94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380,701,884.07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1,270,250,555.23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779,774,915.98</w:t>
            </w:r>
          </w:p>
        </w:tc>
      </w:tr>
    </w:tbl>
    <w:p>
      <w:pPr>
        <w:pStyle w:val="Heading3"/>
        <w:spacing w:line="240" w:lineRule="auto" w:before="3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564,396,520.28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444,714,055.19</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564,396,520.28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444,714,055.19</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477,319,027.49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360,224,317.09</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375,680,094.32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262,224,897.52</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4,301,806.94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4,948,288.86</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18,309,322.09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16,516,706.64</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63,199,082.29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57,053,853.97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10,062,830.59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10,039,622.33</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5,765,891.26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9,440,947.77</w:t>
            </w: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84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2,341,154.17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5,247.14</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307,611.52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89,726,258.48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84,495,623.24</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177,461.57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1,729,250.00</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5,670.58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257,572.51</w:t>
            </w: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89,898,049.47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85,967,300.73</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12,931,931.01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12,667,837.74</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84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8"/>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FFFFFF"/>
              <w:right w:val="single" w:sz="4" w:space="0" w:color="000000"/>
            </w:tcBorders>
          </w:tcPr>
          <w:p>
            <w:pPr/>
          </w:p>
        </w:tc>
        <w:tc>
          <w:tcPr>
            <w:tcW w:w="3277" w:type="dxa"/>
            <w:tcBorders>
              <w:top w:val="single" w:sz="4" w:space="0" w:color="000000"/>
              <w:left w:val="single" w:sz="4" w:space="0" w:color="000000"/>
              <w:bottom w:val="single" w:sz="4" w:space="0" w:color="FFFFFF"/>
              <w:right w:val="single" w:sz="4" w:space="0" w:color="000000"/>
            </w:tcBorders>
          </w:tcPr>
          <w:p>
            <w:pPr/>
          </w:p>
        </w:tc>
      </w:tr>
      <w:tr>
        <w:trPr>
          <w:trHeight w:val="528" w:hRule="exact"/>
        </w:trPr>
        <w:tc>
          <w:tcPr>
            <w:tcW w:w="30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37"/>
              <w:ind w:left="38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tc>
        <w:tc>
          <w:tcPr>
            <w:tcW w:w="3212" w:type="dxa"/>
            <w:tcBorders>
              <w:top w:val="single" w:sz="4" w:space="0" w:color="FFFFFF"/>
              <w:left w:val="single" w:sz="4" w:space="0" w:color="000000"/>
              <w:bottom w:val="single" w:sz="4" w:space="0" w:color="000000"/>
              <w:right w:val="single" w:sz="4" w:space="0" w:color="000000"/>
            </w:tcBorders>
          </w:tcPr>
          <w:p>
            <w:pPr/>
          </w:p>
        </w:tc>
        <w:tc>
          <w:tcPr>
            <w:tcW w:w="3277" w:type="dxa"/>
            <w:tcBorders>
              <w:top w:val="single" w:sz="4" w:space="0" w:color="FFFFFF"/>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852" w:top="1220" w:bottom="1160" w:left="980" w:right="980"/>
          <w:pgNumType w:start="11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84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0.6940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0.6977</w:t>
            </w:r>
          </w:p>
        </w:tc>
      </w:tr>
      <w:tr>
        <w:trPr>
          <w:trHeight w:val="5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0.6940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0.6977</w:t>
            </w:r>
          </w:p>
        </w:tc>
      </w:tr>
    </w:tbl>
    <w:p>
      <w:pPr>
        <w:pStyle w:val="BodyText"/>
        <w:tabs>
          <w:tab w:pos="3578" w:val="left" w:leader="none"/>
          <w:tab w:pos="7721" w:val="left" w:leader="none"/>
        </w:tabs>
        <w:spacing w:line="451" w:lineRule="auto" w:before="58"/>
        <w:ind w:right="243"/>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法定代表人：林一文</w:t>
        <w:tab/>
      </w:r>
      <w:r>
        <w:rPr>
          <w:spacing w:val="-1"/>
        </w:rPr>
        <w:t>主管会计工作负责人：张善传</w:t>
        <w:tab/>
      </w:r>
      <w:r>
        <w:rPr/>
        <w:t>会计机构负责人：蒋昌敏</w:t>
      </w:r>
    </w:p>
    <w:p>
      <w:pPr>
        <w:spacing w:after="0" w:line="451"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462,941,664.98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333,213,200.82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293,540,040.46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168,025,633.54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3,874,767.00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3,891,581.81</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16,195,559.49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15,597,865.49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58,473,985.72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52,696,998.44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9,555,483.16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10,037,405.88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5,636,494.41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6,926,320.14</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2,335,945.93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3,702.19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307,611.52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78,308,892.19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76,041,735.71</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1,561,250.00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4,994.76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254,060.94</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78,387,897.43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77,348,924.77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11,055,609.56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10,796,280.87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67,332,287.87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66,552,643.90</w:t>
            </w:r>
          </w:p>
        </w:tc>
      </w:tr>
      <w:tr>
        <w:trPr>
          <w:trHeight w:val="882" w:hRule="exact"/>
        </w:trPr>
        <w:tc>
          <w:tcPr>
            <w:tcW w:w="296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67,332,287.87</w:t>
            </w:r>
          </w:p>
        </w:tc>
        <w:tc>
          <w:tcPr>
            <w:tcW w:w="330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66,552,643.90</w:t>
            </w:r>
          </w:p>
        </w:tc>
      </w:tr>
      <w:tr>
        <w:trPr>
          <w:trHeight w:val="486" w:hRule="exact"/>
        </w:trPr>
        <w:tc>
          <w:tcPr>
            <w:tcW w:w="29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95"/>
              <w:ind w:left="384"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FFFFFF"/>
              <w:left w:val="single" w:sz="4" w:space="0" w:color="000000"/>
              <w:bottom w:val="single" w:sz="4" w:space="0" w:color="000000"/>
              <w:right w:val="single" w:sz="4" w:space="0" w:color="000000"/>
            </w:tcBorders>
          </w:tcPr>
          <w:p>
            <w:pPr/>
          </w:p>
        </w:tc>
        <w:tc>
          <w:tcPr>
            <w:tcW w:w="3301" w:type="dxa"/>
            <w:tcBorders>
              <w:top w:val="single" w:sz="4" w:space="0" w:color="FFFFFF"/>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67,332,287.87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66,552,643.90</w:t>
            </w: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3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485,682,426.51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332,632,823.59</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2,947,029.25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4,825,207.23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3,085,829.81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493,454,662.99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335,718,653.40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264,895,324.44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103,962,386.09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99,375,471.74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96,924,068.84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41,473,772.98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32,726,863.26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31,344,379.90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29,114,117.13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437,088,949.06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262,727,435.32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56,365,713.93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72,991,218.08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84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7,681,783.00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7,681,783.00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1,129,638.00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4,623,728.98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6,384,325.84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301,900,000.00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306,523,728.98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8,284,325.84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-298,841,945.98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-7,154,687.84</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386,166,415.09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159,170,000.00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227,749,746.78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545,336,415.09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227,749,746.78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181,959,746.78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239,103,752.22</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8,876,872.77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9,702,093.82</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9,126,367.39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199,962,986.94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250,975,846.04</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345,373,428.15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-23,226,099.26</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-27,143.47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-7,642.84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102,870,052.63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42,602,788.14</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81,897,426.45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39,294,638.31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184,767,479.08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81,897,426.45</w:t>
            </w:r>
          </w:p>
        </w:tc>
      </w:tr>
    </w:tbl>
    <w:p>
      <w:pPr>
        <w:pStyle w:val="Heading3"/>
        <w:spacing w:line="240" w:lineRule="auto" w:before="3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353,979,754.95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305,404,972.75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55,707,309.10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17,675,704.42</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409,687,064.05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323,080,677.17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187,362,352.33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114,423,579.69</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84,526,806.92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82,481,317.11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33,902,923.81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29,798,028.52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26,989,125.77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26,718,068.27</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332,781,208.83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253,420,993.59</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76,905,855.22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69,659,683.58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7,648,783.00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7,648,783.00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1,118,638.00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4,097,035.20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6,335,614.16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326,900,000.00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330,997,035.20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8,235,614.16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-323,348,252.20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-7,116,976.16</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386,166,415.09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159,170,000.00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227,749,746.78</w:t>
            </w:r>
          </w:p>
        </w:tc>
      </w:tr>
      <w:tr>
        <w:trPr>
          <w:trHeight w:val="5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545,336,415.09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227,749,746.78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181,959,746.78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239,103,752.22</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8,731,324.10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9,702,093.82</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9,126,367.39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2,170,000.00</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199,817,438.27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250,975,846.04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345,518,976.82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-23,226,099.26</w:t>
            </w:r>
          </w:p>
        </w:tc>
      </w:tr>
      <w:tr>
        <w:trPr>
          <w:trHeight w:val="84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-27,130.04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-7,642.81</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99,049,449.80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39,308,965.35</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73,934,069.83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34,625,104.48</w:t>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172,983,519.63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73,934,069.83</w:t>
            </w:r>
          </w:p>
        </w:tc>
      </w:tr>
    </w:tbl>
    <w:p>
      <w:pPr>
        <w:pStyle w:val="Heading3"/>
        <w:spacing w:line="240" w:lineRule="auto" w:before="38"/>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本期金额</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528"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28"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528"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840"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71" w:right="8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167,852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843.03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134,136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,611.61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419,342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,297.81</w:t>
            </w: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1"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167,852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843.03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134,136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,611.61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419,342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,297.81</w:t>
            </w: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2"/>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339,070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28.79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70,232,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889.67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451,056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,118.46</w:t>
            </w: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（一）综合收益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76,966,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76,966,</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118.46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118.46</w:t>
            </w: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339,070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374,090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339,070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374,090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84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28.79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6,733,2</w:t>
            </w:r>
          </w:p>
          <w:p>
            <w:pPr>
              <w:pStyle w:val="TableParagraph"/>
              <w:spacing w:line="240" w:lineRule="auto" w:before="3"/>
              <w:ind w:left="228" w:right="0"/>
              <w:jc w:val="left"/>
              <w:rPr>
                <w:rFonts w:ascii="Times New Roman" w:hAnsi="Times New Roman" w:cs="Times New Roman" w:eastAsia="Times New Roman" w:hint="default"/>
                <w:sz w:val="18"/>
                <w:szCs w:val="18"/>
              </w:rPr>
            </w:pPr>
            <w:r>
              <w:rPr>
                <w:rFonts w:ascii="Times New Roman"/>
                <w:sz w:val="18"/>
              </w:rPr>
              <w:t>28.79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28.79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6,733,2</w:t>
            </w:r>
          </w:p>
          <w:p>
            <w:pPr>
              <w:pStyle w:val="TableParagraph"/>
              <w:spacing w:line="240" w:lineRule="auto" w:before="3"/>
              <w:ind w:left="228" w:right="0"/>
              <w:jc w:val="left"/>
              <w:rPr>
                <w:rFonts w:ascii="Times New Roman" w:hAnsi="Times New Roman" w:cs="Times New Roman" w:eastAsia="Times New Roman" w:hint="default"/>
                <w:sz w:val="18"/>
                <w:szCs w:val="18"/>
              </w:rPr>
            </w:pPr>
            <w:r>
              <w:rPr>
                <w:rFonts w:ascii="Times New Roman"/>
                <w:sz w:val="18"/>
              </w:rPr>
              <w:t>28.79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42"/>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8"/>
                <w:szCs w:val="18"/>
              </w:rPr>
            </w:pPr>
            <w:r>
              <w:rPr>
                <w:rFonts w:ascii="Times New Roman"/>
                <w:sz w:val="18"/>
              </w:rPr>
              <w:t>140,08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506,922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071.82</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204,369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870,398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,416.27</w:t>
            </w:r>
          </w:p>
        </w:tc>
      </w:tr>
    </w:tbl>
    <w:p>
      <w:pPr>
        <w:pStyle w:val="BodyText"/>
        <w:spacing w:line="240" w:lineRule="auto" w:before="59"/>
        <w:ind w:right="0"/>
        <w:jc w:val="left"/>
      </w:pPr>
      <w:r>
        <w:rPr/>
        <w:t>上期金额</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528"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28"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528"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9"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0"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840"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 w:right="0"/>
              <w:jc w:val="lef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5,637,5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67,492,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413.01</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346,042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,834.82</w:t>
            </w: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1"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5,637,5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67,492,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413.01</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346,042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,834.82</w:t>
            </w: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2"/>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6,655,2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66,644,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198.60</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73,299,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462.99</w:t>
            </w: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（一）综合收益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73,299,</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73,299,</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979" w:header="852" w:top="1220" w:bottom="1160" w:left="980" w:right="980"/>
          <w:pgNumType w:start="12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462.99</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sz w:val="18"/>
              </w:rPr>
              <w:t>462.99</w:t>
            </w: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2"/>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6,655,2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105" w:right="22"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6,655,2</w:t>
            </w:r>
          </w:p>
          <w:p>
            <w:pPr>
              <w:pStyle w:val="TableParagraph"/>
              <w:spacing w:line="240" w:lineRule="auto" w:before="3"/>
              <w:ind w:left="240" w:right="0"/>
              <w:jc w:val="left"/>
              <w:rPr>
                <w:rFonts w:ascii="Times New Roman" w:hAnsi="Times New Roman" w:cs="Times New Roman" w:eastAsia="Times New Roman" w:hint="default"/>
                <w:sz w:val="18"/>
                <w:szCs w:val="18"/>
              </w:rPr>
            </w:pPr>
            <w:r>
              <w:rPr>
                <w:rFonts w:ascii="Times New Roman"/>
                <w:sz w:val="18"/>
              </w:rPr>
              <w:t>64.39</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6,655,2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105" w:right="22"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6,655,2</w:t>
            </w:r>
          </w:p>
          <w:p>
            <w:pPr>
              <w:pStyle w:val="TableParagraph"/>
              <w:spacing w:line="240" w:lineRule="auto" w:before="3"/>
              <w:ind w:left="240" w:right="0"/>
              <w:jc w:val="left"/>
              <w:rPr>
                <w:rFonts w:ascii="Times New Roman" w:hAnsi="Times New Roman" w:cs="Times New Roman" w:eastAsia="Times New Roman" w:hint="default"/>
                <w:sz w:val="18"/>
                <w:szCs w:val="18"/>
              </w:rPr>
            </w:pPr>
            <w:r>
              <w:rPr>
                <w:rFonts w:ascii="Times New Roman"/>
                <w:sz w:val="18"/>
              </w:rPr>
              <w:t>64.39</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2"/>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843.03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134,136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,611.61</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419,342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,297.81</w:t>
            </w:r>
          </w:p>
        </w:tc>
      </w:tr>
    </w:tbl>
    <w:p>
      <w:pPr>
        <w:pStyle w:val="Heading3"/>
        <w:spacing w:line="240" w:lineRule="auto" w:before="3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本期金额</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528"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28"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7"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528"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167,852,8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12,292,84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197.87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380,701,8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84.07</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44"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167,852,8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12,292,84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197.87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380,701,8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84.07</w:t>
            </w:r>
          </w:p>
        </w:tc>
      </w:tr>
      <w:tr>
        <w:trPr>
          <w:trHeight w:val="115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35,020,0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339,070,0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6,733,228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60,599,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059.08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441,422,2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87.87</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287.87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67,332,28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7.87</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35,020,0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339,070,0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374,090,0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35,020,0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339,070,0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374,090,0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47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6,733,228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6,733,2</w:t>
            </w:r>
          </w:p>
          <w:p>
            <w:pPr>
              <w:pStyle w:val="TableParagraph"/>
              <w:spacing w:line="240" w:lineRule="auto" w:before="3"/>
              <w:ind w:left="237" w:right="0"/>
              <w:jc w:val="left"/>
              <w:rPr>
                <w:rFonts w:ascii="Times New Roman" w:hAnsi="Times New Roman" w:cs="Times New Roman" w:eastAsia="Times New Roman" w:hint="default"/>
                <w:sz w:val="18"/>
                <w:szCs w:val="18"/>
              </w:rPr>
            </w:pPr>
            <w:r>
              <w:rPr>
                <w:rFonts w:ascii="Times New Roman"/>
                <w:sz w:val="18"/>
              </w:rPr>
              <w:t>28.79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6,733,228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6,733,2</w:t>
            </w:r>
          </w:p>
          <w:p>
            <w:pPr>
              <w:pStyle w:val="TableParagraph"/>
              <w:spacing w:line="240" w:lineRule="auto" w:before="3"/>
              <w:ind w:left="237" w:right="0"/>
              <w:jc w:val="left"/>
              <w:rPr>
                <w:rFonts w:ascii="Times New Roman" w:hAnsi="Times New Roman" w:cs="Times New Roman" w:eastAsia="Times New Roman" w:hint="default"/>
                <w:sz w:val="18"/>
                <w:szCs w:val="18"/>
              </w:rPr>
            </w:pPr>
            <w:r>
              <w:rPr>
                <w:rFonts w:ascii="Times New Roman"/>
                <w:sz w:val="18"/>
              </w:rPr>
              <w:t>28.79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140,080,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506,922,8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19,026,07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156,095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,256.95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822,124,1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71.94</w:t>
            </w:r>
          </w:p>
        </w:tc>
      </w:tr>
    </w:tbl>
    <w:p>
      <w:pPr>
        <w:pStyle w:val="BodyText"/>
        <w:spacing w:line="240" w:lineRule="auto" w:before="58"/>
        <w:ind w:right="0"/>
        <w:jc w:val="left"/>
      </w:pPr>
      <w:r>
        <w:rPr/>
        <w:t>上期金额</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after="0" w:line="240" w:lineRule="auto"/>
        <w:jc w:val="right"/>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528"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28"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07"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528"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167,852,8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5,637,578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35,598,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314,149,2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40.17</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167,852,8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5,637,578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35,598,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314,149,2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40.17</w:t>
            </w:r>
          </w:p>
        </w:tc>
      </w:tr>
      <w:tr>
        <w:trPr>
          <w:trHeight w:val="115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6,655,264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59,897,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379.51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66,552,64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3.90</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sz w:val="18"/>
              </w:rPr>
              <w:t>66,552,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643.90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66,552,64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3.90</w:t>
            </w: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6,655,264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6,655,2</w:t>
            </w:r>
          </w:p>
          <w:p>
            <w:pPr>
              <w:pStyle w:val="TableParagraph"/>
              <w:spacing w:line="240" w:lineRule="auto" w:before="3"/>
              <w:ind w:left="237" w:right="0"/>
              <w:jc w:val="left"/>
              <w:rPr>
                <w:rFonts w:ascii="Times New Roman" w:hAnsi="Times New Roman" w:cs="Times New Roman" w:eastAsia="Times New Roman" w:hint="default"/>
                <w:sz w:val="18"/>
                <w:szCs w:val="18"/>
              </w:rPr>
            </w:pPr>
            <w:r>
              <w:rPr>
                <w:rFonts w:ascii="Times New Roman"/>
                <w:sz w:val="18"/>
              </w:rPr>
              <w:t>64.39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6,655,264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60" w:lineRule="auto"/>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6,655,2</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47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64.39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167,852,8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12,292,84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197.87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380,701,8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84.07</w:t>
            </w:r>
          </w:p>
        </w:tc>
      </w:tr>
    </w:tbl>
    <w:p>
      <w:pPr>
        <w:pStyle w:val="Heading2"/>
        <w:spacing w:line="240" w:lineRule="auto" w:before="10"/>
        <w:ind w:right="0"/>
        <w:jc w:val="left"/>
        <w:rPr>
          <w:b w:val="0"/>
          <w:bCs w:val="0"/>
        </w:rPr>
      </w:pPr>
      <w:r>
        <w:rPr/>
        <w:t>三、公司基本情况</w:t>
      </w:r>
      <w:r>
        <w:rPr>
          <w:b w:val="0"/>
          <w:bCs w:val="0"/>
        </w:rPr>
      </w:r>
    </w:p>
    <w:p>
      <w:pPr>
        <w:pStyle w:val="BodyText"/>
        <w:spacing w:line="300" w:lineRule="auto" w:before="202"/>
        <w:ind w:right="261" w:firstLine="360"/>
        <w:jc w:val="both"/>
      </w:pPr>
      <w:r>
        <w:rPr/>
        <w:t>福建永福电力设计股份有限公司（以下简称</w:t>
      </w:r>
      <w:r>
        <w:rPr>
          <w:rFonts w:ascii="Times New Roman" w:hAnsi="Times New Roman" w:cs="Times New Roman" w:eastAsia="Times New Roman" w:hint="default"/>
        </w:rPr>
        <w:t>“</w:t>
      </w:r>
      <w:r>
        <w:rPr/>
        <w:t>永福股份</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）系是经中华人民共和国对外贸易经济合作部（以 下简称</w:t>
      </w:r>
      <w:r>
        <w:rPr>
          <w:rFonts w:ascii="Times New Roman" w:hAnsi="Times New Roman" w:cs="Times New Roman" w:eastAsia="Times New Roman" w:hint="default"/>
        </w:rPr>
        <w:t>“</w:t>
      </w:r>
      <w:r>
        <w:rPr/>
        <w:t>外经贸部</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日以</w:t>
      </w:r>
      <w:r>
        <w:rPr>
          <w:rFonts w:ascii="Times New Roman" w:hAnsi="Times New Roman" w:cs="Times New Roman" w:eastAsia="Times New Roman" w:hint="default"/>
        </w:rPr>
        <w:t>[1994]</w:t>
      </w:r>
      <w:r>
        <w:rPr/>
        <w:t>外经贸资一函字第</w:t>
      </w:r>
      <w:r>
        <w:rPr>
          <w:rFonts w:ascii="Times New Roman" w:hAnsi="Times New Roman" w:cs="Times New Roman" w:eastAsia="Times New Roman" w:hint="default"/>
        </w:rPr>
        <w:t>46</w:t>
      </w:r>
      <w:r>
        <w:rPr/>
        <w:t>号《关于设立中外合资</w:t>
      </w:r>
      <w:r>
        <w:rPr>
          <w:rFonts w:ascii="Times New Roman" w:hAnsi="Times New Roman" w:cs="Times New Roman" w:eastAsia="Times New Roman" w:hint="default"/>
        </w:rPr>
        <w:t>“</w:t>
      </w:r>
      <w:r>
        <w:rPr/>
        <w:t>福建永福工程顾问有限公司</w:t>
      </w:r>
      <w:r>
        <w:rPr>
          <w:rFonts w:ascii="Times New Roman" w:hAnsi="Times New Roman" w:cs="Times New Roman" w:eastAsia="Times New Roman" w:hint="default"/>
        </w:rPr>
        <w:t>”</w:t>
      </w:r>
      <w:r>
        <w:rPr/>
        <w:t>的 批复》批准，由福建省电力勘测设计院、香港永沛工程管理顾问有限公司（下称</w:t>
      </w:r>
      <w:r>
        <w:rPr>
          <w:rFonts w:ascii="Times New Roman" w:hAnsi="Times New Roman" w:cs="Times New Roman" w:eastAsia="Times New Roman" w:hint="default"/>
        </w:rPr>
        <w:t>“</w:t>
      </w:r>
      <w:r>
        <w:rPr/>
        <w:t>永沛公司</w:t>
      </w:r>
      <w:r>
        <w:rPr>
          <w:rFonts w:ascii="Times New Roman" w:hAnsi="Times New Roman" w:cs="Times New Roman" w:eastAsia="Times New Roman" w:hint="default"/>
        </w:rPr>
        <w:t>”</w:t>
      </w:r>
      <w:r>
        <w:rPr/>
        <w:t>）共同发起设立的股份有限公 司，并于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日，获取由国家工商行政管理局核发的注册号为工商企合闽字第</w:t>
      </w:r>
      <w:r>
        <w:rPr>
          <w:rFonts w:ascii="Times New Roman" w:hAnsi="Times New Roman" w:cs="Times New Roman" w:eastAsia="Times New Roman" w:hint="default"/>
        </w:rPr>
        <w:t>02495</w:t>
      </w:r>
      <w:r>
        <w:rPr/>
        <w:t>号《企业法人营业执照》。</w:t>
      </w:r>
    </w:p>
    <w:p>
      <w:pPr>
        <w:spacing w:line="240" w:lineRule="auto" w:before="12"/>
        <w:rPr>
          <w:rFonts w:ascii="宋体" w:hAnsi="宋体" w:cs="宋体" w:eastAsia="宋体" w:hint="default"/>
          <w:sz w:val="12"/>
          <w:szCs w:val="12"/>
        </w:rPr>
      </w:pPr>
    </w:p>
    <w:p>
      <w:pPr>
        <w:pStyle w:val="BodyText"/>
        <w:spacing w:line="300" w:lineRule="auto"/>
        <w:ind w:right="0" w:firstLine="360"/>
        <w:jc w:val="left"/>
      </w:pPr>
      <w:r>
        <w:rPr/>
        <w:t>经过数次股权变动及增资，截至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日止，公司注册资本为人民币</w:t>
      </w:r>
      <w:r>
        <w:rPr>
          <w:rFonts w:ascii="Times New Roman" w:hAnsi="Times New Roman" w:cs="Times New Roman" w:eastAsia="Times New Roman" w:hint="default"/>
        </w:rPr>
        <w:t>10,506</w:t>
      </w:r>
      <w:r>
        <w:rPr/>
        <w:t>万元，公司的统一社会信用代码为 </w:t>
      </w:r>
      <w:r>
        <w:rPr>
          <w:rFonts w:ascii="Times New Roman" w:hAnsi="Times New Roman" w:cs="Times New Roman" w:eastAsia="Times New Roman" w:hint="default"/>
        </w:rPr>
        <w:t>91350000611005994M</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日，经中国证券监督管理委员会以证监许可</w:t>
      </w:r>
      <w:r>
        <w:rPr>
          <w:rFonts w:ascii="Times New Roman" w:hAnsi="Times New Roman" w:cs="Times New Roman" w:eastAsia="Times New Roman" w:hint="default"/>
        </w:rPr>
        <w:t>[2017]1780</w:t>
      </w:r>
      <w:r>
        <w:rPr/>
        <w:t>号《关于核准福建永福电力 设计股份有限公司首次公开发行股票的批复》核准，公司向社会公开发行人民币普通股（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3,502</w:t>
      </w:r>
      <w:r>
        <w:rPr/>
        <w:t>万股，每股面值</w:t>
      </w:r>
      <w:r>
        <w:rPr>
          <w:rFonts w:ascii="Times New Roman" w:hAnsi="Times New Roman" w:cs="Times New Roman" w:eastAsia="Times New Roman" w:hint="default"/>
        </w:rPr>
        <w:t>1.00 </w:t>
      </w:r>
      <w:r>
        <w:rPr/>
        <w:t>元。新增注册资本人民币</w:t>
      </w:r>
      <w:r>
        <w:rPr>
          <w:rFonts w:ascii="Times New Roman" w:hAnsi="Times New Roman" w:cs="Times New Roman" w:eastAsia="Times New Roman" w:hint="default"/>
        </w:rPr>
        <w:t>3,502</w:t>
      </w:r>
      <w:r>
        <w:rPr/>
        <w:t>万元。公司于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日在深圳证券交易所上市，所属行业为专业技术服务业。</w:t>
      </w:r>
    </w:p>
    <w:p>
      <w:pPr>
        <w:spacing w:line="240" w:lineRule="auto" w:before="12"/>
        <w:rPr>
          <w:rFonts w:ascii="宋体" w:hAnsi="宋体" w:cs="宋体" w:eastAsia="宋体" w:hint="default"/>
          <w:sz w:val="12"/>
          <w:szCs w:val="12"/>
        </w:rPr>
      </w:pPr>
    </w:p>
    <w:p>
      <w:pPr>
        <w:pStyle w:val="BodyText"/>
        <w:spacing w:line="312" w:lineRule="auto"/>
        <w:ind w:right="144" w:firstLine="36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14,008</w:t>
      </w:r>
      <w:r>
        <w:rPr/>
        <w:t>万股，注册资本为</w:t>
      </w:r>
      <w:r>
        <w:rPr>
          <w:rFonts w:ascii="Times New Roman" w:hAnsi="Times New Roman" w:cs="Times New Roman" w:eastAsia="Times New Roman" w:hint="default"/>
        </w:rPr>
        <w:t>14,008</w:t>
      </w:r>
      <w:r>
        <w:rPr/>
        <w:t>万元，注册地：福建省福州市闽侯县 上街镇海西科技园高新大道</w:t>
      </w:r>
      <w:r>
        <w:rPr>
          <w:rFonts w:ascii="Times New Roman" w:hAnsi="Times New Roman" w:cs="Times New Roman" w:eastAsia="Times New Roman" w:hint="default"/>
        </w:rPr>
        <w:t>3</w:t>
      </w:r>
      <w:r>
        <w:rPr/>
        <w:t>号本公司主要经营活动为：电力工程设计服务；工程管理服务；工程地质勘察服务；工程水文 勘察服务；岩土工程勘察综合评定服务；测绘服务；电力技术研发；信息系统集成服务；信息技术咨询服务；电子产品、 机械设备、电线电缆、建材、室内装饰材料、仪器仪表、通讯设备、计算机、软件及辅助设备的销售；承包与其实力、规 模、业绩相适应的国外工程项目；对外派遣实施上述境外工程所需的劳务人员；对外贸易。（依法须经批准的项目，经相 关部门批准后方可开展经营活动）。</w:t>
      </w:r>
    </w:p>
    <w:p>
      <w:pPr>
        <w:spacing w:after="0" w:line="312"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16" w:lineRule="auto" w:before="44"/>
        <w:ind w:right="234" w:firstLine="360"/>
        <w:jc w:val="left"/>
      </w:pPr>
      <w:r>
        <w:rPr/>
        <w:t>本公司控股股东为福建省永福博发投资股份有限公司、福州永福恒诚投资管理股份有限公司、福州博宏投资管理有限 公司，实际控制人为林一文、季征南、王劲军、宋发兴、钱有武、卓秀者、陈强、卢庆议。</w:t>
      </w:r>
    </w:p>
    <w:p>
      <w:pPr>
        <w:spacing w:line="240" w:lineRule="auto" w:before="5"/>
        <w:rPr>
          <w:rFonts w:ascii="宋体" w:hAnsi="宋体" w:cs="宋体" w:eastAsia="宋体" w:hint="default"/>
          <w:sz w:val="13"/>
          <w:szCs w:val="13"/>
        </w:rPr>
      </w:pPr>
    </w:p>
    <w:p>
      <w:pPr>
        <w:pStyle w:val="BodyText"/>
        <w:spacing w:line="451" w:lineRule="auto"/>
        <w:ind w:left="513" w:right="4193"/>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9"/>
        <w:rPr>
          <w:rFonts w:ascii="宋体" w:hAnsi="宋体" w:cs="宋体" w:eastAsia="宋体" w:hint="default"/>
          <w:sz w:val="2"/>
          <w:szCs w:val="2"/>
        </w:rPr>
      </w:pPr>
    </w:p>
    <w:tbl>
      <w:tblPr>
        <w:tblW w:w="0" w:type="auto"/>
        <w:jc w:val="left"/>
        <w:tblInd w:w="1062" w:type="dxa"/>
        <w:tblLayout w:type="fixed"/>
        <w:tblCellMar>
          <w:top w:w="0" w:type="dxa"/>
          <w:left w:w="0" w:type="dxa"/>
          <w:bottom w:w="0" w:type="dxa"/>
          <w:right w:w="0" w:type="dxa"/>
        </w:tblCellMar>
        <w:tblLook w:val="01E0"/>
      </w:tblPr>
      <w:tblGrid>
        <w:gridCol w:w="7816"/>
      </w:tblGrid>
      <w:tr>
        <w:trPr>
          <w:trHeight w:val="528" w:hRule="exact"/>
        </w:trPr>
        <w:tc>
          <w:tcPr>
            <w:tcW w:w="7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528" w:hRule="exact"/>
        </w:trPr>
        <w:tc>
          <w:tcPr>
            <w:tcW w:w="7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r>
      <w:tr>
        <w:trPr>
          <w:trHeight w:val="528" w:hRule="exact"/>
        </w:trPr>
        <w:tc>
          <w:tcPr>
            <w:tcW w:w="7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r>
      <w:tr>
        <w:trPr>
          <w:trHeight w:val="529" w:hRule="exact"/>
        </w:trPr>
        <w:tc>
          <w:tcPr>
            <w:tcW w:w="7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福州新创机电设备有限公司</w:t>
            </w:r>
          </w:p>
        </w:tc>
      </w:tr>
      <w:tr>
        <w:trPr>
          <w:trHeight w:val="528" w:hRule="exact"/>
        </w:trPr>
        <w:tc>
          <w:tcPr>
            <w:tcW w:w="7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厦门福思威特工程有限公司</w:t>
            </w:r>
          </w:p>
        </w:tc>
      </w:tr>
    </w:tbl>
    <w:p>
      <w:pPr>
        <w:pStyle w:val="BodyText"/>
        <w:spacing w:line="240" w:lineRule="auto" w:before="58"/>
        <w:ind w:left="513"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r>
        <w:rPr/>
        <w:t>四、财务报表的编制基础</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、编制基础</w:t>
      </w:r>
      <w:r>
        <w:rPr>
          <w:b w:val="0"/>
          <w:bCs w:val="0"/>
        </w:rPr>
      </w:r>
    </w:p>
    <w:p>
      <w:pPr>
        <w:pStyle w:val="BodyText"/>
        <w:spacing w:line="300" w:lineRule="auto" w:before="198"/>
        <w:ind w:right="250" w:firstLine="362"/>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会计准则、企业会计准则应用指南、企业会计准则解释及其他相关规定（以下合称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 管理委员会《公开发行证券的公司信息披露编报规则第</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财务报告的一般规定》的披露规定编制财务报表。</w:t>
      </w:r>
    </w:p>
    <w:p>
      <w:pPr>
        <w:pStyle w:val="Heading3"/>
        <w:spacing w:line="240" w:lineRule="auto" w:before="148"/>
        <w:ind w:right="0"/>
        <w:jc w:val="left"/>
        <w:rPr>
          <w:b w:val="0"/>
          <w:bCs w:val="0"/>
        </w:rPr>
      </w:pPr>
      <w:r>
        <w:rPr>
          <w:rFonts w:ascii="Times New Roman" w:hAnsi="Times New Roman" w:cs="Times New Roman" w:eastAsia="Times New Roman" w:hint="default"/>
        </w:rPr>
        <w:t>2</w:t>
      </w:r>
      <w:r>
        <w:rPr/>
        <w:t>、持续经营</w:t>
      </w:r>
      <w:r>
        <w:rPr>
          <w:b w:val="0"/>
          <w:bCs w:val="0"/>
        </w:rPr>
      </w:r>
    </w:p>
    <w:p>
      <w:pPr>
        <w:pStyle w:val="BodyText"/>
        <w:spacing w:line="316" w:lineRule="auto" w:before="198"/>
        <w:ind w:right="251" w:firstLine="362"/>
        <w:jc w:val="both"/>
      </w:pPr>
      <w:r>
        <w:rPr/>
        <w:t>公司综合考虑宏观政策风险、市场经营风险、企业目前或长期的盈利能力、偿债能力、财务弹性等因素，认为公司具 有自报告期末起至少</w:t>
      </w:r>
      <w:r>
        <w:rPr>
          <w:rFonts w:ascii="Times New Roman" w:hAnsi="Times New Roman" w:cs="Times New Roman" w:eastAsia="Times New Roman" w:hint="default"/>
        </w:rPr>
        <w:t>12</w:t>
      </w:r>
      <w:r>
        <w:rPr/>
        <w:t>个月的持续经营能力。</w:t>
      </w:r>
    </w:p>
    <w:p>
      <w:pPr>
        <w:pStyle w:val="Heading2"/>
        <w:spacing w:line="240" w:lineRule="auto" w:before="106"/>
        <w:ind w:right="0"/>
        <w:jc w:val="left"/>
        <w:rPr>
          <w:b w:val="0"/>
          <w:bCs w:val="0"/>
        </w:rPr>
      </w:pPr>
      <w:r>
        <w:rPr/>
        <w:t>五、重要会计政策及会计估计</w:t>
      </w:r>
      <w:r>
        <w:rPr>
          <w:b w:val="0"/>
          <w:bCs w:val="0"/>
        </w:rPr>
      </w:r>
    </w:p>
    <w:p>
      <w:pPr>
        <w:pStyle w:val="BodyText"/>
        <w:spacing w:line="477" w:lineRule="auto" w:before="202"/>
        <w:ind w:right="6714"/>
        <w:jc w:val="left"/>
      </w:pPr>
      <w:r>
        <w:rPr/>
        <w:t>公司是否需要遵守特殊行业的披露要求 否</w:t>
      </w:r>
    </w:p>
    <w:p>
      <w:pPr>
        <w:spacing w:line="432" w:lineRule="auto" w:before="54"/>
        <w:ind w:left="152" w:right="7152" w:firstLine="0"/>
        <w:jc w:val="left"/>
        <w:rPr>
          <w:rFonts w:ascii="宋体" w:hAnsi="宋体" w:cs="宋体" w:eastAsia="宋体" w:hint="default"/>
          <w:sz w:val="21"/>
          <w:szCs w:val="21"/>
        </w:rPr>
      </w:pPr>
      <w:r>
        <w:rPr>
          <w:rFonts w:ascii="宋体" w:hAnsi="宋体" w:cs="宋体" w:eastAsia="宋体" w:hint="default"/>
          <w:sz w:val="18"/>
          <w:szCs w:val="18"/>
        </w:rPr>
        <w:t>具体会计政策和会计估计提示：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、遵循企业会计准则的声明</w:t>
      </w:r>
      <w:r>
        <w:rPr>
          <w:rFonts w:ascii="宋体" w:hAnsi="宋体" w:cs="宋体" w:eastAsia="宋体" w:hint="default"/>
          <w:spacing w:val="-1"/>
          <w:sz w:val="21"/>
          <w:szCs w:val="21"/>
        </w:rPr>
      </w:r>
    </w:p>
    <w:p>
      <w:pPr>
        <w:pStyle w:val="BodyText"/>
        <w:spacing w:line="316" w:lineRule="auto" w:before="12"/>
        <w:ind w:right="236" w:firstLine="377"/>
        <w:jc w:val="both"/>
      </w:pPr>
      <w:r>
        <w:rPr/>
        <w:t>公司所编制的财务报表符合企业会计准则的要求，真实、完整地反映了报告期公司的财务状况、经营成果、现金流量 等有关信息。</w:t>
      </w:r>
    </w:p>
    <w:p>
      <w:pPr>
        <w:pStyle w:val="Heading3"/>
        <w:spacing w:line="240" w:lineRule="auto" w:before="154"/>
        <w:ind w:right="0"/>
        <w:jc w:val="left"/>
        <w:rPr>
          <w:b w:val="0"/>
          <w:bCs w:val="0"/>
        </w:rPr>
      </w:pPr>
      <w:r>
        <w:rPr>
          <w:rFonts w:ascii="Times New Roman" w:hAnsi="Times New Roman" w:cs="Times New Roman" w:eastAsia="Times New Roman" w:hint="default"/>
        </w:rPr>
        <w:t>2</w:t>
      </w:r>
      <w:r>
        <w:rPr/>
        <w:t>、会计期间</w:t>
      </w:r>
      <w:r>
        <w:rPr>
          <w:b w:val="0"/>
          <w:bCs w:val="0"/>
        </w:rPr>
      </w:r>
    </w:p>
    <w:p>
      <w:pPr>
        <w:pStyle w:val="BodyText"/>
        <w:spacing w:line="240" w:lineRule="auto" w:before="198"/>
        <w:ind w:left="561"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left="561" w:right="0"/>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240" w:lineRule="auto" w:before="198"/>
        <w:ind w:left="515" w:right="0"/>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16" w:lineRule="auto" w:before="198"/>
        <w:ind w:right="251" w:firstLine="362"/>
        <w:jc w:val="both"/>
      </w:pPr>
      <w:r>
        <w:rPr/>
        <w:t>同一控制下企业合并：本公司在企业合并中取得的资产和负债，按照合并日被合并方资产、负债（包括最终控制方收 购被合并方而形成的商誉）在最终控制方合并财务报表中的账面价值计量。在合并中取得的净资产账面价值与支付的合并 对价账面价值（或发行股份面值总额）的差额，调整资本公积中的股本溢价，资本公积中的股本溢价不足冲减的，调整留 存收益。</w:t>
      </w:r>
    </w:p>
    <w:p>
      <w:pPr>
        <w:spacing w:line="240" w:lineRule="auto" w:before="5"/>
        <w:rPr>
          <w:rFonts w:ascii="宋体" w:hAnsi="宋体" w:cs="宋体" w:eastAsia="宋体" w:hint="default"/>
          <w:sz w:val="13"/>
          <w:szCs w:val="13"/>
        </w:rPr>
      </w:pPr>
    </w:p>
    <w:p>
      <w:pPr>
        <w:pStyle w:val="BodyText"/>
        <w:spacing w:line="316" w:lineRule="auto"/>
        <w:ind w:right="250" w:firstLine="362"/>
        <w:jc w:val="right"/>
      </w:pPr>
      <w:r>
        <w:rPr>
          <w:spacing w:val="-1"/>
        </w:rPr>
        <w:t>非同一控制下企业合并：本公司在购买日对作为企业合并对价付出的资产、发生或承担的负债按照公允价值计量，公</w:t>
      </w:r>
      <w:r>
        <w:rPr/>
        <w:t> 允价值与其账面价值的差额，计入当期损益。本公司对合并成本大于合并中取得的被购买方可辨认净资产公允价值份额的 差额，确认为商誉；合并成本小于合并中取得的被购买方可辨认净资产公允价值份额的差额，经复核后，计入当期损益。</w:t>
      </w:r>
    </w:p>
    <w:p>
      <w:pPr>
        <w:spacing w:line="240" w:lineRule="auto" w:before="5"/>
        <w:rPr>
          <w:rFonts w:ascii="宋体" w:hAnsi="宋体" w:cs="宋体" w:eastAsia="宋体" w:hint="default"/>
          <w:sz w:val="13"/>
          <w:szCs w:val="13"/>
        </w:rPr>
      </w:pPr>
    </w:p>
    <w:p>
      <w:pPr>
        <w:pStyle w:val="BodyText"/>
        <w:spacing w:line="316" w:lineRule="auto"/>
        <w:ind w:right="251" w:firstLine="362"/>
        <w:jc w:val="both"/>
      </w:pPr>
      <w:r>
        <w:rPr/>
        <w:t>为企业合并发生的审计、法律服务、评估咨询等中介费用以及其他直接相关费用，于发生时计入当期损益；为企业合 并而发行权益性证券的交易费用，冲减权益。</w:t>
      </w:r>
    </w:p>
    <w:p>
      <w:pPr>
        <w:pStyle w:val="Heading3"/>
        <w:spacing w:line="386" w:lineRule="auto" w:before="154"/>
        <w:ind w:right="7152"/>
        <w:jc w:val="left"/>
        <w:rPr>
          <w:b w:val="0"/>
          <w:bCs w:val="0"/>
        </w:rPr>
      </w:pPr>
      <w:r>
        <w:rPr>
          <w:rFonts w:ascii="Times New Roman" w:hAnsi="Times New Roman" w:cs="Times New Roman" w:eastAsia="Times New Roman" w:hint="default"/>
          <w:spacing w:val="-1"/>
        </w:rPr>
        <w:t>6</w:t>
      </w:r>
      <w:r>
        <w:rPr>
          <w:spacing w:val="-1"/>
        </w:rPr>
        <w:t>、合并财务报表的编制方法</w:t>
      </w:r>
      <w:r>
        <w:rPr>
          <w:spacing w:val="-94"/>
        </w:rPr>
        <w:t> </w:t>
      </w:r>
      <w:r>
        <w:rPr>
          <w:spacing w:val="-94"/>
        </w:rPr>
      </w:r>
      <w:r>
        <w:rPr/>
        <w:t>合并范围</w:t>
      </w:r>
      <w:r>
        <w:rPr>
          <w:b w:val="0"/>
          <w:bCs w:val="0"/>
        </w:rPr>
      </w:r>
    </w:p>
    <w:p>
      <w:pPr>
        <w:pStyle w:val="BodyText"/>
        <w:spacing w:line="316" w:lineRule="auto" w:before="85"/>
        <w:ind w:right="159" w:firstLine="271"/>
        <w:jc w:val="both"/>
      </w:pPr>
      <w:r>
        <w:rPr/>
        <w:t>本公司合并财务报表的合并范围以控制为基础确定，所有子公司（包括本公司所控制的被投资方可分割的部分）均纳入 合并财务报表。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0"/>
        <w:jc w:val="left"/>
        <w:rPr>
          <w:b w:val="0"/>
          <w:bCs w:val="0"/>
        </w:rPr>
      </w:pPr>
      <w:r>
        <w:rPr/>
        <w:t>合并程序</w:t>
      </w:r>
      <w:r>
        <w:rPr>
          <w:b w:val="0"/>
          <w:bCs w:val="0"/>
        </w:rPr>
      </w:r>
    </w:p>
    <w:p>
      <w:pPr>
        <w:spacing w:line="240" w:lineRule="auto" w:before="4"/>
        <w:rPr>
          <w:rFonts w:ascii="宋体" w:hAnsi="宋体" w:cs="宋体" w:eastAsia="宋体" w:hint="default"/>
          <w:b/>
          <w:bCs/>
          <w:sz w:val="16"/>
          <w:szCs w:val="16"/>
        </w:rPr>
      </w:pPr>
    </w:p>
    <w:p>
      <w:pPr>
        <w:pStyle w:val="BodyText"/>
        <w:spacing w:line="316" w:lineRule="auto"/>
        <w:ind w:left="229" w:right="157" w:firstLine="422"/>
        <w:jc w:val="left"/>
      </w:pPr>
      <w:r>
        <w:rPr/>
        <w:t>本公司以自身和各子公司的财务报表为基础，根据其他有关资料，编制合并财务报表。本公司编制合并财务报表， 将整个企业集团视为一个会计主体，依据相关企业会计准则的确认、计量和列报要求，按照统一的会计政策，反映本企业 集团整体财务状况、经营成果和现金流量。</w:t>
      </w:r>
    </w:p>
    <w:p>
      <w:pPr>
        <w:spacing w:line="240" w:lineRule="auto" w:before="5"/>
        <w:rPr>
          <w:rFonts w:ascii="宋体" w:hAnsi="宋体" w:cs="宋体" w:eastAsia="宋体" w:hint="default"/>
          <w:sz w:val="13"/>
          <w:szCs w:val="13"/>
        </w:rPr>
      </w:pPr>
    </w:p>
    <w:p>
      <w:pPr>
        <w:pStyle w:val="BodyText"/>
        <w:spacing w:line="319" w:lineRule="auto"/>
        <w:ind w:left="229" w:right="173" w:firstLine="362"/>
        <w:jc w:val="both"/>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计期间与本公司不一致的，在编制合并财务报表时，按本公司的会计政策、会计期间进行必要的调整。对于非同一控制下 企业合并取得的子公司，以购买日可辨认净资产公允价值为基础对其财务报表进行调整。对于同一控制下企业合并取得的 子公司，以其资产、负债（包括最终控制方收购该子公司而形成的商誉）在最终控制方财务报表中的账面价值为基础对其 财务报表进行调整。</w:t>
      </w:r>
    </w:p>
    <w:p>
      <w:pPr>
        <w:spacing w:line="240" w:lineRule="auto" w:before="3"/>
        <w:rPr>
          <w:rFonts w:ascii="宋体" w:hAnsi="宋体" w:cs="宋体" w:eastAsia="宋体" w:hint="default"/>
          <w:sz w:val="13"/>
          <w:szCs w:val="13"/>
        </w:rPr>
      </w:pPr>
    </w:p>
    <w:p>
      <w:pPr>
        <w:pStyle w:val="BodyText"/>
        <w:spacing w:line="316" w:lineRule="auto"/>
        <w:ind w:left="229" w:right="174" w:firstLine="362"/>
        <w:jc w:val="both"/>
      </w:pPr>
      <w:r>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 期初所有者权益中所享有份额而形成的余额，冲减少数股东权益。</w:t>
      </w:r>
    </w:p>
    <w:p>
      <w:pPr>
        <w:pStyle w:val="BodyText"/>
        <w:spacing w:line="468" w:lineRule="exact" w:before="10"/>
        <w:ind w:left="592" w:right="154" w:hanging="63"/>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w:t>
      </w:r>
    </w:p>
    <w:p>
      <w:pPr>
        <w:pStyle w:val="BodyText"/>
        <w:spacing w:line="316" w:lineRule="auto" w:before="8"/>
        <w:ind w:left="229" w:right="157"/>
        <w:jc w:val="left"/>
      </w:pPr>
      <w:r>
        <w:rPr/>
        <w:t>当期期初至报告期末的收入、费用、利润纳入合并利润表；将子公司或业务合并当期期初至报告期末的现金流量纳入合并 现金流量表，同时对比较报表的相关项目进行调整，视同合并后的报告主体自最终控制方开始控制时点起一直存在。</w:t>
      </w:r>
    </w:p>
    <w:p>
      <w:pPr>
        <w:spacing w:line="240" w:lineRule="auto" w:before="5"/>
        <w:rPr>
          <w:rFonts w:ascii="宋体" w:hAnsi="宋体" w:cs="宋体" w:eastAsia="宋体" w:hint="default"/>
          <w:sz w:val="13"/>
          <w:szCs w:val="13"/>
        </w:rPr>
      </w:pPr>
    </w:p>
    <w:p>
      <w:pPr>
        <w:pStyle w:val="BodyText"/>
        <w:spacing w:line="316" w:lineRule="auto"/>
        <w:ind w:left="229" w:right="174" w:firstLine="362"/>
        <w:jc w:val="both"/>
      </w:pPr>
      <w:r>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w:t>
      </w:r>
    </w:p>
    <w:p>
      <w:pPr>
        <w:spacing w:after="0" w:line="316" w:lineRule="auto"/>
        <w:jc w:val="both"/>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left="229" w:right="0"/>
        <w:jc w:val="left"/>
      </w:pPr>
      <w:r>
        <w:rPr/>
        <w:t>流量表。</w:t>
      </w:r>
    </w:p>
    <w:p>
      <w:pPr>
        <w:spacing w:line="240" w:lineRule="auto" w:before="10"/>
        <w:rPr>
          <w:rFonts w:ascii="宋体" w:hAnsi="宋体" w:cs="宋体" w:eastAsia="宋体" w:hint="default"/>
          <w:sz w:val="17"/>
          <w:szCs w:val="17"/>
        </w:rPr>
      </w:pPr>
    </w:p>
    <w:p>
      <w:pPr>
        <w:pStyle w:val="BodyText"/>
        <w:spacing w:line="240" w:lineRule="auto"/>
        <w:ind w:left="530" w:right="0"/>
        <w:jc w:val="left"/>
      </w:pPr>
      <w:r>
        <w:rPr/>
        <w:t>（</w:t>
      </w:r>
      <w:r>
        <w:rPr>
          <w:rFonts w:ascii="Times New Roman" w:hAnsi="Times New Roman" w:cs="Times New Roman" w:eastAsia="Times New Roman" w:hint="default"/>
        </w:rPr>
        <w:t>2</w:t>
      </w:r>
      <w:r>
        <w:rPr/>
        <w:t>）处置子公司或业务</w:t>
      </w:r>
    </w:p>
    <w:p>
      <w:pPr>
        <w:pStyle w:val="BodyText"/>
        <w:spacing w:line="468" w:lineRule="exact" w:before="54"/>
        <w:ind w:left="513" w:right="233" w:firstLine="16"/>
        <w:jc w:val="left"/>
      </w:pPr>
      <w:r>
        <w:rPr/>
        <w:t>①一般处理方法 在报告期内，本公司处置子公司或业务，则该子公司或业务期初至处置日的收入、费用、利润纳入合并利润表；该子</w:t>
      </w:r>
    </w:p>
    <w:p>
      <w:pPr>
        <w:pStyle w:val="BodyText"/>
        <w:spacing w:line="240" w:lineRule="auto" w:before="8"/>
        <w:ind w:right="0"/>
        <w:jc w:val="left"/>
      </w:pPr>
      <w:r>
        <w:rPr/>
        <w:t>公司或业务期初至处置日的现金流量纳入合并现金流量表。</w:t>
      </w:r>
    </w:p>
    <w:p>
      <w:pPr>
        <w:spacing w:line="240" w:lineRule="auto" w:before="10"/>
        <w:rPr>
          <w:rFonts w:ascii="宋体" w:hAnsi="宋体" w:cs="宋体" w:eastAsia="宋体" w:hint="default"/>
          <w:sz w:val="17"/>
          <w:szCs w:val="17"/>
        </w:rPr>
      </w:pPr>
    </w:p>
    <w:p>
      <w:pPr>
        <w:pStyle w:val="BodyText"/>
        <w:spacing w:line="319" w:lineRule="auto"/>
        <w:ind w:left="229" w:right="174" w:firstLine="362"/>
        <w:jc w:val="both"/>
      </w:pPr>
      <w:r>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 自购买日或合并日开始持续计算的净资产的份额与商誉之和的差额，计入丧失控制权当期的投资收益。与原有子公司股权 投资相关的其他综合收益或除净损益、其他综合收益及利润分配之外的其他所有者权益变动，在丧失控制权时转为当期投 资收益，由于被投资方重新计量设定受益计划净负债或净资产变动而产生的其他综合收益除外。</w:t>
      </w:r>
    </w:p>
    <w:p>
      <w:pPr>
        <w:spacing w:line="240" w:lineRule="auto" w:before="3"/>
        <w:rPr>
          <w:rFonts w:ascii="宋体" w:hAnsi="宋体" w:cs="宋体" w:eastAsia="宋体" w:hint="default"/>
          <w:sz w:val="13"/>
          <w:szCs w:val="13"/>
        </w:rPr>
      </w:pPr>
    </w:p>
    <w:p>
      <w:pPr>
        <w:pStyle w:val="BodyText"/>
        <w:spacing w:line="240" w:lineRule="auto"/>
        <w:ind w:left="530" w:right="0"/>
        <w:jc w:val="left"/>
      </w:pPr>
      <w:r>
        <w:rPr/>
        <w:t>因其他投资方对子公司增资而导致本公司持股比例下降从而丧失控制权的，按照上述原则进行会计处理。</w:t>
      </w:r>
    </w:p>
    <w:p>
      <w:pPr>
        <w:pStyle w:val="BodyText"/>
        <w:spacing w:line="460" w:lineRule="atLeast" w:before="8"/>
        <w:ind w:left="503" w:right="243" w:firstLine="26"/>
        <w:jc w:val="left"/>
      </w:pPr>
      <w:r>
        <w:rPr/>
        <w:t>②分步处置子公司 通过多次交易分步处置对子公司股权投资直至丧失控制权的，处置对子公司股权投资的各项交易的条款、条件以及经</w:t>
      </w:r>
    </w:p>
    <w:p>
      <w:pPr>
        <w:pStyle w:val="BodyText"/>
        <w:spacing w:line="477" w:lineRule="auto" w:before="76"/>
        <w:ind w:left="530" w:right="2317" w:hanging="301"/>
        <w:jc w:val="left"/>
      </w:pPr>
      <w:r>
        <w:rPr/>
        <w:t>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54"/>
        <w:ind w:right="232" w:firstLine="362"/>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 额，在合并财务报表中确认为其他综合收益，在丧失控制权时一并转入丧失控制权当期的损益。</w:t>
      </w:r>
    </w:p>
    <w:p>
      <w:pPr>
        <w:spacing w:line="240" w:lineRule="auto" w:before="5"/>
        <w:rPr>
          <w:rFonts w:ascii="宋体" w:hAnsi="宋体" w:cs="宋体" w:eastAsia="宋体" w:hint="default"/>
          <w:sz w:val="13"/>
          <w:szCs w:val="13"/>
        </w:rPr>
      </w:pPr>
    </w:p>
    <w:p>
      <w:pPr>
        <w:pStyle w:val="BodyText"/>
        <w:spacing w:line="316" w:lineRule="auto"/>
        <w:ind w:right="232" w:firstLine="362"/>
        <w:jc w:val="left"/>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468" w:lineRule="exact" w:before="10"/>
        <w:ind w:left="515" w:right="231" w:hanging="104"/>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w:t>
      </w:r>
    </w:p>
    <w:p>
      <w:pPr>
        <w:pStyle w:val="BodyText"/>
        <w:spacing w:line="316" w:lineRule="auto" w:before="8"/>
        <w:ind w:right="234"/>
        <w:jc w:val="left"/>
      </w:pPr>
      <w:r>
        <w:rPr/>
        <w:t>计算的净资产份额之间的差额，调整合并资产负债表中的资本公积中的股本溢价，资本公积中的股本溢价不足冲减的，调 整留存收益。</w:t>
      </w:r>
    </w:p>
    <w:p>
      <w:pPr>
        <w:pStyle w:val="BodyText"/>
        <w:spacing w:line="468" w:lineRule="exact" w:before="10"/>
        <w:ind w:left="515" w:right="231" w:hanging="89"/>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8"/>
        <w:ind w:right="234"/>
        <w:jc w:val="left"/>
      </w:pPr>
      <w:r>
        <w:rPr/>
        <w:t>司自购买日或合并日开始持续计算的净资产份额之间的差额，调整合并资产负债表中的资本公积中的股本溢价，资本公积 中的股本溢价不足冲减的，调整留存收益。</w:t>
      </w:r>
    </w:p>
    <w:p>
      <w:pPr>
        <w:pStyle w:val="Heading3"/>
        <w:spacing w:line="240" w:lineRule="auto" w:before="154"/>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240" w:lineRule="auto" w:before="198"/>
        <w:ind w:right="0"/>
        <w:jc w:val="left"/>
      </w:pPr>
      <w:r>
        <w:rPr/>
        <w:t>不适用</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pStyle w:val="BodyText"/>
        <w:spacing w:line="316" w:lineRule="auto" w:before="198"/>
        <w:ind w:right="251" w:firstLine="362"/>
        <w:jc w:val="both"/>
      </w:pPr>
      <w:r>
        <w:rPr/>
        <w:t>在编制现金流量表时，将本公司库存现金以及可以随时用于支付的存款确认为现金。将同时具备期限短（从购买日起 三个月内到期）、流动性强、易于转换为已知现金、价值变动风险很小四个条件的投资，确定为现金等价物。</w:t>
      </w:r>
    </w:p>
    <w:p>
      <w:pPr>
        <w:pStyle w:val="Heading3"/>
        <w:spacing w:line="240" w:lineRule="auto" w:before="154"/>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468" w:lineRule="exact" w:before="33"/>
        <w:ind w:left="515" w:right="231" w:firstLine="91"/>
        <w:jc w:val="left"/>
      </w:pPr>
      <w:r>
        <w:rPr/>
        <w:t>外币业务采用交易发生日的即期汇率作为折算汇率将外币金额折合成人民币记账。 资产负债表日外币货币性项目余额按资产负债表日即期汇率折算，由此产生的汇兑差额，除属于与购建符合资本化条</w:t>
      </w:r>
    </w:p>
    <w:p>
      <w:pPr>
        <w:pStyle w:val="BodyText"/>
        <w:spacing w:line="240" w:lineRule="auto" w:before="8"/>
        <w:ind w:right="0"/>
        <w:jc w:val="left"/>
      </w:pPr>
      <w:r>
        <w:rPr/>
        <w:t>件的资产相关的外币专门借款产生的汇兑差额按照借款费用资本化的原则处理外，均计入当期损益。</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15"/>
          <w:szCs w:val="15"/>
        </w:rPr>
      </w:pPr>
    </w:p>
    <w:p>
      <w:pPr>
        <w:spacing w:line="477" w:lineRule="auto" w:before="0"/>
        <w:ind w:left="513" w:right="5633" w:firstLine="0"/>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316" w:lineRule="auto" w:before="54"/>
        <w:ind w:right="251" w:firstLine="360"/>
        <w:jc w:val="both"/>
      </w:pPr>
      <w:r>
        <w:rPr/>
        <w:t>金融资产和金融负债于初始确认时分类为：以公允价值计量且其变动计入当期损益的金融资产或金融负债，包括交易 性金融资产或金融负债和直接指定为以公允价值计量且其变动计入当期损益的金融资产或金融负债；持有至到期投资；应 收款项；可供出售金融资产；其他金融负债等。</w:t>
      </w:r>
    </w:p>
    <w:p>
      <w:pPr>
        <w:spacing w:line="240" w:lineRule="auto" w:before="5"/>
        <w:rPr>
          <w:rFonts w:ascii="宋体" w:hAnsi="宋体" w:cs="宋体" w:eastAsia="宋体" w:hint="default"/>
          <w:sz w:val="13"/>
          <w:szCs w:val="13"/>
        </w:rPr>
      </w:pPr>
    </w:p>
    <w:p>
      <w:pPr>
        <w:pStyle w:val="Heading5"/>
        <w:spacing w:line="240" w:lineRule="auto"/>
        <w:ind w:right="0"/>
        <w:jc w:val="left"/>
        <w:rPr>
          <w:b w:val="0"/>
          <w:bCs w:val="0"/>
        </w:rPr>
      </w:pPr>
      <w:r>
        <w:rPr/>
        <w:t>金融工具的确认依据和计量方法</w:t>
      </w:r>
      <w:r>
        <w:rPr>
          <w:b w:val="0"/>
          <w:bCs w:val="0"/>
        </w:rPr>
      </w:r>
    </w:p>
    <w:p>
      <w:pPr>
        <w:pStyle w:val="BodyText"/>
        <w:spacing w:line="450" w:lineRule="atLeast" w:before="31"/>
        <w:ind w:left="513" w:right="233"/>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477" w:lineRule="auto" w:before="77"/>
        <w:ind w:left="513" w:right="1853" w:hanging="361"/>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51" w:lineRule="auto" w:before="54"/>
        <w:ind w:left="513" w:right="0"/>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316" w:lineRule="auto" w:before="74"/>
        <w:ind w:right="251" w:firstLine="360"/>
        <w:jc w:val="both"/>
      </w:pPr>
      <w:r>
        <w:rPr/>
        <w:t>持有期间按照摊余成本和实际利率计算确认利息收入，计入投资收益。实际利率在取得时确定，在该预期存续期间或 适用的更短期间内保持不变。</w:t>
      </w:r>
    </w:p>
    <w:p>
      <w:pPr>
        <w:spacing w:line="240" w:lineRule="auto" w:before="5"/>
        <w:rPr>
          <w:rFonts w:ascii="宋体" w:hAnsi="宋体" w:cs="宋体" w:eastAsia="宋体" w:hint="default"/>
          <w:sz w:val="13"/>
          <w:szCs w:val="13"/>
        </w:rPr>
      </w:pPr>
    </w:p>
    <w:p>
      <w:pPr>
        <w:pStyle w:val="BodyText"/>
        <w:spacing w:line="316" w:lineRule="auto"/>
        <w:ind w:right="251" w:firstLine="360"/>
        <w:jc w:val="both"/>
      </w:pPr>
      <w:r>
        <w:rPr/>
        <w:t>处置时，将所取得价款与该投资账面价值之间的差额计入投资收益。处置时，将所取得价款与该投资账面价值之间的 差额计入投资收益。</w:t>
      </w:r>
    </w:p>
    <w:p>
      <w:pPr>
        <w:pStyle w:val="BodyText"/>
        <w:spacing w:line="468" w:lineRule="exact" w:before="10"/>
        <w:ind w:left="513" w:right="23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w:t>
      </w:r>
    </w:p>
    <w:p>
      <w:pPr>
        <w:pStyle w:val="BodyText"/>
        <w:spacing w:line="316" w:lineRule="auto" w:before="8"/>
        <w:ind w:right="234"/>
        <w:jc w:val="left"/>
      </w:pPr>
      <w:r>
        <w:rPr/>
        <w:t>债权，包括应收账款、其他应收款等，以向购货方应收的合同或协议价款作为初始确认金额；具有融资性质的，按其现值 进行初始确认。</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收回或处置时，将取得的价款与该应收款项账面价值之间的差额计入当期损益。</w:t>
      </w:r>
    </w:p>
    <w:p>
      <w:pPr>
        <w:pStyle w:val="BodyText"/>
        <w:spacing w:line="450" w:lineRule="atLeast" w:before="31"/>
        <w:ind w:left="513" w:right="233"/>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w:t>
      </w:r>
    </w:p>
    <w:p>
      <w:pPr>
        <w:pStyle w:val="BodyText"/>
        <w:spacing w:line="240" w:lineRule="auto" w:before="76"/>
        <w:ind w:right="0"/>
        <w:jc w:val="left"/>
      </w:pPr>
      <w:r>
        <w:rPr/>
        <w:t>为初始确认金额。</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16" w:lineRule="auto" w:before="44"/>
        <w:ind w:right="234" w:firstLine="360"/>
        <w:jc w:val="left"/>
      </w:pPr>
      <w:r>
        <w:rPr/>
        <w:t>持有期间将取得的利息或现金股利确认为投资收益。期末以公允价值计量且将公允价值变动计入其他综合收益。但 是，在活跃市场中没有报价且其公允价值不能可靠计量的权益工具投资，以及与该权益工具挂钩并须通过交付该权益工具 结算的衍生金融资产，按照成本计量。</w:t>
      </w:r>
    </w:p>
    <w:p>
      <w:pPr>
        <w:spacing w:line="240" w:lineRule="auto" w:before="5"/>
        <w:rPr>
          <w:rFonts w:ascii="宋体" w:hAnsi="宋体" w:cs="宋体" w:eastAsia="宋体" w:hint="default"/>
          <w:sz w:val="13"/>
          <w:szCs w:val="13"/>
        </w:rPr>
      </w:pPr>
    </w:p>
    <w:p>
      <w:pPr>
        <w:pStyle w:val="BodyText"/>
        <w:spacing w:line="316" w:lineRule="auto"/>
        <w:ind w:right="234" w:firstLine="360"/>
        <w:jc w:val="left"/>
      </w:pPr>
      <w:r>
        <w:rPr/>
        <w:t>处置时，将取得的价款与该金融资产账面价值之间的差额，计入投资损益；同时，将原直接计入其他综合收益的公允 价值变动累计额对应处置部分的金额转出，计入当期损益。</w:t>
      </w:r>
    </w:p>
    <w:p>
      <w:pPr>
        <w:spacing w:line="240" w:lineRule="auto" w:before="5"/>
        <w:rPr>
          <w:rFonts w:ascii="宋体" w:hAnsi="宋体" w:cs="宋体" w:eastAsia="宋体" w:hint="default"/>
          <w:sz w:val="13"/>
          <w:szCs w:val="13"/>
        </w:rPr>
      </w:pPr>
    </w:p>
    <w:p>
      <w:pPr>
        <w:spacing w:line="463" w:lineRule="auto" w:before="0"/>
        <w:ind w:left="513" w:right="27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tabs>
          <w:tab w:pos="2315" w:val="left" w:leader="none"/>
        </w:tabs>
        <w:spacing w:line="316" w:lineRule="auto" w:before="65"/>
        <w:ind w:right="251" w:firstLine="360"/>
        <w:jc w:val="left"/>
      </w:pPr>
      <w:r>
        <w:rPr/>
        <w:t>公司发生金融资产转移时，如已将金融资产所有权上几乎所有的风险和报酬转移给转入方，则终止确认该金融资产； 如保留了金融资产所</w:t>
        <w:tab/>
        <w:t>有权上几乎所有的风险和报酬的，则不终止确认该金融资产。</w:t>
      </w:r>
    </w:p>
    <w:p>
      <w:pPr>
        <w:spacing w:line="240" w:lineRule="auto" w:before="5"/>
        <w:rPr>
          <w:rFonts w:ascii="宋体" w:hAnsi="宋体" w:cs="宋体" w:eastAsia="宋体" w:hint="default"/>
          <w:sz w:val="13"/>
          <w:szCs w:val="13"/>
        </w:rPr>
      </w:pPr>
    </w:p>
    <w:p>
      <w:pPr>
        <w:pStyle w:val="BodyText"/>
        <w:spacing w:line="316" w:lineRule="auto"/>
        <w:ind w:right="234" w:firstLine="36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300" w:lineRule="auto"/>
        <w:ind w:right="14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spacing w:line="240" w:lineRule="auto" w:before="4"/>
        <w:rPr>
          <w:rFonts w:ascii="宋体" w:hAnsi="宋体" w:cs="宋体" w:eastAsia="宋体" w:hint="default"/>
          <w:sz w:val="14"/>
          <w:szCs w:val="14"/>
        </w:rPr>
      </w:pPr>
    </w:p>
    <w:p>
      <w:pPr>
        <w:pStyle w:val="BodyText"/>
        <w:spacing w:line="316" w:lineRule="auto"/>
        <w:ind w:right="414" w:firstLine="360"/>
        <w:jc w:val="left"/>
      </w:pPr>
      <w:r>
        <w:rPr/>
        <w:t>金融资产部分转移满足终止确认条件的，将所转移金融资产整体的账面价值，在终止确认部分和未终止确认部分之 间，按照各自的相对公允价值进行分摊，并将下列两项金额的差额计入当期损益：</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300" w:lineRule="auto"/>
        <w:ind w:right="14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468" w:lineRule="exact" w:before="23"/>
        <w:ind w:left="513" w:right="233"/>
        <w:jc w:val="left"/>
      </w:pPr>
      <w:r>
        <w:rPr/>
        <w:t>金融资产转移不满足终止确认条件的，继续确认该金融资产，所收到的对价确认为一项金融负债。 </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金融负债的现时义务全部或部分已经解除的，则终止确认该金融负债或其一部分；本公司若与债权人签订协议，以承</w:t>
      </w:r>
    </w:p>
    <w:p>
      <w:pPr>
        <w:pStyle w:val="BodyText"/>
        <w:spacing w:line="316" w:lineRule="auto" w:before="8"/>
        <w:ind w:right="414"/>
        <w:jc w:val="left"/>
      </w:pPr>
      <w:r>
        <w:rPr/>
        <w:t>担新金融负债方式替换现存金融负债，且新金融负债与现存金融负债的合同条款实质上不同的，则终止确认现存金融负 债，并同时确认新金融负债。</w:t>
      </w:r>
    </w:p>
    <w:p>
      <w:pPr>
        <w:spacing w:line="240" w:lineRule="auto" w:before="5"/>
        <w:rPr>
          <w:rFonts w:ascii="宋体" w:hAnsi="宋体" w:cs="宋体" w:eastAsia="宋体" w:hint="default"/>
          <w:sz w:val="13"/>
          <w:szCs w:val="13"/>
        </w:rPr>
      </w:pPr>
    </w:p>
    <w:p>
      <w:pPr>
        <w:pStyle w:val="BodyText"/>
        <w:spacing w:line="316" w:lineRule="auto"/>
        <w:ind w:right="234" w:firstLine="360"/>
        <w:jc w:val="left"/>
      </w:pPr>
      <w:r>
        <w:rPr/>
        <w:t>对现存金融负债全部或部分合同条款作出实质性修改的，则终止确认现存金融负债或其一部分，同时将修改条款后的 金融负债确认为一项新金融负债。</w:t>
      </w:r>
    </w:p>
    <w:p>
      <w:pPr>
        <w:spacing w:line="240" w:lineRule="auto" w:before="5"/>
        <w:rPr>
          <w:rFonts w:ascii="宋体" w:hAnsi="宋体" w:cs="宋体" w:eastAsia="宋体" w:hint="default"/>
          <w:sz w:val="13"/>
          <w:szCs w:val="13"/>
        </w:rPr>
      </w:pPr>
    </w:p>
    <w:p>
      <w:pPr>
        <w:pStyle w:val="BodyText"/>
        <w:spacing w:line="316" w:lineRule="auto"/>
        <w:ind w:right="234" w:firstLine="360"/>
        <w:jc w:val="left"/>
      </w:pPr>
      <w:r>
        <w:rPr/>
        <w:t>金融负债全部或部分终止确认时，终止确认的金融负债账面价值与支付对价（包括转出的非现金资产或承担的新金融 负债）之间的差额，计入当期损益。</w:t>
      </w:r>
    </w:p>
    <w:p>
      <w:pPr>
        <w:spacing w:line="240" w:lineRule="auto" w:before="5"/>
        <w:rPr>
          <w:rFonts w:ascii="宋体" w:hAnsi="宋体" w:cs="宋体" w:eastAsia="宋体" w:hint="default"/>
          <w:sz w:val="13"/>
          <w:szCs w:val="13"/>
        </w:rPr>
      </w:pPr>
    </w:p>
    <w:p>
      <w:pPr>
        <w:pStyle w:val="BodyText"/>
        <w:spacing w:line="316" w:lineRule="auto"/>
        <w:ind w:right="251" w:firstLine="360"/>
        <w:jc w:val="both"/>
      </w:pPr>
      <w:r>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 额，计入当期损益。</w:t>
      </w:r>
    </w:p>
    <w:p>
      <w:pPr>
        <w:spacing w:line="468" w:lineRule="exact" w:before="10"/>
        <w:ind w:left="513" w:right="233" w:firstLine="0"/>
        <w:jc w:val="left"/>
        <w:rPr>
          <w:rFonts w:ascii="宋体" w:hAnsi="宋体" w:cs="宋体" w:eastAsia="宋体" w:hint="default"/>
          <w:sz w:val="18"/>
          <w:szCs w:val="18"/>
        </w:rPr>
      </w:pP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存在活跃市场的金融工具，以活跃市场中的报价确定其公允价值。不存在活跃市场的金融工具，采用估值技术确定其</w:t>
      </w:r>
    </w:p>
    <w:p>
      <w:pPr>
        <w:pStyle w:val="BodyText"/>
        <w:spacing w:line="240" w:lineRule="auto" w:before="8"/>
        <w:ind w:right="0"/>
        <w:jc w:val="left"/>
      </w:pPr>
      <w:r>
        <w:rPr/>
        <w:t>公允价值。在估值时，本公司采用在当前情况下适用并且有足够可利用数据和其他信息支持的估值技术，选择与市场参与</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16" w:lineRule="auto" w:before="44"/>
        <w:ind w:right="234"/>
        <w:jc w:val="left"/>
      </w:pPr>
      <w:r>
        <w:rPr/>
        <w:t>者在相关资产或负债的交易中所考虑的资产或负债特征相一致的输入值，并优先使用相关可观察输入值。只有在相关可观 察输入值无法取得或取得不切实可行的情况下，才使用不可观察输入值。</w:t>
      </w:r>
    </w:p>
    <w:p>
      <w:pPr>
        <w:spacing w:line="468" w:lineRule="exact" w:before="10"/>
        <w:ind w:left="513" w:right="233" w:firstLine="0"/>
        <w:jc w:val="left"/>
        <w:rPr>
          <w:rFonts w:ascii="宋体" w:hAnsi="宋体" w:cs="宋体" w:eastAsia="宋体" w:hint="default"/>
          <w:sz w:val="18"/>
          <w:szCs w:val="18"/>
        </w:rPr>
      </w:pP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除以公允价值计量且其变动计入当期损益的金融资产外，本公司于资产负债表日对金融资产的账面价值进行检查，如</w:t>
      </w:r>
    </w:p>
    <w:p>
      <w:pPr>
        <w:pStyle w:val="BodyText"/>
        <w:spacing w:line="240" w:lineRule="auto" w:before="8"/>
        <w:ind w:right="0"/>
        <w:jc w:val="left"/>
      </w:pPr>
      <w:r>
        <w:rPr/>
        <w:t>果有客观证据表明某项金融资产发生减值的，计提减值准备。</w:t>
      </w:r>
    </w:p>
    <w:p>
      <w:pPr>
        <w:pStyle w:val="BodyText"/>
        <w:spacing w:line="450" w:lineRule="atLeast" w:before="31"/>
        <w:ind w:left="513" w:right="233"/>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w:t>
      </w:r>
    </w:p>
    <w:p>
      <w:pPr>
        <w:pStyle w:val="BodyText"/>
        <w:spacing w:line="240" w:lineRule="auto" w:before="76"/>
        <w:ind w:right="0"/>
        <w:jc w:val="left"/>
      </w:pPr>
      <w:r>
        <w:rPr/>
        <w:t>性的，就认定其已发生减值，将原直接计入所有者权益的公允价值下降形成的累计损失一并转出，确认减值损失。</w:t>
      </w:r>
    </w:p>
    <w:p>
      <w:pPr>
        <w:spacing w:line="240" w:lineRule="auto" w:before="11"/>
        <w:rPr>
          <w:rFonts w:ascii="宋体" w:hAnsi="宋体" w:cs="宋体" w:eastAsia="宋体" w:hint="default"/>
          <w:sz w:val="17"/>
          <w:szCs w:val="17"/>
        </w:rPr>
      </w:pPr>
    </w:p>
    <w:p>
      <w:pPr>
        <w:pStyle w:val="BodyText"/>
        <w:spacing w:line="316" w:lineRule="auto"/>
        <w:ind w:right="234" w:firstLine="360"/>
        <w:jc w:val="left"/>
      </w:pPr>
      <w:r>
        <w:rPr/>
        <w:t>对于已确认减值损失的可供出售债务工具，在随后的会计期间公允价值已上升且客观上与确认原减值损失确认后发生 的事项有关的，原确认的减值损失予以转回，计入当期损益。</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可供出售权益工具投资发生的减值损失，不通过损益转回。</w:t>
      </w:r>
    </w:p>
    <w:p>
      <w:pPr>
        <w:spacing w:line="240" w:lineRule="auto" w:before="10"/>
        <w:rPr>
          <w:rFonts w:ascii="宋体" w:hAnsi="宋体" w:cs="宋体" w:eastAsia="宋体" w:hint="default"/>
          <w:sz w:val="17"/>
          <w:szCs w:val="17"/>
        </w:rPr>
      </w:pPr>
    </w:p>
    <w:p>
      <w:pPr>
        <w:pStyle w:val="BodyText"/>
        <w:spacing w:line="451" w:lineRule="auto"/>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pStyle w:val="Heading3"/>
        <w:spacing w:line="240" w:lineRule="auto" w:before="53"/>
        <w:ind w:right="0"/>
        <w:jc w:val="left"/>
        <w:rPr>
          <w:b w:val="0"/>
          <w:bCs w:val="0"/>
        </w:rPr>
      </w:pPr>
      <w:r>
        <w:rPr>
          <w:rFonts w:ascii="Times New Roman" w:hAnsi="Times New Roman" w:cs="Times New Roman" w:eastAsia="Times New Roman" w:hint="default"/>
        </w:rPr>
        <w:t>11</w:t>
      </w:r>
      <w:r>
        <w:rPr/>
        <w:t>、应收款项</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115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9"/>
              <w:jc w:val="left"/>
              <w:rPr>
                <w:rFonts w:ascii="宋体" w:hAnsi="宋体" w:cs="宋体" w:eastAsia="宋体" w:hint="default"/>
                <w:sz w:val="18"/>
                <w:szCs w:val="18"/>
              </w:rPr>
            </w:pPr>
            <w:r>
              <w:rPr>
                <w:rFonts w:ascii="宋体" w:hAnsi="宋体" w:cs="宋体" w:eastAsia="宋体" w:hint="default"/>
                <w:sz w:val="18"/>
                <w:szCs w:val="18"/>
              </w:rPr>
              <w:t>应收账款单项金额重大标准：</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万元）；</w:t>
            </w:r>
            <w:r>
              <w:rPr>
                <w:rFonts w:ascii="宋体" w:hAnsi="宋体" w:cs="宋体" w:eastAsia="宋体" w:hint="default"/>
                <w:sz w:val="18"/>
                <w:szCs w:val="18"/>
              </w:rPr>
              <w:t> 其他应收款单项金额重大的标准：</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w:t>
            </w:r>
            <w:r>
              <w:rPr>
                <w:rFonts w:ascii="宋体" w:hAnsi="宋体" w:cs="宋体" w:eastAsia="宋体" w:hint="default"/>
                <w:spacing w:val="-31"/>
                <w:sz w:val="18"/>
                <w:szCs w:val="18"/>
              </w:rPr>
              <w:t>元）。</w:t>
            </w:r>
          </w:p>
        </w:tc>
      </w:tr>
      <w:tr>
        <w:trPr>
          <w:trHeight w:val="146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值的应收账款和其他应收款，包括在具有类似信用风险特征 的应收款项组合中再进行减值测试。</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8"/>
        <w:ind w:right="0"/>
        <w:jc w:val="left"/>
      </w:pPr>
      <w:r>
        <w:rPr/>
        <w:t>组合中，采用账龄分析法计提坏账准备的：</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80.00%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8"/>
        <w:ind w:right="0"/>
        <w:jc w:val="left"/>
      </w:pPr>
      <w:r>
        <w:rPr/>
        <w:t>组合中，采用余额百分比法计提坏账准备的：</w:t>
      </w:r>
    </w:p>
    <w:p>
      <w:pPr>
        <w:spacing w:line="240" w:lineRule="auto" w:before="10"/>
        <w:rPr>
          <w:rFonts w:ascii="宋体" w:hAnsi="宋体" w:cs="宋体" w:eastAsia="宋体" w:hint="default"/>
          <w:sz w:val="17"/>
          <w:szCs w:val="17"/>
        </w:rPr>
      </w:pPr>
    </w:p>
    <w:p>
      <w:pPr>
        <w:pStyle w:val="BodyText"/>
        <w:spacing w:line="477" w:lineRule="auto"/>
        <w:ind w:right="6534"/>
        <w:jc w:val="left"/>
      </w:pPr>
      <w:r>
        <w:rPr/>
        <w:t>□ 适用 √</w:t>
      </w:r>
      <w:r>
        <w:rPr>
          <w:spacing w:val="3"/>
        </w:rPr>
        <w:t> </w:t>
      </w:r>
      <w:r>
        <w:rPr/>
        <w:t>不适用</w:t>
      </w:r>
      <w:r>
        <w:rPr/>
        <w:t> 组合中，采用其他方法计提坏账准备的：</w:t>
      </w:r>
    </w:p>
    <w:p>
      <w:pPr>
        <w:pStyle w:val="BodyText"/>
        <w:spacing w:line="240" w:lineRule="auto" w:before="54"/>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84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68"/>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有客观证据表明单项金额虽不重大，但存在重大减值风险的 应收款项进行单项减值测试。</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pStyle w:val="Heading3"/>
        <w:spacing w:line="240" w:lineRule="auto" w:before="38"/>
        <w:ind w:right="0"/>
        <w:jc w:val="left"/>
        <w:rPr>
          <w:b w:val="0"/>
          <w:bCs w:val="0"/>
        </w:rPr>
      </w:pPr>
      <w:r>
        <w:rPr>
          <w:rFonts w:ascii="Times New Roman" w:hAnsi="Times New Roman" w:cs="Times New Roman" w:eastAsia="Times New Roman" w:hint="default"/>
        </w:rPr>
        <w:t>12</w:t>
      </w:r>
      <w:r>
        <w:rPr/>
        <w:t>、存货</w:t>
      </w:r>
      <w:r>
        <w:rPr>
          <w:b w:val="0"/>
          <w:bCs w:val="0"/>
        </w:rPr>
      </w:r>
    </w:p>
    <w:p>
      <w:pPr>
        <w:pStyle w:val="BodyText"/>
        <w:spacing w:line="477" w:lineRule="auto" w:before="198"/>
        <w:ind w:right="6714"/>
        <w:jc w:val="left"/>
      </w:pPr>
      <w:r>
        <w:rPr/>
        <w:t>公司是否需要遵守特殊行业的披露要求 否</w:t>
      </w:r>
    </w:p>
    <w:p>
      <w:pPr>
        <w:spacing w:line="463" w:lineRule="auto" w:before="54"/>
        <w:ind w:left="513" w:right="29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存货分类为：存货分类为：未完工项目成本、工程施工、发出商品、库存商品等。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存货的分类</w:t>
      </w:r>
      <w:r>
        <w:rPr>
          <w:rFonts w:ascii="宋体" w:hAnsi="宋体" w:cs="宋体" w:eastAsia="宋体" w:hint="default"/>
          <w:sz w:val="18"/>
          <w:szCs w:val="18"/>
        </w:rPr>
      </w:r>
    </w:p>
    <w:p>
      <w:pPr>
        <w:pStyle w:val="BodyText"/>
        <w:spacing w:line="316" w:lineRule="auto" w:before="33"/>
        <w:ind w:right="251" w:firstLine="360"/>
        <w:jc w:val="both"/>
      </w:pPr>
      <w:r>
        <w:rPr/>
        <w:t>未完工项目成本按照单个项目为核算对象，分别核算各个项目的实际成本。项目未完工前，按单个项目归集所发生的 实际成本，包括人工薪酬成本、服务采购成本、其他直接成本及其他间接费用等。项目完工时结转该项目相应进度的项目 成本。</w:t>
      </w:r>
    </w:p>
    <w:p>
      <w:pPr>
        <w:spacing w:line="240" w:lineRule="auto" w:before="5"/>
        <w:rPr>
          <w:rFonts w:ascii="宋体" w:hAnsi="宋体" w:cs="宋体" w:eastAsia="宋体" w:hint="default"/>
          <w:sz w:val="13"/>
          <w:szCs w:val="13"/>
        </w:rPr>
      </w:pPr>
    </w:p>
    <w:p>
      <w:pPr>
        <w:pStyle w:val="BodyText"/>
        <w:spacing w:line="316" w:lineRule="auto"/>
        <w:ind w:right="251" w:firstLine="360"/>
        <w:jc w:val="both"/>
      </w:pPr>
      <w:r>
        <w:rPr/>
        <w:t>资产负债表日，存货按照成本与可变现净值孰低计量。对于未完工项目成本，期末按照预计项目总成本超过项目预计 总收入（扣除相关税费）的部分，计提存货跌价准备；在项目完工时，转销存货跌价准备，计入当期损益。</w:t>
      </w:r>
    </w:p>
    <w:p>
      <w:pPr>
        <w:spacing w:line="468" w:lineRule="exact" w:before="10"/>
        <w:ind w:left="513" w:right="2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工程施工的核算方法</w:t>
      </w:r>
      <w:r>
        <w:rPr>
          <w:rFonts w:ascii="宋体" w:hAnsi="宋体" w:cs="宋体" w:eastAsia="宋体" w:hint="default"/>
          <w:b/>
          <w:bCs/>
          <w:w w:val="99"/>
          <w:sz w:val="18"/>
          <w:szCs w:val="18"/>
        </w:rPr>
        <w:t> </w:t>
      </w:r>
      <w:r>
        <w:rPr>
          <w:rFonts w:ascii="宋体" w:hAnsi="宋体" w:cs="宋体" w:eastAsia="宋体" w:hint="default"/>
          <w:sz w:val="18"/>
          <w:szCs w:val="18"/>
        </w:rPr>
        <w:t>建造合同的施工项目累计已发生的成本和累计已确认的毛利之和大于累计已办理结算的合同价款的差额为施工项目的</w:t>
      </w:r>
    </w:p>
    <w:p>
      <w:pPr>
        <w:pStyle w:val="BodyText"/>
        <w:spacing w:line="240" w:lineRule="auto" w:before="8"/>
        <w:ind w:right="0"/>
        <w:jc w:val="left"/>
      </w:pPr>
      <w:r>
        <w:rPr/>
        <w:t>已施工未结算款，在存货中列示；累计已发生的施工成本和累计已确认的毛利之和小于累计已办理结算的合同价款的差额</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right="94"/>
        <w:jc w:val="left"/>
      </w:pPr>
      <w:r>
        <w:rPr/>
        <w:t>为已结算未完工款，在预收账款中反映。</w:t>
      </w:r>
    </w:p>
    <w:p>
      <w:pPr>
        <w:spacing w:line="240" w:lineRule="auto" w:before="10"/>
        <w:rPr>
          <w:rFonts w:ascii="宋体" w:hAnsi="宋体" w:cs="宋体" w:eastAsia="宋体" w:hint="default"/>
          <w:sz w:val="17"/>
          <w:szCs w:val="17"/>
        </w:rPr>
      </w:pPr>
    </w:p>
    <w:p>
      <w:pPr>
        <w:pStyle w:val="BodyText"/>
        <w:spacing w:line="316" w:lineRule="auto"/>
        <w:ind w:right="274" w:firstLine="360"/>
        <w:jc w:val="left"/>
      </w:pPr>
      <w:r>
        <w:rPr/>
        <w:t>资产负债表日，如果合同预计总成本超过合同预计总收入的部分，计提存货跌价准备；合同完工时，转销存货跌价准 备，计入当期损益。</w:t>
      </w:r>
    </w:p>
    <w:p>
      <w:pPr>
        <w:pStyle w:val="BodyText"/>
        <w:spacing w:line="468" w:lineRule="exact" w:before="10"/>
        <w:ind w:left="513" w:right="94"/>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44"/>
        </w:rPr>
        <w:t> </w:t>
      </w:r>
      <w:r>
        <w:rPr>
          <w:rFonts w:ascii="宋体" w:hAnsi="宋体" w:cs="宋体" w:eastAsia="宋体" w:hint="default"/>
          <w:b/>
          <w:bCs/>
        </w:rPr>
        <w:t>发出商品的核算方法</w:t>
      </w:r>
      <w:r>
        <w:rPr>
          <w:rFonts w:ascii="宋体" w:hAnsi="宋体" w:cs="宋体" w:eastAsia="宋体" w:hint="default"/>
          <w:b/>
          <w:bCs/>
          <w:w w:val="99"/>
        </w:rPr>
        <w:t> </w:t>
      </w:r>
      <w:r>
        <w:rPr>
          <w:spacing w:val="-2"/>
        </w:rPr>
        <w:t>发出商品在取得时，按成本进行初始计量包括采购成本和其他相关费用；发出商品结转时，采用个别计价法确定结转存</w:t>
      </w:r>
    </w:p>
    <w:p>
      <w:pPr>
        <w:pStyle w:val="BodyText"/>
        <w:spacing w:line="240" w:lineRule="auto" w:before="8"/>
        <w:ind w:right="94"/>
        <w:jc w:val="left"/>
      </w:pPr>
      <w:r>
        <w:rPr/>
        <w:t>货的实际成本。</w:t>
      </w:r>
    </w:p>
    <w:p>
      <w:pPr>
        <w:spacing w:line="240" w:lineRule="auto" w:before="2"/>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、持有待售资产</w:t>
      </w:r>
      <w:r>
        <w:rPr>
          <w:b w:val="0"/>
          <w:bCs w:val="0"/>
        </w:rPr>
      </w:r>
    </w:p>
    <w:p>
      <w:pPr>
        <w:pStyle w:val="BodyText"/>
        <w:spacing w:line="240" w:lineRule="auto" w:before="198"/>
        <w:ind w:left="513" w:right="94"/>
        <w:jc w:val="left"/>
      </w:pPr>
      <w:r>
        <w:rPr/>
        <w:t>不适用</w:t>
      </w:r>
    </w:p>
    <w:p>
      <w:pPr>
        <w:spacing w:line="240" w:lineRule="auto" w:before="3"/>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14</w:t>
      </w:r>
      <w:r>
        <w:rPr/>
        <w:t>、长期股权投资</w:t>
      </w:r>
      <w:r>
        <w:rPr>
          <w:b w:val="0"/>
          <w:bCs w:val="0"/>
        </w:rPr>
      </w:r>
    </w:p>
    <w:p>
      <w:pPr>
        <w:pStyle w:val="Heading5"/>
        <w:spacing w:line="240" w:lineRule="auto" w:before="198"/>
        <w:ind w:right="94"/>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初始投资成本的确定</w:t>
      </w:r>
      <w:r>
        <w:rPr>
          <w:b w:val="0"/>
          <w:bCs w:val="0"/>
        </w:rPr>
      </w:r>
    </w:p>
    <w:p>
      <w:pPr>
        <w:pStyle w:val="BodyText"/>
        <w:spacing w:line="450" w:lineRule="atLeast" w:before="18"/>
        <w:ind w:left="513" w:right="94"/>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76"/>
        <w:ind w:left="513" w:right="274" w:hanging="361"/>
        <w:jc w:val="left"/>
      </w:pPr>
      <w:r>
        <w:rPr/>
        <w:t>合并日按照取得被合并方所有者权益在最终控制方合并财务报表中的账面价值的份额作为长期股权投资的初始投资成本。 非同一控制下的企业合并：公司按照购买日确定的合并成本作为长期股权投资的初始投资成本。</w:t>
      </w:r>
    </w:p>
    <w:p>
      <w:pPr>
        <w:pStyle w:val="BodyText"/>
        <w:spacing w:line="468" w:lineRule="auto" w:before="54"/>
        <w:ind w:left="513" w:right="2073"/>
        <w:jc w:val="left"/>
        <w:rPr>
          <w:rFonts w:ascii="宋体" w:hAnsi="宋体" w:cs="宋体" w:eastAsia="宋体" w:hint="default"/>
        </w:rPr>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rFonts w:ascii="Times New Roman" w:hAnsi="Times New Roman" w:cs="Times New Roman" w:eastAsia="Times New Roman" w:hint="default"/>
          <w:b/>
          <w:bCs/>
        </w:rPr>
        <w:t>2.</w:t>
      </w:r>
      <w:r>
        <w:rPr>
          <w:rFonts w:ascii="Times New Roman" w:hAnsi="Times New Roman" w:cs="Times New Roman" w:eastAsia="Times New Roman" w:hint="default"/>
          <w:b/>
          <w:bCs/>
          <w:spacing w:val="43"/>
        </w:rPr>
        <w:t> </w:t>
      </w:r>
      <w:r>
        <w:rPr>
          <w:rFonts w:ascii="宋体" w:hAnsi="宋体" w:cs="宋体" w:eastAsia="宋体" w:hint="default"/>
          <w:b/>
          <w:bCs/>
        </w:rPr>
        <w:t>后续计量及损益确认方法</w:t>
      </w:r>
      <w:r>
        <w:rPr>
          <w:rFonts w:ascii="宋体" w:hAnsi="宋体" w:cs="宋体" w:eastAsia="宋体" w:hint="default"/>
        </w:rPr>
      </w:r>
    </w:p>
    <w:p>
      <w:pPr>
        <w:pStyle w:val="BodyText"/>
        <w:spacing w:line="240" w:lineRule="auto" w:before="29"/>
        <w:ind w:left="513" w:right="94"/>
        <w:jc w:val="left"/>
      </w:pPr>
      <w:r>
        <w:rPr/>
        <w:t>（</w:t>
      </w:r>
      <w:r>
        <w:rPr>
          <w:rFonts w:ascii="Times New Roman" w:hAnsi="Times New Roman" w:cs="Times New Roman" w:eastAsia="Times New Roman" w:hint="default"/>
        </w:rPr>
        <w:t>1</w:t>
      </w:r>
      <w:r>
        <w:rPr/>
        <w:t>）成本法核算的长期股权投资</w:t>
      </w:r>
    </w:p>
    <w:p>
      <w:pPr>
        <w:spacing w:line="240" w:lineRule="auto" w:before="9"/>
        <w:rPr>
          <w:rFonts w:ascii="宋体" w:hAnsi="宋体" w:cs="宋体" w:eastAsia="宋体" w:hint="default"/>
          <w:sz w:val="16"/>
          <w:szCs w:val="16"/>
        </w:rPr>
      </w:pPr>
    </w:p>
    <w:p>
      <w:pPr>
        <w:pStyle w:val="BodyText"/>
        <w:spacing w:line="316" w:lineRule="auto"/>
        <w:ind w:right="192" w:firstLine="360"/>
        <w:jc w:val="both"/>
      </w:pPr>
      <w:r>
        <w:rPr>
          <w:spacing w:val="-2"/>
        </w:rPr>
        <w:t>公司对子公司的长期股权投资，采用成本法核算。除取得投资时实际支付的价款或对价中包含的已宣告但尚未发放的现</w:t>
      </w:r>
      <w:r>
        <w:rPr/>
        <w:t> 金股利或利润外，公司按照享有被投资单位宣告发放的现金股利或利润确认当期投资收益。</w:t>
      </w:r>
    </w:p>
    <w:p>
      <w:pPr>
        <w:pStyle w:val="BodyText"/>
        <w:spacing w:line="468" w:lineRule="exact" w:before="10"/>
        <w:ind w:left="513" w:right="94"/>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8"/>
        <w:ind w:right="94"/>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spacing w:line="240" w:lineRule="auto" w:before="5"/>
        <w:rPr>
          <w:rFonts w:ascii="宋体" w:hAnsi="宋体" w:cs="宋体" w:eastAsia="宋体" w:hint="default"/>
          <w:sz w:val="13"/>
          <w:szCs w:val="13"/>
        </w:rPr>
      </w:pPr>
    </w:p>
    <w:p>
      <w:pPr>
        <w:pStyle w:val="BodyText"/>
        <w:spacing w:line="316" w:lineRule="auto"/>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spacing w:line="240" w:lineRule="auto" w:before="5"/>
        <w:rPr>
          <w:rFonts w:ascii="宋体" w:hAnsi="宋体" w:cs="宋体" w:eastAsia="宋体" w:hint="default"/>
          <w:sz w:val="13"/>
          <w:szCs w:val="13"/>
        </w:rPr>
      </w:pPr>
    </w:p>
    <w:p>
      <w:pPr>
        <w:pStyle w:val="BodyText"/>
        <w:spacing w:line="316" w:lineRule="auto"/>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spacing w:line="240" w:lineRule="auto" w:before="5"/>
        <w:rPr>
          <w:rFonts w:ascii="宋体" w:hAnsi="宋体" w:cs="宋体" w:eastAsia="宋体" w:hint="default"/>
          <w:sz w:val="13"/>
          <w:szCs w:val="13"/>
        </w:rPr>
      </w:pPr>
    </w:p>
    <w:p>
      <w:pPr>
        <w:pStyle w:val="BodyText"/>
        <w:spacing w:line="316" w:lineRule="auto"/>
        <w:ind w:right="102" w:firstLine="360"/>
        <w:jc w:val="both"/>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w:t>
      </w:r>
    </w:p>
    <w:p>
      <w:pPr>
        <w:spacing w:after="0" w:line="316" w:lineRule="auto"/>
        <w:jc w:val="both"/>
        <w:sectPr>
          <w:pgSz w:w="11910" w:h="16840"/>
          <w:pgMar w:header="852" w:footer="979" w:top="1220" w:bottom="1160" w:left="980" w:right="940"/>
        </w:sectPr>
      </w:pPr>
    </w:p>
    <w:p>
      <w:pPr>
        <w:spacing w:line="240" w:lineRule="auto" w:before="11"/>
        <w:rPr>
          <w:rFonts w:ascii="宋体" w:hAnsi="宋体" w:cs="宋体" w:eastAsia="宋体" w:hint="default"/>
          <w:sz w:val="13"/>
          <w:szCs w:val="13"/>
        </w:rPr>
      </w:pPr>
    </w:p>
    <w:p>
      <w:pPr>
        <w:pStyle w:val="BodyText"/>
        <w:spacing w:line="316" w:lineRule="auto" w:before="44"/>
        <w:ind w:right="0"/>
        <w:jc w:val="left"/>
      </w:pP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Heading3"/>
        <w:spacing w:line="240" w:lineRule="auto" w:before="154"/>
        <w:ind w:right="0"/>
        <w:jc w:val="left"/>
        <w:rPr>
          <w:b w:val="0"/>
          <w:bCs w:val="0"/>
        </w:rPr>
      </w:pPr>
      <w:r>
        <w:rPr>
          <w:rFonts w:ascii="Times New Roman" w:hAnsi="Times New Roman" w:cs="Times New Roman" w:eastAsia="Times New Roman" w:hint="default"/>
        </w:rPr>
        <w:t>15</w:t>
      </w:r>
      <w:r>
        <w:rPr/>
        <w:t>、投资性房地产</w:t>
      </w:r>
      <w:r>
        <w:rPr>
          <w:b w:val="0"/>
          <w:bCs w:val="0"/>
        </w:rPr>
      </w:r>
    </w:p>
    <w:p>
      <w:pPr>
        <w:pStyle w:val="BodyText"/>
        <w:spacing w:line="477" w:lineRule="auto" w:before="198"/>
        <w:ind w:right="7974"/>
        <w:jc w:val="left"/>
      </w:pPr>
      <w:r>
        <w:rPr/>
        <w:t>投资性房地产计量模式 成本法计量 折旧或摊销方法</w:t>
      </w:r>
    </w:p>
    <w:p>
      <w:pPr>
        <w:pStyle w:val="BodyText"/>
        <w:spacing w:line="319" w:lineRule="auto" w:before="54"/>
        <w:ind w:right="250" w:firstLine="360"/>
        <w:jc w:val="both"/>
      </w:pPr>
      <w:r>
        <w:rPr/>
        <w:t>投资性房地产是指为赚取租金或资本增值，或两者兼有而持有的房地产，包括已出租的土地使用权、持有并准备增值 后转让的土地使用权、已出租的建筑物（含自行建造或开发活动完成后用于出租的建筑物以及正在建造或开发过程中将来 用于出租的建筑物）。</w:t>
      </w:r>
    </w:p>
    <w:p>
      <w:pPr>
        <w:spacing w:line="240" w:lineRule="auto" w:before="3"/>
        <w:rPr>
          <w:rFonts w:ascii="宋体" w:hAnsi="宋体" w:cs="宋体" w:eastAsia="宋体" w:hint="default"/>
          <w:sz w:val="13"/>
          <w:szCs w:val="13"/>
        </w:rPr>
      </w:pPr>
    </w:p>
    <w:p>
      <w:pPr>
        <w:pStyle w:val="BodyText"/>
        <w:spacing w:line="316" w:lineRule="auto"/>
        <w:ind w:right="251" w:firstLine="360"/>
        <w:jc w:val="both"/>
      </w:pPr>
      <w:r>
        <w:rPr/>
        <w:t>公司对现有投资性房地产采用成本模式计量。对按照成本模式计量的投资性房地产－出租用建筑物采用与本公司固定 资产相同的折旧政策，出租用土地使用权按与无形资产相同的摊销政策执行。</w:t>
      </w:r>
    </w:p>
    <w:p>
      <w:pPr>
        <w:pStyle w:val="Heading3"/>
        <w:spacing w:line="240" w:lineRule="auto" w:before="154"/>
        <w:ind w:right="0"/>
        <w:jc w:val="left"/>
        <w:rPr>
          <w:b w:val="0"/>
          <w:bCs w:val="0"/>
        </w:rPr>
      </w:pPr>
      <w:r>
        <w:rPr>
          <w:rFonts w:ascii="Times New Roman" w:hAnsi="Times New Roman" w:cs="Times New Roman" w:eastAsia="Times New Roman" w:hint="default"/>
        </w:rPr>
        <w:t>16</w:t>
      </w:r>
      <w:r>
        <w:rPr/>
        <w:t>、固定资产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pStyle w:val="BodyText"/>
        <w:spacing w:line="316" w:lineRule="auto" w:before="198"/>
        <w:ind w:right="251" w:firstLine="360"/>
        <w:jc w:val="both"/>
      </w:pPr>
      <w:r>
        <w:rPr/>
        <w:t>固定资产指为生产商品、提供劳务、出租或经营管理而持有，并且使用寿命超过一个会计年度的有形资产。固定资产 在同时满足下列条件时予以确认：</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）与该固定资产有关的经济利益很可能流入企业；</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4.75%-2.38%</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5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19.00%-9.50%</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19.00%-9.50%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pStyle w:val="BodyText"/>
        <w:spacing w:line="477" w:lineRule="auto" w:before="198"/>
        <w:ind w:right="6714"/>
        <w:jc w:val="left"/>
      </w:pPr>
      <w:r>
        <w:rPr/>
        <w:t>公司是否需要遵守特殊行业的披露要求 否</w:t>
      </w:r>
    </w:p>
    <w:p>
      <w:pPr>
        <w:pStyle w:val="BodyText"/>
        <w:spacing w:line="316" w:lineRule="auto" w:before="54"/>
        <w:ind w:right="234" w:firstLine="360"/>
        <w:jc w:val="left"/>
      </w:pPr>
      <w:r>
        <w:rPr/>
        <w:t>在建工程项目按建造该项资产达到预定可使用状态前所发生的必要支出，作为固定资产的入账价值。所建造的固定资 产在工程已达到预定可使用状态，但尚未办理竣工决算的，自达到预定可使用状态之日起，根据工程预算、造价或者工程</w:t>
      </w:r>
    </w:p>
    <w:p>
      <w:pPr>
        <w:spacing w:after="0" w:line="316"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16" w:lineRule="auto" w:before="44"/>
        <w:ind w:right="234"/>
        <w:jc w:val="left"/>
      </w:pPr>
      <w:r>
        <w:rPr/>
        <w:t>实际成本等，按估计的价值转入固定资产，并按本公司固定资产折旧政策计提固定资产的折旧，待办理竣工决算后，再按 实际成本调整原来的暂估价值，但不调整原已计提的折旧额。</w:t>
      </w:r>
    </w:p>
    <w:p>
      <w:pPr>
        <w:pStyle w:val="Heading3"/>
        <w:spacing w:line="240" w:lineRule="auto" w:before="154"/>
        <w:ind w:right="0"/>
        <w:jc w:val="left"/>
        <w:rPr>
          <w:b w:val="0"/>
          <w:bCs w:val="0"/>
        </w:rPr>
      </w:pPr>
      <w:r>
        <w:rPr>
          <w:rFonts w:ascii="Times New Roman" w:hAnsi="Times New Roman" w:cs="Times New Roman" w:eastAsia="Times New Roman" w:hint="default"/>
        </w:rPr>
        <w:t>18</w:t>
      </w:r>
      <w:r>
        <w:rPr/>
        <w:t>、借款费用</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pStyle w:val="BodyText"/>
        <w:spacing w:line="240" w:lineRule="auto" w:before="198"/>
        <w:ind w:right="0"/>
        <w:jc w:val="left"/>
      </w:pPr>
      <w:r>
        <w:rPr/>
        <w:t>不适用</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77" w:lineRule="auto" w:before="198"/>
        <w:ind w:right="6714"/>
        <w:jc w:val="left"/>
      </w:pPr>
      <w:r>
        <w:rPr/>
        <w:t>公司是否需要遵守特殊行业的披露要求 否</w:t>
      </w:r>
    </w:p>
    <w:p>
      <w:pPr>
        <w:pStyle w:val="Heading5"/>
        <w:spacing w:line="240" w:lineRule="auto" w:before="54"/>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无形资产的计价方法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773"/>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外购无形资产的成本，包括购买价款、相关税费以及直接归属于使该项资产达到预定用途所发生的其他支出。</w:t>
      </w:r>
    </w:p>
    <w:p>
      <w:pPr>
        <w:pStyle w:val="BodyText"/>
        <w:spacing w:line="451" w:lineRule="auto" w:before="74"/>
        <w:ind w:left="513" w:right="617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74"/>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5"/>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062" w:type="dxa"/>
        <w:tblLayout w:type="fixed"/>
        <w:tblCellMar>
          <w:top w:w="0" w:type="dxa"/>
          <w:left w:w="0" w:type="dxa"/>
          <w:bottom w:w="0" w:type="dxa"/>
          <w:right w:w="0" w:type="dxa"/>
        </w:tblCellMar>
        <w:tblLook w:val="01E0"/>
      </w:tblPr>
      <w:tblGrid>
        <w:gridCol w:w="3056"/>
        <w:gridCol w:w="1913"/>
        <w:gridCol w:w="2847"/>
      </w:tblGrid>
      <w:tr>
        <w:trPr>
          <w:trHeight w:val="529" w:hRule="exact"/>
        </w:trPr>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28"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50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土地出让合同约定</w:t>
            </w:r>
          </w:p>
        </w:tc>
      </w:tr>
      <w:tr>
        <w:trPr>
          <w:trHeight w:val="528"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设计软件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528"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pStyle w:val="BodyText"/>
        <w:spacing w:line="477" w:lineRule="auto" w:before="58"/>
        <w:ind w:left="424" w:right="3562"/>
        <w:jc w:val="left"/>
      </w:pPr>
      <w:r>
        <w:rPr/>
        <w:t>每年度终了，对使用寿命有限的无形资产的使用寿命及摊销方法进行复核。 经复核，本年期末无形资产的使用寿命及摊销方法与以前估计未有不同</w:t>
      </w:r>
    </w:p>
    <w:p>
      <w:pPr>
        <w:pStyle w:val="Heading5"/>
        <w:spacing w:line="451" w:lineRule="auto" w:before="54"/>
        <w:ind w:right="6522" w:hanging="361"/>
        <w:jc w:val="left"/>
        <w:rPr>
          <w:b w:val="0"/>
          <w:bCs w:val="0"/>
        </w:rPr>
      </w:pPr>
      <w:r>
        <w:rPr/>
        <w:t>（</w:t>
      </w:r>
      <w:r>
        <w:rPr>
          <w:rFonts w:ascii="Times New Roman" w:hAnsi="Times New Roman" w:cs="Times New Roman" w:eastAsia="Times New Roman" w:hint="default"/>
        </w:rPr>
        <w:t>2</w:t>
      </w:r>
      <w:r>
        <w:rPr/>
        <w:t>）内部研究开发支出会计政策</w:t>
      </w:r>
      <w:r>
        <w:rPr>
          <w:w w:val="99"/>
        </w:rPr>
        <w:t> </w:t>
      </w:r>
      <w:r>
        <w:rPr/>
        <w:t>划分研究阶段和开发阶段的具体标准</w:t>
      </w:r>
      <w:r>
        <w:rPr>
          <w:b w:val="0"/>
          <w:bCs w:val="0"/>
        </w:rPr>
      </w:r>
    </w:p>
    <w:p>
      <w:pPr>
        <w:pStyle w:val="BodyText"/>
        <w:spacing w:line="240" w:lineRule="auto" w:before="74"/>
        <w:ind w:left="513" w:right="0"/>
        <w:jc w:val="left"/>
      </w:pPr>
      <w:r>
        <w:rPr/>
        <w:t>公司内部研究开发项目的支出分为研究阶段支出和开发阶段支出。</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left="513" w:right="0"/>
        <w:jc w:val="left"/>
      </w:pPr>
      <w:r>
        <w:rPr/>
        <w:t>研究阶段：为获取并理解新的科学或技术知识等而进行的独创性的有计划调查、研究活动的阶段。</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Heading3"/>
        <w:spacing w:line="240" w:lineRule="auto" w:before="154"/>
        <w:ind w:right="0"/>
        <w:jc w:val="both"/>
        <w:rPr>
          <w:b w:val="0"/>
          <w:bCs w:val="0"/>
        </w:rPr>
      </w:pPr>
      <w:r>
        <w:rPr>
          <w:rFonts w:ascii="Times New Roman" w:hAnsi="Times New Roman" w:cs="Times New Roman" w:eastAsia="Times New Roman" w:hint="default"/>
        </w:rPr>
        <w:t>22</w:t>
      </w:r>
      <w:r>
        <w:rPr/>
        <w:t>、长期资产减值</w:t>
      </w:r>
      <w:r>
        <w:rPr>
          <w:b w:val="0"/>
          <w:bCs w:val="0"/>
        </w:rPr>
      </w:r>
    </w:p>
    <w:p>
      <w:pPr>
        <w:pStyle w:val="BodyText"/>
        <w:spacing w:line="316" w:lineRule="auto" w:before="198"/>
        <w:ind w:right="251" w:firstLine="360"/>
        <w:jc w:val="both"/>
      </w:pPr>
      <w:r>
        <w:rPr/>
        <w:t>长期股权投资、采用成本模式计量的投资性房地产、固定资产、在建工程、使用寿命有限的无形资产等长期资产，于 资产负债表日存在减值迹象的，进行减值测试。减值测试结果表明资产的可收回金额低于其账面价值的，按其差额计提减 值准备并计入减值损失。可收回金额为资产的公允价值减去处置费用后的净额与资产预计未来现金流量的现值两者之间的 较高者。资产减值准备按单项资产为基础计算并确认，如果难以对单项资产的可收回金额进行估计的，以该资产所属的资 产组确定资产组的可收回金额。资产组是能够独立产生现金流入的最小资产组合。</w:t>
      </w:r>
    </w:p>
    <w:p>
      <w:pPr>
        <w:pStyle w:val="BodyText"/>
        <w:spacing w:line="468" w:lineRule="exact" w:before="11"/>
        <w:ind w:left="513" w:right="413"/>
        <w:jc w:val="left"/>
      </w:pPr>
      <w:r>
        <w:rPr/>
        <w:t>商誉和使用寿命不确定的无形资产至少在每年年度终了进行减值测试。 本公司进行商誉减值测试，对于因企业合并形成的商誉的账面价值，自购买日起按照合理的方法分摊至相关的资产</w:t>
      </w:r>
    </w:p>
    <w:p>
      <w:pPr>
        <w:pStyle w:val="BodyText"/>
        <w:spacing w:line="316" w:lineRule="auto" w:before="8"/>
        <w:ind w:right="251"/>
        <w:jc w:val="both"/>
      </w:pPr>
      <w:r>
        <w:rPr/>
        <w:t>组；难以分摊至相关的资产组的，将其分摊至相关的资产组组合。在将商誉的账面价值分摊至相关的资产组或者资产组组 合时，按照各资产组或者资产组组合的公允价值占相关资产组或者资产组组合公允价值总额的比例进行分摊。公允价值难 以可靠计量的，按照各资产组或者资产组组合的账面价值占相关资产组或者资产组组合账面价值总额的比例进行分摊。</w:t>
      </w:r>
    </w:p>
    <w:p>
      <w:pPr>
        <w:spacing w:line="240" w:lineRule="auto" w:before="5"/>
        <w:rPr>
          <w:rFonts w:ascii="宋体" w:hAnsi="宋体" w:cs="宋体" w:eastAsia="宋体" w:hint="default"/>
          <w:sz w:val="13"/>
          <w:szCs w:val="13"/>
        </w:rPr>
      </w:pPr>
    </w:p>
    <w:p>
      <w:pPr>
        <w:pStyle w:val="BodyText"/>
        <w:spacing w:line="319" w:lineRule="auto"/>
        <w:ind w:right="234" w:firstLine="360"/>
        <w:jc w:val="left"/>
      </w:pPr>
      <w:r>
        <w:rPr/>
        <w:t>在对包含商誉的相关资产组或者资产组组合进行减值测试时，如与商誉相关的资产组或者资产组组合存在减值迹象 的，先对不包含商誉的资产组或者资产组组合进行减值测试，计算可收回金额，并与相关账面价值相比较，确认相应的减 值损失。再对包含商誉的资产组或者资产组组合进行减值测试，比较这些相关资产组或者资产组组合的账面价值（包括所 分摊的商誉的账面价值部分）与其可收回金额，如相关资产组或者资产组组合的可收回金额低于其账面价值的，确认商誉 的减值损失。</w:t>
      </w:r>
      <w:r>
        <w:rPr>
          <w:spacing w:val="1"/>
        </w:rPr>
        <w:t> </w:t>
      </w:r>
      <w:r>
        <w:rPr/>
        <w:t>上述资产减值损失一经确认，在以后会计期间不予转回。</w:t>
      </w:r>
    </w:p>
    <w:p>
      <w:pPr>
        <w:pStyle w:val="Heading3"/>
        <w:spacing w:line="240" w:lineRule="auto" w:before="152"/>
        <w:ind w:right="0"/>
        <w:jc w:val="both"/>
        <w:rPr>
          <w:b w:val="0"/>
          <w:bCs w:val="0"/>
        </w:rPr>
      </w:pPr>
      <w:r>
        <w:rPr>
          <w:rFonts w:ascii="Times New Roman" w:hAnsi="Times New Roman" w:cs="Times New Roman" w:eastAsia="Times New Roman" w:hint="default"/>
        </w:rPr>
        <w:t>23</w:t>
      </w:r>
      <w:r>
        <w:rPr/>
        <w:t>、长期待摊费用</w:t>
      </w:r>
      <w:r>
        <w:rPr>
          <w:b w:val="0"/>
          <w:bCs w:val="0"/>
        </w:rPr>
      </w:r>
    </w:p>
    <w:p>
      <w:pPr>
        <w:pStyle w:val="BodyText"/>
        <w:spacing w:line="240" w:lineRule="auto" w:before="198"/>
        <w:ind w:left="513" w:right="0"/>
        <w:jc w:val="left"/>
      </w:pPr>
      <w:r>
        <w:rPr/>
        <w:t>长期待摊费用为已经发生但应由本期和以后各期负担的分摊期限在一年以上的各项费用。</w:t>
      </w:r>
    </w:p>
    <w:p>
      <w:pPr>
        <w:spacing w:line="240" w:lineRule="auto" w:before="10"/>
        <w:rPr>
          <w:rFonts w:ascii="宋体" w:hAnsi="宋体" w:cs="宋体" w:eastAsia="宋体" w:hint="default"/>
          <w:sz w:val="17"/>
          <w:szCs w:val="17"/>
        </w:rPr>
      </w:pPr>
    </w:p>
    <w:p>
      <w:pPr>
        <w:spacing w:line="463" w:lineRule="auto" w:before="0"/>
        <w:ind w:left="51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b/>
          <w:bCs/>
          <w:sz w:val="18"/>
          <w:szCs w:val="18"/>
        </w:rPr>
        <w:t>摊销年限</w:t>
      </w:r>
      <w:r>
        <w:rPr>
          <w:rFonts w:ascii="宋体" w:hAnsi="宋体" w:cs="宋体" w:eastAsia="宋体" w:hint="default"/>
          <w:sz w:val="18"/>
          <w:szCs w:val="18"/>
        </w:rPr>
      </w:r>
    </w:p>
    <w:p>
      <w:pPr>
        <w:spacing w:line="240" w:lineRule="auto" w:before="0"/>
        <w:rPr>
          <w:rFonts w:ascii="宋体" w:hAnsi="宋体" w:cs="宋体" w:eastAsia="宋体" w:hint="default"/>
          <w:b/>
          <w:bCs/>
          <w:sz w:val="2"/>
          <w:szCs w:val="2"/>
        </w:rPr>
      </w:pPr>
    </w:p>
    <w:tbl>
      <w:tblPr>
        <w:tblW w:w="0" w:type="auto"/>
        <w:jc w:val="left"/>
        <w:tblInd w:w="702" w:type="dxa"/>
        <w:tblLayout w:type="fixed"/>
        <w:tblCellMar>
          <w:top w:w="0" w:type="dxa"/>
          <w:left w:w="0" w:type="dxa"/>
          <w:bottom w:w="0" w:type="dxa"/>
          <w:right w:w="0" w:type="dxa"/>
        </w:tblCellMar>
        <w:tblLook w:val="01E0"/>
      </w:tblPr>
      <w:tblGrid>
        <w:gridCol w:w="2331"/>
        <w:gridCol w:w="3869"/>
        <w:gridCol w:w="2331"/>
      </w:tblGrid>
      <w:tr>
        <w:trPr>
          <w:trHeight w:val="528" w:hRule="exact"/>
        </w:trPr>
        <w:tc>
          <w:tcPr>
            <w:tcW w:w="2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29"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厂区房屋装饰</w:t>
            </w:r>
          </w:p>
        </w:tc>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、职工薪酬</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68" w:lineRule="exact" w:before="33"/>
        <w:ind w:left="513" w:right="233"/>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pStyle w:val="BodyText"/>
        <w:spacing w:line="477" w:lineRule="auto" w:before="8"/>
        <w:ind w:left="513" w:right="3474" w:hanging="361"/>
        <w:jc w:val="left"/>
      </w:pPr>
      <w:r>
        <w:rPr/>
        <w:t>务的会计期间，根据规定的计提基础和计提比例计算确定相应的职工薪酬金额。 职工福利费为非货币性福利的，如能够可靠计量的，按照公允价值计量。</w:t>
      </w:r>
    </w:p>
    <w:p>
      <w:pPr>
        <w:spacing w:after="0" w:line="477"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68" w:lineRule="exact" w:before="33"/>
        <w:ind w:left="513" w:right="233"/>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本公司按当地政府的相关规定为职工缴纳基本养老保险和失业保险，在职工为本公司提供服务的会计期间，按以当地</w:t>
      </w:r>
    </w:p>
    <w:p>
      <w:pPr>
        <w:pStyle w:val="BodyText"/>
        <w:spacing w:line="240" w:lineRule="auto" w:before="8"/>
        <w:ind w:right="0"/>
        <w:jc w:val="left"/>
      </w:pPr>
      <w:r>
        <w:rPr/>
        <w:t>规定的缴纳基数和比例计算应缴纳金额，确认为负债，并计入当期损益或相关资产成本。</w:t>
      </w:r>
    </w:p>
    <w:p>
      <w:pPr>
        <w:spacing w:line="240" w:lineRule="auto" w:before="10"/>
        <w:rPr>
          <w:rFonts w:ascii="宋体" w:hAnsi="宋体" w:cs="宋体" w:eastAsia="宋体" w:hint="default"/>
          <w:sz w:val="17"/>
          <w:szCs w:val="17"/>
        </w:rPr>
      </w:pPr>
    </w:p>
    <w:p>
      <w:pPr>
        <w:pStyle w:val="BodyText"/>
        <w:spacing w:line="300" w:lineRule="auto"/>
        <w:ind w:right="184" w:firstLine="360"/>
        <w:jc w:val="left"/>
      </w:pPr>
      <w:r>
        <w:rPr/>
        <w:t>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 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 本。</w:t>
      </w:r>
    </w:p>
    <w:p>
      <w:pPr>
        <w:spacing w:line="240" w:lineRule="auto" w:before="4"/>
        <w:rPr>
          <w:rFonts w:ascii="宋体" w:hAnsi="宋体" w:cs="宋体" w:eastAsia="宋体" w:hint="default"/>
          <w:sz w:val="14"/>
          <w:szCs w:val="14"/>
        </w:rPr>
      </w:pPr>
    </w:p>
    <w:p>
      <w:pPr>
        <w:pStyle w:val="BodyText"/>
        <w:spacing w:line="451" w:lineRule="auto"/>
        <w:ind w:left="513" w:right="7433"/>
        <w:jc w:val="left"/>
      </w:pPr>
      <w:r>
        <w:rPr/>
        <w:t>（</w:t>
      </w:r>
      <w:r>
        <w:rPr>
          <w:rFonts w:ascii="Times New Roman" w:hAnsi="Times New Roman" w:cs="Times New Roman" w:eastAsia="Times New Roman" w:hint="default"/>
        </w:rPr>
        <w:t>2</w:t>
      </w:r>
      <w:r>
        <w:rPr/>
        <w:t>）设定受益计划 本公司无设定受益计划。</w:t>
      </w:r>
    </w:p>
    <w:p>
      <w:pPr>
        <w:pStyle w:val="Heading3"/>
        <w:spacing w:line="240" w:lineRule="auto" w:before="53"/>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316" w:lineRule="auto" w:before="198"/>
        <w:ind w:right="234" w:firstLine="360"/>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pStyle w:val="Heading3"/>
        <w:spacing w:line="240" w:lineRule="auto" w:before="154"/>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25</w:t>
      </w:r>
      <w:r>
        <w:rPr/>
        <w:t>、预计负债</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pStyle w:val="BodyText"/>
        <w:spacing w:line="477" w:lineRule="auto" w:before="198"/>
        <w:ind w:right="6714"/>
        <w:jc w:val="left"/>
      </w:pPr>
      <w:r>
        <w:rPr/>
        <w:t>公司是否需要遵守特殊行业的披露要求 否</w:t>
      </w:r>
    </w:p>
    <w:p>
      <w:pPr>
        <w:pStyle w:val="Heading5"/>
        <w:spacing w:line="240" w:lineRule="auto" w:before="54"/>
        <w:ind w:left="575" w:right="0"/>
        <w:jc w:val="left"/>
        <w:rPr>
          <w:b w:val="0"/>
          <w:bCs w:val="0"/>
        </w:rPr>
      </w:pPr>
      <w:r>
        <w:rPr>
          <w:rFonts w:ascii="Times New Roman" w:hAnsi="Times New Roman" w:cs="Times New Roman" w:eastAsia="Times New Roman" w:hint="default"/>
        </w:rPr>
        <w:t>1</w:t>
      </w:r>
      <w:r>
        <w:rPr/>
        <w:t>、提供劳务收入</w:t>
      </w:r>
      <w:r>
        <w:rPr>
          <w:b w:val="0"/>
          <w:bCs w:val="0"/>
        </w:rPr>
      </w:r>
    </w:p>
    <w:p>
      <w:pPr>
        <w:spacing w:line="240" w:lineRule="auto" w:before="10"/>
        <w:rPr>
          <w:rFonts w:ascii="宋体" w:hAnsi="宋体" w:cs="宋体" w:eastAsia="宋体" w:hint="default"/>
          <w:b/>
          <w:bCs/>
          <w:sz w:val="16"/>
          <w:szCs w:val="16"/>
        </w:rPr>
      </w:pPr>
    </w:p>
    <w:p>
      <w:pPr>
        <w:pStyle w:val="BodyText"/>
        <w:spacing w:line="316" w:lineRule="auto"/>
        <w:ind w:right="0" w:firstLine="420"/>
        <w:jc w:val="left"/>
      </w:pPr>
      <w:r>
        <w:rPr/>
        <w:t>公司专业技术服务包括为电力（发电、输变电）领域建设工程提供勘察设计、规划和咨询等技术服务。相关技术服务 区分以下不同情况进行收入确认：</w:t>
      </w:r>
    </w:p>
    <w:p>
      <w:pPr>
        <w:spacing w:line="240" w:lineRule="auto" w:before="5"/>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A</w:t>
      </w:r>
      <w:r>
        <w:rPr/>
        <w:t>、勘察设计服务</w:t>
      </w:r>
    </w:p>
    <w:p>
      <w:pPr>
        <w:pStyle w:val="BodyText"/>
        <w:spacing w:line="450" w:lineRule="atLeast" w:before="18"/>
        <w:ind w:left="573" w:right="0"/>
        <w:jc w:val="left"/>
      </w:pPr>
      <w:r>
        <w:rPr/>
        <w:t>（</w:t>
      </w:r>
      <w:r>
        <w:rPr>
          <w:rFonts w:ascii="Times New Roman" w:hAnsi="Times New Roman" w:cs="Times New Roman" w:eastAsia="Times New Roman" w:hint="default"/>
        </w:rPr>
        <w:t>1</w:t>
      </w:r>
      <w:r>
        <w:rPr/>
        <w:t>）收入确认原则 提供劳务服务的结果在资产负债表日能够可靠估计的，采用完工百分比法确认提供劳务收入。在资产负债表日，根据</w:t>
      </w:r>
    </w:p>
    <w:p>
      <w:pPr>
        <w:pStyle w:val="BodyText"/>
        <w:spacing w:line="316" w:lineRule="auto" w:before="76"/>
        <w:ind w:right="0"/>
        <w:jc w:val="left"/>
      </w:pPr>
      <w:r>
        <w:rPr>
          <w:spacing w:val="-2"/>
        </w:rPr>
        <w:t>成果的交付和取得经客户确认的进度确认文件或证明，并以此确认文件或证明确定已提供劳务完工程度，按照应收的合同或</w:t>
      </w:r>
      <w:r>
        <w:rPr>
          <w:spacing w:val="-64"/>
        </w:rPr>
        <w:t> </w:t>
      </w:r>
      <w:r>
        <w:rPr>
          <w:spacing w:val="-64"/>
        </w:rPr>
      </w:r>
      <w:r>
        <w:rPr/>
        <w:t>协议价款确定当期提供劳务收入。</w:t>
      </w:r>
    </w:p>
    <w:p>
      <w:pPr>
        <w:spacing w:line="240" w:lineRule="auto" w:before="5"/>
        <w:rPr>
          <w:rFonts w:ascii="宋体" w:hAnsi="宋体" w:cs="宋体" w:eastAsia="宋体" w:hint="default"/>
          <w:sz w:val="13"/>
          <w:szCs w:val="13"/>
        </w:rPr>
      </w:pPr>
    </w:p>
    <w:p>
      <w:pPr>
        <w:pStyle w:val="BodyText"/>
        <w:spacing w:line="240" w:lineRule="auto"/>
        <w:ind w:left="573" w:right="0"/>
        <w:jc w:val="left"/>
      </w:pPr>
      <w:r>
        <w:rPr/>
        <w:t>在资产负债表日提供劳务交易结果不能够可靠估计的，分别下列情况处理：</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①已经发生的劳务成本预计能够得到补偿的，按照已经发生的劳务成本金额确认提供劳务收入，并按相同金额结转劳</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right="0"/>
        <w:jc w:val="both"/>
      </w:pPr>
      <w:r>
        <w:rPr/>
        <w:t>务成本；</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②已经发生的劳务成本预计不能够得到补偿的，将已经发生的劳务成本计入当期损益，不确认提供劳务收入。</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Times New Roman" w:hAnsi="Times New Roman" w:cs="Times New Roman" w:eastAsia="Times New Roman" w:hint="default"/>
        </w:rPr>
        <w:t>2</w:t>
      </w:r>
      <w:r>
        <w:rPr/>
        <w:t>）收入确认方法</w:t>
      </w:r>
    </w:p>
    <w:p>
      <w:pPr>
        <w:pStyle w:val="BodyText"/>
        <w:spacing w:line="468" w:lineRule="exact" w:before="54"/>
        <w:ind w:left="573" w:right="149"/>
        <w:jc w:val="left"/>
      </w:pPr>
      <w:r>
        <w:rPr/>
        <w:t>①签订合同阶段 </w:t>
      </w:r>
      <w:r>
        <w:rPr>
          <w:spacing w:val="-3"/>
        </w:rPr>
        <w:t>该阶段公司与委托方签订设计合同后，委托方支付首期款，由于该款项属于预收款，因此公司收到时作为项目预收款，</w:t>
      </w:r>
    </w:p>
    <w:p>
      <w:pPr>
        <w:pStyle w:val="BodyText"/>
        <w:spacing w:line="240" w:lineRule="auto" w:before="8"/>
        <w:ind w:right="0"/>
        <w:jc w:val="both"/>
      </w:pPr>
      <w:r>
        <w:rPr/>
        <w:t>不确认收入。</w:t>
      </w:r>
    </w:p>
    <w:p>
      <w:pPr>
        <w:pStyle w:val="BodyText"/>
        <w:spacing w:line="470" w:lineRule="atLeast"/>
        <w:ind w:left="573" w:right="0"/>
        <w:jc w:val="left"/>
      </w:pPr>
      <w:r>
        <w:rPr/>
        <w:t>②初步设计阶段 该阶段工作主要确定各种专业的设计原则、技术规范、主要设备组成，编制初步设计说明书及图纸、概算（如需要）</w:t>
      </w:r>
    </w:p>
    <w:p>
      <w:pPr>
        <w:pStyle w:val="BodyText"/>
        <w:spacing w:line="316" w:lineRule="auto" w:before="77"/>
        <w:ind w:right="153"/>
        <w:jc w:val="both"/>
      </w:pPr>
      <w:r>
        <w:rPr>
          <w:spacing w:val="-2"/>
        </w:rPr>
        <w:t>等。初步设计文件提交委托方后，由委托方组织评审机构或专家进行审查，提出修改意见（如有）。公司根据修改意见，进</w:t>
      </w:r>
      <w:r>
        <w:rPr>
          <w:spacing w:val="-71"/>
        </w:rPr>
        <w:t> </w:t>
      </w:r>
      <w:r>
        <w:rPr>
          <w:spacing w:val="-71"/>
        </w:rPr>
      </w:r>
      <w:r>
        <w:rPr>
          <w:spacing w:val="-2"/>
        </w:rPr>
        <w:t>行补充和完善。当公司交付最终初步设计结果并获取相关机构评审文件或委托方出具的确认证明后，根据合同约定的累计至</w:t>
      </w:r>
      <w:r>
        <w:rPr>
          <w:spacing w:val="-64"/>
        </w:rPr>
        <w:t> </w:t>
      </w:r>
      <w:r>
        <w:rPr>
          <w:spacing w:val="-64"/>
        </w:rPr>
      </w:r>
      <w:r>
        <w:rPr/>
        <w:t>本阶段的结算款项确认本阶段的设计费收入。</w:t>
      </w:r>
    </w:p>
    <w:p>
      <w:pPr>
        <w:pStyle w:val="BodyText"/>
        <w:spacing w:line="468" w:lineRule="exact" w:before="10"/>
        <w:ind w:left="573" w:right="0"/>
        <w:jc w:val="left"/>
      </w:pPr>
      <w:r>
        <w:rPr/>
        <w:t>③施工图设计阶段 该阶段根据审查完毕确认的初步设计结果进行详细的可施工图纸设计。由公司设计总工程师、委托方、施工单位进行</w:t>
      </w:r>
    </w:p>
    <w:p>
      <w:pPr>
        <w:pStyle w:val="BodyText"/>
        <w:spacing w:line="316" w:lineRule="auto" w:before="8"/>
        <w:ind w:right="0"/>
        <w:jc w:val="left"/>
      </w:pPr>
      <w:r>
        <w:rPr>
          <w:spacing w:val="-2"/>
        </w:rPr>
        <w:t>沟通，组织施工图图纸交底。当公司交付施工图并获取委托方出具的确认证明后，根据合同约定的累计至本阶段的结算款项</w:t>
      </w:r>
      <w:r>
        <w:rPr>
          <w:spacing w:val="-65"/>
        </w:rPr>
        <w:t> </w:t>
      </w:r>
      <w:r>
        <w:rPr>
          <w:spacing w:val="-65"/>
        </w:rPr>
      </w:r>
      <w:r>
        <w:rPr/>
        <w:t>扣除以前累计已确认收入确认本阶段的设计费收入。</w:t>
      </w:r>
    </w:p>
    <w:p>
      <w:pPr>
        <w:pStyle w:val="BodyText"/>
        <w:spacing w:line="468" w:lineRule="exact" w:before="10"/>
        <w:ind w:left="573" w:right="0"/>
        <w:jc w:val="left"/>
      </w:pPr>
      <w:r>
        <w:rPr/>
        <w:t>④竣工图设计阶段 现场施工完成后，根据实际施工情况，出具一整套完整的最终竣工图。当公司交付竣工图并获取委托方出具的确认证</w:t>
      </w:r>
    </w:p>
    <w:p>
      <w:pPr>
        <w:pStyle w:val="BodyText"/>
        <w:spacing w:line="240" w:lineRule="auto" w:before="8"/>
        <w:ind w:right="0"/>
        <w:jc w:val="both"/>
      </w:pPr>
      <w:r>
        <w:rPr/>
        <w:t>明后，根据合同总价扣除以前累计已确认收入确认本阶段的设计费收入。</w:t>
      </w:r>
    </w:p>
    <w:p>
      <w:pPr>
        <w:pStyle w:val="BodyText"/>
        <w:spacing w:line="460" w:lineRule="atLeast" w:before="8"/>
        <w:ind w:left="573" w:right="0"/>
        <w:jc w:val="left"/>
      </w:pPr>
      <w:r>
        <w:rPr/>
        <w:t>⑤质保期阶段 由于质保期内发生的工作量极小，公司所提供的服务属于售后服务性质，所发生的成本计入当期费用，因此质保金将</w:t>
      </w:r>
    </w:p>
    <w:p>
      <w:pPr>
        <w:pStyle w:val="BodyText"/>
        <w:spacing w:line="240" w:lineRule="auto" w:before="76"/>
        <w:ind w:right="0"/>
        <w:jc w:val="both"/>
      </w:pPr>
      <w:r>
        <w:rPr/>
        <w:t>包括在上述竣工图设计阶段。</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B</w:t>
      </w:r>
      <w:r>
        <w:rPr/>
        <w:t>、规划和咨询服务</w:t>
      </w:r>
    </w:p>
    <w:p>
      <w:pPr>
        <w:spacing w:line="240" w:lineRule="auto" w:before="9"/>
        <w:rPr>
          <w:rFonts w:ascii="宋体" w:hAnsi="宋体" w:cs="宋体" w:eastAsia="宋体" w:hint="default"/>
          <w:sz w:val="16"/>
          <w:szCs w:val="16"/>
        </w:rPr>
      </w:pPr>
    </w:p>
    <w:p>
      <w:pPr>
        <w:pStyle w:val="BodyText"/>
        <w:spacing w:line="451" w:lineRule="auto"/>
        <w:ind w:left="573" w:right="149"/>
        <w:jc w:val="left"/>
      </w:pPr>
      <w:r>
        <w:rPr/>
        <w:t>（</w:t>
      </w:r>
      <w:r>
        <w:rPr>
          <w:rFonts w:ascii="Times New Roman" w:hAnsi="Times New Roman" w:cs="Times New Roman" w:eastAsia="Times New Roman" w:hint="default"/>
        </w:rPr>
        <w:t>1</w:t>
      </w:r>
      <w:r>
        <w:rPr/>
        <w:t>）收入确认原则 </w:t>
      </w:r>
      <w:r>
        <w:rPr>
          <w:spacing w:val="-3"/>
        </w:rPr>
        <w:t>公司已经提供服务，与服务相关的经济利益能够流入本公司，相关的收入和成本能够可靠计量时确认销售收入的实现。</w:t>
      </w:r>
    </w:p>
    <w:p>
      <w:pPr>
        <w:spacing w:line="463" w:lineRule="auto" w:before="74"/>
        <w:ind w:left="573" w:right="2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）收入确认方法 公司完成服务并将相关资料及报告提交委托方后取得相关确认证明时按合同金额确认收入。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、建造合同收入的确认依据和方法</w:t>
      </w:r>
      <w:r>
        <w:rPr>
          <w:rFonts w:ascii="宋体" w:hAnsi="宋体" w:cs="宋体" w:eastAsia="宋体" w:hint="default"/>
          <w:sz w:val="18"/>
          <w:szCs w:val="18"/>
        </w:rPr>
      </w:r>
    </w:p>
    <w:p>
      <w:pPr>
        <w:pStyle w:val="BodyText"/>
        <w:spacing w:line="463" w:lineRule="auto" w:before="33"/>
        <w:ind w:left="573" w:right="1073"/>
        <w:jc w:val="left"/>
      </w:pPr>
      <w:r>
        <w:rPr/>
        <w:t>（</w:t>
      </w:r>
      <w:r>
        <w:rPr>
          <w:rFonts w:ascii="Times New Roman" w:hAnsi="Times New Roman" w:cs="Times New Roman" w:eastAsia="Times New Roman" w:hint="default"/>
        </w:rPr>
        <w:t>1</w:t>
      </w:r>
      <w:r>
        <w:rPr/>
        <w:t>）收入确认原则 在资产负债表日，建造合同的结果能够可靠地估计的，应当根据完工百分比法确认合同收入和合同费用。 在资产负债表日，建造合同的结果不能可靠估计的，应当分别下列情况处理：</w:t>
      </w:r>
    </w:p>
    <w:p>
      <w:pPr>
        <w:pStyle w:val="BodyText"/>
        <w:spacing w:line="240" w:lineRule="auto" w:before="65"/>
        <w:ind w:left="573" w:right="0"/>
        <w:jc w:val="left"/>
      </w:pPr>
      <w:r>
        <w:rPr>
          <w:spacing w:val="-3"/>
        </w:rPr>
        <w:t>①合同成本能够收回的，合同收入根据能够收回的实际合同成本予以确认，合同成本在其发生的当期确认为合同费用。</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②合同成本不可能收回的，在发生时立即确认为合同费用，不确认合同收入。</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left="573" w:right="0"/>
        <w:jc w:val="left"/>
      </w:pPr>
      <w:r>
        <w:rPr/>
        <w:t>（</w:t>
      </w:r>
      <w:r>
        <w:rPr>
          <w:rFonts w:ascii="Times New Roman" w:hAnsi="Times New Roman" w:cs="Times New Roman" w:eastAsia="Times New Roman" w:hint="default"/>
        </w:rPr>
        <w:t>2</w:t>
      </w:r>
      <w:r>
        <w:rPr/>
        <w:t>）收入确认方法</w:t>
      </w:r>
    </w:p>
    <w:p>
      <w:pPr>
        <w:spacing w:line="240" w:lineRule="auto" w:before="9"/>
        <w:rPr>
          <w:rFonts w:ascii="宋体" w:hAnsi="宋体" w:cs="宋体" w:eastAsia="宋体" w:hint="default"/>
          <w:sz w:val="16"/>
          <w:szCs w:val="16"/>
        </w:rPr>
      </w:pPr>
    </w:p>
    <w:p>
      <w:pPr>
        <w:pStyle w:val="BodyText"/>
        <w:spacing w:line="316" w:lineRule="auto"/>
        <w:ind w:right="150" w:firstLine="420"/>
        <w:jc w:val="both"/>
      </w:pPr>
      <w:r>
        <w:rPr/>
        <w:t>在资产负债表日，按照合同总收入乘以完工进度扣除以前会计期间累计已确认收入后的金额，确认为当期合同收入； </w:t>
      </w:r>
      <w:r>
        <w:rPr>
          <w:spacing w:val="-2"/>
        </w:rPr>
        <w:t>同时，按照合同预计总成本乘以完工进度扣除以前会计期间累计已确认费用后的金额，确认为当期合同费用。其中完工进度</w:t>
      </w:r>
      <w:r>
        <w:rPr>
          <w:spacing w:val="-63"/>
        </w:rPr>
        <w:t> </w:t>
      </w:r>
      <w:r>
        <w:rPr>
          <w:spacing w:val="-63"/>
        </w:rPr>
      </w:r>
      <w:r>
        <w:rPr/>
        <w:t>系为累计实际发生的合同成本占合同预计总成本的比例。</w:t>
      </w:r>
    </w:p>
    <w:p>
      <w:pPr>
        <w:pStyle w:val="Heading3"/>
        <w:spacing w:line="240" w:lineRule="auto" w:before="154"/>
        <w:ind w:right="0"/>
        <w:jc w:val="left"/>
        <w:rPr>
          <w:b w:val="0"/>
          <w:bCs w:val="0"/>
        </w:rPr>
      </w:pPr>
      <w:r>
        <w:rPr>
          <w:rFonts w:ascii="Times New Roman" w:hAnsi="Times New Roman" w:cs="Times New Roman" w:eastAsia="Times New Roman" w:hint="default"/>
        </w:rPr>
        <w:t>29</w:t>
      </w:r>
      <w:r>
        <w:rPr/>
        <w:t>、政府补助</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316" w:lineRule="auto" w:before="198"/>
        <w:ind w:left="229" w:right="173" w:firstLine="360"/>
        <w:jc w:val="both"/>
      </w:pPr>
      <w:r>
        <w:rPr/>
        <w:t>判断依据：与资产相关的政府补助，是指本公司取得的、用于购建或以其他方式形成长期资产的政府补助。本公司将 政府补助划分为与资产相关的具体标准为：用于购建长期资产获取的政府补助。对于政府文件未明确规定补助对象的，本 公司将该政府补助划分为与资产相关或与收益相关的判断依据为：将政府补助整体归类为与收益相关的政府补助。</w:t>
      </w:r>
    </w:p>
    <w:p>
      <w:pPr>
        <w:spacing w:line="240" w:lineRule="auto" w:before="5"/>
        <w:rPr>
          <w:rFonts w:ascii="宋体" w:hAnsi="宋体" w:cs="宋体" w:eastAsia="宋体" w:hint="default"/>
          <w:sz w:val="13"/>
          <w:szCs w:val="13"/>
        </w:rPr>
      </w:pPr>
    </w:p>
    <w:p>
      <w:pPr>
        <w:pStyle w:val="BodyText"/>
        <w:spacing w:line="316" w:lineRule="auto"/>
        <w:ind w:left="229" w:right="174" w:firstLine="360"/>
        <w:jc w:val="both"/>
      </w:pPr>
      <w:r>
        <w:rPr/>
        <w:t>会计处理方法：与资产相关的政府补助，冲减相关资产账面价值或确认为递延收益。确认为递延收益的，在相关资产 使用寿命内按照合理、系统的方法分期计入当期损益（与本公司日常活动相关的，计入其他收益；与本公司日常活动无关 的，计入营业外收入）</w:t>
      </w: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16" w:lineRule="auto" w:before="198"/>
        <w:ind w:right="250" w:firstLine="360"/>
        <w:jc w:val="both"/>
      </w:pPr>
      <w:r>
        <w:rPr/>
        <w:t>判断依据：与收益相关的政府补助，是指除与资产相关的政府补助之外的政府补助。本公司将政府补助划分为与收益 相关的具体标准为：补偿企业相关费用或损失。对于政府文件未明确规定补助对象的，本公司将该政府补助划分为与资产 相关或与收益相关的判断依据为：将政府补助整体归类为与收益相关的政府补助。</w:t>
      </w:r>
    </w:p>
    <w:p>
      <w:pPr>
        <w:spacing w:line="240" w:lineRule="auto" w:before="5"/>
        <w:rPr>
          <w:rFonts w:ascii="宋体" w:hAnsi="宋体" w:cs="宋体" w:eastAsia="宋体" w:hint="default"/>
          <w:sz w:val="13"/>
          <w:szCs w:val="13"/>
        </w:rPr>
      </w:pPr>
    </w:p>
    <w:p>
      <w:pPr>
        <w:pStyle w:val="BodyText"/>
        <w:spacing w:line="319" w:lineRule="auto"/>
        <w:ind w:right="249" w:firstLine="360"/>
        <w:jc w:val="both"/>
      </w:pPr>
      <w:r>
        <w:rPr/>
        <w:t>会计处理方法：与收益相关的政府补助，用于补偿本公司以后期间的相关成本费用或损失的，确认为递延收益，并在 确认相关成本费用或损失的期间，计入当期损益（与本公司日常活动相关的，计入其他收益；与本公司日常活动无关的， 计入营业外收入）或冲减相关成本费用或损失；用于补偿本公司已发生的相关成本费用或损失的，直接计入当期损益（与 本公司日常活动相关的，计入其他收益；与本公司日常活动无关的，计入营业外收入）或冲减相关成本费用或损失。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16" w:lineRule="auto" w:before="198"/>
        <w:ind w:right="172" w:firstLine="422"/>
        <w:jc w:val="left"/>
      </w:pPr>
      <w:r>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 为限，确认相应的递延所得税资产。</w:t>
      </w:r>
    </w:p>
    <w:p>
      <w:pPr>
        <w:pStyle w:val="BodyText"/>
        <w:spacing w:line="468" w:lineRule="exact" w:before="10"/>
        <w:ind w:left="515" w:right="231"/>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240" w:lineRule="auto" w:before="8"/>
        <w:ind w:right="0"/>
        <w:jc w:val="left"/>
      </w:pPr>
      <w:r>
        <w:rPr/>
        <w:t>利润也不影响应纳税所得额（或可抵扣亏损）的其他交易或事项。</w:t>
      </w:r>
    </w:p>
    <w:p>
      <w:pPr>
        <w:spacing w:line="240" w:lineRule="auto" w:before="10"/>
        <w:rPr>
          <w:rFonts w:ascii="宋体" w:hAnsi="宋体" w:cs="宋体" w:eastAsia="宋体" w:hint="default"/>
          <w:sz w:val="17"/>
          <w:szCs w:val="17"/>
        </w:rPr>
      </w:pPr>
    </w:p>
    <w:p>
      <w:pPr>
        <w:pStyle w:val="BodyText"/>
        <w:spacing w:line="316" w:lineRule="auto"/>
        <w:ind w:right="251" w:firstLine="362"/>
        <w:jc w:val="both"/>
      </w:pPr>
      <w:r>
        <w:rPr/>
        <w:t>当拥有以净额结算的法定权利，且意图以净额结算或取得资产、清偿负债同时进行时，当期所得税资产及当期所得税 负债以抵销后的净额列报。</w:t>
      </w:r>
    </w:p>
    <w:p>
      <w:pPr>
        <w:spacing w:line="240" w:lineRule="auto" w:before="5"/>
        <w:rPr>
          <w:rFonts w:ascii="宋体" w:hAnsi="宋体" w:cs="宋体" w:eastAsia="宋体" w:hint="default"/>
          <w:sz w:val="13"/>
          <w:szCs w:val="13"/>
        </w:rPr>
      </w:pPr>
    </w:p>
    <w:p>
      <w:pPr>
        <w:pStyle w:val="BodyText"/>
        <w:spacing w:line="316" w:lineRule="auto"/>
        <w:ind w:right="249" w:firstLine="362"/>
        <w:jc w:val="both"/>
      </w:pPr>
      <w:r>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 负债转回的期间内，涉及的纳税主体意图以净额结算当期所得税资产和负债或是同时取得资产、清偿负债时，递延所得税 资产及递延所得税负债以抵销后的净额列报。</w:t>
      </w:r>
    </w:p>
    <w:p>
      <w:pPr>
        <w:spacing w:after="0" w:line="316" w:lineRule="auto"/>
        <w:jc w:val="both"/>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、租赁</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240" w:lineRule="auto" w:before="198"/>
        <w:ind w:right="0"/>
        <w:jc w:val="left"/>
      </w:pP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pStyle w:val="BodyText"/>
        <w:spacing w:line="240" w:lineRule="auto" w:before="198"/>
        <w:ind w:right="0"/>
        <w:jc w:val="left"/>
      </w:pPr>
      <w:r>
        <w:rPr/>
        <w:t>不适用</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08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年度发布了《企业会计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产、处置组和终止经营</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9" w:lineRule="auto" w:before="63"/>
              <w:ind w:left="24" w:right="9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日起施行，对于施行日存在的持 有待售的非流动资产、处置组和终止经 营，要求采用未来适用法处理。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经董事会批准执行</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40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年度修订了《企业会计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修订后的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日起施行，对于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日存在的政府补助，要求</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采用未来适用法处理；对于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4" w:right="9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日至施行日新增的政府补助，也要 求按照修订后的准则进行调整。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经董事会批准执行</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77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4" w:right="183"/>
              <w:jc w:val="left"/>
              <w:rPr>
                <w:rFonts w:ascii="宋体" w:hAnsi="宋体" w:cs="宋体" w:eastAsia="宋体" w:hint="default"/>
                <w:sz w:val="18"/>
                <w:szCs w:val="18"/>
              </w:rPr>
            </w:pPr>
            <w:r>
              <w:rPr>
                <w:rFonts w:ascii="宋体" w:hAnsi="宋体" w:cs="宋体" w:eastAsia="宋体" w:hint="default"/>
                <w:sz w:val="18"/>
                <w:szCs w:val="18"/>
              </w:rPr>
              <w:t>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年度发布了《财政部关于 修订印发一般企业财务报表格式的通 </w:t>
            </w:r>
            <w:r>
              <w:rPr>
                <w:rFonts w:ascii="宋体" w:hAnsi="宋体" w:cs="宋体" w:eastAsia="宋体" w:hint="default"/>
                <w:spacing w:val="-6"/>
                <w:sz w:val="18"/>
                <w:szCs w:val="18"/>
              </w:rPr>
              <w:t>知》，对一般企业财务报表格式进行了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修订，适用于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 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经董事会批准执行</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38"/>
        <w:ind w:left="1430" w:right="0"/>
        <w:jc w:val="left"/>
      </w:pPr>
      <w:r>
        <w:rPr/>
        <w:t>本公司执行上述规定的主要影响如下：</w:t>
      </w:r>
    </w:p>
    <w:p>
      <w:pPr>
        <w:spacing w:line="240" w:lineRule="auto" w:before="9"/>
        <w:rPr>
          <w:rFonts w:ascii="宋体" w:hAnsi="宋体" w:cs="宋体" w:eastAsia="宋体" w:hint="default"/>
          <w:sz w:val="15"/>
          <w:szCs w:val="15"/>
        </w:rPr>
      </w:pPr>
    </w:p>
    <w:tbl>
      <w:tblPr>
        <w:tblW w:w="0" w:type="auto"/>
        <w:jc w:val="left"/>
        <w:tblInd w:w="152" w:type="dxa"/>
        <w:tblLayout w:type="fixed"/>
        <w:tblCellMar>
          <w:top w:w="0" w:type="dxa"/>
          <w:left w:w="0" w:type="dxa"/>
          <w:bottom w:w="0" w:type="dxa"/>
          <w:right w:w="0" w:type="dxa"/>
        </w:tblCellMar>
        <w:tblLook w:val="01E0"/>
      </w:tblPr>
      <w:tblGrid>
        <w:gridCol w:w="4220"/>
        <w:gridCol w:w="992"/>
        <w:gridCol w:w="2605"/>
      </w:tblGrid>
      <w:tr>
        <w:trPr>
          <w:trHeight w:val="528" w:hRule="exact"/>
        </w:trPr>
        <w:tc>
          <w:tcPr>
            <w:tcW w:w="4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2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84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）在利润表中分别列示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持续经营净利润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终</w:t>
            </w:r>
            <w:r>
              <w:rPr>
                <w:rFonts w:ascii="宋体" w:hAnsi="宋体" w:cs="宋体" w:eastAsia="宋体" w:hint="default"/>
                <w:spacing w:val="-77"/>
                <w:sz w:val="18"/>
                <w:szCs w:val="18"/>
              </w:rPr>
              <w:t> </w:t>
            </w:r>
            <w:r>
              <w:rPr>
                <w:rFonts w:ascii="宋体" w:hAnsi="宋体" w:cs="宋体" w:eastAsia="宋体" w:hint="default"/>
                <w:sz w:val="18"/>
                <w:szCs w:val="18"/>
              </w:rPr>
              <w:t>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81"/>
              <w:jc w:val="left"/>
              <w:rPr>
                <w:rFonts w:ascii="宋体" w:hAnsi="宋体" w:cs="宋体" w:eastAsia="宋体" w:hint="default"/>
                <w:sz w:val="18"/>
                <w:szCs w:val="18"/>
              </w:rPr>
            </w:pPr>
            <w:r>
              <w:rPr>
                <w:rFonts w:ascii="宋体" w:hAnsi="宋体" w:cs="宋体" w:eastAsia="宋体" w:hint="default"/>
                <w:spacing w:val="14"/>
                <w:sz w:val="18"/>
                <w:szCs w:val="18"/>
              </w:rPr>
              <w:t>经董事会</w:t>
            </w:r>
            <w:r>
              <w:rPr>
                <w:rFonts w:ascii="宋体" w:hAnsi="宋体" w:cs="宋体" w:eastAsia="宋体" w:hint="default"/>
                <w:spacing w:val="-71"/>
                <w:sz w:val="18"/>
                <w:szCs w:val="18"/>
              </w:rPr>
              <w:t> </w:t>
            </w:r>
            <w:r>
              <w:rPr>
                <w:rFonts w:ascii="宋体" w:hAnsi="宋体" w:cs="宋体" w:eastAsia="宋体" w:hint="default"/>
                <w:sz w:val="18"/>
                <w:szCs w:val="18"/>
              </w:rPr>
              <w:t>批准执行</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列示持续经营净利润本年金额</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76,966,118.46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r>
        <w:trPr>
          <w:trHeight w:val="52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）与本公司日常活动相关的政府补助，计入其他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pacing w:val="14"/>
                <w:sz w:val="18"/>
                <w:szCs w:val="18"/>
              </w:rPr>
              <w:t>经董事会</w:t>
            </w:r>
            <w:r>
              <w:rPr>
                <w:rFonts w:ascii="宋体" w:hAnsi="宋体" w:cs="宋体" w:eastAsia="宋体" w:hint="default"/>
                <w:spacing w:val="-71"/>
                <w:sz w:val="18"/>
                <w:szCs w:val="18"/>
              </w:rPr>
              <w:t> </w:t>
            </w:r>
            <w:r>
              <w:rPr>
                <w:rFonts w:ascii="宋体" w:hAnsi="宋体" w:cs="宋体" w:eastAsia="宋体" w:hint="default"/>
                <w:sz w:val="18"/>
                <w:szCs w:val="18"/>
              </w:rPr>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307,611.52</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4220"/>
        <w:gridCol w:w="992"/>
        <w:gridCol w:w="2605"/>
      </w:tblGrid>
      <w:tr>
        <w:trPr>
          <w:trHeight w:val="47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收益，不再计入营业外收入。比较数据不调整。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批准执行</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9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项目，将部分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0"/>
                <w:sz w:val="18"/>
                <w:szCs w:val="18"/>
              </w:rPr>
              <w:t>原列示为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营业外收入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的资产处置损益重分类至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81"/>
              <w:jc w:val="left"/>
              <w:rPr>
                <w:rFonts w:ascii="宋体" w:hAnsi="宋体" w:cs="宋体" w:eastAsia="宋体" w:hint="default"/>
                <w:sz w:val="18"/>
                <w:szCs w:val="18"/>
              </w:rPr>
            </w:pPr>
            <w:r>
              <w:rPr>
                <w:rFonts w:ascii="宋体" w:hAnsi="宋体" w:cs="宋体" w:eastAsia="宋体" w:hint="default"/>
                <w:spacing w:val="14"/>
                <w:sz w:val="18"/>
                <w:szCs w:val="18"/>
              </w:rPr>
              <w:t>经董事会</w:t>
            </w:r>
            <w:r>
              <w:rPr>
                <w:rFonts w:ascii="宋体" w:hAnsi="宋体" w:cs="宋体" w:eastAsia="宋体" w:hint="default"/>
                <w:spacing w:val="-71"/>
                <w:sz w:val="18"/>
                <w:szCs w:val="18"/>
              </w:rPr>
              <w:t> </w:t>
            </w:r>
            <w:r>
              <w:rPr>
                <w:rFonts w:ascii="宋体" w:hAnsi="宋体" w:cs="宋体" w:eastAsia="宋体" w:hint="default"/>
                <w:sz w:val="18"/>
                <w:szCs w:val="18"/>
              </w:rPr>
              <w:t>批准执行</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外</w:t>
            </w:r>
            <w:r>
              <w:rPr>
                <w:rFonts w:ascii="宋体" w:hAnsi="宋体" w:cs="宋体" w:eastAsia="宋体" w:hint="default"/>
                <w:spacing w:val="-65"/>
                <w:sz w:val="18"/>
                <w:szCs w:val="18"/>
              </w:rPr>
              <w:t> </w:t>
            </w:r>
            <w:r>
              <w:rPr>
                <w:rFonts w:ascii="宋体" w:hAnsi="宋体" w:cs="宋体" w:eastAsia="宋体" w:hint="default"/>
                <w:sz w:val="18"/>
                <w:szCs w:val="18"/>
              </w:rPr>
              <w:t>收</w:t>
            </w:r>
            <w:r>
              <w:rPr>
                <w:rFonts w:ascii="宋体" w:hAnsi="宋体" w:cs="宋体" w:eastAsia="宋体" w:hint="default"/>
                <w:spacing w:val="-65"/>
                <w:sz w:val="18"/>
                <w:szCs w:val="18"/>
              </w:rPr>
              <w:t> </w:t>
            </w:r>
            <w:r>
              <w:rPr>
                <w:rFonts w:ascii="宋体" w:hAnsi="宋体" w:cs="宋体" w:eastAsia="宋体" w:hint="default"/>
                <w:sz w:val="18"/>
                <w:szCs w:val="18"/>
              </w:rPr>
              <w:t>入</w:t>
            </w:r>
            <w:r>
              <w:rPr>
                <w:rFonts w:ascii="宋体" w:hAnsi="宋体" w:cs="宋体" w:eastAsia="宋体" w:hint="default"/>
                <w:spacing w:val="-65"/>
                <w:sz w:val="18"/>
                <w:szCs w:val="18"/>
              </w:rPr>
              <w:t> </w:t>
            </w:r>
            <w:r>
              <w:rPr>
                <w:rFonts w:ascii="宋体" w:hAnsi="宋体" w:cs="宋体" w:eastAsia="宋体" w:hint="default"/>
                <w:sz w:val="18"/>
                <w:szCs w:val="18"/>
              </w:rPr>
              <w:t>减</w:t>
            </w:r>
            <w:r>
              <w:rPr>
                <w:rFonts w:ascii="宋体" w:hAnsi="宋体" w:cs="宋体" w:eastAsia="宋体" w:hint="default"/>
                <w:spacing w:val="-68"/>
                <w:sz w:val="18"/>
                <w:szCs w:val="18"/>
              </w:rPr>
              <w:t> </w:t>
            </w:r>
            <w:r>
              <w:rPr>
                <w:rFonts w:ascii="宋体" w:hAnsi="宋体" w:cs="宋体" w:eastAsia="宋体" w:hint="default"/>
                <w:sz w:val="18"/>
                <w:szCs w:val="18"/>
              </w:rPr>
              <w:t>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2,341,154.17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元，重分类至资产处置收益。</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spacing w:line="372" w:lineRule="auto" w:before="0"/>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4"/>
          <w:szCs w:val="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8"/>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518"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8"/>
        <w:ind w:right="0"/>
        <w:jc w:val="left"/>
      </w:pPr>
      <w:r>
        <w:rPr/>
        <w:t>存在不同企业所得税税率纳税主体的，披露情况说明</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52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52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bl>
    <w:p>
      <w:pPr>
        <w:pStyle w:val="Heading3"/>
        <w:spacing w:line="240" w:lineRule="auto" w:before="38"/>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300" w:lineRule="auto" w:before="198"/>
        <w:ind w:right="160" w:firstLine="454"/>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日取得高新技术企业证书（证书编号</w:t>
      </w:r>
      <w:r>
        <w:rPr>
          <w:rFonts w:ascii="Times New Roman" w:hAnsi="Times New Roman" w:cs="Times New Roman" w:eastAsia="Times New Roman" w:hint="default"/>
        </w:rPr>
        <w:t>GR201735000170</w:t>
      </w:r>
      <w:r>
        <w:rPr/>
        <w:t>），认定有效期为</w:t>
      </w:r>
      <w:r>
        <w:rPr>
          <w:rFonts w:ascii="Times New Roman" w:hAnsi="Times New Roman" w:cs="Times New Roman" w:eastAsia="Times New Roman" w:hint="default"/>
        </w:rPr>
        <w:t>3</w:t>
      </w:r>
      <w:r>
        <w:rPr/>
        <w:t>年。根据国家对高新技 术企业的相关税收政策，公司自获得高新技术企业认定后三年内（</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年），所得税税率减按</w:t>
      </w:r>
      <w:r>
        <w:rPr>
          <w:rFonts w:ascii="Times New Roman" w:hAnsi="Times New Roman" w:cs="Times New Roman" w:eastAsia="Times New Roman" w:hint="default"/>
        </w:rPr>
        <w:t>15</w:t>
      </w:r>
      <w:r>
        <w:rPr/>
        <w:t>％征收。</w:t>
      </w:r>
    </w:p>
    <w:p>
      <w:pPr>
        <w:pStyle w:val="Heading3"/>
        <w:spacing w:line="240" w:lineRule="auto" w:before="148"/>
        <w:ind w:right="0"/>
        <w:jc w:val="left"/>
        <w:rPr>
          <w:b w:val="0"/>
          <w:bCs w:val="0"/>
        </w:rPr>
      </w:pPr>
      <w:r>
        <w:rPr>
          <w:rFonts w:ascii="Times New Roman" w:hAnsi="Times New Roman" w:cs="Times New Roman" w:eastAsia="Times New Roman" w:hint="default"/>
        </w:rPr>
        <w:t>3</w:t>
      </w:r>
      <w:r>
        <w:rPr/>
        <w:t>、其他</w:t>
      </w:r>
      <w:r>
        <w:rPr>
          <w:b w:val="0"/>
          <w:bCs w:val="0"/>
        </w:rPr>
      </w:r>
    </w:p>
    <w:p>
      <w:pPr>
        <w:pStyle w:val="BodyText"/>
        <w:spacing w:line="240" w:lineRule="auto" w:before="198"/>
        <w:ind w:right="0"/>
        <w:jc w:val="left"/>
      </w:pPr>
      <w:r>
        <w:rPr/>
        <w:t>无</w:t>
      </w:r>
    </w:p>
    <w:p>
      <w:pPr>
        <w:spacing w:after="0" w:line="240" w:lineRule="auto"/>
        <w:jc w:val="left"/>
        <w:sectPr>
          <w:pgSz w:w="11910" w:h="16840"/>
          <w:pgMar w:header="852" w:footer="979" w:top="1220" w:bottom="1160" w:left="980" w:right="980"/>
        </w:sectPr>
      </w:pPr>
    </w:p>
    <w:p>
      <w:pPr>
        <w:spacing w:line="240" w:lineRule="auto" w:before="7"/>
        <w:rPr>
          <w:rFonts w:ascii="宋体" w:hAnsi="宋体" w:cs="宋体" w:eastAsia="宋体" w:hint="default"/>
          <w:sz w:val="11"/>
          <w:szCs w:val="11"/>
        </w:rPr>
      </w:pPr>
    </w:p>
    <w:p>
      <w:pPr>
        <w:pStyle w:val="Heading2"/>
        <w:spacing w:line="240" w:lineRule="auto" w:before="26"/>
        <w:ind w:right="359"/>
        <w:jc w:val="left"/>
        <w:rPr>
          <w:b w:val="0"/>
          <w:bCs w:val="0"/>
        </w:rPr>
      </w:pPr>
      <w:r>
        <w:rPr/>
        <w:t>七、合并财务报表项目注释</w:t>
      </w:r>
      <w:r>
        <w:rPr>
          <w:b w:val="0"/>
          <w:bCs w:val="0"/>
        </w:rPr>
      </w:r>
    </w:p>
    <w:p>
      <w:pPr>
        <w:pStyle w:val="Heading3"/>
        <w:spacing w:line="240" w:lineRule="auto" w:before="181"/>
        <w:ind w:right="35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23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w w:val="95"/>
                <w:sz w:val="18"/>
              </w:rPr>
              <w:t>11,592.08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16,592.08</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184,745,887.00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81,870,834.37</w:t>
            </w:r>
          </w:p>
        </w:tc>
      </w:tr>
      <w:tr>
        <w:trPr>
          <w:trHeight w:val="52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17,859,537.77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35,218,730.05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202,617,016.85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117,106,156.50</w:t>
            </w:r>
          </w:p>
        </w:tc>
      </w:tr>
    </w:tbl>
    <w:p>
      <w:pPr>
        <w:pStyle w:val="BodyText"/>
        <w:spacing w:line="240" w:lineRule="auto" w:before="58"/>
        <w:ind w:right="359"/>
        <w:jc w:val="left"/>
      </w:pPr>
      <w:r>
        <w:rPr/>
        <w:t>其他说明</w:t>
      </w:r>
    </w:p>
    <w:p>
      <w:pPr>
        <w:spacing w:line="240" w:lineRule="auto" w:before="2"/>
        <w:rPr>
          <w:rFonts w:ascii="宋体" w:hAnsi="宋体" w:cs="宋体" w:eastAsia="宋体" w:hint="default"/>
          <w:sz w:val="16"/>
          <w:szCs w:val="16"/>
        </w:rPr>
      </w:pPr>
    </w:p>
    <w:p>
      <w:pPr>
        <w:pStyle w:val="Heading4"/>
        <w:spacing w:line="240" w:lineRule="auto"/>
        <w:ind w:left="866" w:right="359"/>
        <w:jc w:val="left"/>
      </w:pPr>
      <w:r>
        <w:rPr/>
        <w:t>其中受到限制的货币资金明细如下：</w:t>
      </w:r>
    </w:p>
    <w:p>
      <w:pPr>
        <w:spacing w:line="240" w:lineRule="auto" w:before="9"/>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3338"/>
        <w:gridCol w:w="3149"/>
        <w:gridCol w:w="3260"/>
      </w:tblGrid>
      <w:tr>
        <w:trPr>
          <w:trHeight w:val="528" w:hRule="exact"/>
        </w:trPr>
        <w:tc>
          <w:tcPr>
            <w:tcW w:w="3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28" w:hRule="exact"/>
        </w:trPr>
        <w:tc>
          <w:tcPr>
            <w:tcW w:w="3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0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16,735,713.77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10,647,731.46</w:t>
            </w:r>
          </w:p>
        </w:tc>
      </w:tr>
      <w:tr>
        <w:trPr>
          <w:trHeight w:val="528" w:hRule="exact"/>
        </w:trPr>
        <w:tc>
          <w:tcPr>
            <w:tcW w:w="3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0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1,113,824.00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24,560,998.59</w:t>
            </w:r>
          </w:p>
        </w:tc>
      </w:tr>
      <w:tr>
        <w:trPr>
          <w:trHeight w:val="528" w:hRule="exact"/>
        </w:trPr>
        <w:tc>
          <w:tcPr>
            <w:tcW w:w="3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21"/>
                <w:szCs w:val="21"/>
              </w:rPr>
            </w:pPr>
            <w:r>
              <w:rPr>
                <w:rFonts w:ascii="Times New Roman"/>
                <w:spacing w:val="-1"/>
                <w:sz w:val="21"/>
              </w:rPr>
              <w:t>17,849,537.77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35,208,730.05</w:t>
            </w:r>
          </w:p>
        </w:tc>
      </w:tr>
    </w:tbl>
    <w:p>
      <w:pPr>
        <w:pStyle w:val="BodyText"/>
        <w:spacing w:line="300" w:lineRule="auto" w:before="58"/>
        <w:ind w:right="359" w:firstLine="36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16,735,713.77</w:t>
      </w:r>
      <w:r>
        <w:rPr/>
        <w:t>元为本公司向银行申请开具无条件、不可撤销的担保函所 存入的保证金存款。</w:t>
      </w:r>
    </w:p>
    <w:p>
      <w:pPr>
        <w:spacing w:line="240" w:lineRule="auto" w:before="10"/>
        <w:rPr>
          <w:rFonts w:ascii="宋体" w:hAnsi="宋体" w:cs="宋体" w:eastAsia="宋体" w:hint="default"/>
          <w:sz w:val="12"/>
          <w:szCs w:val="12"/>
        </w:rPr>
      </w:pPr>
    </w:p>
    <w:p>
      <w:pPr>
        <w:pStyle w:val="Heading3"/>
        <w:spacing w:line="240" w:lineRule="auto"/>
        <w:ind w:right="359"/>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pStyle w:val="BodyText"/>
        <w:spacing w:line="240" w:lineRule="auto" w:before="198"/>
        <w:ind w:left="0" w:right="23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359"/>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359"/>
        <w:jc w:val="left"/>
        <w:rPr>
          <w:b w:val="0"/>
          <w:bCs w:val="0"/>
        </w:rPr>
      </w:pPr>
      <w:r>
        <w:rPr>
          <w:rFonts w:ascii="Times New Roman" w:hAnsi="Times New Roman" w:cs="Times New Roman" w:eastAsia="Times New Roman" w:hint="default"/>
        </w:rPr>
        <w:t>3</w:t>
      </w:r>
      <w:r>
        <w:rPr/>
        <w:t>、衍生金融资产</w:t>
      </w:r>
      <w:r>
        <w:rPr>
          <w:b w:val="0"/>
          <w:bCs w:val="0"/>
        </w:rPr>
      </w:r>
    </w:p>
    <w:p>
      <w:pPr>
        <w:pStyle w:val="BodyText"/>
        <w:spacing w:line="240" w:lineRule="auto" w:before="198"/>
        <w:ind w:right="359"/>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359"/>
        <w:jc w:val="left"/>
        <w:rPr>
          <w:b w:val="0"/>
          <w:bCs w:val="0"/>
        </w:rPr>
      </w:pPr>
      <w:r>
        <w:rPr>
          <w:rFonts w:ascii="Times New Roman" w:hAnsi="Times New Roman" w:cs="Times New Roman" w:eastAsia="Times New Roman" w:hint="default"/>
        </w:rPr>
        <w:t>4</w:t>
      </w:r>
      <w:r>
        <w:rPr/>
        <w:t>、应收票据</w:t>
      </w:r>
      <w:r>
        <w:rPr>
          <w:b w:val="0"/>
          <w:bCs w:val="0"/>
        </w:rPr>
      </w:r>
    </w:p>
    <w:p>
      <w:pPr>
        <w:pStyle w:val="Heading3"/>
        <w:spacing w:line="240" w:lineRule="auto" w:before="177"/>
        <w:ind w:right="359"/>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23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43,994,047.00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43,994,047.00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0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53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5,247,436.90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5,247,436.90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53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52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33"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4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320,144,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880.87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98.83%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25,336,8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38.73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294,808,0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250,539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,457.36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98.51%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18,215,33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7.27%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232,324,11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8.86</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3,777,51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2,519,69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66.70%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1,257,825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3,777,5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3,777,515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 w:right="0"/>
              <w:jc w:val="center"/>
              <w:rPr>
                <w:rFonts w:ascii="Times New Roman" w:hAnsi="Times New Roman" w:cs="Times New Roman" w:eastAsia="Times New Roman" w:hint="default"/>
                <w:sz w:val="18"/>
                <w:szCs w:val="18"/>
              </w:rPr>
            </w:pPr>
            <w:r>
              <w:rPr>
                <w:rFonts w:ascii="Times New Roman"/>
                <w:sz w:val="18"/>
              </w:rPr>
              <w:t>323,922,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395.96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left"/>
              <w:rPr>
                <w:rFonts w:ascii="Times New Roman" w:hAnsi="Times New Roman" w:cs="Times New Roman" w:eastAsia="Times New Roman" w:hint="default"/>
                <w:sz w:val="18"/>
                <w:szCs w:val="18"/>
              </w:rPr>
            </w:pPr>
            <w:r>
              <w:rPr>
                <w:rFonts w:ascii="Times New Roman"/>
                <w:sz w:val="18"/>
              </w:rPr>
              <w:t>27,856,5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28.82</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296,065,8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67.14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 w:right="0"/>
              <w:jc w:val="left"/>
              <w:rPr>
                <w:rFonts w:ascii="Times New Roman" w:hAnsi="Times New Roman" w:cs="Times New Roman" w:eastAsia="Times New Roman" w:hint="default"/>
                <w:sz w:val="18"/>
                <w:szCs w:val="18"/>
              </w:rPr>
            </w:pPr>
            <w:r>
              <w:rPr>
                <w:rFonts w:ascii="Times New Roman"/>
                <w:sz w:val="18"/>
              </w:rPr>
              <w:t>254,316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,972.45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left"/>
              <w:rPr>
                <w:rFonts w:ascii="Times New Roman" w:hAnsi="Times New Roman" w:cs="Times New Roman" w:eastAsia="Times New Roman" w:hint="default"/>
                <w:sz w:val="18"/>
                <w:szCs w:val="18"/>
              </w:rPr>
            </w:pPr>
            <w:r>
              <w:rPr>
                <w:rFonts w:ascii="Times New Roman"/>
                <w:sz w:val="18"/>
              </w:rPr>
              <w:t>21,992,85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3.59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232,324,11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8.86</w:t>
            </w:r>
          </w:p>
        </w:tc>
      </w:tr>
    </w:tbl>
    <w:p>
      <w:pPr>
        <w:pStyle w:val="BodyText"/>
        <w:spacing w:line="240" w:lineRule="auto" w:before="58"/>
        <w:ind w:right="0"/>
        <w:jc w:val="left"/>
      </w:pPr>
      <w:r>
        <w:rPr/>
        <w:t>期末单项金额重大并单项计提坏账准备的应收账款：</w:t>
      </w:r>
    </w:p>
    <w:p>
      <w:pPr>
        <w:spacing w:line="240" w:lineRule="auto" w:before="10"/>
        <w:rPr>
          <w:rFonts w:ascii="宋体" w:hAnsi="宋体" w:cs="宋体" w:eastAsia="宋体" w:hint="default"/>
          <w:sz w:val="17"/>
          <w:szCs w:val="17"/>
        </w:rPr>
      </w:pPr>
    </w:p>
    <w:p>
      <w:pPr>
        <w:pStyle w:val="BodyText"/>
        <w:spacing w:line="477" w:lineRule="auto"/>
        <w:ind w:right="5814"/>
        <w:jc w:val="left"/>
      </w:pPr>
      <w:r>
        <w:rPr/>
        <w:t>□ 适用 √</w:t>
      </w:r>
      <w:r>
        <w:rPr>
          <w:spacing w:val="3"/>
        </w:rPr>
        <w:t> </w:t>
      </w:r>
      <w:r>
        <w:rPr/>
        <w:t>不适用</w:t>
      </w:r>
      <w:r>
        <w:rPr/>
        <w:t> 组合中，按账龄分析法计提坏账准备的应收账款：</w:t>
      </w:r>
    </w:p>
    <w:p>
      <w:pPr>
        <w:pStyle w:val="BodyText"/>
        <w:spacing w:line="240" w:lineRule="auto" w:before="55"/>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8"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250,360,765.71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12,518,038.30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53,402,753.91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5,340,275.39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10,261,340.41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3,078,402.12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2,545,285.84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1,272,642.92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2,236,275.00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1,789,020.00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80.00%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1,338,460.00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1,338,460.00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320,144,880.87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25,336,838.73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58"/>
        <w:ind w:right="7794"/>
        <w:jc w:val="left"/>
      </w:pPr>
      <w:r>
        <w:rPr/>
        <w:t>确定该组合依据的说明： 无</w:t>
      </w:r>
    </w:p>
    <w:p>
      <w:pPr>
        <w:pStyle w:val="BodyText"/>
        <w:spacing w:line="240" w:lineRule="auto" w:before="54"/>
        <w:ind w:right="0"/>
        <w:jc w:val="left"/>
      </w:pPr>
      <w:r>
        <w:rPr/>
        <w:t>组合中，采用余额百分比法计提坏账准备的应收账款：</w:t>
      </w:r>
    </w:p>
    <w:p>
      <w:pPr>
        <w:spacing w:line="240" w:lineRule="auto" w:before="10"/>
        <w:rPr>
          <w:rFonts w:ascii="宋体" w:hAnsi="宋体" w:cs="宋体" w:eastAsia="宋体" w:hint="default"/>
          <w:sz w:val="17"/>
          <w:szCs w:val="17"/>
        </w:rPr>
      </w:pPr>
    </w:p>
    <w:p>
      <w:pPr>
        <w:pStyle w:val="BodyText"/>
        <w:spacing w:line="477" w:lineRule="auto"/>
        <w:ind w:right="5814"/>
        <w:jc w:val="left"/>
      </w:pPr>
      <w:r>
        <w:rPr/>
        <w:t>□ 适用 √</w:t>
      </w:r>
      <w:r>
        <w:rPr>
          <w:spacing w:val="3"/>
        </w:rPr>
        <w:t> </w:t>
      </w:r>
      <w:r>
        <w:rPr/>
        <w:t>不适用</w:t>
      </w:r>
      <w:r>
        <w:rPr/>
        <w:t> 组合中，采用其他方法计提坏账准备的应收账款：</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451" w:lineRule="auto" w:before="198"/>
        <w:ind w:right="2849"/>
        <w:jc w:val="left"/>
      </w:pPr>
      <w:r>
        <w:rPr/>
        <w:t>本期计提坏账准备金额</w:t>
      </w:r>
      <w:r>
        <w:rPr>
          <w:spacing w:val="-47"/>
        </w:rPr>
        <w:t> </w:t>
      </w:r>
      <w:r>
        <w:rPr>
          <w:rFonts w:ascii="Times New Roman" w:hAnsi="Times New Roman" w:cs="Times New Roman" w:eastAsia="Times New Roman" w:hint="default"/>
        </w:rPr>
        <w:t>7,121,500.23 </w:t>
      </w:r>
      <w:r>
        <w:rPr/>
        <w:t>元；本期收回或转回坏账准备金额</w:t>
      </w:r>
      <w:r>
        <w:rPr>
          <w:spacing w:val="-48"/>
        </w:rPr>
        <w:t> </w:t>
      </w:r>
      <w:r>
        <w:rPr>
          <w:rFonts w:ascii="Times New Roman" w:hAnsi="Times New Roman" w:cs="Times New Roman" w:eastAsia="Times New Roman" w:hint="default"/>
        </w:rPr>
        <w:t>1,257,825.00 </w:t>
      </w:r>
      <w:r>
        <w:rPr/>
        <w:t>元。 其中本期坏账准备收回或转回金额重要的：</w:t>
      </w:r>
    </w:p>
    <w:p>
      <w:pPr>
        <w:pStyle w:val="BodyText"/>
        <w:spacing w:line="240" w:lineRule="auto" w:before="7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福建鑫海冶金有限公司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1,257,825.00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1,257,825.00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359"/>
        <w:jc w:val="left"/>
      </w:pPr>
      <w:r>
        <w:rPr/>
        <w:t>该公司破产重整，根据民事裁定书裁定结果转回，公司于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日，收到该笔转回金额</w:t>
      </w:r>
      <w:r>
        <w:rPr>
          <w:rFonts w:ascii="Times New Roman" w:hAnsi="Times New Roman" w:cs="Times New Roman" w:eastAsia="Times New Roman" w:hint="default"/>
        </w:rPr>
        <w:t>1,257,825.00</w:t>
      </w:r>
      <w:r>
        <w:rPr/>
        <w:t>元</w:t>
      </w:r>
    </w:p>
    <w:p>
      <w:pPr>
        <w:spacing w:line="240" w:lineRule="auto" w:before="2"/>
        <w:rPr>
          <w:rFonts w:ascii="宋体" w:hAnsi="宋体" w:cs="宋体" w:eastAsia="宋体" w:hint="default"/>
          <w:sz w:val="15"/>
          <w:szCs w:val="15"/>
        </w:rPr>
      </w:pPr>
    </w:p>
    <w:p>
      <w:pPr>
        <w:pStyle w:val="Heading3"/>
        <w:spacing w:line="240" w:lineRule="auto"/>
        <w:ind w:right="359"/>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23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8"/>
        <w:ind w:right="359"/>
        <w:jc w:val="left"/>
      </w:pPr>
      <w:r>
        <w:rPr/>
        <w:t>其中重要的应收账款核销情况：</w:t>
      </w:r>
    </w:p>
    <w:p>
      <w:pPr>
        <w:spacing w:line="240" w:lineRule="auto" w:before="5"/>
        <w:rPr>
          <w:rFonts w:ascii="宋体" w:hAnsi="宋体" w:cs="宋体" w:eastAsia="宋体" w:hint="default"/>
          <w:sz w:val="14"/>
          <w:szCs w:val="14"/>
        </w:rPr>
      </w:pPr>
    </w:p>
    <w:p>
      <w:pPr>
        <w:pStyle w:val="BodyText"/>
        <w:spacing w:line="240" w:lineRule="auto" w:before="44"/>
        <w:ind w:left="0" w:right="23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84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525"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8"/>
        <w:ind w:right="359"/>
        <w:jc w:val="left"/>
      </w:pPr>
      <w:r>
        <w:rPr/>
        <w:t>应收账款核销说明：</w:t>
      </w:r>
    </w:p>
    <w:p>
      <w:pPr>
        <w:spacing w:line="240" w:lineRule="auto" w:before="2"/>
        <w:rPr>
          <w:rFonts w:ascii="宋体" w:hAnsi="宋体" w:cs="宋体" w:eastAsia="宋体" w:hint="default"/>
          <w:sz w:val="16"/>
          <w:szCs w:val="16"/>
        </w:rPr>
      </w:pPr>
    </w:p>
    <w:p>
      <w:pPr>
        <w:pStyle w:val="Heading3"/>
        <w:spacing w:line="240" w:lineRule="auto"/>
        <w:ind w:right="359"/>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pStyle w:val="BodyText"/>
        <w:spacing w:line="477" w:lineRule="auto" w:before="198"/>
        <w:ind w:right="6794"/>
        <w:jc w:val="left"/>
      </w:pPr>
      <w:r>
        <w:rPr/>
        <w:t>公司是否需要遵守特殊行业的披露要求 否</w:t>
      </w:r>
    </w:p>
    <w:p>
      <w:pPr>
        <w:spacing w:line="240" w:lineRule="auto" w:before="7"/>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369"/>
        <w:gridCol w:w="2268"/>
        <w:gridCol w:w="1985"/>
        <w:gridCol w:w="2125"/>
      </w:tblGrid>
      <w:tr>
        <w:trPr>
          <w:trHeight w:val="528" w:hRule="exact"/>
        </w:trPr>
        <w:tc>
          <w:tcPr>
            <w:tcW w:w="33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7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40" w:hRule="exact"/>
        </w:trPr>
        <w:tc>
          <w:tcPr>
            <w:tcW w:w="3369" w:type="dxa"/>
            <w:vMerge/>
            <w:tcBorders>
              <w:left w:val="single" w:sz="4" w:space="0" w:color="000000"/>
              <w:bottom w:val="single" w:sz="4" w:space="0" w:color="000000"/>
              <w:right w:val="single" w:sz="4" w:space="0" w:color="000000"/>
            </w:tcBorders>
            <w:shd w:val="clear" w:color="auto" w:fill="D9D9D9"/>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应收账款（元）</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672" w:right="17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2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坏账准备（元）</w:t>
            </w:r>
          </w:p>
        </w:tc>
      </w:tr>
      <w:tr>
        <w:trPr>
          <w:trHeight w:val="528"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30,635,056.57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9.46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2,443,026.03</w:t>
            </w:r>
          </w:p>
        </w:tc>
      </w:tr>
      <w:tr>
        <w:trPr>
          <w:trHeight w:val="528"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22,144,542.07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6.84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1,120,354.46</w:t>
            </w:r>
          </w:p>
        </w:tc>
      </w:tr>
      <w:tr>
        <w:trPr>
          <w:trHeight w:val="529"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上海电气燃气轮机有限公司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20,070,886.79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6.20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1,038,938.68</w:t>
            </w:r>
          </w:p>
        </w:tc>
      </w:tr>
      <w:tr>
        <w:trPr>
          <w:trHeight w:val="528"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17,523,630.19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5.41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1,383,657.36</w:t>
            </w:r>
          </w:p>
        </w:tc>
      </w:tr>
      <w:tr>
        <w:trPr>
          <w:trHeight w:val="528"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国网福建省电力有限公司漳州供电公司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14,277,330.49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4.41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869,509.28</w:t>
            </w:r>
          </w:p>
        </w:tc>
      </w:tr>
      <w:tr>
        <w:trPr>
          <w:trHeight w:val="528"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104,651,446.11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32.32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6,855,485.81</w:t>
            </w:r>
          </w:p>
        </w:tc>
      </w:tr>
    </w:tbl>
    <w:p>
      <w:pPr>
        <w:pStyle w:val="Heading3"/>
        <w:spacing w:line="240" w:lineRule="auto" w:before="38"/>
        <w:ind w:right="359"/>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pStyle w:val="BodyText"/>
        <w:spacing w:line="240" w:lineRule="auto" w:before="198"/>
        <w:ind w:right="359"/>
        <w:jc w:val="left"/>
      </w:pPr>
      <w:r>
        <w:rPr/>
        <w:t>无</w:t>
      </w:r>
    </w:p>
    <w:p>
      <w:pPr>
        <w:spacing w:line="240" w:lineRule="auto" w:before="2"/>
        <w:rPr>
          <w:rFonts w:ascii="宋体" w:hAnsi="宋体" w:cs="宋体" w:eastAsia="宋体" w:hint="default"/>
          <w:sz w:val="16"/>
          <w:szCs w:val="16"/>
        </w:rPr>
      </w:pPr>
    </w:p>
    <w:p>
      <w:pPr>
        <w:pStyle w:val="Heading3"/>
        <w:spacing w:line="240" w:lineRule="auto"/>
        <w:ind w:right="359"/>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359"/>
        <w:jc w:val="left"/>
      </w:pPr>
      <w:r>
        <w:rPr/>
        <w:t>无</w:t>
      </w:r>
    </w:p>
    <w:p>
      <w:pPr>
        <w:spacing w:after="0" w:line="240" w:lineRule="auto"/>
        <w:jc w:val="left"/>
        <w:sectPr>
          <w:pgSz w:w="11910" w:h="16840"/>
          <w:pgMar w:header="852" w:footer="979" w:top="1220" w:bottom="1160" w:left="980" w:right="900"/>
        </w:sectPr>
      </w:pPr>
    </w:p>
    <w:p>
      <w:pPr>
        <w:spacing w:line="240" w:lineRule="auto" w:before="11"/>
        <w:rPr>
          <w:rFonts w:ascii="宋体" w:hAnsi="宋体" w:cs="宋体" w:eastAsia="宋体" w:hint="default"/>
          <w:sz w:val="13"/>
          <w:szCs w:val="13"/>
        </w:rPr>
      </w:pPr>
    </w:p>
    <w:p>
      <w:pPr>
        <w:pStyle w:val="BodyText"/>
        <w:spacing w:line="477" w:lineRule="auto" w:before="44"/>
        <w:ind w:right="8874"/>
        <w:jc w:val="left"/>
      </w:pPr>
      <w:r>
        <w:rPr/>
        <w:t>其他说明： 无</w:t>
      </w:r>
    </w:p>
    <w:p>
      <w:pPr>
        <w:pStyle w:val="Heading3"/>
        <w:spacing w:line="240" w:lineRule="auto" w:before="33"/>
        <w:ind w:right="0"/>
        <w:jc w:val="left"/>
        <w:rPr>
          <w:b w:val="0"/>
          <w:bCs w:val="0"/>
        </w:rPr>
      </w:pPr>
      <w:r>
        <w:rPr>
          <w:rFonts w:ascii="Times New Roman" w:hAnsi="Times New Roman" w:cs="Times New Roman" w:eastAsia="Times New Roman" w:hint="default"/>
        </w:rPr>
        <w:t>6</w:t>
      </w:r>
      <w:r>
        <w:rPr/>
        <w:t>、预付款项</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52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2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7,055,353.34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98.50%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16,992,042.33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93.81%</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47,140.00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1,120,877.34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6.19%</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60,500.00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7,162,993.34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18,112,919.67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4785"/>
        <w:gridCol w:w="2554"/>
        <w:gridCol w:w="2269"/>
      </w:tblGrid>
      <w:tr>
        <w:trPr>
          <w:trHeight w:val="835"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694" w:right="137" w:hanging="55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p>
        </w:tc>
      </w:tr>
      <w:tr>
        <w:trPr>
          <w:trHeight w:val="533"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福建福船一帆新能源装备制造有限公司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4,808,588.00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67.13</w:t>
            </w:r>
          </w:p>
        </w:tc>
      </w:tr>
      <w:tr>
        <w:trPr>
          <w:trHeight w:val="5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宁波天安（集团）股份有限公司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1,370,562.40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19.13</w:t>
            </w:r>
          </w:p>
        </w:tc>
      </w:tr>
      <w:tr>
        <w:trPr>
          <w:trHeight w:val="5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国网福建招标有限公司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421,545.00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5.89</w:t>
            </w:r>
          </w:p>
        </w:tc>
      </w:tr>
      <w:tr>
        <w:trPr>
          <w:trHeight w:val="5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福州福大智创电力科技有限公司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136,975.86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1.91</w:t>
            </w:r>
          </w:p>
        </w:tc>
      </w:tr>
      <w:tr>
        <w:trPr>
          <w:trHeight w:val="529"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厦门优氏贸易有限公司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66,759.00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0.93</w:t>
            </w:r>
          </w:p>
        </w:tc>
      </w:tr>
      <w:tr>
        <w:trPr>
          <w:trHeight w:val="5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6,804,430.26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94.99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477" w:lineRule="auto" w:before="44"/>
        <w:ind w:right="8874"/>
        <w:jc w:val="left"/>
      </w:pPr>
      <w:r>
        <w:rPr/>
        <w:t>其他说明： 无</w:t>
      </w:r>
    </w:p>
    <w:p>
      <w:pPr>
        <w:pStyle w:val="Heading3"/>
        <w:spacing w:line="240" w:lineRule="auto" w:before="33"/>
        <w:ind w:right="0"/>
        <w:jc w:val="left"/>
        <w:rPr>
          <w:b w:val="0"/>
          <w:bCs w:val="0"/>
        </w:rPr>
      </w:pPr>
      <w:r>
        <w:rPr>
          <w:rFonts w:ascii="Times New Roman" w:hAnsi="Times New Roman" w:cs="Times New Roman" w:eastAsia="Times New Roman" w:hint="default"/>
        </w:rPr>
        <w:t>7</w:t>
      </w:r>
      <w:r>
        <w:rPr/>
        <w:t>、应收利息</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84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73" w:right="48"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84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73" w:right="48"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52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33"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4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5,193,53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4,675,266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7,282,4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6,666,442.4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84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5,193,53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518,272.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4,675,266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 w:right="0"/>
              <w:jc w:val="center"/>
              <w:rPr>
                <w:rFonts w:ascii="Times New Roman" w:hAnsi="Times New Roman" w:cs="Times New Roman" w:eastAsia="Times New Roman" w:hint="default"/>
                <w:sz w:val="18"/>
                <w:szCs w:val="18"/>
              </w:rPr>
            </w:pPr>
            <w:r>
              <w:rPr>
                <w:rFonts w:ascii="Times New Roman"/>
                <w:sz w:val="18"/>
              </w:rPr>
              <w:t>7,282,4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616,056.3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6,666,442.4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8"/>
        <w:ind w:right="0"/>
        <w:jc w:val="left"/>
      </w:pPr>
      <w:r>
        <w:rPr/>
        <w:t>期末单项金额重大并单项计提坏账准备的其他应收款：</w:t>
      </w:r>
    </w:p>
    <w:p>
      <w:pPr>
        <w:spacing w:line="240" w:lineRule="auto" w:before="10"/>
        <w:rPr>
          <w:rFonts w:ascii="宋体" w:hAnsi="宋体" w:cs="宋体" w:eastAsia="宋体" w:hint="default"/>
          <w:sz w:val="17"/>
          <w:szCs w:val="17"/>
        </w:rPr>
      </w:pPr>
    </w:p>
    <w:p>
      <w:pPr>
        <w:pStyle w:val="BodyText"/>
        <w:spacing w:line="477" w:lineRule="auto"/>
        <w:ind w:right="5634"/>
        <w:jc w:val="left"/>
      </w:pPr>
      <w:r>
        <w:rPr/>
        <w:t>□ 适用 √</w:t>
      </w:r>
      <w:r>
        <w:rPr>
          <w:spacing w:val="3"/>
        </w:rPr>
        <w:t> </w:t>
      </w:r>
      <w:r>
        <w:rPr/>
        <w:t>不适用</w:t>
      </w:r>
      <w:r>
        <w:rPr/>
        <w:t> 组合中，按账龄分析法计提坏账准备的其他应收款：</w:t>
      </w:r>
    </w:p>
    <w:p>
      <w:pPr>
        <w:pStyle w:val="BodyText"/>
        <w:spacing w:line="240" w:lineRule="auto" w:before="54"/>
        <w:ind w:right="0"/>
        <w:jc w:val="left"/>
      </w:pPr>
      <w:r>
        <w:rPr/>
        <w:t>√ 适用 □</w:t>
      </w:r>
      <w:r>
        <w:rPr>
          <w:spacing w:val="3"/>
        </w:rPr>
        <w:t> </w:t>
      </w:r>
      <w:r>
        <w:rPr/>
        <w:t>不适用</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8"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4,539,646.86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226,982.34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259,046.41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25,904.64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10.00%</w:t>
            </w:r>
          </w:p>
        </w:tc>
      </w:tr>
      <w:tr>
        <w:trPr>
          <w:trHeight w:val="52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63,188.00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18,956.40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165,226.00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82,613.00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13,080.00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10,464.00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80.00%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153,352.00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153,352.00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5,193,539.27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518,272.38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58"/>
        <w:ind w:right="7794"/>
        <w:jc w:val="left"/>
      </w:pPr>
      <w:r>
        <w:rPr/>
        <w:t>确定该组合依据的说明： 无</w:t>
      </w:r>
    </w:p>
    <w:p>
      <w:pPr>
        <w:pStyle w:val="BodyText"/>
        <w:spacing w:line="240" w:lineRule="auto" w:before="54"/>
        <w:ind w:right="0"/>
        <w:jc w:val="left"/>
      </w:pPr>
      <w:r>
        <w:rPr/>
        <w:t>组合中，采用余额百分比法计提坏账准备的其他应收款：</w:t>
      </w:r>
    </w:p>
    <w:p>
      <w:pPr>
        <w:spacing w:line="240" w:lineRule="auto" w:before="10"/>
        <w:rPr>
          <w:rFonts w:ascii="宋体" w:hAnsi="宋体" w:cs="宋体" w:eastAsia="宋体" w:hint="default"/>
          <w:sz w:val="17"/>
          <w:szCs w:val="17"/>
        </w:rPr>
      </w:pPr>
    </w:p>
    <w:p>
      <w:pPr>
        <w:pStyle w:val="BodyText"/>
        <w:spacing w:line="477" w:lineRule="auto"/>
        <w:ind w:right="5634"/>
        <w:jc w:val="left"/>
      </w:pPr>
      <w:r>
        <w:rPr/>
        <w:t>□ 适用 √</w:t>
      </w:r>
      <w:r>
        <w:rPr>
          <w:spacing w:val="3"/>
        </w:rPr>
        <w:t> </w:t>
      </w:r>
      <w:r>
        <w:rPr/>
        <w:t>不适用</w:t>
      </w:r>
      <w:r>
        <w:rPr/>
        <w:t> 组合中，采用其他方法计提坏账准备的其他应收款：</w:t>
      </w:r>
    </w:p>
    <w:p>
      <w:pPr>
        <w:pStyle w:val="BodyText"/>
        <w:spacing w:line="240" w:lineRule="auto" w:before="54"/>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451" w:lineRule="auto" w:before="198"/>
        <w:ind w:right="3685"/>
        <w:jc w:val="left"/>
      </w:pPr>
      <w:r>
        <w:rPr/>
        <w:t>本期计提坏账准备金额</w:t>
      </w:r>
      <w:r>
        <w:rPr>
          <w:rFonts w:ascii="Times New Roman" w:hAnsi="Times New Roman" w:cs="Times New Roman" w:eastAsia="Times New Roman" w:hint="default"/>
        </w:rPr>
        <w:t>-97,783.97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7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2"/>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8"/>
        <w:ind w:right="0"/>
        <w:jc w:val="left"/>
      </w:pPr>
      <w:r>
        <w:rPr/>
        <w:t>其中重要的其他应收款核销情况：</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84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8"/>
        <w:ind w:right="0"/>
        <w:jc w:val="left"/>
      </w:pPr>
      <w:r>
        <w:rPr/>
        <w:t>其他应收款核销说明：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2,978,214.00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3,197,400.00</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1,204,488.46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190,147.00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609,824.52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949,413.55</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263,108.79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2,752,443.23</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70,950.00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70,950.00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109,200.00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52,953.50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12,945.00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5,193,539.27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7,282,498.78</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84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15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both"/>
              <w:rPr>
                <w:rFonts w:ascii="宋体" w:hAnsi="宋体" w:cs="宋体" w:eastAsia="宋体" w:hint="default"/>
                <w:sz w:val="18"/>
                <w:szCs w:val="18"/>
              </w:rPr>
            </w:pPr>
            <w:r>
              <w:rPr>
                <w:rFonts w:ascii="宋体" w:hAnsi="宋体" w:cs="宋体" w:eastAsia="宋体" w:hint="default"/>
                <w:sz w:val="18"/>
                <w:szCs w:val="18"/>
              </w:rPr>
              <w:t>福建省新能海上风 电研发中心有限公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1,204,488.46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60,224.42</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z w:val="18"/>
                <w:szCs w:val="18"/>
              </w:rPr>
              <w:t>国网福建招标有限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21,650.00</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z w:val="18"/>
                <w:szCs w:val="18"/>
              </w:rPr>
              <w:t>宁德厦钨新能源材 料有限公司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z w:val="18"/>
                <w:szCs w:val="18"/>
              </w:rPr>
              <w:t>中国核电工程有限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z w:val="18"/>
                <w:szCs w:val="18"/>
              </w:rPr>
              <w:t>中华人民共和国国 家金库福建省分库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263,108.79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13,155.44</w:t>
            </w:r>
          </w:p>
        </w:tc>
      </w:tr>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2,607,597.25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136,029.86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3"/>
        <w:gridCol w:w="1915"/>
        <w:gridCol w:w="1916"/>
      </w:tblGrid>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684" w:right="50"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pStyle w:val="BodyText"/>
        <w:spacing w:line="240" w:lineRule="auto" w:before="19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pStyle w:val="BodyText"/>
        <w:spacing w:line="477" w:lineRule="auto" w:before="198"/>
        <w:ind w:right="6534"/>
        <w:jc w:val="left"/>
      </w:pPr>
      <w:r>
        <w:rPr/>
        <w:t>公司是否需要遵守房地产行业的披露要求 否</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52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15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69,911,784.10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2,907,984.91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67,003,799.19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49,294,793.32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2,907,984.91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46,386,808.41</w:t>
            </w:r>
          </w:p>
        </w:tc>
      </w:tr>
      <w:tr>
        <w:trPr>
          <w:trHeight w:val="5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未完工项目成本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76,122,223.45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76,122,223.45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79,016,919.58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79,016,919.58</w:t>
            </w:r>
          </w:p>
        </w:tc>
      </w:tr>
      <w:tr>
        <w:trPr>
          <w:trHeight w:val="5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146,034,007.55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2,907,984.91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143,126,022.64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128,311,712.90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Times New Roman" w:hAnsi="Times New Roman" w:cs="Times New Roman" w:eastAsia="Times New Roman" w:hint="default"/>
                <w:sz w:val="18"/>
                <w:szCs w:val="18"/>
              </w:rPr>
            </w:pPr>
            <w:r>
              <w:rPr>
                <w:rFonts w:ascii="Times New Roman"/>
                <w:sz w:val="18"/>
              </w:rPr>
              <w:t>2,907,984.91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125,403,727.99</w:t>
            </w:r>
          </w:p>
        </w:tc>
      </w:tr>
    </w:tbl>
    <w:p>
      <w:pPr>
        <w:pStyle w:val="BodyText"/>
        <w:spacing w:line="451" w:lineRule="auto" w:before="58"/>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451" w:lineRule="auto" w:before="74"/>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51" w:lineRule="auto" w:before="74"/>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Heading3"/>
        <w:spacing w:line="240" w:lineRule="auto" w:before="53"/>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52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115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2,907,984.91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2,907,984.91</w:t>
            </w:r>
          </w:p>
        </w:tc>
      </w:tr>
      <w:tr>
        <w:trPr>
          <w:trHeight w:val="5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2,907,984.91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2,907,984.91</w:t>
            </w:r>
          </w:p>
        </w:tc>
      </w:tr>
    </w:tbl>
    <w:p>
      <w:pPr>
        <w:pStyle w:val="BodyText"/>
        <w:spacing w:line="240" w:lineRule="auto" w:before="58"/>
        <w:ind w:right="0"/>
        <w:jc w:val="left"/>
      </w:pPr>
      <w:r>
        <w:rPr/>
        <w:t>无</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pStyle w:val="BodyText"/>
        <w:spacing w:line="240" w:lineRule="auto" w:before="198"/>
        <w:ind w:right="0"/>
        <w:jc w:val="left"/>
      </w:pPr>
      <w:r>
        <w:rPr/>
        <w:t>无</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5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3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481,922,776.31</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79,514,101.75</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2,907,984.91</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491,525,093.96</w:t>
            </w:r>
          </w:p>
        </w:tc>
      </w:tr>
      <w:tr>
        <w:trPr>
          <w:trHeight w:val="5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67,003,799.19</w:t>
            </w:r>
          </w:p>
        </w:tc>
      </w:tr>
    </w:tbl>
    <w:p>
      <w:pPr>
        <w:pStyle w:val="BodyText"/>
        <w:spacing w:line="477" w:lineRule="auto" w:before="58"/>
        <w:ind w:right="8874"/>
        <w:jc w:val="left"/>
      </w:pPr>
      <w:r>
        <w:rPr/>
        <w:t>其他说明： 无</w:t>
      </w:r>
    </w:p>
    <w:p>
      <w:pPr>
        <w:pStyle w:val="Heading3"/>
        <w:spacing w:line="240" w:lineRule="auto" w:before="33"/>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3"/>
        <w:gridCol w:w="1915"/>
        <w:gridCol w:w="1916"/>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2"/>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2"/>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应交增值税留抵税额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216,705.35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78,044.32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89,664.02</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待认证的增值税减免额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1,880.00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1,880.00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预缴营业税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90,290.57</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预缴价格调节基金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4,181.61</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300,296,629.67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186,016.20</w:t>
            </w:r>
          </w:p>
        </w:tc>
      </w:tr>
    </w:tbl>
    <w:p>
      <w:pPr>
        <w:pStyle w:val="BodyText"/>
        <w:spacing w:line="477" w:lineRule="auto" w:before="58"/>
        <w:ind w:right="8874"/>
        <w:jc w:val="left"/>
      </w:pPr>
      <w:r>
        <w:rPr/>
        <w:t>其他说明： 无</w:t>
      </w:r>
    </w:p>
    <w:p>
      <w:pPr>
        <w:pStyle w:val="Heading3"/>
        <w:spacing w:line="240" w:lineRule="auto" w:before="33"/>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000"/>
        <w:gridCol w:w="1196"/>
        <w:gridCol w:w="1195"/>
        <w:gridCol w:w="1198"/>
        <w:gridCol w:w="1248"/>
        <w:gridCol w:w="1366"/>
        <w:gridCol w:w="1368"/>
      </w:tblGrid>
      <w:tr>
        <w:trPr>
          <w:trHeight w:val="528"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1" w:right="0"/>
              <w:jc w:val="left"/>
              <w:rPr>
                <w:rFonts w:ascii="Times New Roman" w:hAnsi="Times New Roman" w:cs="Times New Roman" w:eastAsia="Times New Roman" w:hint="default"/>
                <w:sz w:val="18"/>
                <w:szCs w:val="18"/>
              </w:rPr>
            </w:pPr>
            <w:r>
              <w:rPr>
                <w:rFonts w:ascii="Times New Roman"/>
                <w:sz w:val="18"/>
              </w:rPr>
              <w:t>3,800,000.00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5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1" w:right="0"/>
              <w:jc w:val="left"/>
              <w:rPr>
                <w:rFonts w:ascii="Times New Roman" w:hAnsi="Times New Roman" w:cs="Times New Roman" w:eastAsia="Times New Roman" w:hint="default"/>
                <w:sz w:val="18"/>
                <w:szCs w:val="18"/>
              </w:rPr>
            </w:pPr>
            <w:r>
              <w:rPr>
                <w:rFonts w:ascii="Times New Roman"/>
                <w:sz w:val="18"/>
              </w:rPr>
              <w:t>3,800,000.00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5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5,700,000.00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1" w:right="0"/>
              <w:jc w:val="left"/>
              <w:rPr>
                <w:rFonts w:ascii="Times New Roman" w:hAnsi="Times New Roman" w:cs="Times New Roman" w:eastAsia="Times New Roman" w:hint="default"/>
                <w:sz w:val="18"/>
                <w:szCs w:val="18"/>
              </w:rPr>
            </w:pPr>
            <w:r>
              <w:rPr>
                <w:rFonts w:ascii="Times New Roman"/>
                <w:sz w:val="18"/>
              </w:rPr>
              <w:t>3,800,000.00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3,800,000.00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862"/>
        <w:gridCol w:w="871"/>
        <w:gridCol w:w="869"/>
        <w:gridCol w:w="872"/>
        <w:gridCol w:w="869"/>
        <w:gridCol w:w="872"/>
        <w:gridCol w:w="869"/>
        <w:gridCol w:w="871"/>
        <w:gridCol w:w="869"/>
        <w:gridCol w:w="871"/>
        <w:gridCol w:w="869"/>
      </w:tblGrid>
      <w:tr>
        <w:trPr>
          <w:trHeight w:val="528" w:hRule="exact"/>
        </w:trPr>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336" w:right="6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69" w:right="71"/>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2" w:type="dxa"/>
            <w:vMerge/>
            <w:tcBorders>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7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67"/>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7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776"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6"/>
              <w:jc w:val="both"/>
              <w:rPr>
                <w:rFonts w:ascii="宋体" w:hAnsi="宋体" w:cs="宋体" w:eastAsia="宋体" w:hint="default"/>
                <w:sz w:val="18"/>
                <w:szCs w:val="18"/>
              </w:rPr>
            </w:pPr>
            <w:r>
              <w:rPr>
                <w:rFonts w:ascii="宋体" w:hAnsi="宋体" w:cs="宋体" w:eastAsia="宋体" w:hint="default"/>
                <w:sz w:val="18"/>
                <w:szCs w:val="18"/>
              </w:rPr>
              <w:t>福建省新 能海上风 电研发中 心有限公 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6"/>
              <w:jc w:val="both"/>
              <w:rPr>
                <w:rFonts w:ascii="宋体" w:hAnsi="宋体" w:cs="宋体" w:eastAsia="宋体" w:hint="default"/>
                <w:sz w:val="18"/>
                <w:szCs w:val="18"/>
              </w:rPr>
            </w:pPr>
            <w:r>
              <w:rPr>
                <w:rFonts w:ascii="宋体" w:hAnsi="宋体" w:cs="宋体" w:eastAsia="宋体" w:hint="default"/>
                <w:sz w:val="18"/>
                <w:szCs w:val="18"/>
              </w:rPr>
              <w:t>福建永帆 风电科技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4"/>
        <w:gridCol w:w="1914"/>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8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10"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8" w:right="48"/>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52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其他说明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、长期应收款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02"/>
        <w:gridCol w:w="1169"/>
        <w:gridCol w:w="1167"/>
        <w:gridCol w:w="1166"/>
        <w:gridCol w:w="1167"/>
        <w:gridCol w:w="1169"/>
        <w:gridCol w:w="1165"/>
        <w:gridCol w:w="1166"/>
      </w:tblGrid>
      <w:tr>
        <w:trPr>
          <w:trHeight w:val="528"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528"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2D2D2"/>
          </w:tcPr>
          <w:p>
            <w:pP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528"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152"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2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1" w:right="0"/>
              <w:jc w:val="left"/>
              <w:rPr>
                <w:rFonts w:ascii="Times New Roman" w:hAnsi="Times New Roman" w:cs="Times New Roman" w:eastAsia="Times New Roman" w:hint="default"/>
                <w:sz w:val="18"/>
                <w:szCs w:val="18"/>
              </w:rPr>
            </w:pPr>
            <w:r>
              <w:rPr>
                <w:rFonts w:ascii="Times New Roman"/>
                <w:sz w:val="18"/>
              </w:rPr>
              <w:t>8,528,918.52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36" w:right="0"/>
              <w:jc w:val="left"/>
              <w:rPr>
                <w:rFonts w:ascii="Times New Roman" w:hAnsi="Times New Roman" w:cs="Times New Roman" w:eastAsia="Times New Roman" w:hint="default"/>
                <w:sz w:val="18"/>
                <w:szCs w:val="18"/>
              </w:rPr>
            </w:pPr>
            <w:r>
              <w:rPr>
                <w:rFonts w:ascii="Times New Roman"/>
                <w:sz w:val="18"/>
              </w:rPr>
              <w:t>8,528,918.52</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1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224,938.51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224,938.51</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224,938.51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224,938.51</w:t>
            </w:r>
          </w:p>
        </w:tc>
      </w:tr>
      <w:tr>
        <w:trPr>
          <w:trHeight w:val="52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8,303,980.01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8,303,980.01</w:t>
            </w:r>
          </w:p>
        </w:tc>
      </w:tr>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769,143.28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769,143.28</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197,219.53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197,219.53</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197,219.53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197,219.53</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20,033.59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20,033.59</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20,033.59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20,033.59</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946,329.22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946,329.22</w:t>
            </w:r>
          </w:p>
        </w:tc>
      </w:tr>
      <w:tr>
        <w:trPr>
          <w:trHeight w:val="52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9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7,357,650.79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7,357,650.79</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9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7,759,775.24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7,759,775.24</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2"/>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237,825,997.67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4,715,540.71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11,634,059.51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20,409,560.50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12,894,591.87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287,479,750.26</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224,938.51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112,142.74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1,437,848.46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196,594.91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1,971,524.62</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112,142.74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1,437,848.46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196,594.91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1,746,586.11</w:t>
            </w:r>
          </w:p>
        </w:tc>
      </w:tr>
      <w:tr>
        <w:trPr>
          <w:trHeight w:val="84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5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 工程转入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5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8"/>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投资性房</w:t>
            </w:r>
            <w:r>
              <w:rPr>
                <w:rFonts w:ascii="宋体" w:hAnsi="宋体" w:cs="宋体" w:eastAsia="宋体" w:hint="default"/>
                <w:sz w:val="18"/>
                <w:szCs w:val="18"/>
              </w:rPr>
              <w:t> 地产转入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224,938.51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224,938.51</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7,756,717.00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548,704.50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43,682.73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8,349,104.23</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7,756,717.00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548,704.50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43,682.73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8,349,104.23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47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230,294,219.18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4,827,683.45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11,085,355.01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21,803,726.23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13,091,186.78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281,102,170.65</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23,965,857.08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3,400,624.51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7,780,751.78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13,980,887.79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7,235,764.84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56,363,886.00</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5,775,956.14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227,173.20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848,956.23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3,202,574.40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1,942,185.39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11,996,845.36</w:t>
            </w:r>
          </w:p>
        </w:tc>
      </w:tr>
      <w:tr>
        <w:trPr>
          <w:trHeight w:val="529"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5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5,755,922.55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227,173.20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848,956.23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3,202,574.40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1,942,185.39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2"/>
                <w:sz w:val="18"/>
              </w:rPr>
              <w:t>11,976,811.77</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2,480,661.08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509,314.84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38,017.47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3,027,993.39</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5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2,480,661.08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509,314.84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38,017.47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3,027,993.39</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27,261,152.14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3,627,797.71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8,120,393.17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17,145,444.72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9,177,950.23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65,332,737.97</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5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5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203,033,067.04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1,199,885.74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2,964,961.84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4,658,281.51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3,913,236.55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215,769,432.68</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213,860,140.59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1,314,916.20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3,853,307.73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6,428,672.71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5,658,827.03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231,115,864.26</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477" w:lineRule="auto" w:before="58"/>
        <w:ind w:right="9054"/>
        <w:jc w:val="left"/>
      </w:pPr>
      <w:r>
        <w:rPr/>
        <w:t>其他说明 无</w:t>
      </w:r>
    </w:p>
    <w:p>
      <w:pPr>
        <w:pStyle w:val="Heading3"/>
        <w:spacing w:line="240" w:lineRule="auto" w:before="33"/>
        <w:ind w:right="0"/>
        <w:jc w:val="left"/>
        <w:rPr>
          <w:b w:val="0"/>
          <w:bCs w:val="0"/>
        </w:rPr>
      </w:pPr>
      <w:r>
        <w:rPr>
          <w:rFonts w:ascii="Times New Roman" w:hAnsi="Times New Roman" w:cs="Times New Roman" w:eastAsia="Times New Roman" w:hint="default"/>
        </w:rPr>
        <w:t>20</w:t>
      </w:r>
      <w:r>
        <w:rPr/>
        <w:t>、在建工程</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52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5"/>
        <w:gridCol w:w="737"/>
        <w:gridCol w:w="737"/>
        <w:gridCol w:w="735"/>
        <w:gridCol w:w="737"/>
        <w:gridCol w:w="737"/>
      </w:tblGrid>
      <w:tr>
        <w:trPr>
          <w:trHeight w:val="146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75"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94"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75"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93" w:right="89"/>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line="240" w:lineRule="auto" w:before="9"/>
        <w:rPr>
          <w:rFonts w:ascii="宋体" w:hAnsi="宋体" w:cs="宋体" w:eastAsia="宋体" w:hint="default"/>
          <w:sz w:val="16"/>
          <w:szCs w:val="16"/>
        </w:rPr>
      </w:pPr>
    </w:p>
    <w:p>
      <w:pPr>
        <w:pStyle w:val="BodyText"/>
        <w:spacing w:line="240" w:lineRule="auto"/>
        <w:ind w:right="0"/>
        <w:jc w:val="left"/>
      </w:pPr>
      <w:r>
        <w:rPr/>
        <w:t>□ 是 √</w:t>
      </w:r>
      <w:r>
        <w:rPr>
          <w:spacing w:val="3"/>
        </w:rPr>
        <w:t> </w:t>
      </w:r>
      <w:r>
        <w:rPr/>
        <w:t>否</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设计软件</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Times New Roman" w:hAnsi="Times New Roman" w:cs="Times New Roman" w:eastAsia="Times New Roman" w:hint="default"/>
                <w:sz w:val="18"/>
                <w:szCs w:val="18"/>
              </w:rPr>
            </w:pPr>
            <w:r>
              <w:rPr>
                <w:rFonts w:ascii="Times New Roman"/>
                <w:sz w:val="18"/>
              </w:rPr>
              <w:t>9,962,188.45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18,306,401.56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3,735,214.41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32,003,804.42</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1,685,305.91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486,897.27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2,172,203.18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47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1,685,305.91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486,897.27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2,172,203.18</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5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9,962,188.45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19,991,707.47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4,222,111.68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34,176,007.60</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1,245,273.62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14,699,813.96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872,630.45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16,817,718.03</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199,243.80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2,295,998.12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837,704.39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3,332,946.31</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199,243.80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2,295,998.12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837,704.39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3,332,946.31</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1,444,517.42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16,995,812.08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1,710,334.84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20,150,664.34</w:t>
            </w: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47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5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8,517,671.03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2,995,895.39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2,511,776.84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14,025,343.26</w:t>
            </w:r>
          </w:p>
        </w:tc>
      </w:tr>
      <w:tr>
        <w:trPr>
          <w:trHeight w:val="840"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8,716,914.83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3,606,587.60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2,862,583.96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15,186,086.39</w:t>
            </w:r>
          </w:p>
        </w:tc>
      </w:tr>
    </w:tbl>
    <w:p>
      <w:pPr>
        <w:pStyle w:val="BodyText"/>
        <w:spacing w:line="240" w:lineRule="auto" w:before="5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3188"/>
        <w:gridCol w:w="3190"/>
        <w:gridCol w:w="1063"/>
      </w:tblGrid>
      <w:tr>
        <w:trPr>
          <w:trHeight w:val="529"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2734"/>
        <w:gridCol w:w="2734"/>
        <w:gridCol w:w="1368"/>
      </w:tblGrid>
      <w:tr>
        <w:trPr>
          <w:trHeight w:val="1152"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48"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2734"/>
        <w:gridCol w:w="2734"/>
        <w:gridCol w:w="1368"/>
      </w:tblGrid>
      <w:tr>
        <w:trPr>
          <w:trHeight w:val="1152"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8"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477" w:lineRule="auto" w:before="58"/>
        <w:ind w:right="5094"/>
        <w:jc w:val="left"/>
      </w:pPr>
      <w:r>
        <w:rPr/>
        <w:t>说明商誉减值测试过程、参数及商誉减值损失的确认方法： 其他说明</w:t>
      </w:r>
    </w:p>
    <w:p>
      <w:pPr>
        <w:pStyle w:val="Heading3"/>
        <w:spacing w:line="240" w:lineRule="auto" w:before="33"/>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厂区房屋装饰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772,311.98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661,981.56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110,330.42</w:t>
            </w:r>
          </w:p>
        </w:tc>
      </w:tr>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772,311.98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661,981.56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110,330.42</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31,282,786.11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5,033,300.61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25,516,894.85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4,155,477.25</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31,282,786.11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5,033,300.61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25,516,894.85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4,155,477.25</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322"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9"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6" w:right="0"/>
              <w:jc w:val="left"/>
              <w:rPr>
                <w:rFonts w:ascii="Times New Roman" w:hAnsi="Times New Roman" w:cs="Times New Roman" w:eastAsia="Times New Roman" w:hint="default"/>
                <w:sz w:val="18"/>
                <w:szCs w:val="18"/>
              </w:rPr>
            </w:pPr>
            <w:r>
              <w:rPr>
                <w:rFonts w:ascii="Times New Roman"/>
                <w:sz w:val="18"/>
              </w:rPr>
              <w:t>5,033,300.61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6" w:right="0"/>
              <w:jc w:val="left"/>
              <w:rPr>
                <w:rFonts w:ascii="Times New Roman" w:hAnsi="Times New Roman" w:cs="Times New Roman" w:eastAsia="Times New Roman" w:hint="default"/>
                <w:sz w:val="18"/>
                <w:szCs w:val="18"/>
              </w:rPr>
            </w:pPr>
            <w:r>
              <w:rPr>
                <w:rFonts w:ascii="Times New Roman"/>
                <w:sz w:val="18"/>
              </w:rPr>
              <w:t>4,155,477.25</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5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134,410,000.00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98,199,746.78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59,000,000.00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134,410,000.00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157,199,746.78</w:t>
            </w:r>
          </w:p>
        </w:tc>
      </w:tr>
    </w:tbl>
    <w:p>
      <w:pPr>
        <w:pStyle w:val="BodyText"/>
        <w:spacing w:line="240" w:lineRule="auto" w:before="58"/>
        <w:ind w:right="0"/>
        <w:jc w:val="left"/>
      </w:pPr>
      <w:r>
        <w:rPr/>
        <w:t>短期借款分类的说明：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pStyle w:val="BodyText"/>
        <w:spacing w:line="240" w:lineRule="auto" w:before="198"/>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spacing w:line="240" w:lineRule="auto" w:before="4"/>
        <w:rPr>
          <w:rFonts w:ascii="宋体" w:hAnsi="宋体" w:cs="宋体" w:eastAsia="宋体" w:hint="default"/>
          <w:sz w:val="13"/>
          <w:szCs w:val="1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28,118,901.36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89,607,570.58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28,118,901.36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89,607,570.58</w:t>
            </w:r>
          </w:p>
        </w:tc>
      </w:tr>
    </w:tbl>
    <w:p>
      <w:pPr>
        <w:pStyle w:val="BodyText"/>
        <w:spacing w:line="240" w:lineRule="auto" w:before="58"/>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97,511,299.40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78,003,228.11</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25,019,689.40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18,137,803.38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122,530,988.80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96,141,031.49</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福建龙净环保股份有限公司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3,947,000.00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福建省林业勘察设计院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2,031,360.00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陕西送变电工程公司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1,342,452.87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青岛汉缆股份有限公司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1,458,773.03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中国电力科学研究院有限公司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9,539,585.90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t>其他说明：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、预收款项</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6,480,722.99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16,551,133.91</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3,974,085.67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1,423,344.03</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10,454,808.66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17,974,477.94</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上海勘测设计研究院有限公司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708,679.25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国电电力福建新能源开发有限公司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441,509.43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龙海市角美镇人民政府征地拆迁办公室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330,188.68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福能埭头（莆田）风力发电有限公司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287,735.85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福建三宝钢铁有限公司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257,018.87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2,025,132.08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9"/>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9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3,566,026.98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96,245,102.78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92,318,170.23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36" w:right="0"/>
              <w:jc w:val="left"/>
              <w:rPr>
                <w:rFonts w:ascii="Times New Roman" w:hAnsi="Times New Roman" w:cs="Times New Roman" w:eastAsia="Times New Roman" w:hint="default"/>
                <w:sz w:val="18"/>
                <w:szCs w:val="18"/>
              </w:rPr>
            </w:pPr>
            <w:r>
              <w:rPr>
                <w:rFonts w:ascii="Times New Roman"/>
                <w:sz w:val="18"/>
              </w:rPr>
              <w:t>7,492,959.53</w:t>
            </w:r>
          </w:p>
        </w:tc>
      </w:tr>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2,383.56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6,628,701.11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6,631,084.67</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41" w:right="0"/>
              <w:jc w:val="left"/>
              <w:rPr>
                <w:rFonts w:ascii="Times New Roman" w:hAnsi="Times New Roman" w:cs="Times New Roman" w:eastAsia="Times New Roman" w:hint="default"/>
                <w:sz w:val="18"/>
                <w:szCs w:val="18"/>
              </w:rPr>
            </w:pPr>
            <w:r>
              <w:rPr>
                <w:rFonts w:ascii="Times New Roman"/>
                <w:sz w:val="18"/>
              </w:rPr>
              <w:t>3,568,410.54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Times New Roman" w:hAnsi="Times New Roman" w:cs="Times New Roman" w:eastAsia="Times New Roman" w:hint="default"/>
                <w:sz w:val="18"/>
                <w:szCs w:val="18"/>
              </w:rPr>
            </w:pPr>
            <w:r>
              <w:rPr>
                <w:rFonts w:ascii="Times New Roman"/>
                <w:sz w:val="18"/>
              </w:rPr>
              <w:t>102,873,803.89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7" w:right="0"/>
              <w:jc w:val="left"/>
              <w:rPr>
                <w:rFonts w:ascii="Times New Roman" w:hAnsi="Times New Roman" w:cs="Times New Roman" w:eastAsia="Times New Roman" w:hint="default"/>
                <w:sz w:val="18"/>
                <w:szCs w:val="18"/>
              </w:rPr>
            </w:pPr>
            <w:r>
              <w:rPr>
                <w:rFonts w:ascii="Times New Roman"/>
                <w:sz w:val="18"/>
              </w:rPr>
              <w:t>98,949,254.90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6" w:right="0"/>
              <w:jc w:val="left"/>
              <w:rPr>
                <w:rFonts w:ascii="Times New Roman" w:hAnsi="Times New Roman" w:cs="Times New Roman" w:eastAsia="Times New Roman" w:hint="default"/>
                <w:sz w:val="18"/>
                <w:szCs w:val="18"/>
              </w:rPr>
            </w:pPr>
            <w:r>
              <w:rPr>
                <w:rFonts w:ascii="Times New Roman"/>
                <w:sz w:val="18"/>
              </w:rPr>
              <w:t>7,492,959.53</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3,555,187.05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78,959,929.58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75,027,319.62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7,487,797.01</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6,502,776.06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6,502,776.06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894.99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4,061,327.11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4,062,222.10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864.72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3,551,780.58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3,552,645.30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30.27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307,388.20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307,418.47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202,158.33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202,158.33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5,395,475.00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5,395,475.00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9,944.94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1,246,910.24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1,251,692.66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5,162.52</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78,684.79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78,684.79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3,566,026.98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96,245,102.78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92,318,170.23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7,492,959.53</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2,383.56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6,390,946.61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6,393,330.17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237,754.50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237,754.50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2,383.56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6,628,701.11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6,631,084.67</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12,374,316.90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6,896,458.25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3,953,268.90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7,051,940.18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59,745.89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485,962.73</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719,878.17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764,185.77</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687,474.73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650,513.48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110,588.33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2"/>
                <w:sz w:val="18"/>
              </w:rPr>
              <w:t>111,177.02</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62,748.88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232,234.35</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江海堤防工程维护管理费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26,989.83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325,124.32</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3,706.87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3,706.87</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4,555.79</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17,998,718.50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16,525,858.76</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181,311.16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262,847.88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181,311.16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262,847.88</w:t>
            </w:r>
          </w:p>
        </w:tc>
      </w:tr>
    </w:tbl>
    <w:p>
      <w:pPr>
        <w:pStyle w:val="BodyText"/>
        <w:spacing w:line="240" w:lineRule="auto" w:before="58"/>
        <w:ind w:right="0"/>
        <w:jc w:val="left"/>
      </w:pPr>
      <w:r>
        <w:rPr/>
        <w:t>重要的已逾期未支付的利息情况：</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9"/>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费用款项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6,213,274.33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3,949,503.46</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3,241,546.61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737,627.41</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1,182,977.07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1,104,619.12</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15,952.00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168,952.00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10,653,750.01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5,960,701.99</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上海金慧软件有限公司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253,582.00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福建鼎信实业有限公司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207,360.00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北京莱维塞尔科技有限公司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166,050.00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福建省建筑科学研究院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莆田市圣元环保电力有限公司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769,992.00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240" w:lineRule="auto" w:before="44"/>
        <w:ind w:right="0"/>
        <w:jc w:val="left"/>
      </w:pPr>
      <w:r>
        <w:rPr/>
        <w:t>短期应付债券的增减变动：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797"/>
        <w:gridCol w:w="799"/>
        <w:gridCol w:w="797"/>
        <w:gridCol w:w="800"/>
        <w:gridCol w:w="797"/>
        <w:gridCol w:w="799"/>
        <w:gridCol w:w="797"/>
        <w:gridCol w:w="799"/>
        <w:gridCol w:w="797"/>
        <w:gridCol w:w="800"/>
        <w:gridCol w:w="798"/>
        <w:gridCol w:w="798"/>
      </w:tblGrid>
      <w:tr>
        <w:trPr>
          <w:trHeight w:val="84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4" w:right="35"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465" w:lineRule="auto" w:before="58"/>
        <w:ind w:left="152" w:right="7614" w:firstLine="0"/>
        <w:jc w:val="left"/>
        <w:rPr>
          <w:rFonts w:ascii="宋体" w:hAnsi="宋体" w:cs="宋体" w:eastAsia="宋体" w:hint="default"/>
          <w:sz w:val="21"/>
          <w:szCs w:val="21"/>
        </w:rPr>
      </w:pPr>
      <w:r>
        <w:rPr>
          <w:rFonts w:ascii="宋体" w:hAnsi="宋体" w:cs="宋体" w:eastAsia="宋体" w:hint="default"/>
          <w:sz w:val="18"/>
          <w:szCs w:val="18"/>
        </w:rPr>
        <w:t>长期借款分类的说明： 其他说明，包括利率区间： </w:t>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3"/>
        <w:spacing w:line="249" w:lineRule="exact"/>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pStyle w:val="BodyText"/>
        <w:spacing w:line="477" w:lineRule="auto" w:before="198"/>
        <w:ind w:right="5274"/>
        <w:jc w:val="left"/>
      </w:pPr>
      <w:r>
        <w:rPr/>
        <w:t>期末发行在外的优先股、永续债等其他金融工具基本情况 期末发行在外的优先股、永续债等金融工具变动情况表</w:t>
      </w:r>
    </w:p>
    <w:p>
      <w:pPr>
        <w:pStyle w:val="BodyText"/>
        <w:spacing w:line="240" w:lineRule="auto" w:before="5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6"/>
        <w:gridCol w:w="1066"/>
        <w:gridCol w:w="1064"/>
        <w:gridCol w:w="1063"/>
        <w:gridCol w:w="1064"/>
        <w:gridCol w:w="1061"/>
        <w:gridCol w:w="1063"/>
        <w:gridCol w:w="1061"/>
        <w:gridCol w:w="1063"/>
      </w:tblGrid>
      <w:tr>
        <w:trPr>
          <w:trHeight w:val="52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52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477" w:lineRule="auto" w:before="58"/>
        <w:ind w:right="6534"/>
        <w:jc w:val="left"/>
      </w:pPr>
      <w:r>
        <w:rPr/>
        <w:t>其他金融工具划分为金融负债的依据说明 其他说明</w:t>
      </w:r>
    </w:p>
    <w:p>
      <w:pPr>
        <w:pStyle w:val="Heading3"/>
        <w:spacing w:line="240" w:lineRule="auto" w:before="33"/>
        <w:ind w:right="0"/>
        <w:jc w:val="left"/>
        <w:rPr>
          <w:b w:val="0"/>
          <w:bCs w:val="0"/>
        </w:rPr>
      </w:pPr>
      <w:r>
        <w:rPr>
          <w:rFonts w:ascii="Times New Roman" w:hAnsi="Times New Roman" w:cs="Times New Roman" w:eastAsia="Times New Roman" w:hint="default"/>
        </w:rPr>
        <w:t>47</w:t>
      </w:r>
      <w:r>
        <w:rPr/>
        <w:t>、长期应付款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设定受益计划义务现值：</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8"/>
        <w:ind w:right="0"/>
        <w:jc w:val="left"/>
      </w:pPr>
      <w:r>
        <w:rPr/>
        <w:t>计划资产：</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9"/>
        <w:ind w:right="0"/>
        <w:jc w:val="left"/>
      </w:pPr>
      <w:r>
        <w:rPr/>
        <w:t>设定受益计划净负债（净资产）</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477" w:lineRule="auto" w:before="58"/>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54"/>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528"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8"/>
        <w:ind w:right="0"/>
        <w:jc w:val="left"/>
      </w:pPr>
      <w:r>
        <w:rPr/>
        <w:t>其他说明，包括重要预计负债的相关重要假设、估计说明：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5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8"/>
        <w:ind w:right="0"/>
        <w:jc w:val="left"/>
      </w:pPr>
      <w:r>
        <w:rPr/>
        <w:t>涉及政府补助的项目：</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064"/>
        <w:gridCol w:w="1063"/>
        <w:gridCol w:w="1064"/>
        <w:gridCol w:w="1063"/>
        <w:gridCol w:w="1063"/>
        <w:gridCol w:w="1064"/>
        <w:gridCol w:w="1063"/>
      </w:tblGrid>
      <w:tr>
        <w:trPr>
          <w:trHeight w:val="115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196"/>
        <w:gridCol w:w="1195"/>
        <w:gridCol w:w="1198"/>
        <w:gridCol w:w="1195"/>
        <w:gridCol w:w="1196"/>
        <w:gridCol w:w="1198"/>
        <w:gridCol w:w="1197"/>
        <w:gridCol w:w="1194"/>
      </w:tblGrid>
      <w:tr>
        <w:trPr>
          <w:trHeight w:val="52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105,060,000.00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1" w:right="0"/>
              <w:jc w:val="left"/>
              <w:rPr>
                <w:rFonts w:ascii="Times New Roman" w:hAnsi="Times New Roman" w:cs="Times New Roman" w:eastAsia="Times New Roman" w:hint="default"/>
                <w:sz w:val="18"/>
                <w:szCs w:val="18"/>
              </w:rPr>
            </w:pPr>
            <w:r>
              <w:rPr>
                <w:rFonts w:ascii="Times New Roman"/>
                <w:sz w:val="18"/>
              </w:rPr>
              <w:t>35,020,000.00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Times New Roman" w:hAnsi="Times New Roman" w:cs="Times New Roman" w:eastAsia="Times New Roman" w:hint="default"/>
                <w:sz w:val="18"/>
                <w:szCs w:val="18"/>
              </w:rPr>
            </w:pPr>
            <w:r>
              <w:rPr>
                <w:rFonts w:ascii="Times New Roman"/>
                <w:sz w:val="18"/>
              </w:rPr>
              <w:t>35,020,000.00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left"/>
              <w:rPr>
                <w:rFonts w:ascii="Times New Roman" w:hAnsi="Times New Roman" w:cs="Times New Roman" w:eastAsia="Times New Roman" w:hint="default"/>
                <w:sz w:val="18"/>
                <w:szCs w:val="18"/>
              </w:rPr>
            </w:pPr>
            <w:r>
              <w:rPr>
                <w:rFonts w:ascii="Times New Roman"/>
                <w:sz w:val="18"/>
              </w:rPr>
              <w:t>140,080,000.00</w:t>
            </w:r>
          </w:p>
        </w:tc>
      </w:tr>
    </w:tbl>
    <w:p>
      <w:pPr>
        <w:pStyle w:val="BodyText"/>
        <w:spacing w:line="240" w:lineRule="auto" w:before="58"/>
        <w:ind w:right="0"/>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上述股本由大华会计师事务所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出具大华验字</w:t>
      </w:r>
      <w:r>
        <w:rPr>
          <w:rFonts w:ascii="Times New Roman" w:hAnsi="Times New Roman" w:cs="Times New Roman" w:eastAsia="Times New Roman" w:hint="default"/>
        </w:rPr>
        <w:t>[2017]000743</w:t>
      </w:r>
      <w:r>
        <w:rPr/>
        <w:t>号验资报告验证。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6"/>
        <w:gridCol w:w="1066"/>
        <w:gridCol w:w="1064"/>
        <w:gridCol w:w="1063"/>
        <w:gridCol w:w="1064"/>
        <w:gridCol w:w="1061"/>
        <w:gridCol w:w="1063"/>
        <w:gridCol w:w="1061"/>
        <w:gridCol w:w="1063"/>
      </w:tblGrid>
      <w:tr>
        <w:trPr>
          <w:trHeight w:val="52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52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477" w:lineRule="auto" w:before="59"/>
        <w:ind w:right="3654"/>
        <w:jc w:val="left"/>
      </w:pPr>
      <w:r>
        <w:rPr/>
        <w:t>其他权益工具本期增减变动情况、变动原因说明，以及相关会计处理的依据： 其他说明：</w:t>
      </w:r>
    </w:p>
    <w:p>
      <w:pPr>
        <w:spacing w:after="0" w:line="477"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167,852,843.17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339,070,000.00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506,922,843.17</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167,852,843.17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339,070,000.00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506,922,843.17</w:t>
            </w:r>
          </w:p>
        </w:tc>
      </w:tr>
    </w:tbl>
    <w:p>
      <w:pPr>
        <w:pStyle w:val="BodyText"/>
        <w:spacing w:line="240" w:lineRule="auto" w:before="58"/>
        <w:ind w:right="0"/>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spacing w:line="300" w:lineRule="auto"/>
        <w:ind w:right="174" w:firstLine="482"/>
        <w:jc w:val="left"/>
      </w:pPr>
      <w:r>
        <w:rPr/>
        <w:t>资本公积的增加系本期发行股票，共募集股款人民币</w:t>
      </w:r>
      <w:r>
        <w:rPr>
          <w:rFonts w:ascii="Times New Roman" w:hAnsi="Times New Roman" w:cs="Times New Roman" w:eastAsia="Times New Roman" w:hint="default"/>
        </w:rPr>
        <w:t>413,936,400.00</w:t>
      </w:r>
      <w:r>
        <w:rPr/>
        <w:t>元，扣除与发行有关的费用人民币</w:t>
      </w:r>
      <w:r>
        <w:rPr>
          <w:rFonts w:ascii="Times New Roman" w:hAnsi="Times New Roman" w:cs="Times New Roman" w:eastAsia="Times New Roman" w:hint="default"/>
        </w:rPr>
        <w:t>39,846,400.00 </w:t>
      </w:r>
      <w:r>
        <w:rPr/>
        <w:t>元，实际可使用募集资金人民币</w:t>
      </w:r>
      <w:r>
        <w:rPr>
          <w:rFonts w:ascii="Times New Roman" w:hAnsi="Times New Roman" w:cs="Times New Roman" w:eastAsia="Times New Roman" w:hint="default"/>
        </w:rPr>
        <w:t>374,090,000.00</w:t>
      </w:r>
      <w:r>
        <w:rPr/>
        <w:t>元。其中，计入永福股份</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35,020,000.00</w:t>
      </w:r>
      <w:r>
        <w:rPr/>
        <w:t>元，计入</w:t>
      </w:r>
      <w:r>
        <w:rPr>
          <w:rFonts w:ascii="Times New Roman" w:hAnsi="Times New Roman" w:cs="Times New Roman" w:eastAsia="Times New Roman" w:hint="default"/>
        </w:rPr>
        <w:t>“</w:t>
      </w:r>
      <w:r>
        <w:rPr/>
        <w:t>资本公积－股 本溢价</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339,070,000.00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left"/>
        <w:rPr>
          <w:b w:val="0"/>
          <w:bCs w:val="0"/>
        </w:rPr>
      </w:pPr>
      <w:r>
        <w:rPr>
          <w:rFonts w:ascii="Times New Roman" w:hAnsi="Times New Roman" w:cs="Times New Roman" w:eastAsia="Times New Roman" w:hint="default"/>
        </w:rPr>
        <w:t>56</w:t>
      </w:r>
      <w:r>
        <w:rPr/>
        <w:t>、库存股</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8"/>
        <w:ind w:right="0"/>
        <w:jc w:val="left"/>
      </w:pPr>
      <w:r>
        <w:rPr/>
        <w:t>其他说明，包括本期增减变动情况、变动原因说明：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528"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92" w:right="9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8"/>
        <w:ind w:right="0"/>
        <w:jc w:val="left"/>
      </w:pPr>
      <w:r>
        <w:rPr/>
        <w:t>其他说明，包括对现金流量套期损益的有效部分转为被套期项目初始确认金额调整：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8"/>
        <w:ind w:right="0"/>
        <w:jc w:val="left"/>
      </w:pPr>
      <w:r>
        <w:rPr/>
        <w:t>其他说明，包括本期增减变动情况、变动原因说明：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79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52" w:right="0"/>
              <w:jc w:val="left"/>
              <w:rPr>
                <w:rFonts w:ascii="Times New Roman" w:hAnsi="Times New Roman" w:cs="Times New Roman" w:eastAsia="Times New Roman" w:hint="default"/>
                <w:sz w:val="18"/>
                <w:szCs w:val="18"/>
              </w:rPr>
            </w:pPr>
            <w:r>
              <w:rPr>
                <w:rFonts w:ascii="Times New Roman"/>
                <w:sz w:val="18"/>
              </w:rPr>
              <w:t>12,292,843.03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6" w:right="0"/>
              <w:jc w:val="left"/>
              <w:rPr>
                <w:rFonts w:ascii="Times New Roman" w:hAnsi="Times New Roman" w:cs="Times New Roman" w:eastAsia="Times New Roman" w:hint="default"/>
                <w:sz w:val="18"/>
                <w:szCs w:val="18"/>
              </w:rPr>
            </w:pPr>
            <w:r>
              <w:rPr>
                <w:rFonts w:ascii="Times New Roman"/>
                <w:sz w:val="18"/>
              </w:rPr>
              <w:t>6,733,228.79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7" w:right="0"/>
              <w:jc w:val="left"/>
              <w:rPr>
                <w:rFonts w:ascii="Times New Roman" w:hAnsi="Times New Roman" w:cs="Times New Roman" w:eastAsia="Times New Roman" w:hint="default"/>
                <w:sz w:val="18"/>
                <w:szCs w:val="18"/>
              </w:rPr>
            </w:pPr>
            <w:r>
              <w:rPr>
                <w:rFonts w:ascii="Times New Roman"/>
                <w:sz w:val="18"/>
              </w:rPr>
              <w:t>19,026,071.82</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52" w:right="0"/>
              <w:jc w:val="left"/>
              <w:rPr>
                <w:rFonts w:ascii="Times New Roman" w:hAnsi="Times New Roman" w:cs="Times New Roman" w:eastAsia="Times New Roman" w:hint="default"/>
                <w:sz w:val="18"/>
                <w:szCs w:val="18"/>
              </w:rPr>
            </w:pPr>
            <w:r>
              <w:rPr>
                <w:rFonts w:ascii="Times New Roman"/>
                <w:sz w:val="18"/>
              </w:rPr>
              <w:t>12,292,843.03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6" w:right="0"/>
              <w:jc w:val="left"/>
              <w:rPr>
                <w:rFonts w:ascii="Times New Roman" w:hAnsi="Times New Roman" w:cs="Times New Roman" w:eastAsia="Times New Roman" w:hint="default"/>
                <w:sz w:val="18"/>
                <w:szCs w:val="18"/>
              </w:rPr>
            </w:pPr>
            <w:r>
              <w:rPr>
                <w:rFonts w:ascii="Times New Roman"/>
                <w:sz w:val="18"/>
              </w:rPr>
              <w:t>6,733,228.79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7" w:right="0"/>
              <w:jc w:val="left"/>
              <w:rPr>
                <w:rFonts w:ascii="Times New Roman" w:hAnsi="Times New Roman" w:cs="Times New Roman" w:eastAsia="Times New Roman" w:hint="default"/>
                <w:sz w:val="18"/>
                <w:szCs w:val="18"/>
              </w:rPr>
            </w:pPr>
            <w:r>
              <w:rPr>
                <w:rFonts w:ascii="Times New Roman"/>
                <w:sz w:val="18"/>
              </w:rPr>
              <w:t>19,026,071.82</w:t>
            </w:r>
          </w:p>
        </w:tc>
      </w:tr>
    </w:tbl>
    <w:p>
      <w:pPr>
        <w:pStyle w:val="BodyText"/>
        <w:spacing w:line="240" w:lineRule="auto" w:before="58"/>
        <w:ind w:right="0"/>
        <w:jc w:val="left"/>
      </w:pPr>
      <w:r>
        <w:rPr/>
        <w:t>盈余公积说明，包括本期增减变动情况、变动原因说明：</w:t>
      </w:r>
    </w:p>
    <w:p>
      <w:pPr>
        <w:spacing w:line="240" w:lineRule="auto" w:before="2"/>
        <w:rPr>
          <w:rFonts w:ascii="宋体" w:hAnsi="宋体" w:cs="宋体" w:eastAsia="宋体" w:hint="default"/>
          <w:sz w:val="16"/>
          <w:szCs w:val="16"/>
        </w:rPr>
      </w:pPr>
    </w:p>
    <w:p>
      <w:pPr>
        <w:pStyle w:val="Heading4"/>
        <w:spacing w:line="240" w:lineRule="auto"/>
        <w:ind w:left="575" w:right="0"/>
        <w:jc w:val="left"/>
      </w:pPr>
      <w:r>
        <w:rPr/>
        <w:t>盈余公积的增加系根据公司章程，按当年度净利润的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726"/>
        <w:gridCol w:w="2924"/>
        <w:gridCol w:w="2919"/>
      </w:tblGrid>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134,136,611.61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67,492,413.01</w:t>
            </w:r>
          </w:p>
        </w:tc>
      </w:tr>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134,136,611.61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67,492,413.01</w:t>
            </w:r>
          </w:p>
        </w:tc>
      </w:tr>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76,966,118.46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6,733,228.79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6,655,264.39</w:t>
            </w:r>
          </w:p>
        </w:tc>
      </w:tr>
      <w:tr>
        <w:trPr>
          <w:trHeight w:val="52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204,369,501.28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134,136,611.61</w:t>
            </w:r>
          </w:p>
        </w:tc>
      </w:tr>
    </w:tbl>
    <w:p>
      <w:pPr>
        <w:pStyle w:val="BodyText"/>
        <w:spacing w:line="240" w:lineRule="auto" w:before="58"/>
        <w:ind w:right="0"/>
        <w:jc w:val="left"/>
      </w:pPr>
      <w:r>
        <w:rPr/>
        <w:t>调整期初未分配利润明细：</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 </w:t>
      </w:r>
      <w:r>
        <w:rPr/>
        <w:t>由于《企业会计准则》及其相关新规定进行追溯调整，影响期初未分配利润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 </w:t>
      </w:r>
      <w:r>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 </w:t>
      </w:r>
      <w:r>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 </w:t>
      </w:r>
      <w:r>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 </w:t>
      </w:r>
      <w:r>
        <w:rPr/>
        <w:t>其他调整合计影响期初未分配利润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29"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560,391,150.90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373,121,098.56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441,476,291.03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260,166,989.72</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4,005,369.38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2,558,995.76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3,237,764.16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2,057,907.80</w:t>
            </w:r>
          </w:p>
        </w:tc>
      </w:tr>
      <w:tr>
        <w:trPr>
          <w:trHeight w:val="52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564,396,520.28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375,680,094.32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444,714,055.19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262,224,897.52</w:t>
            </w:r>
          </w:p>
        </w:tc>
      </w:tr>
    </w:tbl>
    <w:p>
      <w:pPr>
        <w:pStyle w:val="Heading3"/>
        <w:spacing w:line="240" w:lineRule="auto" w:before="38"/>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1,192,027.16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1,290,028.69</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1,217,946.57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1,140,269.30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1,330,003.41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951,556.02</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30,483.66</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231,671.83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325,372.41</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148,647.02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639,107.27</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江海堤防工程维护管理费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101,668.91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447,569.48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34,842.04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15,998.85</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107,903.18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4,301,806.94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4,948,288.86</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5,003,103.65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3,931,028.26</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4,753,961.98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5,308,633.35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2,738,968.38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2,961,309.38</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2,116,364.00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1,001,358.43</w:t>
            </w:r>
          </w:p>
        </w:tc>
      </w:tr>
      <w:tr>
        <w:trPr>
          <w:trHeight w:val="5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887,750.65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852,561.33</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528,167.25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152,866.37</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481,508.27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846,947.95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337,032.87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384,488.59</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267,883.69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283,313.00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1,194,581.35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794,199.98</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18,309,322.09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16,516,706.64</w:t>
            </w:r>
          </w:p>
        </w:tc>
      </w:tr>
    </w:tbl>
    <w:p>
      <w:pPr>
        <w:pStyle w:val="BodyText"/>
        <w:spacing w:line="240" w:lineRule="auto" w:before="58"/>
        <w:ind w:right="0"/>
        <w:jc w:val="left"/>
      </w:pPr>
      <w:r>
        <w:rPr/>
        <w:t>其他说明：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22,402,983.80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18,691,916.90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14,855,522.17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14,592,615.54</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7,477,356.13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7,360,212.34</w:t>
            </w:r>
          </w:p>
        </w:tc>
      </w:tr>
      <w:tr>
        <w:trPr>
          <w:trHeight w:val="5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3,077,360.77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2,296,287.61</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2,855,880.17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2,586,582.35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2,041,222.18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2,152,979.22</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1,825,892.82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1,905,581.24</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1,781,889.46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2,529,429.24</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1,281,730.44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830,476.19</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1,171,793.24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243,431.69</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修缮费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534,388.18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551,953.45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512,664.60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435,470.95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379,611.21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421,728.46</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354,912.35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306,979.85</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461,250.43</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2,645,874.77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1,686,958.51</w:t>
            </w:r>
          </w:p>
        </w:tc>
      </w:tr>
      <w:tr>
        <w:trPr>
          <w:trHeight w:val="52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63,199,082.29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57,053,853.97</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8,795,336.05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9,719,484.80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585,730.53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149,648.53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110,451.02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-371,084.80</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1,742,774.05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840,870.86</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10,062,830.59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10,039,622.33</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5,765,891.26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6,532,962.86</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2,907,984.91</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5,765,891.26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9,440,947.77</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528"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529"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638.00</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2,341,154.17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5,247.14</w:t>
            </w:r>
          </w:p>
        </w:tc>
      </w:tr>
    </w:tbl>
    <w:p>
      <w:pPr>
        <w:pStyle w:val="Heading3"/>
        <w:spacing w:line="240" w:lineRule="auto" w:before="38"/>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闽侯县财政局自主知识拨款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失业保险补贴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287,611.52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38"/>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18"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5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1,674,500.00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134,000.00</w:t>
            </w: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43,461.57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54,750.00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43,461.57</w:t>
            </w: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177,461.57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1,729,250.00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177,461.57</w:t>
            </w:r>
          </w:p>
        </w:tc>
      </w:tr>
    </w:tbl>
    <w:p>
      <w:pPr>
        <w:pStyle w:val="BodyText"/>
        <w:spacing w:line="240" w:lineRule="auto" w:before="58"/>
        <w:ind w:right="0"/>
        <w:jc w:val="left"/>
      </w:pPr>
      <w:r>
        <w:rPr/>
        <w:t>计入当期损益的政府补助：</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84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7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30"/>
              <w:jc w:val="both"/>
              <w:rPr>
                <w:rFonts w:ascii="宋体" w:hAnsi="宋体" w:cs="宋体" w:eastAsia="宋体" w:hint="default"/>
                <w:sz w:val="18"/>
                <w:szCs w:val="18"/>
              </w:rPr>
            </w:pPr>
            <w:r>
              <w:rPr>
                <w:rFonts w:ascii="宋体" w:hAnsi="宋体" w:cs="宋体" w:eastAsia="宋体" w:hint="default"/>
                <w:sz w:val="18"/>
                <w:szCs w:val="18"/>
              </w:rPr>
              <w:t>福州市鼓楼 区华大街道 会计核算中 心服务业奖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福州市鼓楼 区华大街道 会计核算中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6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30"/>
              <w:jc w:val="left"/>
              <w:rPr>
                <w:rFonts w:ascii="宋体" w:hAnsi="宋体" w:cs="宋体" w:eastAsia="宋体" w:hint="default"/>
                <w:sz w:val="18"/>
                <w:szCs w:val="18"/>
              </w:rPr>
            </w:pPr>
            <w:r>
              <w:rPr>
                <w:rFonts w:ascii="宋体" w:hAnsi="宋体" w:cs="宋体" w:eastAsia="宋体" w:hint="default"/>
                <w:sz w:val="18"/>
                <w:szCs w:val="18"/>
              </w:rPr>
              <w:t>专利申请资 助资金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25"/>
              <w:jc w:val="left"/>
              <w:rPr>
                <w:rFonts w:ascii="宋体" w:hAnsi="宋体" w:cs="宋体" w:eastAsia="宋体" w:hint="default"/>
                <w:sz w:val="18"/>
                <w:szCs w:val="18"/>
              </w:rPr>
            </w:pPr>
            <w:r>
              <w:rPr>
                <w:rFonts w:ascii="宋体" w:hAnsi="宋体" w:cs="宋体" w:eastAsia="宋体" w:hint="default"/>
                <w:sz w:val="18"/>
                <w:szCs w:val="18"/>
              </w:rPr>
              <w:t>福州市知识 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30"/>
              <w:jc w:val="both"/>
              <w:rPr>
                <w:rFonts w:ascii="宋体" w:hAnsi="宋体" w:cs="宋体" w:eastAsia="宋体" w:hint="default"/>
                <w:sz w:val="18"/>
                <w:szCs w:val="18"/>
              </w:rPr>
            </w:pPr>
            <w:r>
              <w:rPr>
                <w:rFonts w:ascii="宋体" w:hAnsi="宋体" w:cs="宋体" w:eastAsia="宋体" w:hint="default"/>
                <w:sz w:val="18"/>
                <w:szCs w:val="18"/>
              </w:rPr>
              <w:t>福州市财政 局专利保险 补帖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5"/>
              <w:ind w:left="24" w:right="69"/>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技改补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福州市琅岐 经济区财政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30"/>
              <w:jc w:val="right"/>
              <w:rPr>
                <w:rFonts w:ascii="宋体" w:hAnsi="宋体" w:cs="宋体" w:eastAsia="宋体" w:hint="default"/>
                <w:sz w:val="18"/>
                <w:szCs w:val="18"/>
              </w:rPr>
            </w:pPr>
            <w:r>
              <w:rPr>
                <w:rFonts w:ascii="宋体" w:hAnsi="宋体" w:cs="宋体" w:eastAsia="宋体" w:hint="default"/>
                <w:sz w:val="18"/>
                <w:szCs w:val="18"/>
              </w:rPr>
              <w:t>福州市财政</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25"/>
              <w:jc w:val="right"/>
              <w:rPr>
                <w:rFonts w:ascii="宋体" w:hAnsi="宋体" w:cs="宋体" w:eastAsia="宋体" w:hint="default"/>
                <w:sz w:val="18"/>
                <w:szCs w:val="18"/>
              </w:rPr>
            </w:pPr>
            <w:r>
              <w:rPr>
                <w:rFonts w:ascii="宋体" w:hAnsi="宋体" w:cs="宋体" w:eastAsia="宋体" w:hint="default"/>
                <w:sz w:val="18"/>
                <w:szCs w:val="18"/>
              </w:rPr>
              <w:t>福州市财政</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27"/>
              <w:jc w:val="right"/>
              <w:rPr>
                <w:rFonts w:ascii="宋体" w:hAnsi="宋体" w:cs="宋体" w:eastAsia="宋体" w:hint="default"/>
                <w:sz w:val="18"/>
                <w:szCs w:val="18"/>
              </w:rPr>
            </w:pPr>
            <w:r>
              <w:rPr>
                <w:rFonts w:ascii="宋体" w:hAnsi="宋体" w:cs="宋体" w:eastAsia="宋体" w:hint="default"/>
                <w:sz w:val="18"/>
                <w:szCs w:val="18"/>
              </w:rPr>
              <w:t>奖励上市而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局场外挂牌 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给予的政府 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30"/>
              <w:jc w:val="left"/>
              <w:rPr>
                <w:rFonts w:ascii="宋体" w:hAnsi="宋体" w:cs="宋体" w:eastAsia="宋体" w:hint="default"/>
                <w:sz w:val="18"/>
                <w:szCs w:val="18"/>
              </w:rPr>
            </w:pPr>
            <w:r>
              <w:rPr>
                <w:rFonts w:ascii="宋体" w:hAnsi="宋体" w:cs="宋体" w:eastAsia="宋体" w:hint="default"/>
                <w:sz w:val="18"/>
                <w:szCs w:val="18"/>
              </w:rPr>
              <w:t>福州财政局 科技项目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6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30"/>
              <w:jc w:val="left"/>
              <w:rPr>
                <w:rFonts w:ascii="宋体" w:hAnsi="宋体" w:cs="宋体" w:eastAsia="宋体" w:hint="default"/>
                <w:sz w:val="18"/>
                <w:szCs w:val="18"/>
              </w:rPr>
            </w:pPr>
            <w:r>
              <w:rPr>
                <w:rFonts w:ascii="宋体" w:hAnsi="宋体" w:cs="宋体" w:eastAsia="宋体" w:hint="default"/>
                <w:sz w:val="18"/>
                <w:szCs w:val="18"/>
              </w:rPr>
              <w:t>闽侯县财政 局科技项目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25"/>
              <w:jc w:val="left"/>
              <w:rPr>
                <w:rFonts w:ascii="宋体" w:hAnsi="宋体" w:cs="宋体" w:eastAsia="宋体" w:hint="default"/>
                <w:sz w:val="18"/>
                <w:szCs w:val="18"/>
              </w:rPr>
            </w:pPr>
            <w:r>
              <w:rPr>
                <w:rFonts w:ascii="宋体" w:hAnsi="宋体" w:cs="宋体" w:eastAsia="宋体" w:hint="default"/>
                <w:sz w:val="18"/>
                <w:szCs w:val="18"/>
              </w:rPr>
              <w:t>闽侯县财政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5"/>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年度知 识产权拨款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25"/>
              <w:jc w:val="left"/>
              <w:rPr>
                <w:rFonts w:ascii="宋体" w:hAnsi="宋体" w:cs="宋体" w:eastAsia="宋体" w:hint="default"/>
                <w:sz w:val="18"/>
                <w:szCs w:val="18"/>
              </w:rPr>
            </w:pPr>
            <w:r>
              <w:rPr>
                <w:rFonts w:ascii="宋体" w:hAnsi="宋体" w:cs="宋体" w:eastAsia="宋体" w:hint="default"/>
                <w:sz w:val="18"/>
                <w:szCs w:val="18"/>
              </w:rPr>
              <w:t>闽侯县财政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2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Times New Roman" w:hAnsi="Times New Roman" w:cs="Times New Roman" w:eastAsia="Times New Roman" w:hint="default"/>
                <w:sz w:val="18"/>
                <w:szCs w:val="18"/>
              </w:rPr>
            </w:pPr>
            <w:r>
              <w:rPr>
                <w:rFonts w:ascii="Times New Roman"/>
                <w:sz w:val="18"/>
              </w:rPr>
              <w:t>134,000.00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1,674,500.00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18"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5,665.26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16,737.10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5,665.26</w:t>
            </w: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835.41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5.32</w:t>
            </w:r>
          </w:p>
        </w:tc>
      </w:tr>
      <w:tr>
        <w:trPr>
          <w:trHeight w:val="5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5,670.58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257,572.51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13,809,754.37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14,299,442.68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-877,823.36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-1,631,604.94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12,931,931.01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12,667,837.74</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5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3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89,898,049.47</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13,484,707.42</w:t>
            </w:r>
          </w:p>
        </w:tc>
      </w:tr>
      <w:tr>
        <w:trPr>
          <w:trHeight w:val="529"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715,449.89</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1,365,367.92</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84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-877,823.36</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合并影响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-653,347.98</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研究开发费用加计扣除的税额影响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-1,102,422.88</w:t>
            </w:r>
          </w:p>
        </w:tc>
      </w:tr>
      <w:tr>
        <w:trPr>
          <w:trHeight w:val="5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12,931,931.01</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pStyle w:val="BodyText"/>
        <w:spacing w:line="240" w:lineRule="auto" w:before="198"/>
        <w:ind w:right="0"/>
        <w:jc w:val="left"/>
      </w:pPr>
      <w:r>
        <w:rPr/>
        <w:t>详见附注。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pStyle w:val="Heading3"/>
        <w:spacing w:line="240" w:lineRule="auto" w:before="17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1,061,367.81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1,206,931.28</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585,730.53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149,648.53</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441,611.52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1,674,500.00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54,750.00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2,736,497.37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4,825,207.23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3,085,829.81</w:t>
            </w:r>
          </w:p>
        </w:tc>
      </w:tr>
    </w:tbl>
    <w:p>
      <w:pPr>
        <w:pStyle w:val="BodyText"/>
        <w:spacing w:line="240" w:lineRule="auto" w:before="58"/>
        <w:ind w:right="0"/>
        <w:jc w:val="left"/>
      </w:pPr>
      <w:r>
        <w:rPr/>
        <w:t>收到的其他与经营活动有关的现金说明：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14,626,761.76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12,377,505.50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14,974,838.77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15,484,759.80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1,742,774.05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840,870.86</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835.41</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410,145.56</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31,344,379.90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2"/>
                <w:sz w:val="18"/>
              </w:rPr>
              <w:t>29,114,117.13</w:t>
            </w:r>
          </w:p>
        </w:tc>
      </w:tr>
    </w:tbl>
    <w:p>
      <w:pPr>
        <w:pStyle w:val="BodyText"/>
        <w:spacing w:line="240" w:lineRule="auto" w:before="58"/>
        <w:ind w:right="0"/>
        <w:jc w:val="left"/>
      </w:pPr>
      <w:r>
        <w:rPr/>
        <w:t>支付的其他与经营活动有关的现金说明：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8"/>
        <w:ind w:right="0"/>
        <w:jc w:val="left"/>
      </w:pPr>
      <w:r>
        <w:rPr/>
        <w:t>收到的其他与投资活动有关的现金说明：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8"/>
        <w:ind w:right="0"/>
        <w:jc w:val="left"/>
      </w:pPr>
      <w:r>
        <w:rPr/>
        <w:t>支付的其他与投资活动有关的现金说明：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8"/>
        <w:ind w:right="0"/>
        <w:jc w:val="left"/>
      </w:pPr>
      <w:r>
        <w:rPr/>
        <w:t>收到的其他与筹资活动有关的现金说明：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9,126,367.39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2,170,000.00</w:t>
            </w:r>
          </w:p>
        </w:tc>
      </w:tr>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9,126,367.39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2,170,000.00</w:t>
            </w:r>
          </w:p>
        </w:tc>
      </w:tr>
    </w:tbl>
    <w:p>
      <w:pPr>
        <w:pStyle w:val="BodyText"/>
        <w:spacing w:line="240" w:lineRule="auto" w:before="58"/>
        <w:ind w:right="0"/>
        <w:jc w:val="left"/>
      </w:pPr>
      <w:r>
        <w:rPr/>
        <w:t>支付的其他与筹资活动有关的现金说明：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76,966,118.46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5,765,891.26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9,440,947.77</w:t>
            </w:r>
          </w:p>
        </w:tc>
      </w:tr>
      <w:tr>
        <w:trPr>
          <w:trHeight w:val="84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12,174,031.30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12,571,858.87</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3,332,946.31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3,690,357.34</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661,981.56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661,981.56</w:t>
            </w:r>
          </w:p>
        </w:tc>
      </w:tr>
      <w:tr>
        <w:trPr>
          <w:trHeight w:val="84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-2,341,154.17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-5,247.14</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5,665.26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16,737.10</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8,822,479.52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9,727,127.64</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84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-877,823.36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-1,631,604.94</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-17,722,294.65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-53,392,497.63</w:t>
            </w:r>
          </w:p>
        </w:tc>
      </w:tr>
      <w:tr>
        <w:trPr>
          <w:trHeight w:val="84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-22,561,424.90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-90,116,939.50</w:t>
            </w:r>
          </w:p>
        </w:tc>
      </w:tr>
      <w:tr>
        <w:trPr>
          <w:trHeight w:val="84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-7,860,702.66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108,729,672.02</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56,365,713.93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72,991,218.08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19"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184,767,479.08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81,897,426.45</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81,897,426.45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39,294,638.31</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102,870,052.63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42,602,788.14</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184,767,479.08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81,897,426.45</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w w:val="95"/>
                <w:sz w:val="18"/>
              </w:rPr>
              <w:t>11,592.08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16,592.08</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184,745,887.00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81,870,834.37</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98" w:right="0"/>
              <w:jc w:val="left"/>
              <w:rPr>
                <w:rFonts w:ascii="Times New Roman" w:hAnsi="Times New Roman" w:cs="Times New Roman" w:eastAsia="Times New Roman" w:hint="default"/>
                <w:sz w:val="18"/>
                <w:szCs w:val="18"/>
              </w:rPr>
            </w:pPr>
            <w:r>
              <w:rPr>
                <w:rFonts w:ascii="Times New Roman"/>
                <w:sz w:val="18"/>
              </w:rPr>
              <w:t>184,767,479.08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81,897,426.45</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spacing w:line="417" w:lineRule="auto" w:before="0"/>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26"/>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17,849,537.77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银行承兑汇票保证金</w:t>
            </w:r>
          </w:p>
        </w:tc>
      </w:tr>
      <w:tr>
        <w:trPr>
          <w:trHeight w:val="5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17,849,537.77</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269.93</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41.31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269.93</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472,444.88</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72,303.40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472,444.88</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15"/>
          <w:szCs w:val="15"/>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pStyle w:val="BodyText"/>
        <w:spacing w:line="240" w:lineRule="auto" w:before="198"/>
        <w:ind w:right="0"/>
        <w:jc w:val="left"/>
      </w:pPr>
      <w:r>
        <w:rPr/>
        <w:t>按照套期类别披露套期项目及相关套期工具、被套期风险的定性和定量信息：</w:t>
      </w:r>
    </w:p>
    <w:p>
      <w:pPr>
        <w:spacing w:line="240" w:lineRule="auto" w:before="2"/>
        <w:rPr>
          <w:rFonts w:ascii="宋体" w:hAnsi="宋体" w:cs="宋体" w:eastAsia="宋体" w:hint="default"/>
          <w:sz w:val="16"/>
          <w:szCs w:val="16"/>
        </w:rPr>
      </w:pPr>
    </w:p>
    <w:p>
      <w:pPr>
        <w:spacing w:line="372" w:lineRule="auto" w:before="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49"/>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pStyle w:val="BodyText"/>
        <w:spacing w:line="240" w:lineRule="auto" w:before="198"/>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064"/>
        <w:gridCol w:w="1066"/>
        <w:gridCol w:w="1064"/>
        <w:gridCol w:w="1063"/>
        <w:gridCol w:w="1063"/>
        <w:gridCol w:w="1061"/>
        <w:gridCol w:w="1063"/>
      </w:tblGrid>
      <w:tr>
        <w:trPr>
          <w:trHeight w:val="115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76"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16"/>
          <w:szCs w:val="16"/>
        </w:rPr>
      </w:pPr>
    </w:p>
    <w:p>
      <w:pPr>
        <w:spacing w:line="547" w:lineRule="exact"/>
        <w:ind w:left="181"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8.9pt;height:27.4pt;mso-position-horizontal-relative:char;mso-position-vertical-relative:line" coordorigin="0,0" coordsize="9578,548">
            <v:group style="position:absolute;left:4763;top:14;width:22;height:519" coordorigin="4763,14" coordsize="22,519">
              <v:shape style="position:absolute;left:4763;top:14;width:22;height:519" coordorigin="4763,14" coordsize="22,519" path="m4763,533l4784,533,4784,14,4763,14,4763,533xe" filled="true" fillcolor="#d2d2d2" stroked="false">
                <v:path arrowok="t"/>
                <v:fill type="solid"/>
              </v:shape>
            </v:group>
            <v:group style="position:absolute;left:10;top:14;width:24;height:519" coordorigin="10,14" coordsize="24,519">
              <v:shape style="position:absolute;left:10;top:14;width:24;height:519" coordorigin="10,14" coordsize="24,519" path="m10,533l34,533,34,14,10,14,10,533xe" filled="true" fillcolor="#d2d2d2" stroked="false">
                <v:path arrowok="t"/>
                <v:fill type="solid"/>
              </v:shape>
            </v:group>
            <v:group style="position:absolute;left:34;top:14;width:4729;height:519" coordorigin="34,14" coordsize="4729,519">
              <v:shape style="position:absolute;left:34;top:14;width:4729;height:519" coordorigin="34,14" coordsize="4729,519" path="m34,533l4763,533,4763,14,34,14,34,533xe" filled="true" fillcolor="#d2d2d2" stroked="false">
                <v:path arrowok="t"/>
                <v:fill type="solid"/>
              </v:shape>
            </v:group>
            <v:group style="position:absolute;left:4796;top:14;width:22;height:519" coordorigin="4796,14" coordsize="22,519">
              <v:shape style="position:absolute;left:4796;top:14;width:22;height:519" coordorigin="4796,14" coordsize="22,519" path="m4796,533l4818,533,4818,14,4796,14,4796,533xe" filled="true" fillcolor="#e0ffff" stroked="false">
                <v:path arrowok="t"/>
                <v:fill type="solid"/>
              </v:shape>
            </v:group>
            <v:group style="position:absolute;left:9547;top:14;width:24;height:519" coordorigin="9547,14" coordsize="24,519">
              <v:shape style="position:absolute;left:9547;top:14;width:24;height:519" coordorigin="9547,14" coordsize="24,519" path="m9547,533l9571,533,9571,14,9547,14,9547,533xe" filled="true" fillcolor="#e0ffff" stroked="false">
                <v:path arrowok="t"/>
                <v:fill type="solid"/>
              </v:shape>
            </v:group>
            <v:group style="position:absolute;left:4818;top:14;width:4729;height:519" coordorigin="4818,14" coordsize="4729,519">
              <v:shape style="position:absolute;left:4818;top:14;width:4729;height:519" coordorigin="4818,14" coordsize="4729,519" path="m4818,533l9547,533,9547,14,4818,14,4818,533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8pt" strokecolor="#000000">
                <v:path arrowok="t"/>
              </v:shape>
            </v:group>
            <v:group style="position:absolute;left:5;top:5;width:2;height:538" coordorigin="5,5" coordsize="2,538">
              <v:shape style="position:absolute;left:5;top:5;width:2;height:538" coordorigin="5,5" coordsize="0,538" path="m5,5l5,542e" filled="false" stroked="true" strokeweight=".48pt" strokecolor="#000000">
                <v:path arrowok="t"/>
              </v:shape>
            </v:group>
            <v:group style="position:absolute;left:10;top:538;width:4775;height:2" coordorigin="10,538" coordsize="4775,2">
              <v:shape style="position:absolute;left:10;top:538;width:4775;height:2" coordorigin="10,538" coordsize="4775,0" path="m10,538l4784,538e" filled="false" stroked="true" strokeweight=".48pt" strokecolor="#000000">
                <v:path arrowok="t"/>
              </v:shape>
            </v:group>
            <v:group style="position:absolute;left:4789;top:5;width:2;height:538" coordorigin="4789,5" coordsize="2,538">
              <v:shape style="position:absolute;left:4789;top:5;width:2;height:538" coordorigin="4789,5" coordsize="0,538" path="m4789,5l4789,542e" filled="false" stroked="true" strokeweight=".48001pt" strokecolor="#000000">
                <v:path arrowok="t"/>
              </v:shape>
            </v:group>
            <v:group style="position:absolute;left:4794;top:538;width:4775;height:2" coordorigin="4794,538" coordsize="4775,2">
              <v:shape style="position:absolute;left:4794;top:538;width:4775;height:2" coordorigin="4794,538" coordsize="4775,0" path="m4794,538l9568,538e" filled="false" stroked="true" strokeweight=".48pt" strokecolor="#000000">
                <v:path arrowok="t"/>
              </v:shape>
            </v:group>
            <v:group style="position:absolute;left:9573;top:5;width:2;height:538" coordorigin="9573,5" coordsize="2,538">
              <v:shape style="position:absolute;left:9573;top:5;width:2;height:538" coordorigin="9573,5" coordsize="0,538" path="m9573,5l9573,542e" filled="false" stroked="true" strokeweight=".47998pt" strokecolor="#000000">
                <v:path arrowok="t"/>
              </v:shape>
              <v:shape style="position:absolute;left:5;top:10;width:4786;height:528" type="#_x0000_t202" filled="false" stroked="false">
                <v:textbox inset="0,0,0,0">
                  <w:txbxContent>
                    <w:p>
                      <w:pPr>
                        <w:spacing w:before="63"/>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10"/>
          <w:sz w:val="20"/>
          <w:szCs w:val="20"/>
        </w:rPr>
      </w:r>
    </w:p>
    <w:p>
      <w:pPr>
        <w:pStyle w:val="BodyText"/>
        <w:spacing w:line="477" w:lineRule="auto" w:before="54"/>
        <w:ind w:right="5094"/>
        <w:jc w:val="left"/>
      </w:pPr>
      <w:r>
        <w:rPr/>
        <w:t>合并成本公允价值的确定方法、或有对价及其变动的说明： 大额商誉形成的主要原因：</w:t>
      </w:r>
    </w:p>
    <w:p>
      <w:pPr>
        <w:pStyle w:val="BodyText"/>
        <w:spacing w:line="240" w:lineRule="auto" w:before="54"/>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16"/>
          <w:szCs w:val="16"/>
        </w:rPr>
      </w:pPr>
    </w:p>
    <w:p>
      <w:pPr>
        <w:spacing w:line="1075" w:lineRule="exact"/>
        <w:ind w:left="181"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79.05pt;height:53.8pt;mso-position-horizontal-relative:char;mso-position-vertical-relative:line" coordorigin="0,0" coordsize="9581,1076">
            <v:group style="position:absolute;left:3169;top:14;width:22;height:519" coordorigin="3169,14" coordsize="22,519">
              <v:shape style="position:absolute;left:3169;top:14;width:22;height:519" coordorigin="3169,14" coordsize="22,519" path="m3169,533l3191,533,3191,14,3169,14,3169,533xe" filled="true" fillcolor="#d2d2d2" stroked="false">
                <v:path arrowok="t"/>
                <v:fill type="solid"/>
              </v:shape>
            </v:group>
            <v:group style="position:absolute;left:10;top:14;width:24;height:519" coordorigin="10,14" coordsize="24,519">
              <v:shape style="position:absolute;left:10;top:14;width:24;height:519" coordorigin="10,14" coordsize="24,519" path="m10,533l34,533,34,14,10,14,10,533xe" filled="true" fillcolor="#d2d2d2" stroked="false">
                <v:path arrowok="t"/>
                <v:fill type="solid"/>
              </v:shape>
            </v:group>
            <v:group style="position:absolute;left:34;top:14;width:3136;height:519" coordorigin="34,14" coordsize="3136,519">
              <v:shape style="position:absolute;left:34;top:14;width:3136;height:519" coordorigin="34,14" coordsize="3136,519" path="m34,533l3169,533,3169,14,34,14,34,533xe" filled="true" fillcolor="#d2d2d2" stroked="false">
                <v:path arrowok="t"/>
                <v:fill type="solid"/>
              </v:shape>
            </v:group>
            <v:group style="position:absolute;left:3200;top:14;width:24;height:519" coordorigin="3200,14" coordsize="24,519">
              <v:shape style="position:absolute;left:3200;top:14;width:24;height:519" coordorigin="3200,14" coordsize="24,519" path="m3200,533l3224,533,3224,14,3200,14,3200,533xe" filled="true" fillcolor="#e0ffff" stroked="false">
                <v:path arrowok="t"/>
                <v:fill type="solid"/>
              </v:shape>
            </v:group>
            <v:group style="position:absolute;left:9549;top:14;width:24;height:519" coordorigin="9549,14" coordsize="24,519">
              <v:shape style="position:absolute;left:9549;top:14;width:24;height:519" coordorigin="9549,14" coordsize="24,519" path="m9549,533l9573,533,9573,14,9549,14,9549,533xe" filled="true" fillcolor="#e0ffff" stroked="false">
                <v:path arrowok="t"/>
                <v:fill type="solid"/>
              </v:shape>
            </v:group>
            <v:group style="position:absolute;left:3224;top:14;width:6325;height:519" coordorigin="3224,14" coordsize="6325,519">
              <v:shape style="position:absolute;left:3224;top:14;width:6325;height:519" coordorigin="3224,14" coordsize="6325,519" path="m3224,533l9549,533,9549,14,3224,14,3224,533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1;height:2" coordorigin="3200,10" coordsize="6371,2">
              <v:shape style="position:absolute;left:3200;top:10;width:6371;height:2" coordorigin="3200,10" coordsize="6371,0" path="m3200,10l9571,10e" filled="false" stroked="true" strokeweight=".47998pt" strokecolor="#000000">
                <v:path arrowok="t"/>
              </v:shape>
            </v:group>
            <v:group style="position:absolute;left:3169;top:542;width:22;height:519" coordorigin="3169,542" coordsize="22,519">
              <v:shape style="position:absolute;left:3169;top:542;width:22;height:519" coordorigin="3169,542" coordsize="22,519" path="m3169,1061l3191,1061,3191,542,3169,542,3169,1061xe" filled="true" fillcolor="#d2d2d2" stroked="false">
                <v:path arrowok="t"/>
                <v:fill type="solid"/>
              </v:shape>
            </v:group>
            <v:group style="position:absolute;left:10;top:542;width:24;height:519" coordorigin="10,542" coordsize="24,519">
              <v:shape style="position:absolute;left:10;top:542;width:24;height:519" coordorigin="10,542" coordsize="24,519" path="m10,1061l34,1061,34,542,10,542,10,1061xe" filled="true" fillcolor="#d2d2d2" stroked="false">
                <v:path arrowok="t"/>
                <v:fill type="solid"/>
              </v:shape>
            </v:group>
            <v:group style="position:absolute;left:34;top:542;width:3136;height:519" coordorigin="34,542" coordsize="3136,519">
              <v:shape style="position:absolute;left:34;top:542;width:3136;height:519" coordorigin="34,542" coordsize="3136,519" path="m34,1061l3169,1061,3169,542,34,542,34,1061xe" filled="true" fillcolor="#d2d2d2" stroked="false">
                <v:path arrowok="t"/>
                <v:fill type="solid"/>
              </v:shape>
            </v:group>
            <v:group style="position:absolute;left:6359;top:542;width:22;height:519" coordorigin="6359,542" coordsize="22,519">
              <v:shape style="position:absolute;left:6359;top:542;width:22;height:519" coordorigin="6359,542" coordsize="22,519" path="m6359,1061l6381,1061,6381,542,6359,542,6359,1061xe" filled="true" fillcolor="#d2d2d2" stroked="false">
                <v:path arrowok="t"/>
                <v:fill type="solid"/>
              </v:shape>
            </v:group>
            <v:group style="position:absolute;left:3200;top:542;width:24;height:519" coordorigin="3200,542" coordsize="24,519">
              <v:shape style="position:absolute;left:3200;top:542;width:24;height:519" coordorigin="3200,542" coordsize="24,519" path="m3200,1061l3224,1061,3224,542,3200,542,3200,1061xe" filled="true" fillcolor="#d2d2d2" stroked="false">
                <v:path arrowok="t"/>
                <v:fill type="solid"/>
              </v:shape>
            </v:group>
            <v:group style="position:absolute;left:3224;top:542;width:3135;height:519" coordorigin="3224,542" coordsize="3135,519">
              <v:shape style="position:absolute;left:3224;top:542;width:3135;height:519" coordorigin="3224,542" coordsize="3135,519" path="m3224,1061l6359,1061,6359,542,3224,542,3224,1061xe" filled="true" fillcolor="#d2d2d2" stroked="false">
                <v:path arrowok="t"/>
                <v:fill type="solid"/>
              </v:shape>
            </v:group>
            <v:group style="position:absolute;left:9549;top:542;width:24;height:519" coordorigin="9549,542" coordsize="24,519">
              <v:shape style="position:absolute;left:9549;top:542;width:24;height:519" coordorigin="9549,542" coordsize="24,519" path="m9549,1061l9573,1061,9573,542,9549,542,9549,1061xe" filled="true" fillcolor="#d2d2d2" stroked="false">
                <v:path arrowok="t"/>
                <v:fill type="solid"/>
              </v:shape>
            </v:group>
            <v:group style="position:absolute;left:6393;top:542;width:22;height:519" coordorigin="6393,542" coordsize="22,519">
              <v:shape style="position:absolute;left:6393;top:542;width:22;height:519" coordorigin="6393,542" coordsize="22,519" path="m6393,1061l6414,1061,6414,542,6393,542,6393,1061xe" filled="true" fillcolor="#d2d2d2" stroked="false">
                <v:path arrowok="t"/>
                <v:fill type="solid"/>
              </v:shape>
            </v:group>
            <v:group style="position:absolute;left:6414;top:542;width:3135;height:519" coordorigin="6414,542" coordsize="3135,519">
              <v:shape style="position:absolute;left:6414;top:542;width:3135;height:519" coordorigin="6414,542" coordsize="3135,519" path="m6414,1061l9549,1061,9549,542,6414,542,6414,1061xe" filled="true" fillcolor="#d2d2d2" stroked="false">
                <v:path arrowok="t"/>
                <v:fill type="solid"/>
              </v:shape>
            </v:group>
            <v:group style="position:absolute;left:10;top:538;width:3181;height:2" coordorigin="10,538" coordsize="3181,2">
              <v:shape style="position:absolute;left:10;top:538;width:3181;height:2" coordorigin="10,538" coordsize="3181,0" path="m10,538l3191,538e" filled="false" stroked="true" strokeweight=".47998pt" strokecolor="#000000">
                <v:path arrowok="t"/>
              </v:shape>
            </v:group>
            <v:group style="position:absolute;left:3200;top:538;width:3181;height:2" coordorigin="3200,538" coordsize="3181,2">
              <v:shape style="position:absolute;left:3200;top:538;width:3181;height:2" coordorigin="3200,538" coordsize="3181,0" path="m3200,538l6381,538e" filled="false" stroked="true" strokeweight=".47998pt" strokecolor="#000000">
                <v:path arrowok="t"/>
              </v:shape>
            </v:group>
            <v:group style="position:absolute;left:6390;top:538;width:3181;height:2" coordorigin="6390,538" coordsize="3181,2">
              <v:shape style="position:absolute;left:6390;top:538;width:3181;height:2" coordorigin="6390,538" coordsize="3181,0" path="m6390,538l9571,538e" filled="false" stroked="true" strokeweight=".47998pt" strokecolor="#000000">
                <v:path arrowok="t"/>
              </v:shape>
            </v:group>
            <v:group style="position:absolute;left:5;top:5;width:2;height:1066" coordorigin="5,5" coordsize="2,1066">
              <v:shape style="position:absolute;left:5;top:5;width:2;height:1066" coordorigin="5,5" coordsize="0,1066" path="m5,5l5,1070e" filled="false" stroked="true" strokeweight=".48pt" strokecolor="#000000">
                <v:path arrowok="t"/>
              </v:shape>
            </v:group>
            <v:group style="position:absolute;left:10;top:1066;width:3181;height:2" coordorigin="10,1066" coordsize="3181,2">
              <v:shape style="position:absolute;left:10;top:1066;width:3181;height:2" coordorigin="10,1066" coordsize="3181,0" path="m10,1066l3191,1066e" filled="false" stroked="true" strokeweight=".48001pt" strokecolor="#000000">
                <v:path arrowok="t"/>
              </v:shape>
            </v:group>
            <v:group style="position:absolute;left:3195;top:5;width:2;height:1066" coordorigin="3195,5" coordsize="2,1066">
              <v:shape style="position:absolute;left:3195;top:5;width:2;height:1066" coordorigin="3195,5" coordsize="0,1066" path="m3195,5l3195,1070e" filled="false" stroked="true" strokeweight=".48pt" strokecolor="#000000">
                <v:path arrowok="t"/>
              </v:shape>
            </v:group>
            <v:group style="position:absolute;left:3200;top:1066;width:3181;height:2" coordorigin="3200,1066" coordsize="3181,2">
              <v:shape style="position:absolute;left:3200;top:1066;width:3181;height:2" coordorigin="3200,1066" coordsize="3181,0" path="m3200,1066l6381,1066e" filled="false" stroked="true" strokeweight=".48001pt" strokecolor="#000000">
                <v:path arrowok="t"/>
              </v:shape>
            </v:group>
            <v:group style="position:absolute;left:6385;top:533;width:2;height:538" coordorigin="6385,533" coordsize="2,538">
              <v:shape style="position:absolute;left:6385;top:533;width:2;height:538" coordorigin="6385,533" coordsize="0,538" path="m6385,533l6385,1070e" filled="false" stroked="true" strokeweight=".48001pt" strokecolor="#000000">
                <v:path arrowok="t"/>
              </v:shape>
            </v:group>
            <v:group style="position:absolute;left:6390;top:1066;width:3181;height:2" coordorigin="6390,1066" coordsize="3181,2">
              <v:shape style="position:absolute;left:6390;top:1066;width:3181;height:2" coordorigin="6390,1066" coordsize="3181,0" path="m6390,1066l9571,1066e" filled="false" stroked="true" strokeweight=".48001pt" strokecolor="#000000">
                <v:path arrowok="t"/>
              </v:shape>
            </v:group>
            <v:group style="position:absolute;left:9576;top:5;width:2;height:1066" coordorigin="9576,5" coordsize="2,1066">
              <v:shape style="position:absolute;left:9576;top:5;width:2;height:1066" coordorigin="9576,5" coordsize="0,1066" path="m9576,5l9576,1070e" filled="false" stroked="true" strokeweight=".47998pt" strokecolor="#000000">
                <v:path arrowok="t"/>
              </v:shape>
              <v:shape style="position:absolute;left:3195;top:538;width:3190;height:528" type="#_x0000_t202" filled="false" stroked="false">
                <v:textbox inset="0,0,0,0">
                  <w:txbxContent>
                    <w:p>
                      <w:pPr>
                        <w:spacing w:before="63"/>
                        <w:ind w:left="964" w:right="0" w:firstLine="0"/>
                        <w:jc w:val="left"/>
                        <w:rPr>
                          <w:rFonts w:ascii="宋体" w:hAnsi="宋体" w:cs="宋体" w:eastAsia="宋体" w:hint="default"/>
                          <w:sz w:val="18"/>
                          <w:szCs w:val="18"/>
                        </w:rPr>
                      </w:pPr>
                      <w:r>
                        <w:rPr>
                          <w:rFonts w:ascii="宋体" w:hAnsi="宋体" w:cs="宋体" w:eastAsia="宋体" w:hint="default"/>
                          <w:sz w:val="18"/>
                          <w:szCs w:val="18"/>
                        </w:rPr>
                        <w:t>购买日公允价值</w:t>
                      </w:r>
                    </w:p>
                  </w:txbxContent>
                </v:textbox>
                <w10:wrap type="none"/>
              </v:shape>
              <v:shape style="position:absolute;left:6385;top:538;width:3191;height:528" type="#_x0000_t202" filled="false" stroked="false">
                <v:textbox inset="0,0,0,0">
                  <w:txbxContent>
                    <w:p>
                      <w:pPr>
                        <w:spacing w:before="63"/>
                        <w:ind w:left="964" w:right="0" w:firstLine="0"/>
                        <w:jc w:val="left"/>
                        <w:rPr>
                          <w:rFonts w:ascii="宋体" w:hAnsi="宋体" w:cs="宋体" w:eastAsia="宋体" w:hint="default"/>
                          <w:sz w:val="18"/>
                          <w:szCs w:val="18"/>
                        </w:rPr>
                      </w:pPr>
                      <w:r>
                        <w:rPr>
                          <w:rFonts w:ascii="宋体" w:hAnsi="宋体" w:cs="宋体" w:eastAsia="宋体" w:hint="default"/>
                          <w:sz w:val="18"/>
                          <w:szCs w:val="18"/>
                        </w:rPr>
                        <w:t>购买日账面价值</w:t>
                      </w:r>
                    </w:p>
                  </w:txbxContent>
                </v:textbox>
                <w10:wrap type="none"/>
              </v:shape>
            </v:group>
          </v:group>
        </w:pict>
      </w:r>
      <w:r>
        <w:rPr>
          <w:rFonts w:ascii="宋体" w:hAnsi="宋体" w:cs="宋体" w:eastAsia="宋体" w:hint="default"/>
          <w:position w:val="-21"/>
          <w:sz w:val="20"/>
          <w:szCs w:val="20"/>
        </w:rPr>
      </w:r>
    </w:p>
    <w:p>
      <w:pPr>
        <w:pStyle w:val="BodyText"/>
        <w:spacing w:line="477" w:lineRule="auto" w:before="54"/>
        <w:ind w:right="6551"/>
        <w:jc w:val="both"/>
      </w:pPr>
      <w:r>
        <w:rPr/>
        <w:t>可辨认资产、负债公允价值的确定方法： 企业合并中承担的被购买方的或有负债： 其他说明：</w:t>
      </w:r>
    </w:p>
    <w:p>
      <w:pPr>
        <w:pStyle w:val="Heading3"/>
        <w:spacing w:line="240" w:lineRule="auto" w:before="33"/>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198"/>
        <w:ind w:right="0"/>
        <w:jc w:val="both"/>
      </w:pPr>
      <w:r>
        <w:rPr/>
        <w:t>是否存在通过多次交易分步实现企业合并且在报告期内取得控制权的交易</w:t>
      </w:r>
    </w:p>
    <w:p>
      <w:pPr>
        <w:spacing w:line="240" w:lineRule="auto" w:before="10"/>
        <w:rPr>
          <w:rFonts w:ascii="宋体" w:hAnsi="宋体" w:cs="宋体" w:eastAsia="宋体" w:hint="default"/>
          <w:sz w:val="17"/>
          <w:szCs w:val="17"/>
        </w:rPr>
      </w:pPr>
    </w:p>
    <w:p>
      <w:pPr>
        <w:pStyle w:val="BodyText"/>
        <w:spacing w:line="240" w:lineRule="auto"/>
        <w:ind w:right="0"/>
        <w:jc w:val="both"/>
      </w:pPr>
      <w:r>
        <w:rPr/>
        <w:t>□ 是 √</w:t>
      </w:r>
      <w:r>
        <w:rPr>
          <w:spacing w:val="3"/>
        </w:rPr>
        <w:t> </w:t>
      </w:r>
      <w:r>
        <w:rPr/>
        <w:t>否</w:t>
      </w:r>
    </w:p>
    <w:p>
      <w:pPr>
        <w:spacing w:line="240" w:lineRule="auto" w:before="2"/>
        <w:rPr>
          <w:rFonts w:ascii="宋体" w:hAnsi="宋体" w:cs="宋体" w:eastAsia="宋体" w:hint="default"/>
          <w:sz w:val="16"/>
          <w:szCs w:val="1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pStyle w:val="Heading3"/>
        <w:spacing w:line="240" w:lineRule="auto" w:before="178"/>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pStyle w:val="Heading3"/>
        <w:spacing w:line="240" w:lineRule="auto" w:before="177"/>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177"/>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6"/>
        <w:gridCol w:w="1063"/>
      </w:tblGrid>
      <w:tr>
        <w:trPr>
          <w:trHeight w:val="146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437"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8"/>
        <w:ind w:right="0"/>
        <w:jc w:val="left"/>
      </w:pPr>
      <w:r>
        <w:rPr/>
        <w:t>其他说明：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16"/>
          <w:szCs w:val="16"/>
        </w:rPr>
      </w:pPr>
    </w:p>
    <w:p>
      <w:pPr>
        <w:spacing w:line="547" w:lineRule="exact"/>
        <w:ind w:left="181"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8.9pt;height:27.4pt;mso-position-horizontal-relative:char;mso-position-vertical-relative:line" coordorigin="0,0" coordsize="9578,548">
            <v:group style="position:absolute;left:4763;top:14;width:22;height:519" coordorigin="4763,14" coordsize="22,519">
              <v:shape style="position:absolute;left:4763;top:14;width:22;height:519" coordorigin="4763,14" coordsize="22,519" path="m4763,533l4784,533,4784,14,4763,14,4763,533xe" filled="true" fillcolor="#d2d2d2" stroked="false">
                <v:path arrowok="t"/>
                <v:fill type="solid"/>
              </v:shape>
            </v:group>
            <v:group style="position:absolute;left:10;top:14;width:24;height:519" coordorigin="10,14" coordsize="24,519">
              <v:shape style="position:absolute;left:10;top:14;width:24;height:519" coordorigin="10,14" coordsize="24,519" path="m10,533l34,533,34,14,10,14,10,533xe" filled="true" fillcolor="#d2d2d2" stroked="false">
                <v:path arrowok="t"/>
                <v:fill type="solid"/>
              </v:shape>
            </v:group>
            <v:group style="position:absolute;left:34;top:14;width:4729;height:519" coordorigin="34,14" coordsize="4729,519">
              <v:shape style="position:absolute;left:34;top:14;width:4729;height:519" coordorigin="34,14" coordsize="4729,519" path="m34,533l4763,533,4763,14,34,14,34,533xe" filled="true" fillcolor="#d2d2d2" stroked="false">
                <v:path arrowok="t"/>
                <v:fill type="solid"/>
              </v:shape>
            </v:group>
            <v:group style="position:absolute;left:4796;top:14;width:22;height:519" coordorigin="4796,14" coordsize="22,519">
              <v:shape style="position:absolute;left:4796;top:14;width:22;height:519" coordorigin="4796,14" coordsize="22,519" path="m4796,533l4818,533,4818,14,4796,14,4796,533xe" filled="true" fillcolor="#e0ffff" stroked="false">
                <v:path arrowok="t"/>
                <v:fill type="solid"/>
              </v:shape>
            </v:group>
            <v:group style="position:absolute;left:9547;top:14;width:24;height:519" coordorigin="9547,14" coordsize="24,519">
              <v:shape style="position:absolute;left:9547;top:14;width:24;height:519" coordorigin="9547,14" coordsize="24,519" path="m9547,533l9571,533,9571,14,9547,14,9547,533xe" filled="true" fillcolor="#e0ffff" stroked="false">
                <v:path arrowok="t"/>
                <v:fill type="solid"/>
              </v:shape>
            </v:group>
            <v:group style="position:absolute;left:4818;top:14;width:4729;height:519" coordorigin="4818,14" coordsize="4729,519">
              <v:shape style="position:absolute;left:4818;top:14;width:4729;height:519" coordorigin="4818,14" coordsize="4729,519" path="m4818,533l9547,533,9547,14,4818,14,4818,533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8pt" strokecolor="#000000">
                <v:path arrowok="t"/>
              </v:shape>
            </v:group>
            <v:group style="position:absolute;left:5;top:5;width:2;height:538" coordorigin="5,5" coordsize="2,538">
              <v:shape style="position:absolute;left:5;top:5;width:2;height:538" coordorigin="5,5" coordsize="0,538" path="m5,5l5,542e" filled="false" stroked="true" strokeweight=".48pt" strokecolor="#000000">
                <v:path arrowok="t"/>
              </v:shape>
            </v:group>
            <v:group style="position:absolute;left:10;top:538;width:4775;height:2" coordorigin="10,538" coordsize="4775,2">
              <v:shape style="position:absolute;left:10;top:538;width:4775;height:2" coordorigin="10,538" coordsize="4775,0" path="m10,538l4784,538e" filled="false" stroked="true" strokeweight=".48pt" strokecolor="#000000">
                <v:path arrowok="t"/>
              </v:shape>
            </v:group>
            <v:group style="position:absolute;left:4789;top:5;width:2;height:538" coordorigin="4789,5" coordsize="2,538">
              <v:shape style="position:absolute;left:4789;top:5;width:2;height:538" coordorigin="4789,5" coordsize="0,538" path="m4789,5l4789,542e" filled="false" stroked="true" strokeweight=".48001pt" strokecolor="#000000">
                <v:path arrowok="t"/>
              </v:shape>
            </v:group>
            <v:group style="position:absolute;left:4794;top:538;width:4775;height:2" coordorigin="4794,538" coordsize="4775,2">
              <v:shape style="position:absolute;left:4794;top:538;width:4775;height:2" coordorigin="4794,538" coordsize="4775,0" path="m4794,538l9568,538e" filled="false" stroked="true" strokeweight=".48pt" strokecolor="#000000">
                <v:path arrowok="t"/>
              </v:shape>
            </v:group>
            <v:group style="position:absolute;left:9573;top:5;width:2;height:538" coordorigin="9573,5" coordsize="2,538">
              <v:shape style="position:absolute;left:9573;top:5;width:2;height:538" coordorigin="9573,5" coordsize="0,538" path="m9573,5l9573,542e" filled="false" stroked="true" strokeweight=".47998pt" strokecolor="#000000">
                <v:path arrowok="t"/>
              </v:shape>
              <v:shape style="position:absolute;left:5;top:10;width:4786;height:528" type="#_x0000_t202" filled="false" stroked="false">
                <v:textbox inset="0,0,0,0">
                  <w:txbxContent>
                    <w:p>
                      <w:pPr>
                        <w:spacing w:before="63"/>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10"/>
          <w:sz w:val="20"/>
          <w:szCs w:val="20"/>
        </w:rPr>
      </w:r>
    </w:p>
    <w:p>
      <w:pPr>
        <w:pStyle w:val="BodyText"/>
        <w:spacing w:line="477" w:lineRule="auto" w:before="54"/>
        <w:ind w:right="7614"/>
        <w:jc w:val="left"/>
      </w:pPr>
      <w:r>
        <w:rPr/>
        <w:t>或有对价及其变动的说明： 其他说明：</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16"/>
          <w:szCs w:val="16"/>
        </w:rPr>
      </w:pPr>
    </w:p>
    <w:p>
      <w:pPr>
        <w:spacing w:line="1075" w:lineRule="exact"/>
        <w:ind w:left="181"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79.05pt;height:53.8pt;mso-position-horizontal-relative:char;mso-position-vertical-relative:line" coordorigin="0,0" coordsize="9581,1076">
            <v:group style="position:absolute;left:3169;top:15;width:22;height:519" coordorigin="3169,15" coordsize="22,519">
              <v:shape style="position:absolute;left:3169;top:15;width:22;height:519" coordorigin="3169,15" coordsize="22,519" path="m3169,533l3191,533,3191,15,3169,15,3169,533xe" filled="true" fillcolor="#d2d2d2" stroked="false">
                <v:path arrowok="t"/>
                <v:fill type="solid"/>
              </v:shape>
            </v:group>
            <v:group style="position:absolute;left:10;top:15;width:24;height:519" coordorigin="10,15" coordsize="24,519">
              <v:shape style="position:absolute;left:10;top:15;width:24;height:519" coordorigin="10,15" coordsize="24,519" path="m10,533l34,533,34,15,10,15,10,533xe" filled="true" fillcolor="#d2d2d2" stroked="false">
                <v:path arrowok="t"/>
                <v:fill type="solid"/>
              </v:shape>
            </v:group>
            <v:group style="position:absolute;left:34;top:15;width:3136;height:519" coordorigin="34,15" coordsize="3136,519">
              <v:shape style="position:absolute;left:34;top:15;width:3136;height:519" coordorigin="34,15" coordsize="3136,519" path="m34,533l3169,533,3169,15,34,15,34,533xe" filled="true" fillcolor="#d2d2d2" stroked="false">
                <v:path arrowok="t"/>
                <v:fill type="solid"/>
              </v:shape>
            </v:group>
            <v:group style="position:absolute;left:3200;top:15;width:24;height:519" coordorigin="3200,15" coordsize="24,519">
              <v:shape style="position:absolute;left:3200;top:15;width:24;height:519" coordorigin="3200,15" coordsize="24,519" path="m3200,533l3224,533,3224,15,3200,15,3200,533xe" filled="true" fillcolor="#e0ffff" stroked="false">
                <v:path arrowok="t"/>
                <v:fill type="solid"/>
              </v:shape>
            </v:group>
            <v:group style="position:absolute;left:9549;top:15;width:24;height:519" coordorigin="9549,15" coordsize="24,519">
              <v:shape style="position:absolute;left:9549;top:15;width:24;height:519" coordorigin="9549,15" coordsize="24,519" path="m9549,533l9573,533,9573,15,9549,15,9549,533xe" filled="true" fillcolor="#e0ffff" stroked="false">
                <v:path arrowok="t"/>
                <v:fill type="solid"/>
              </v:shape>
            </v:group>
            <v:group style="position:absolute;left:3224;top:15;width:6325;height:519" coordorigin="3224,15" coordsize="6325,519">
              <v:shape style="position:absolute;left:3224;top:15;width:6325;height:519" coordorigin="3224,15" coordsize="6325,519" path="m3224,533l9549,533,9549,15,3224,15,3224,533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1;height:2" coordorigin="3200,10" coordsize="6371,2">
              <v:shape style="position:absolute;left:3200;top:10;width:6371;height:2" coordorigin="3200,10" coordsize="6371,0" path="m3200,10l9571,10e" filled="false" stroked="true" strokeweight=".48pt" strokecolor="#000000">
                <v:path arrowok="t"/>
              </v:shape>
            </v:group>
            <v:group style="position:absolute;left:3169;top:543;width:22;height:519" coordorigin="3169,543" coordsize="22,519">
              <v:shape style="position:absolute;left:3169;top:543;width:22;height:519" coordorigin="3169,543" coordsize="22,519" path="m3169,1061l3191,1061,3191,543,3169,543,3169,1061xe" filled="true" fillcolor="#d2d2d2" stroked="false">
                <v:path arrowok="t"/>
                <v:fill type="solid"/>
              </v:shape>
            </v:group>
            <v:group style="position:absolute;left:10;top:543;width:24;height:519" coordorigin="10,543" coordsize="24,519">
              <v:shape style="position:absolute;left:10;top:543;width:24;height:519" coordorigin="10,543" coordsize="24,519" path="m10,1061l34,1061,34,543,10,543,10,1061xe" filled="true" fillcolor="#d2d2d2" stroked="false">
                <v:path arrowok="t"/>
                <v:fill type="solid"/>
              </v:shape>
            </v:group>
            <v:group style="position:absolute;left:34;top:543;width:3136;height:519" coordorigin="34,543" coordsize="3136,519">
              <v:shape style="position:absolute;left:34;top:543;width:3136;height:519" coordorigin="34,543" coordsize="3136,519" path="m34,1061l3169,1061,3169,543,34,543,34,1061xe" filled="true" fillcolor="#d2d2d2" stroked="false">
                <v:path arrowok="t"/>
                <v:fill type="solid"/>
              </v:shape>
            </v:group>
            <v:group style="position:absolute;left:6359;top:543;width:22;height:519" coordorigin="6359,543" coordsize="22,519">
              <v:shape style="position:absolute;left:6359;top:543;width:22;height:519" coordorigin="6359,543" coordsize="22,519" path="m6359,1061l6381,1061,6381,543,6359,543,6359,1061xe" filled="true" fillcolor="#d2d2d2" stroked="false">
                <v:path arrowok="t"/>
                <v:fill type="solid"/>
              </v:shape>
            </v:group>
            <v:group style="position:absolute;left:3200;top:543;width:24;height:519" coordorigin="3200,543" coordsize="24,519">
              <v:shape style="position:absolute;left:3200;top:543;width:24;height:519" coordorigin="3200,543" coordsize="24,519" path="m3200,1061l3224,1061,3224,543,3200,543,3200,1061xe" filled="true" fillcolor="#d2d2d2" stroked="false">
                <v:path arrowok="t"/>
                <v:fill type="solid"/>
              </v:shape>
            </v:group>
            <v:group style="position:absolute;left:3224;top:543;width:3135;height:519" coordorigin="3224,543" coordsize="3135,519">
              <v:shape style="position:absolute;left:3224;top:543;width:3135;height:519" coordorigin="3224,543" coordsize="3135,519" path="m3224,1061l6359,1061,6359,543,3224,543,3224,1061xe" filled="true" fillcolor="#d2d2d2" stroked="false">
                <v:path arrowok="t"/>
                <v:fill type="solid"/>
              </v:shape>
            </v:group>
            <v:group style="position:absolute;left:9549;top:543;width:24;height:519" coordorigin="9549,543" coordsize="24,519">
              <v:shape style="position:absolute;left:9549;top:543;width:24;height:519" coordorigin="9549,543" coordsize="24,519" path="m9549,1061l9573,1061,9573,543,9549,543,9549,1061xe" filled="true" fillcolor="#d2d2d2" stroked="false">
                <v:path arrowok="t"/>
                <v:fill type="solid"/>
              </v:shape>
            </v:group>
            <v:group style="position:absolute;left:6393;top:543;width:22;height:519" coordorigin="6393,543" coordsize="22,519">
              <v:shape style="position:absolute;left:6393;top:543;width:22;height:519" coordorigin="6393,543" coordsize="22,519" path="m6393,1061l6414,1061,6414,543,6393,543,6393,1061xe" filled="true" fillcolor="#d2d2d2" stroked="false">
                <v:path arrowok="t"/>
                <v:fill type="solid"/>
              </v:shape>
            </v:group>
            <v:group style="position:absolute;left:6414;top:543;width:3135;height:519" coordorigin="6414,543" coordsize="3135,519">
              <v:shape style="position:absolute;left:6414;top:543;width:3135;height:519" coordorigin="6414,543" coordsize="3135,519" path="m6414,1061l9549,1061,9549,543,6414,543,6414,1061xe" filled="true" fillcolor="#d2d2d2" stroked="false">
                <v:path arrowok="t"/>
                <v:fill type="solid"/>
              </v:shape>
            </v:group>
            <v:group style="position:absolute;left:10;top:538;width:3181;height:2" coordorigin="10,538" coordsize="3181,2">
              <v:shape style="position:absolute;left:10;top:538;width:3181;height:2" coordorigin="10,538" coordsize="3181,0" path="m10,538l3191,538e" filled="false" stroked="true" strokeweight=".47998pt" strokecolor="#000000">
                <v:path arrowok="t"/>
              </v:shape>
            </v:group>
            <v:group style="position:absolute;left:3200;top:538;width:3181;height:2" coordorigin="3200,538" coordsize="3181,2">
              <v:shape style="position:absolute;left:3200;top:538;width:3181;height:2" coordorigin="3200,538" coordsize="3181,0" path="m3200,538l6381,538e" filled="false" stroked="true" strokeweight=".47998pt" strokecolor="#000000">
                <v:path arrowok="t"/>
              </v:shape>
            </v:group>
            <v:group style="position:absolute;left:6390;top:538;width:3181;height:2" coordorigin="6390,538" coordsize="3181,2">
              <v:shape style="position:absolute;left:6390;top:538;width:3181;height:2" coordorigin="6390,538" coordsize="3181,0" path="m6390,538l9571,538e" filled="false" stroked="true" strokeweight=".47998pt" strokecolor="#000000">
                <v:path arrowok="t"/>
              </v:shape>
            </v:group>
            <v:group style="position:absolute;left:5;top:5;width:2;height:1067" coordorigin="5,5" coordsize="2,1067">
              <v:shape style="position:absolute;left:5;top:5;width:2;height:1067" coordorigin="5,5" coordsize="0,1067" path="m5,5l5,1071e" filled="false" stroked="true" strokeweight=".48pt" strokecolor="#000000">
                <v:path arrowok="t"/>
              </v:shape>
            </v:group>
            <v:group style="position:absolute;left:10;top:1066;width:3181;height:2" coordorigin="10,1066" coordsize="3181,2">
              <v:shape style="position:absolute;left:10;top:1066;width:3181;height:2" coordorigin="10,1066" coordsize="3181,0" path="m10,1066l3191,1066e" filled="false" stroked="true" strokeweight=".47998pt" strokecolor="#000000">
                <v:path arrowok="t"/>
              </v:shape>
            </v:group>
            <v:group style="position:absolute;left:3195;top:5;width:2;height:1067" coordorigin="3195,5" coordsize="2,1067">
              <v:shape style="position:absolute;left:3195;top:5;width:2;height:1067" coordorigin="3195,5" coordsize="0,1067" path="m3195,5l3195,1071e" filled="false" stroked="true" strokeweight=".48pt" strokecolor="#000000">
                <v:path arrowok="t"/>
              </v:shape>
            </v:group>
            <v:group style="position:absolute;left:3200;top:1066;width:3181;height:2" coordorigin="3200,1066" coordsize="3181,2">
              <v:shape style="position:absolute;left:3200;top:1066;width:3181;height:2" coordorigin="3200,1066" coordsize="3181,0" path="m3200,1066l6381,1066e" filled="false" stroked="true" strokeweight=".47998pt" strokecolor="#000000">
                <v:path arrowok="t"/>
              </v:shape>
            </v:group>
            <v:group style="position:absolute;left:6385;top:533;width:2;height:538" coordorigin="6385,533" coordsize="2,538">
              <v:shape style="position:absolute;left:6385;top:533;width:2;height:538" coordorigin="6385,533" coordsize="0,538" path="m6385,533l6385,1071e" filled="false" stroked="true" strokeweight=".48001pt" strokecolor="#000000">
                <v:path arrowok="t"/>
              </v:shape>
            </v:group>
            <v:group style="position:absolute;left:6390;top:1066;width:3181;height:2" coordorigin="6390,1066" coordsize="3181,2">
              <v:shape style="position:absolute;left:6390;top:1066;width:3181;height:2" coordorigin="6390,1066" coordsize="3181,0" path="m6390,1066l9571,1066e" filled="false" stroked="true" strokeweight=".47998pt" strokecolor="#000000">
                <v:path arrowok="t"/>
              </v:shape>
            </v:group>
            <v:group style="position:absolute;left:9576;top:5;width:2;height:1067" coordorigin="9576,5" coordsize="2,1067">
              <v:shape style="position:absolute;left:9576;top:5;width:2;height:1067" coordorigin="9576,5" coordsize="0,1067" path="m9576,5l9576,1071e" filled="false" stroked="true" strokeweight=".47998pt" strokecolor="#000000">
                <v:path arrowok="t"/>
              </v:shape>
              <v:shape style="position:absolute;left:3195;top:538;width:3190;height:528" type="#_x0000_t202" filled="false" stroked="false">
                <v:textbox inset="0,0,0,0">
                  <w:txbxContent>
                    <w:p>
                      <w:pPr>
                        <w:spacing w:before="6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538;width:3191;height:528" type="#_x0000_t202" filled="false" stroked="false">
                <v:textbox inset="0,0,0,0">
                  <w:txbxContent>
                    <w:p>
                      <w:pPr>
                        <w:spacing w:before="63"/>
                        <w:ind w:left="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21"/>
          <w:sz w:val="20"/>
          <w:szCs w:val="20"/>
        </w:rPr>
      </w:r>
    </w:p>
    <w:p>
      <w:pPr>
        <w:pStyle w:val="BodyText"/>
        <w:spacing w:line="477" w:lineRule="auto" w:before="54"/>
        <w:ind w:right="6534"/>
        <w:jc w:val="left"/>
      </w:pPr>
      <w:r>
        <w:rPr/>
        <w:t>企业合并中承担的被合并方的或有负债： 其他说明：</w:t>
      </w:r>
    </w:p>
    <w:p>
      <w:pPr>
        <w:pStyle w:val="Heading3"/>
        <w:spacing w:line="240" w:lineRule="auto" w:before="33"/>
        <w:ind w:right="0"/>
        <w:jc w:val="left"/>
        <w:rPr>
          <w:b w:val="0"/>
          <w:bCs w:val="0"/>
        </w:rPr>
      </w:pPr>
      <w:r>
        <w:rPr>
          <w:rFonts w:ascii="Times New Roman" w:hAnsi="Times New Roman" w:cs="Times New Roman" w:eastAsia="Times New Roman" w:hint="default"/>
        </w:rPr>
        <w:t>3</w:t>
      </w:r>
      <w:r>
        <w:rPr/>
        <w:t>、反向购买</w:t>
      </w:r>
      <w:r>
        <w:rPr>
          <w:b w:val="0"/>
          <w:bCs w:val="0"/>
        </w:rPr>
      </w:r>
    </w:p>
    <w:p>
      <w:pPr>
        <w:pStyle w:val="BodyText"/>
        <w:spacing w:line="316" w:lineRule="auto" w:before="198"/>
        <w:ind w:right="234"/>
        <w:jc w:val="left"/>
      </w:pPr>
      <w:r>
        <w:rPr/>
        <w:t>交易基本信息、交易构成反向购买的依据、上市公司保留的资产、负债是否构成业务及其依据、合并成本的确定、按照权 益性交易处理时调整权益的金额及其计算：</w:t>
      </w:r>
    </w:p>
    <w:p>
      <w:pPr>
        <w:pStyle w:val="Heading3"/>
        <w:spacing w:line="240" w:lineRule="auto" w:before="154"/>
        <w:ind w:right="0"/>
        <w:jc w:val="left"/>
        <w:rPr>
          <w:b w:val="0"/>
          <w:bCs w:val="0"/>
        </w:rPr>
      </w:pPr>
      <w:r>
        <w:rPr>
          <w:rFonts w:ascii="Times New Roman" w:hAnsi="Times New Roman" w:cs="Times New Roman" w:eastAsia="Times New Roman" w:hint="default"/>
        </w:rPr>
        <w:t>4</w:t>
      </w:r>
      <w:r>
        <w:rPr/>
        <w:t>、处置子公司</w:t>
      </w:r>
      <w:r>
        <w:rPr>
          <w:b w:val="0"/>
          <w:bCs w:val="0"/>
        </w:rPr>
      </w:r>
    </w:p>
    <w:p>
      <w:pPr>
        <w:pStyle w:val="BodyText"/>
        <w:spacing w:line="240" w:lineRule="auto" w:before="198"/>
        <w:ind w:right="0"/>
        <w:jc w:val="left"/>
      </w:pPr>
      <w:r>
        <w:rPr/>
        <w:t>是否存在单次处置对子公司投资即丧失控制权的情形</w:t>
      </w:r>
    </w:p>
    <w:p>
      <w:pPr>
        <w:spacing w:line="240" w:lineRule="auto" w:before="10"/>
        <w:rPr>
          <w:rFonts w:ascii="宋体" w:hAnsi="宋体" w:cs="宋体" w:eastAsia="宋体" w:hint="default"/>
          <w:sz w:val="17"/>
          <w:szCs w:val="17"/>
        </w:rPr>
      </w:pPr>
    </w:p>
    <w:p>
      <w:pPr>
        <w:pStyle w:val="BodyText"/>
        <w:spacing w:line="477" w:lineRule="auto"/>
        <w:ind w:right="4014"/>
        <w:jc w:val="left"/>
      </w:pPr>
      <w:r>
        <w:rPr/>
        <w:t>□ 是 √</w:t>
      </w:r>
      <w:r>
        <w:rPr>
          <w:spacing w:val="3"/>
        </w:rPr>
        <w:t> </w:t>
      </w:r>
      <w:r>
        <w:rPr/>
        <w:t>否</w:t>
      </w:r>
      <w:r>
        <w:rPr/>
        <w:t> 是否存在通过多次交易分步处置对子公司投资且在本期丧失控制权的情形</w:t>
      </w:r>
    </w:p>
    <w:p>
      <w:pPr>
        <w:pStyle w:val="BodyText"/>
        <w:spacing w:line="240" w:lineRule="auto" w:before="54"/>
        <w:ind w:right="0"/>
        <w:jc w:val="left"/>
      </w:pPr>
      <w:r>
        <w:rPr/>
        <w:t>□ 是 √</w:t>
      </w:r>
      <w:r>
        <w:rPr>
          <w:spacing w:val="3"/>
        </w:rPr>
        <w:t> </w:t>
      </w:r>
      <w:r>
        <w:rPr/>
        <w:t>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pStyle w:val="BodyText"/>
        <w:spacing w:line="240" w:lineRule="auto" w:before="198"/>
        <w:ind w:right="0"/>
        <w:jc w:val="left"/>
      </w:pPr>
      <w:r>
        <w:rPr/>
        <w:t>说明其他原因导致的合并范围变动（如，新设子公司、清算子公司等）及其相关情况：</w:t>
      </w:r>
    </w:p>
    <w:p>
      <w:pPr>
        <w:spacing w:line="240" w:lineRule="auto" w:before="3"/>
        <w:rPr>
          <w:rFonts w:ascii="宋体" w:hAnsi="宋体" w:cs="宋体" w:eastAsia="宋体" w:hint="default"/>
          <w:sz w:val="16"/>
          <w:szCs w:val="16"/>
        </w:rPr>
      </w:pPr>
    </w:p>
    <w:p>
      <w:pPr>
        <w:spacing w:line="372"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4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528"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28"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8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z w:val="18"/>
                <w:szCs w:val="18"/>
              </w:rPr>
              <w:t>福建永福铁塔技 术开发有限公司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8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z w:val="18"/>
                <w:szCs w:val="18"/>
              </w:rPr>
              <w:t>福建永福电通技 术开发有限公司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8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z w:val="18"/>
                <w:szCs w:val="18"/>
              </w:rPr>
              <w:t>福州新创机电设 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设备销售业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8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z w:val="18"/>
                <w:szCs w:val="18"/>
              </w:rPr>
              <w:t>厦门福思威特工 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477" w:lineRule="auto" w:before="58"/>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477" w:lineRule="auto" w:before="54"/>
        <w:ind w:right="6714"/>
        <w:jc w:val="left"/>
      </w:pPr>
      <w:r>
        <w:rPr/>
        <w:t>确定公司是代理人还是委托人的依据： 其他说明：</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100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2"/>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2"/>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477" w:lineRule="auto" w:before="58"/>
        <w:ind w:right="5454"/>
        <w:jc w:val="left"/>
      </w:pPr>
      <w:r>
        <w:rPr/>
        <w:t>子公司少数股东的持股比例不同于表决权比例的说明： 其他说明：</w:t>
      </w:r>
    </w:p>
    <w:p>
      <w:pPr>
        <w:pStyle w:val="Heading3"/>
        <w:spacing w:line="240" w:lineRule="auto" w:before="33"/>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7"/>
        <w:gridCol w:w="734"/>
        <w:gridCol w:w="737"/>
        <w:gridCol w:w="735"/>
        <w:gridCol w:w="734"/>
        <w:gridCol w:w="734"/>
        <w:gridCol w:w="737"/>
        <w:gridCol w:w="737"/>
        <w:gridCol w:w="737"/>
      </w:tblGrid>
      <w:tr>
        <w:trPr>
          <w:trHeight w:val="528"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82" w:right="8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841"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84"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1"/>
        <w:gridCol w:w="1066"/>
        <w:gridCol w:w="1066"/>
        <w:gridCol w:w="1063"/>
        <w:gridCol w:w="1063"/>
        <w:gridCol w:w="1064"/>
        <w:gridCol w:w="1066"/>
      </w:tblGrid>
      <w:tr>
        <w:trPr>
          <w:trHeight w:val="528"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40"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9"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pStyle w:val="BodyText"/>
        <w:spacing w:line="240" w:lineRule="auto" w:before="198"/>
        <w:ind w:right="0"/>
        <w:jc w:val="left"/>
      </w:pPr>
      <w:r>
        <w:rPr/>
        <w:t>其他说明：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16"/>
          <w:szCs w:val="16"/>
        </w:rPr>
      </w:pPr>
    </w:p>
    <w:p>
      <w:pPr>
        <w:spacing w:line="547" w:lineRule="exact"/>
        <w:ind w:left="181"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8.9pt;height:27.4pt;mso-position-horizontal-relative:char;mso-position-vertical-relative:line" coordorigin="0,0" coordsize="9578,548">
            <v:group style="position:absolute;left:4763;top:14;width:22;height:519" coordorigin="4763,14" coordsize="22,519">
              <v:shape style="position:absolute;left:4763;top:14;width:22;height:519" coordorigin="4763,14" coordsize="22,519" path="m4763,533l4784,533,4784,14,4763,14,4763,533xe" filled="true" fillcolor="#d2d2d2" stroked="false">
                <v:path arrowok="t"/>
                <v:fill type="solid"/>
              </v:shape>
            </v:group>
            <v:group style="position:absolute;left:10;top:14;width:24;height:519" coordorigin="10,14" coordsize="24,519">
              <v:shape style="position:absolute;left:10;top:14;width:24;height:519" coordorigin="10,14" coordsize="24,519" path="m10,533l34,533,34,14,10,14,10,533xe" filled="true" fillcolor="#d2d2d2" stroked="false">
                <v:path arrowok="t"/>
                <v:fill type="solid"/>
              </v:shape>
            </v:group>
            <v:group style="position:absolute;left:34;top:14;width:4729;height:519" coordorigin="34,14" coordsize="4729,519">
              <v:shape style="position:absolute;left:34;top:14;width:4729;height:519" coordorigin="34,14" coordsize="4729,519" path="m34,533l4763,533,4763,14,34,14,34,533xe" filled="true" fillcolor="#d2d2d2" stroked="false">
                <v:path arrowok="t"/>
                <v:fill type="solid"/>
              </v:shape>
            </v:group>
            <v:group style="position:absolute;left:4796;top:14;width:22;height:519" coordorigin="4796,14" coordsize="22,519">
              <v:shape style="position:absolute;left:4796;top:14;width:22;height:519" coordorigin="4796,14" coordsize="22,519" path="m4796,533l4818,533,4818,14,4796,14,4796,533xe" filled="true" fillcolor="#e0ffff" stroked="false">
                <v:path arrowok="t"/>
                <v:fill type="solid"/>
              </v:shape>
            </v:group>
            <v:group style="position:absolute;left:9547;top:14;width:24;height:519" coordorigin="9547,14" coordsize="24,519">
              <v:shape style="position:absolute;left:9547;top:14;width:24;height:519" coordorigin="9547,14" coordsize="24,519" path="m9547,533l9571,533,9571,14,9547,14,9547,533xe" filled="true" fillcolor="#e0ffff" stroked="false">
                <v:path arrowok="t"/>
                <v:fill type="solid"/>
              </v:shape>
            </v:group>
            <v:group style="position:absolute;left:4818;top:14;width:4729;height:519" coordorigin="4818,14" coordsize="4729,519">
              <v:shape style="position:absolute;left:4818;top:14;width:4729;height:519" coordorigin="4818,14" coordsize="4729,519" path="m4818,533l9547,533,9547,14,4818,14,4818,533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5;height:2" coordorigin="4794,10" coordsize="4775,2">
              <v:shape style="position:absolute;left:4794;top:10;width:4775;height:2" coordorigin="4794,10" coordsize="4775,0" path="m4794,10l9568,10e" filled="false" stroked="true" strokeweight=".48pt" strokecolor="#000000">
                <v:path arrowok="t"/>
              </v:shape>
            </v:group>
            <v:group style="position:absolute;left:5;top:5;width:2;height:538" coordorigin="5,5" coordsize="2,538">
              <v:shape style="position:absolute;left:5;top:5;width:2;height:538" coordorigin="5,5" coordsize="0,538" path="m5,5l5,542e" filled="false" stroked="true" strokeweight=".48pt" strokecolor="#000000">
                <v:path arrowok="t"/>
              </v:shape>
            </v:group>
            <v:group style="position:absolute;left:10;top:538;width:4775;height:2" coordorigin="10,538" coordsize="4775,2">
              <v:shape style="position:absolute;left:10;top:538;width:4775;height:2" coordorigin="10,538" coordsize="4775,0" path="m10,538l4784,538e" filled="false" stroked="true" strokeweight=".48pt" strokecolor="#000000">
                <v:path arrowok="t"/>
              </v:shape>
            </v:group>
            <v:group style="position:absolute;left:4789;top:5;width:2;height:538" coordorigin="4789,5" coordsize="2,538">
              <v:shape style="position:absolute;left:4789;top:5;width:2;height:538" coordorigin="4789,5" coordsize="0,538" path="m4789,5l4789,542e" filled="false" stroked="true" strokeweight=".48001pt" strokecolor="#000000">
                <v:path arrowok="t"/>
              </v:shape>
            </v:group>
            <v:group style="position:absolute;left:4794;top:538;width:4775;height:2" coordorigin="4794,538" coordsize="4775,2">
              <v:shape style="position:absolute;left:4794;top:538;width:4775;height:2" coordorigin="4794,538" coordsize="4775,0" path="m4794,538l9568,538e" filled="false" stroked="true" strokeweight=".48pt" strokecolor="#000000">
                <v:path arrowok="t"/>
              </v:shape>
            </v:group>
            <v:group style="position:absolute;left:9573;top:5;width:2;height:538" coordorigin="9573,5" coordsize="2,538">
              <v:shape style="position:absolute;left:9573;top:5;width:2;height:538" coordorigin="9573,5" coordsize="0,538" path="m9573,5l9573,542e" filled="false" stroked="true" strokeweight=".47998pt" strokecolor="#000000">
                <v:path arrowok="t"/>
              </v:shape>
            </v:group>
          </v:group>
        </w:pict>
      </w:r>
      <w:r>
        <w:rPr>
          <w:rFonts w:ascii="宋体" w:hAnsi="宋体" w:cs="宋体" w:eastAsia="宋体" w:hint="default"/>
          <w:position w:val="-10"/>
          <w:sz w:val="20"/>
          <w:szCs w:val="20"/>
        </w:rPr>
      </w:r>
    </w:p>
    <w:p>
      <w:pPr>
        <w:pStyle w:val="BodyText"/>
        <w:spacing w:line="240" w:lineRule="auto" w:before="54"/>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pStyle w:val="Heading3"/>
        <w:spacing w:line="240" w:lineRule="auto" w:before="178"/>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528"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8"/>
        <w:ind w:right="0"/>
        <w:jc w:val="left"/>
      </w:pPr>
      <w:r>
        <w:rPr/>
        <w:t>在合营企业或联营企业的持股比例不同于表决权比例的说明：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52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462"/>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526"/>
              <w:jc w:val="right"/>
              <w:rPr>
                <w:rFonts w:ascii="Times New Roman" w:hAnsi="Times New Roman" w:cs="Times New Roman" w:eastAsia="Times New Roman" w:hint="default"/>
                <w:sz w:val="18"/>
                <w:szCs w:val="18"/>
              </w:rPr>
            </w:pPr>
            <w:r>
              <w:rPr>
                <w:rFonts w:ascii="Times New Roman"/>
                <w:sz w:val="18"/>
              </w:rPr>
              <w:t>--</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462"/>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526"/>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1"/>
        <w:gridCol w:w="2393"/>
        <w:gridCol w:w="2393"/>
      </w:tblGrid>
      <w:tr>
        <w:trPr>
          <w:trHeight w:val="84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561" w:right="111"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6"/>
        <w:gridCol w:w="1594"/>
        <w:gridCol w:w="1594"/>
        <w:gridCol w:w="1594"/>
      </w:tblGrid>
      <w:tr>
        <w:trPr>
          <w:trHeight w:val="528"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528"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477" w:lineRule="auto" w:before="58"/>
        <w:ind w:right="4554"/>
        <w:jc w:val="left"/>
      </w:pPr>
      <w:r>
        <w:rPr/>
        <w:t>在共同经营中的持股比例或享有的份额不同于表决权比例的说明： 共同经营为单独主体的，分类为共同经营的依据：</w:t>
      </w:r>
    </w:p>
    <w:p>
      <w:pPr>
        <w:pStyle w:val="BodyText"/>
        <w:spacing w:line="240" w:lineRule="auto" w:before="54"/>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pStyle w:val="BodyText"/>
        <w:spacing w:line="240" w:lineRule="auto" w:before="198"/>
        <w:ind w:right="0"/>
        <w:jc w:val="left"/>
      </w:pPr>
      <w:r>
        <w:rPr/>
        <w:t>未纳入合并财务报表范围的结构化主体的相关说明：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pStyle w:val="Heading2"/>
        <w:spacing w:line="240" w:lineRule="auto" w:before="149"/>
        <w:ind w:right="0"/>
        <w:jc w:val="left"/>
        <w:rPr>
          <w:b w:val="0"/>
          <w:bCs w:val="0"/>
        </w:rPr>
      </w:pPr>
      <w:r>
        <w:rPr/>
        <w:t>十、与金融工具相关的风险</w:t>
      </w:r>
      <w:r>
        <w:rPr>
          <w:b w:val="0"/>
          <w:bCs w:val="0"/>
        </w:rPr>
      </w:r>
    </w:p>
    <w:p>
      <w:pPr>
        <w:pStyle w:val="BodyText"/>
        <w:spacing w:line="316" w:lineRule="auto" w:before="203"/>
        <w:ind w:right="251" w:firstLine="360"/>
        <w:jc w:val="both"/>
      </w:pPr>
      <w:r>
        <w:rPr/>
        <w:t>本公司在经营过程中面临各种金融风险：信用风险、市场风险和流动性风险。公司董事会全面负责风险管理目标和政 策的确定，并对风险管理目标和政策承担最终责任，但是董事会已授权本公司各职能部门设计和实施能确保风险管理目标 和政策得以有效执行的程序。董事会通过职能部门递交的月度报告来审查已执行程序的有效性以及风险管理目标和政策的 合理性。本公司的内部审计师也会审计风险管理的政策和程序，并且将有关发现汇报给审计委员会。</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本公司风险管理的总体目标是在不过度影响公司竞争力和应变力的情况下，制定尽可能降低风险的风险管理政策。</w:t>
      </w:r>
    </w:p>
    <w:p>
      <w:pPr>
        <w:pStyle w:val="BodyText"/>
        <w:spacing w:line="450" w:lineRule="atLeast" w:before="31"/>
        <w:ind w:left="513" w:right="233"/>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44"/>
        </w:rPr>
        <w:t> </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信用风险是指金融工具的一方不履行义务，造成另一方发生财务损失的风险。本公司主要面临赊销导致的客户信用风</w:t>
      </w:r>
    </w:p>
    <w:p>
      <w:pPr>
        <w:pStyle w:val="BodyText"/>
        <w:spacing w:line="319" w:lineRule="auto" w:before="76"/>
        <w:ind w:right="234"/>
        <w:jc w:val="left"/>
      </w:pPr>
      <w:r>
        <w:rPr/>
        <w:t>险。在签订新合同之前，本公司会对新客户的信用风险进行评估，包括外部信用评级和在某些情况下的银行资信证明（当 此信息可获取时）。公司对每一客户均设置了赊销限额，该限额为无需获得额外批准的最大额度。</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公司通过对已有客户信用评级的季度监控以及应收账款账龄分析的月度审核来确保公司的整体信用风险在可控的范围</w:t>
      </w:r>
    </w:p>
    <w:p>
      <w:pPr>
        <w:spacing w:after="0" w:line="240" w:lineRule="auto"/>
        <w:jc w:val="left"/>
        <w:sectPr>
          <w:pgSz w:w="11910" w:h="16840"/>
          <w:pgMar w:header="852" w:footer="979" w:top="1220" w:bottom="1160" w:left="980" w:right="980"/>
        </w:sectPr>
      </w:pPr>
    </w:p>
    <w:p>
      <w:pPr>
        <w:spacing w:line="240" w:lineRule="auto" w:before="11"/>
        <w:rPr>
          <w:rFonts w:ascii="宋体" w:hAnsi="宋体" w:cs="宋体" w:eastAsia="宋体" w:hint="default"/>
          <w:sz w:val="13"/>
          <w:szCs w:val="13"/>
        </w:rPr>
      </w:pPr>
    </w:p>
    <w:p>
      <w:pPr>
        <w:pStyle w:val="BodyText"/>
        <w:spacing w:line="300" w:lineRule="auto" w:before="44"/>
        <w:ind w:right="254"/>
        <w:jc w:val="left"/>
      </w:pPr>
      <w:r>
        <w:rPr/>
        <w:t>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级别的客户会放在受限制客户名单里，并 且只有在额外批准的前提下，公司才可在未来期间内对其赊销，否则必须要求其提前支付相应款项。</w:t>
      </w:r>
    </w:p>
    <w:p>
      <w:pPr>
        <w:spacing w:line="240" w:lineRule="auto" w:before="4"/>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市场风险</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513" w:right="0"/>
        <w:jc w:val="left"/>
      </w:pPr>
      <w:r>
        <w:rPr/>
        <w:t>金融工具的市场风险，是指金融工具的公允价值或未来现金流量因市场价格变动而发生波动的风险，主要为利率风</w:t>
      </w:r>
    </w:p>
    <w:p>
      <w:pPr>
        <w:pStyle w:val="BodyText"/>
        <w:spacing w:line="240" w:lineRule="auto" w:before="76"/>
        <w:ind w:right="0"/>
        <w:jc w:val="left"/>
      </w:pPr>
      <w:r>
        <w:rPr/>
        <w:t>险。</w:t>
      </w:r>
    </w:p>
    <w:p>
      <w:pPr>
        <w:spacing w:line="240" w:lineRule="auto" w:before="5"/>
        <w:rPr>
          <w:rFonts w:ascii="宋体" w:hAnsi="宋体" w:cs="宋体" w:eastAsia="宋体" w:hint="default"/>
          <w:sz w:val="14"/>
          <w:szCs w:val="14"/>
        </w:rPr>
      </w:pPr>
    </w:p>
    <w:p>
      <w:pPr>
        <w:pStyle w:val="BodyText"/>
        <w:spacing w:line="312" w:lineRule="auto" w:before="44"/>
        <w:ind w:right="174" w:firstLine="360"/>
        <w:jc w:val="left"/>
      </w:pPr>
      <w:r>
        <w:rPr/>
        <w:t>利率风险，是指金融工具的公允价值或未来现金流量因市场利率变动而发生波动的风险。本公司面临的利率风险主要 来源于银行借款。公司目前的政策是基本固定利率借款占外部借款的</w:t>
      </w:r>
      <w:r>
        <w:rPr>
          <w:rFonts w:ascii="Times New Roman" w:hAnsi="Times New Roman" w:cs="Times New Roman" w:eastAsia="Times New Roman" w:hint="default"/>
        </w:rPr>
        <w:t>100%</w:t>
      </w:r>
      <w:r>
        <w:rPr/>
        <w:t>。为维持该比例，本公司可能运用利率互换以实 现预期的利率结构。尽管该政策不能使本公司完全避免支付的利率超出现行市场利率的风险，也不能完全消除与利息支付 波动相关的现金流量风险，但是管理层认为该政策实现了这些风险之间的合理平衡。</w:t>
      </w:r>
    </w:p>
    <w:p>
      <w:pPr>
        <w:pStyle w:val="BodyText"/>
        <w:spacing w:line="468" w:lineRule="exact" w:before="15"/>
        <w:ind w:left="513" w:right="233"/>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44"/>
        </w:rPr>
        <w:t> </w:t>
      </w:r>
      <w:r>
        <w:rPr>
          <w:rFonts w:ascii="宋体" w:hAnsi="宋体" w:cs="宋体" w:eastAsia="宋体" w:hint="default"/>
          <w:b/>
          <w:bCs/>
        </w:rPr>
        <w:t>流动性风险</w:t>
      </w:r>
      <w:r>
        <w:rPr>
          <w:rFonts w:ascii="宋体" w:hAnsi="宋体" w:cs="宋体" w:eastAsia="宋体" w:hint="default"/>
          <w:b/>
          <w:bCs/>
          <w:w w:val="99"/>
        </w:rPr>
        <w:t> </w:t>
      </w:r>
      <w:r>
        <w:rPr/>
        <w:t>流动性风险，是指企业在履行以交付现金或其他金融资产的方式结算的义务时发生资金短缺的风险。本公司的政策是</w:t>
      </w:r>
    </w:p>
    <w:p>
      <w:pPr>
        <w:pStyle w:val="BodyText"/>
        <w:spacing w:line="316" w:lineRule="auto" w:before="8"/>
        <w:ind w:right="234"/>
        <w:jc w:val="left"/>
      </w:pPr>
      <w:r>
        <w:rPr/>
        <w:t>确保拥有充足的现金以偿还到期债务。流动性风险由本公司的财务部门集中控制。财务部门通过监控现金余额、可随时变 现的有价证券以及对未来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3"/>
        <w:rPr>
          <w:rFonts w:ascii="宋体" w:hAnsi="宋体" w:cs="宋体" w:eastAsia="宋体" w:hint="default"/>
          <w:sz w:val="11"/>
          <w:szCs w:val="11"/>
        </w:rPr>
      </w:pPr>
    </w:p>
    <w:tbl>
      <w:tblPr>
        <w:tblW w:w="0" w:type="auto"/>
        <w:jc w:val="left"/>
        <w:tblInd w:w="570" w:type="dxa"/>
        <w:tblLayout w:type="fixed"/>
        <w:tblCellMar>
          <w:top w:w="0" w:type="dxa"/>
          <w:left w:w="0" w:type="dxa"/>
          <w:bottom w:w="0" w:type="dxa"/>
          <w:right w:w="0" w:type="dxa"/>
        </w:tblCellMar>
        <w:tblLook w:val="01E0"/>
      </w:tblPr>
      <w:tblGrid>
        <w:gridCol w:w="995"/>
        <w:gridCol w:w="1279"/>
        <w:gridCol w:w="1375"/>
        <w:gridCol w:w="1320"/>
        <w:gridCol w:w="1277"/>
        <w:gridCol w:w="1136"/>
        <w:gridCol w:w="1418"/>
      </w:tblGrid>
      <w:tr>
        <w:trPr>
          <w:trHeight w:val="528" w:hRule="exact"/>
        </w:trPr>
        <w:tc>
          <w:tcPr>
            <w:tcW w:w="9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8"/>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805"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期末余额（元）</w:t>
            </w:r>
          </w:p>
        </w:tc>
      </w:tr>
      <w:tr>
        <w:trPr>
          <w:trHeight w:val="528" w:hRule="exact"/>
        </w:trPr>
        <w:tc>
          <w:tcPr>
            <w:tcW w:w="995" w:type="dxa"/>
            <w:vMerge/>
            <w:tcBorders>
              <w:left w:val="single" w:sz="4" w:space="0" w:color="000000"/>
              <w:bottom w:val="single" w:sz="4" w:space="0" w:color="000000"/>
              <w:right w:val="single" w:sz="4" w:space="0" w:color="000000"/>
            </w:tcBorders>
            <w:shd w:val="clear" w:color="auto" w:fill="D9D9D9"/>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个月</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宋体" w:hAnsi="宋体" w:cs="宋体" w:eastAsia="宋体" w:hint="default"/>
                <w:sz w:val="18"/>
                <w:szCs w:val="18"/>
              </w:rPr>
              <w:t>个月</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28" w:hRule="exact"/>
        </w:trPr>
        <w:tc>
          <w:tcPr>
            <w:tcW w:w="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Times New Roman" w:hAnsi="Times New Roman" w:cs="Times New Roman" w:eastAsia="Times New Roman" w:hint="default"/>
                <w:sz w:val="18"/>
                <w:szCs w:val="18"/>
              </w:rPr>
            </w:pPr>
            <w:r>
              <w:rPr>
                <w:rFonts w:ascii="Times New Roman"/>
                <w:sz w:val="18"/>
              </w:rPr>
              <w:t>23,410,000.00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86,000,000.00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Times New Roman" w:hAnsi="Times New Roman" w:cs="Times New Roman" w:eastAsia="Times New Roman" w:hint="default"/>
                <w:sz w:val="18"/>
                <w:szCs w:val="18"/>
              </w:rPr>
            </w:pPr>
            <w:r>
              <w:rPr>
                <w:rFonts w:ascii="Times New Roman"/>
                <w:sz w:val="18"/>
              </w:rPr>
              <w:t>25,000,000.00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center"/>
              <w:rPr>
                <w:rFonts w:ascii="Times New Roman" w:hAnsi="Times New Roman" w:cs="Times New Roman" w:eastAsia="Times New Roman" w:hint="default"/>
                <w:sz w:val="18"/>
                <w:szCs w:val="18"/>
              </w:rPr>
            </w:pPr>
            <w:r>
              <w:rPr>
                <w:rFonts w:ascii="Times New Roman"/>
                <w:sz w:val="18"/>
              </w:rPr>
              <w:t>134,410,000.00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right="0"/>
        <w:jc w:val="left"/>
        <w:rPr>
          <w:b w:val="0"/>
          <w:bCs w:val="0"/>
        </w:rPr>
      </w:pPr>
      <w:r>
        <w:rPr/>
        <w:t>十一、公允价值的披露</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528"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840"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84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59"/>
              <w:jc w:val="left"/>
              <w:rPr>
                <w:rFonts w:ascii="宋体" w:hAnsi="宋体" w:cs="宋体" w:eastAsia="宋体" w:hint="default"/>
                <w:sz w:val="18"/>
                <w:szCs w:val="18"/>
              </w:rPr>
            </w:pPr>
            <w:r>
              <w:rPr>
                <w:rFonts w:ascii="宋体" w:hAnsi="宋体" w:cs="宋体" w:eastAsia="宋体" w:hint="default"/>
                <w:sz w:val="18"/>
                <w:szCs w:val="18"/>
              </w:rPr>
              <w:t>一、持续的公允价值计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840"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9"/>
              <w:jc w:val="left"/>
              <w:rPr>
                <w:rFonts w:ascii="宋体" w:hAnsi="宋体" w:cs="宋体" w:eastAsia="宋体" w:hint="default"/>
                <w:sz w:val="18"/>
                <w:szCs w:val="18"/>
              </w:rPr>
            </w:pPr>
            <w:r>
              <w:rPr>
                <w:rFonts w:ascii="宋体" w:hAnsi="宋体" w:cs="宋体" w:eastAsia="宋体" w:hint="default"/>
                <w:sz w:val="18"/>
                <w:szCs w:val="18"/>
              </w:rPr>
              <w:t>二、非持续的公允价值 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372" w:lineRule="auto" w:before="178"/>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4"/>
          <w:szCs w:val="4"/>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84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271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2"/>
                <w:szCs w:val="22"/>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福建省永福博发投 资股份有限公司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14" w:lineRule="auto"/>
              <w:ind w:left="23" w:right="122"/>
              <w:jc w:val="both"/>
              <w:rPr>
                <w:rFonts w:ascii="宋体" w:hAnsi="宋体" w:cs="宋体" w:eastAsia="宋体" w:hint="default"/>
                <w:sz w:val="18"/>
                <w:szCs w:val="18"/>
              </w:rPr>
            </w:pPr>
            <w:r>
              <w:rPr>
                <w:rFonts w:ascii="宋体" w:hAnsi="宋体" w:cs="宋体" w:eastAsia="宋体" w:hint="default"/>
                <w:sz w:val="18"/>
                <w:szCs w:val="18"/>
              </w:rPr>
              <w:t>福州市闽侯县上街 镇科技东路福州高 新区海西高新技术 产业园创业大厦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29"/>
              <w:jc w:val="left"/>
              <w:rPr>
                <w:rFonts w:ascii="宋体" w:hAnsi="宋体" w:cs="宋体" w:eastAsia="宋体" w:hint="default"/>
                <w:sz w:val="18"/>
                <w:szCs w:val="18"/>
              </w:rPr>
            </w:pPr>
            <w:r>
              <w:rPr>
                <w:rFonts w:ascii="宋体" w:hAnsi="宋体" w:cs="宋体" w:eastAsia="宋体" w:hint="default"/>
                <w:sz w:val="18"/>
                <w:szCs w:val="18"/>
              </w:rPr>
              <w:t>对电力业、房地产 业、通讯业、计算 机网络的投资及资 产管理；企业管理 </w:t>
            </w:r>
            <w:r>
              <w:rPr>
                <w:rFonts w:ascii="宋体" w:hAnsi="宋体" w:cs="宋体" w:eastAsia="宋体" w:hint="default"/>
                <w:spacing w:val="-11"/>
                <w:sz w:val="18"/>
                <w:szCs w:val="18"/>
              </w:rPr>
              <w:t>咨询。（依法须经批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准的项目，经相关 部门批准后方可开 </w:t>
            </w:r>
            <w:r>
              <w:rPr>
                <w:rFonts w:ascii="宋体" w:hAnsi="宋体" w:cs="宋体" w:eastAsia="宋体" w:hint="default"/>
                <w:spacing w:val="-14"/>
                <w:sz w:val="18"/>
                <w:szCs w:val="18"/>
              </w:rPr>
              <w:t>展经营活动）。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118,428,869.00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r>
      <w:tr>
        <w:trPr>
          <w:trHeight w:val="2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2"/>
                <w:szCs w:val="22"/>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福州永福恒诚投资 管理股份有限公司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14" w:lineRule="auto"/>
              <w:ind w:left="23" w:right="122"/>
              <w:jc w:val="both"/>
              <w:rPr>
                <w:rFonts w:ascii="宋体" w:hAnsi="宋体" w:cs="宋体" w:eastAsia="宋体" w:hint="default"/>
                <w:sz w:val="18"/>
                <w:szCs w:val="18"/>
              </w:rPr>
            </w:pPr>
            <w:r>
              <w:rPr>
                <w:rFonts w:ascii="宋体" w:hAnsi="宋体" w:cs="宋体" w:eastAsia="宋体" w:hint="default"/>
                <w:sz w:val="18"/>
                <w:szCs w:val="18"/>
              </w:rPr>
              <w:t>福州市闽侯县上街 镇科技东路福州高 新区海西高新技术 产业园创业大厦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29"/>
              <w:jc w:val="left"/>
              <w:rPr>
                <w:rFonts w:ascii="宋体" w:hAnsi="宋体" w:cs="宋体" w:eastAsia="宋体" w:hint="default"/>
                <w:sz w:val="18"/>
                <w:szCs w:val="18"/>
              </w:rPr>
            </w:pPr>
            <w:r>
              <w:rPr>
                <w:rFonts w:ascii="宋体" w:hAnsi="宋体" w:cs="宋体" w:eastAsia="宋体" w:hint="default"/>
                <w:sz w:val="18"/>
                <w:szCs w:val="18"/>
              </w:rPr>
              <w:t>对电力业、房地产 业、通讯业、计算 机网络的投资及资 产管理；企业管理 </w:t>
            </w:r>
            <w:r>
              <w:rPr>
                <w:rFonts w:ascii="宋体" w:hAnsi="宋体" w:cs="宋体" w:eastAsia="宋体" w:hint="default"/>
                <w:spacing w:val="-11"/>
                <w:sz w:val="18"/>
                <w:szCs w:val="18"/>
              </w:rPr>
              <w:t>咨询。（依法须经批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准的项目，经相关 部门批准后方可开 </w:t>
            </w:r>
            <w:r>
              <w:rPr>
                <w:rFonts w:ascii="宋体" w:hAnsi="宋体" w:cs="宋体" w:eastAsia="宋体" w:hint="default"/>
                <w:spacing w:val="-14"/>
                <w:sz w:val="18"/>
                <w:szCs w:val="18"/>
              </w:rPr>
              <w:t>展经营活动）。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5,963,697.00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24.43%</w:t>
            </w:r>
          </w:p>
        </w:tc>
      </w:tr>
      <w:tr>
        <w:trPr>
          <w:trHeight w:val="255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314" w:lineRule="auto"/>
              <w:ind w:left="24" w:right="118"/>
              <w:jc w:val="left"/>
              <w:rPr>
                <w:rFonts w:ascii="宋体" w:hAnsi="宋体" w:cs="宋体" w:eastAsia="宋体" w:hint="default"/>
                <w:sz w:val="18"/>
                <w:szCs w:val="18"/>
              </w:rPr>
            </w:pPr>
            <w:r>
              <w:rPr>
                <w:rFonts w:ascii="宋体" w:hAnsi="宋体" w:cs="宋体" w:eastAsia="宋体" w:hint="default"/>
                <w:sz w:val="18"/>
                <w:szCs w:val="18"/>
              </w:rPr>
              <w:t>福州博宏投资管理 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4"/>
              <w:ind w:left="23" w:right="122"/>
              <w:jc w:val="both"/>
              <w:rPr>
                <w:rFonts w:ascii="宋体" w:hAnsi="宋体" w:cs="宋体" w:eastAsia="宋体" w:hint="default"/>
                <w:sz w:val="18"/>
                <w:szCs w:val="18"/>
              </w:rPr>
            </w:pPr>
            <w:r>
              <w:rPr>
                <w:rFonts w:ascii="宋体" w:hAnsi="宋体" w:cs="宋体" w:eastAsia="宋体" w:hint="default"/>
                <w:sz w:val="18"/>
                <w:szCs w:val="18"/>
              </w:rPr>
              <w:t>福州市闽侯县上街 镇科技东路海西高 新技术产业园创业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29"/>
              <w:jc w:val="left"/>
              <w:rPr>
                <w:rFonts w:ascii="宋体" w:hAnsi="宋体" w:cs="宋体" w:eastAsia="宋体" w:hint="default"/>
                <w:sz w:val="18"/>
                <w:szCs w:val="18"/>
              </w:rPr>
            </w:pPr>
            <w:r>
              <w:rPr>
                <w:rFonts w:ascii="宋体" w:hAnsi="宋体" w:cs="宋体" w:eastAsia="宋体" w:hint="default"/>
                <w:sz w:val="18"/>
                <w:szCs w:val="18"/>
              </w:rPr>
              <w:t>投资管理；对电力 业、房地产业、通 讯业、计算机网络 的投资；企业资产 管理；企业管理咨 </w:t>
            </w:r>
            <w:r>
              <w:rPr>
                <w:rFonts w:ascii="宋体" w:hAnsi="宋体" w:cs="宋体" w:eastAsia="宋体" w:hint="default"/>
                <w:spacing w:val="-11"/>
                <w:sz w:val="18"/>
                <w:szCs w:val="18"/>
              </w:rPr>
              <w:t>询。（依法须经批准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的项目，经相关部 门批准后方可开展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29.98%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58"/>
        <w:ind w:right="954"/>
        <w:jc w:val="left"/>
      </w:pPr>
      <w:r>
        <w:rPr/>
        <w:t>本企业的母公司情况的说明 本企业最终控制方是由林一文、季征南、王劲军、宋发兴、钱有武、卓秀者、陈强、卢庆议组成的一致行动人。 其他说明：</w:t>
      </w:r>
    </w:p>
    <w:p>
      <w:pPr>
        <w:pStyle w:val="Heading3"/>
        <w:spacing w:line="240" w:lineRule="auto" w:before="33"/>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pStyle w:val="BodyText"/>
        <w:spacing w:line="240" w:lineRule="auto" w:before="198"/>
        <w:ind w:right="0"/>
        <w:jc w:val="left"/>
      </w:pPr>
      <w:r>
        <w:rPr/>
        <w:t>本企业子公司的情况详见附注九、在其他主体中的权益。</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15"/>
          <w:szCs w:val="15"/>
        </w:rPr>
      </w:pPr>
    </w:p>
    <w:p>
      <w:pPr>
        <w:pStyle w:val="BodyText"/>
        <w:spacing w:line="477" w:lineRule="auto"/>
        <w:ind w:right="1314"/>
        <w:jc w:val="left"/>
      </w:pPr>
      <w:r>
        <w:rPr/>
        <w:t>本企业重要的合营或联营企业详见附注。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52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52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福建省平潭卓成股权投资合伙企业（有限合伙）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公司主要股东，持有公司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5.46%</w:t>
            </w:r>
            <w:r>
              <w:rPr>
                <w:rFonts w:ascii="宋体" w:hAnsi="宋体" w:cs="宋体" w:eastAsia="宋体" w:hint="default"/>
                <w:sz w:val="18"/>
                <w:szCs w:val="18"/>
              </w:rPr>
              <w:t>股份</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比利时直接股权投资基金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公司主要股东，持有公司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4.85%</w:t>
            </w:r>
            <w:r>
              <w:rPr>
                <w:rFonts w:ascii="宋体" w:hAnsi="宋体" w:cs="宋体" w:eastAsia="宋体" w:hint="default"/>
                <w:sz w:val="18"/>
                <w:szCs w:val="18"/>
              </w:rPr>
              <w:t>股份</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福建和盛高科技产业有限公司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公司实际控制人、董事季征南任董事</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福建昌明建材有限公司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永福集团持股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公司实际控制人、董事季征南任董事</w:t>
            </w:r>
          </w:p>
        </w:tc>
      </w:tr>
      <w:tr>
        <w:trPr>
          <w:trHeight w:val="52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福建省新能海上风电研发中心有限公司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中闽（连江）风电有限公司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公司副总经理罗志青亲属担任总经理</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永福集团持股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月设立</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监事会主席、职工代表监事</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肖翠云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公司实际控制人、董事长林一文之配偶</w:t>
            </w:r>
          </w:p>
        </w:tc>
      </w:tr>
      <w:tr>
        <w:trPr>
          <w:trHeight w:val="52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纪惠玲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公司实际控制人、董事季征南之配偶</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1"/>
        <w:rPr>
          <w:rFonts w:ascii="宋体" w:hAnsi="宋体" w:cs="宋体" w:eastAsia="宋体" w:hint="default"/>
          <w:b/>
          <w:bCs/>
          <w:sz w:val="13"/>
          <w:szCs w:val="13"/>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pStyle w:val="BodyText"/>
        <w:spacing w:line="240" w:lineRule="auto" w:before="198"/>
        <w:ind w:right="0"/>
        <w:jc w:val="left"/>
      </w:pPr>
      <w:r>
        <w:rPr/>
        <w:t>采购商品</w:t>
      </w:r>
      <w:r>
        <w:rPr>
          <w:rFonts w:ascii="Times New Roman" w:hAnsi="Times New Roman" w:cs="Times New Roman" w:eastAsia="Times New Roman" w:hint="default"/>
        </w:rPr>
        <w:t>/</w:t>
      </w:r>
      <w:r>
        <w:rPr/>
        <w:t>接受劳务情况表</w:t>
      </w:r>
    </w:p>
    <w:p>
      <w:pPr>
        <w:spacing w:line="240" w:lineRule="auto" w:before="4"/>
        <w:rPr>
          <w:rFonts w:ascii="宋体" w:hAnsi="宋体" w:cs="宋体" w:eastAsia="宋体" w:hint="default"/>
          <w:sz w:val="13"/>
          <w:szCs w:val="1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6"/>
      </w:tblGrid>
      <w:tr>
        <w:trPr>
          <w:trHeight w:val="528"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4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3"/>
              <w:jc w:val="left"/>
              <w:rPr>
                <w:rFonts w:ascii="宋体" w:hAnsi="宋体" w:cs="宋体" w:eastAsia="宋体" w:hint="default"/>
                <w:sz w:val="18"/>
                <w:szCs w:val="18"/>
              </w:rPr>
            </w:pPr>
            <w:r>
              <w:rPr>
                <w:rFonts w:ascii="宋体" w:hAnsi="宋体" w:cs="宋体" w:eastAsia="宋体" w:hint="default"/>
                <w:sz w:val="18"/>
                <w:szCs w:val="18"/>
              </w:rPr>
              <w:t>福建和盛高科技产 业有限公司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总包设备采购</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61,196.58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61,196.58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140,170.94</w:t>
            </w:r>
          </w:p>
        </w:tc>
      </w:tr>
      <w:tr>
        <w:trPr>
          <w:trHeight w:val="84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3"/>
              <w:jc w:val="left"/>
              <w:rPr>
                <w:rFonts w:ascii="宋体" w:hAnsi="宋体" w:cs="宋体" w:eastAsia="宋体" w:hint="default"/>
                <w:sz w:val="18"/>
                <w:szCs w:val="18"/>
              </w:rPr>
            </w:pPr>
            <w:r>
              <w:rPr>
                <w:rFonts w:ascii="宋体" w:hAnsi="宋体" w:cs="宋体" w:eastAsia="宋体" w:hint="default"/>
                <w:sz w:val="18"/>
                <w:szCs w:val="18"/>
              </w:rPr>
              <w:t>福建永福集团有限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6" w:right="158"/>
              <w:jc w:val="left"/>
              <w:rPr>
                <w:rFonts w:ascii="宋体" w:hAnsi="宋体" w:cs="宋体" w:eastAsia="宋体" w:hint="default"/>
                <w:sz w:val="18"/>
                <w:szCs w:val="18"/>
              </w:rPr>
            </w:pPr>
            <w:r>
              <w:rPr>
                <w:rFonts w:ascii="宋体" w:hAnsi="宋体" w:cs="宋体" w:eastAsia="宋体" w:hint="default"/>
                <w:sz w:val="18"/>
                <w:szCs w:val="18"/>
              </w:rPr>
              <w:t>职工食堂材料采 购</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919,163.00</w:t>
            </w:r>
          </w:p>
        </w:tc>
      </w:tr>
    </w:tbl>
    <w:p>
      <w:pPr>
        <w:pStyle w:val="BodyText"/>
        <w:spacing w:line="240" w:lineRule="auto" w:before="58"/>
        <w:ind w:right="0"/>
        <w:jc w:val="left"/>
      </w:pPr>
      <w:r>
        <w:rPr/>
        <w:t>出售商品</w:t>
      </w:r>
      <w:r>
        <w:rPr>
          <w:rFonts w:ascii="Times New Roman" w:hAnsi="Times New Roman" w:cs="Times New Roman" w:eastAsia="Times New Roman" w:hint="default"/>
        </w:rPr>
        <w:t>/</w:t>
      </w:r>
      <w:r>
        <w:rPr/>
        <w:t>提供劳务情况表</w:t>
      </w:r>
    </w:p>
    <w:p>
      <w:pPr>
        <w:spacing w:line="240" w:lineRule="auto" w:before="4"/>
        <w:rPr>
          <w:rFonts w:ascii="宋体" w:hAnsi="宋体" w:cs="宋体" w:eastAsia="宋体" w:hint="default"/>
          <w:sz w:val="13"/>
          <w:szCs w:val="1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8"/>
        <w:gridCol w:w="2259"/>
        <w:gridCol w:w="2259"/>
        <w:gridCol w:w="2653"/>
      </w:tblGrid>
      <w:tr>
        <w:trPr>
          <w:trHeight w:val="528"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81"/>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03"/>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283,018.86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840"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22"/>
              <w:jc w:val="left"/>
              <w:rPr>
                <w:rFonts w:ascii="宋体" w:hAnsi="宋体" w:cs="宋体" w:eastAsia="宋体" w:hint="default"/>
                <w:sz w:val="18"/>
                <w:szCs w:val="18"/>
              </w:rPr>
            </w:pPr>
            <w:r>
              <w:rPr>
                <w:rFonts w:ascii="宋体" w:hAnsi="宋体" w:cs="宋体" w:eastAsia="宋体" w:hint="default"/>
                <w:sz w:val="18"/>
                <w:szCs w:val="18"/>
              </w:rPr>
              <w:t>福建省新能海上风电研发中心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63"/>
              <w:jc w:val="left"/>
              <w:rPr>
                <w:rFonts w:ascii="宋体" w:hAnsi="宋体" w:cs="宋体" w:eastAsia="宋体" w:hint="default"/>
                <w:sz w:val="18"/>
                <w:szCs w:val="18"/>
              </w:rPr>
            </w:pPr>
            <w:r>
              <w:rPr>
                <w:rFonts w:ascii="宋体" w:hAnsi="宋体" w:cs="宋体" w:eastAsia="宋体" w:hint="default"/>
                <w:sz w:val="18"/>
                <w:szCs w:val="18"/>
              </w:rPr>
              <w:t>设计服务、技术服务、人员 借用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3,177,702.88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5,292,941.82</w:t>
            </w:r>
          </w:p>
        </w:tc>
      </w:tr>
      <w:tr>
        <w:trPr>
          <w:trHeight w:val="5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中闽（连江）风电有限公司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03"/>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439,622.64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1,952.40</w:t>
            </w:r>
          </w:p>
        </w:tc>
      </w:tr>
      <w:tr>
        <w:trPr>
          <w:trHeight w:val="5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03"/>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55,120,410.20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8"/>
        <w:ind w:right="0"/>
        <w:jc w:val="left"/>
      </w:pPr>
      <w:r>
        <w:rPr/>
        <w:t>购销商品、提供和接受劳务的关联交易说明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pStyle w:val="BodyText"/>
        <w:spacing w:line="240" w:lineRule="auto" w:before="198"/>
        <w:ind w:right="0"/>
        <w:jc w:val="left"/>
      </w:pPr>
      <w:r>
        <w:rPr/>
        <w:t>本公司受托管理</w:t>
      </w:r>
      <w:r>
        <w:rPr>
          <w:rFonts w:ascii="Times New Roman" w:hAnsi="Times New Roman" w:cs="Times New Roman" w:eastAsia="Times New Roman" w:hint="default"/>
        </w:rPr>
        <w:t>/</w:t>
      </w:r>
      <w:r>
        <w:rPr/>
        <w:t>承包情况表：</w:t>
      </w:r>
    </w:p>
    <w:p>
      <w:pPr>
        <w:spacing w:line="240" w:lineRule="auto" w:before="5"/>
        <w:rPr>
          <w:rFonts w:ascii="宋体" w:hAnsi="宋体" w:cs="宋体" w:eastAsia="宋体" w:hint="default"/>
          <w:sz w:val="13"/>
          <w:szCs w:val="1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6"/>
        <w:gridCol w:w="1368"/>
        <w:gridCol w:w="1368"/>
        <w:gridCol w:w="1368"/>
        <w:gridCol w:w="1366"/>
        <w:gridCol w:w="1368"/>
      </w:tblGrid>
      <w:tr>
        <w:trPr>
          <w:trHeight w:val="8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28"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451" w:lineRule="auto" w:before="58"/>
        <w:ind w:right="7384"/>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pStyle w:val="BodyText"/>
        <w:spacing w:line="240" w:lineRule="auto" w:before="43"/>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6"/>
        <w:gridCol w:w="1368"/>
        <w:gridCol w:w="1368"/>
        <w:gridCol w:w="1368"/>
        <w:gridCol w:w="1366"/>
        <w:gridCol w:w="1368"/>
      </w:tblGrid>
      <w:tr>
        <w:trPr>
          <w:trHeight w:val="8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408"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8"/>
        <w:ind w:right="0"/>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pStyle w:val="BodyText"/>
        <w:spacing w:line="240" w:lineRule="auto" w:before="198"/>
        <w:ind w:right="0"/>
        <w:jc w:val="left"/>
      </w:pPr>
      <w:r>
        <w:rPr/>
        <w:t>本公司作为出租方：</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88"/>
        <w:gridCol w:w="2393"/>
        <w:gridCol w:w="2393"/>
        <w:gridCol w:w="2393"/>
      </w:tblGrid>
      <w:tr>
        <w:trPr>
          <w:trHeight w:val="528"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5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福建昌明建材有限公司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104,000.00</w:t>
            </w:r>
          </w:p>
        </w:tc>
      </w:tr>
      <w:tr>
        <w:trPr>
          <w:trHeight w:val="84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92"/>
              <w:jc w:val="left"/>
              <w:rPr>
                <w:rFonts w:ascii="宋体" w:hAnsi="宋体" w:cs="宋体" w:eastAsia="宋体" w:hint="default"/>
                <w:sz w:val="18"/>
                <w:szCs w:val="18"/>
              </w:rPr>
            </w:pPr>
            <w:r>
              <w:rPr>
                <w:rFonts w:ascii="宋体" w:hAnsi="宋体" w:cs="宋体" w:eastAsia="宋体" w:hint="default"/>
                <w:sz w:val="18"/>
                <w:szCs w:val="18"/>
              </w:rPr>
              <w:t>福建省新能海上风电研发中 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房屋租赁、办公设备租赁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618,895.56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712,029.62</w:t>
            </w:r>
          </w:p>
        </w:tc>
      </w:tr>
    </w:tbl>
    <w:p>
      <w:pPr>
        <w:pStyle w:val="BodyText"/>
        <w:spacing w:line="240" w:lineRule="auto" w:before="58"/>
        <w:ind w:right="0"/>
        <w:jc w:val="left"/>
      </w:pPr>
      <w:r>
        <w:rPr/>
        <w:t>本公司作为承租方：</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84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5"/>
              <w:jc w:val="left"/>
              <w:rPr>
                <w:rFonts w:ascii="宋体" w:hAnsi="宋体" w:cs="宋体" w:eastAsia="宋体" w:hint="default"/>
                <w:sz w:val="18"/>
                <w:szCs w:val="18"/>
              </w:rPr>
            </w:pPr>
            <w:r>
              <w:rPr>
                <w:rFonts w:ascii="宋体" w:hAnsi="宋体" w:cs="宋体" w:eastAsia="宋体" w:hint="default"/>
                <w:sz w:val="18"/>
                <w:szCs w:val="18"/>
              </w:rPr>
              <w:t>福建省永福博发投资股份有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257,400.00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225,720.00</w:t>
            </w:r>
          </w:p>
        </w:tc>
      </w:tr>
    </w:tbl>
    <w:p>
      <w:pPr>
        <w:pStyle w:val="BodyText"/>
        <w:spacing w:line="240" w:lineRule="auto" w:before="58"/>
        <w:ind w:right="0"/>
        <w:jc w:val="left"/>
      </w:pPr>
      <w:r>
        <w:rPr/>
        <w:t>关联租赁情况说明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pStyle w:val="BodyText"/>
        <w:spacing w:line="240" w:lineRule="auto" w:before="198"/>
        <w:ind w:right="0"/>
        <w:jc w:val="left"/>
      </w:pPr>
      <w:r>
        <w:rPr/>
        <w:t>本公司作为担保方</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8"/>
        <w:ind w:right="0"/>
        <w:jc w:val="left"/>
      </w:pPr>
      <w:r>
        <w:rPr/>
        <w:t>本公司作为被担保方</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both"/>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 季征南、肖翠云、纪惠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6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7"/>
              <w:jc w:val="both"/>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 季征南、肖翠云、纪惠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1,059,900.00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both"/>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 季征南、肖翠云、纪惠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9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7"/>
              <w:jc w:val="both"/>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 季征南、肖翠云、纪惠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7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玲</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both"/>
              <w:rPr>
                <w:rFonts w:ascii="宋体" w:hAnsi="宋体" w:cs="宋体" w:eastAsia="宋体" w:hint="default"/>
                <w:sz w:val="18"/>
                <w:szCs w:val="18"/>
              </w:rPr>
            </w:pPr>
            <w:r>
              <w:rPr>
                <w:rFonts w:ascii="宋体" w:hAnsi="宋体" w:cs="宋体" w:eastAsia="宋体" w:hint="default"/>
                <w:sz w:val="18"/>
                <w:szCs w:val="18"/>
              </w:rPr>
              <w:t>福建省永福博发投资股 份有限公司、林一文、 季征南、肖翠云、纪惠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7"/>
              <w:jc w:val="left"/>
              <w:rPr>
                <w:rFonts w:ascii="宋体" w:hAnsi="宋体" w:cs="宋体" w:eastAsia="宋体" w:hint="default"/>
                <w:sz w:val="18"/>
                <w:szCs w:val="18"/>
              </w:rPr>
            </w:pPr>
            <w:r>
              <w:rPr>
                <w:rFonts w:ascii="宋体" w:hAnsi="宋体" w:cs="宋体" w:eastAsia="宋体" w:hint="default"/>
                <w:sz w:val="18"/>
                <w:szCs w:val="18"/>
              </w:rPr>
              <w:t>福建永福铁塔技术开发 有限公司、福建省永福 博发投资股份有限公 司、林一文、季征南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42,846,993.80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6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7"/>
              <w:jc w:val="left"/>
              <w:rPr>
                <w:rFonts w:ascii="宋体" w:hAnsi="宋体" w:cs="宋体" w:eastAsia="宋体" w:hint="default"/>
                <w:sz w:val="18"/>
                <w:szCs w:val="18"/>
              </w:rPr>
            </w:pPr>
            <w:r>
              <w:rPr>
                <w:rFonts w:ascii="宋体" w:hAnsi="宋体" w:cs="宋体" w:eastAsia="宋体" w:hint="default"/>
                <w:sz w:val="18"/>
                <w:szCs w:val="18"/>
              </w:rPr>
              <w:t>福建永福铁塔技术开发 有限公司、福建省永福 博发投资股份有限公 司、林一文、季征南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5,113,453.60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334,223.36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170,910.00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135,384.90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114,800.00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4,808,588.00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135,947.10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1,170,148.63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605,002.40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169,200.00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534,500.00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318,200.00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142,913.90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596,822.40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1,100,750.00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9" w:top="1220" w:bottom="1160" w:left="980" w:right="980"/>
        </w:sectPr>
      </w:pPr>
    </w:p>
    <w:p>
      <w:pPr>
        <w:spacing w:line="240" w:lineRule="auto" w:before="10"/>
        <w:rPr>
          <w:rFonts w:ascii="Times New Roman" w:hAnsi="Times New Roman" w:cs="Times New Roman" w:eastAsia="Times New Roman" w:hint="default"/>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409,400.00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1,066,957.58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457,467.47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202,352.17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1,173,744.90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8"/>
        <w:ind w:right="0"/>
        <w:jc w:val="left"/>
      </w:pPr>
      <w:r>
        <w:rPr/>
        <w:t>关联担保情况说明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w:t>
      </w:r>
      <w:r>
        <w:rPr/>
        <w:t>、由林一文和季征南担保</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日开具至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日到期的保函金额为</w:t>
      </w:r>
      <w:r>
        <w:rPr>
          <w:rFonts w:ascii="Times New Roman" w:hAnsi="Times New Roman" w:cs="Times New Roman" w:eastAsia="Times New Roman" w:hint="default"/>
        </w:rPr>
        <w:t>80,000.00</w:t>
      </w:r>
      <w:r>
        <w:rPr/>
        <w:t>美元。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、担保到期日已到期，属于公司开具的已到期但尚未撤销的银行保函。</w:t>
      </w:r>
    </w:p>
    <w:p>
      <w:pPr>
        <w:spacing w:line="240" w:lineRule="auto" w:before="10"/>
        <w:rPr>
          <w:rFonts w:ascii="宋体" w:hAnsi="宋体" w:cs="宋体" w:eastAsia="宋体" w:hint="default"/>
          <w:sz w:val="16"/>
          <w:szCs w:val="16"/>
        </w:rPr>
      </w:pPr>
    </w:p>
    <w:p>
      <w:pPr>
        <w:pStyle w:val="BodyText"/>
        <w:spacing w:line="307" w:lineRule="auto"/>
        <w:ind w:right="17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日，公司与中国民生银行股份有限公司福州分行签署编号为公高保字第</w:t>
      </w:r>
      <w:r>
        <w:rPr>
          <w:rFonts w:ascii="Times New Roman" w:hAnsi="Times New Roman" w:cs="Times New Roman" w:eastAsia="Times New Roman" w:hint="default"/>
        </w:rPr>
        <w:t>ZH1700000000221-1</w:t>
      </w:r>
      <w:r>
        <w:rPr/>
        <w:t>号《最高额保 证合同》，为全资子公司福州新创机电设备有限公司和中国民生银行股份有限公司福州分行签订的编号为公授信字第 </w:t>
      </w:r>
      <w:r>
        <w:rPr>
          <w:rFonts w:ascii="Times New Roman" w:hAnsi="Times New Roman" w:cs="Times New Roman" w:eastAsia="Times New Roman" w:hint="default"/>
        </w:rPr>
        <w:t>ZH1700000000221-1</w:t>
      </w:r>
      <w:r>
        <w:rPr/>
        <w:t>号《综合授信合同》提供担保，保证最高额不超过人民币</w:t>
      </w:r>
      <w:r>
        <w:rPr>
          <w:rFonts w:ascii="Times New Roman" w:hAnsi="Times New Roman" w:cs="Times New Roman" w:eastAsia="Times New Roman" w:hint="default"/>
        </w:rPr>
        <w:t>3,000</w:t>
      </w:r>
      <w:r>
        <w:rPr/>
        <w:t>万元，担保期间为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日，担保金额为</w:t>
      </w:r>
      <w:r>
        <w:rPr>
          <w:rFonts w:ascii="Times New Roman" w:hAnsi="Times New Roman" w:cs="Times New Roman" w:eastAsia="Times New Roman" w:hint="default"/>
        </w:rPr>
        <w:t>0</w:t>
      </w:r>
      <w:r>
        <w:rPr/>
        <w:t>元，该担保尚未解除。</w:t>
      </w:r>
    </w:p>
    <w:p>
      <w:pPr>
        <w:pStyle w:val="Heading3"/>
        <w:spacing w:line="240" w:lineRule="auto" w:before="142"/>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13"/>
        <w:gridCol w:w="1913"/>
        <w:gridCol w:w="1916"/>
        <w:gridCol w:w="1915"/>
        <w:gridCol w:w="1913"/>
      </w:tblGrid>
      <w:tr>
        <w:trPr>
          <w:trHeight w:val="5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29"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528"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2"/>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5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6,697,392.67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5,484,689.55</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52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9"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left"/>
              <w:rPr>
                <w:rFonts w:ascii="宋体" w:hAnsi="宋体" w:cs="宋体" w:eastAsia="宋体" w:hint="default"/>
                <w:sz w:val="18"/>
                <w:szCs w:val="18"/>
              </w:rPr>
            </w:pPr>
            <w:r>
              <w:rPr>
                <w:rFonts w:ascii="宋体" w:hAnsi="宋体" w:cs="宋体" w:eastAsia="宋体" w:hint="default"/>
                <w:sz w:val="18"/>
                <w:szCs w:val="18"/>
              </w:rPr>
              <w:t>厦门瑞新热电有限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1,702,844.00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431,820.18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3,847,844.00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384,784.40</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left"/>
              <w:rPr>
                <w:rFonts w:ascii="宋体" w:hAnsi="宋体" w:cs="宋体" w:eastAsia="宋体" w:hint="default"/>
                <w:sz w:val="18"/>
                <w:szCs w:val="18"/>
              </w:rPr>
            </w:pPr>
            <w:r>
              <w:rPr>
                <w:rFonts w:ascii="宋体" w:hAnsi="宋体" w:cs="宋体" w:eastAsia="宋体" w:hint="default"/>
                <w:sz w:val="18"/>
                <w:szCs w:val="18"/>
              </w:rPr>
              <w:t>中闽（连江）风电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372,399.11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2,143.54</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left"/>
              <w:rPr>
                <w:rFonts w:ascii="宋体" w:hAnsi="宋体" w:cs="宋体" w:eastAsia="宋体" w:hint="default"/>
                <w:sz w:val="18"/>
                <w:szCs w:val="18"/>
              </w:rPr>
            </w:pPr>
            <w:r>
              <w:rPr>
                <w:rFonts w:ascii="宋体" w:hAnsi="宋体" w:cs="宋体" w:eastAsia="宋体" w:hint="default"/>
                <w:sz w:val="18"/>
                <w:szCs w:val="18"/>
              </w:rPr>
              <w:t>漳浦国电投光伏有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7,121,479.72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356,073.99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both"/>
              <w:rPr>
                <w:rFonts w:ascii="宋体" w:hAnsi="宋体" w:cs="宋体" w:eastAsia="宋体" w:hint="default"/>
                <w:sz w:val="18"/>
                <w:szCs w:val="18"/>
              </w:rPr>
            </w:pPr>
            <w:r>
              <w:rPr>
                <w:rFonts w:ascii="宋体" w:hAnsi="宋体" w:cs="宋体" w:eastAsia="宋体" w:hint="default"/>
                <w:sz w:val="18"/>
                <w:szCs w:val="18"/>
              </w:rPr>
              <w:t>福建省新能海上风 电研发中心有限公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1,204,488.46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190,147.00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9,507.35</w:t>
            </w:r>
          </w:p>
        </w:tc>
      </w:tr>
      <w:tr>
        <w:trPr>
          <w:trHeight w:val="84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2"/>
              <w:jc w:val="left"/>
              <w:rPr>
                <w:rFonts w:ascii="宋体" w:hAnsi="宋体" w:cs="宋体" w:eastAsia="宋体" w:hint="default"/>
                <w:sz w:val="18"/>
                <w:szCs w:val="18"/>
              </w:rPr>
            </w:pPr>
            <w:r>
              <w:rPr>
                <w:rFonts w:ascii="宋体" w:hAnsi="宋体" w:cs="宋体" w:eastAsia="宋体" w:hint="default"/>
                <w:sz w:val="18"/>
                <w:szCs w:val="18"/>
              </w:rPr>
              <w:t>福建昌明建材有限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5,460.00</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7"/>
              <w:jc w:val="left"/>
              <w:rPr>
                <w:rFonts w:ascii="宋体" w:hAnsi="宋体" w:cs="宋体" w:eastAsia="宋体" w:hint="default"/>
                <w:sz w:val="18"/>
                <w:szCs w:val="18"/>
              </w:rPr>
            </w:pPr>
            <w:r>
              <w:rPr>
                <w:rFonts w:ascii="宋体" w:hAnsi="宋体" w:cs="宋体" w:eastAsia="宋体" w:hint="default"/>
                <w:sz w:val="18"/>
                <w:szCs w:val="18"/>
              </w:rPr>
              <w:t>福建和盛高科技产业有限公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274,130.94</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7"/>
              <w:jc w:val="left"/>
              <w:rPr>
                <w:rFonts w:ascii="宋体" w:hAnsi="宋体" w:cs="宋体" w:eastAsia="宋体" w:hint="default"/>
                <w:sz w:val="18"/>
                <w:szCs w:val="18"/>
              </w:rPr>
            </w:pPr>
            <w:r>
              <w:rPr>
                <w:rFonts w:ascii="宋体" w:hAnsi="宋体" w:cs="宋体" w:eastAsia="宋体" w:hint="default"/>
                <w:sz w:val="18"/>
                <w:szCs w:val="18"/>
              </w:rPr>
              <w:t>福建省永福博发投资股份有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225,720.00</w:t>
            </w: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3,240.00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w w:val="95"/>
                <w:sz w:val="18"/>
              </w:rPr>
              <w:t>11,850.00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3,240.00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7"/>
              <w:jc w:val="left"/>
              <w:rPr>
                <w:rFonts w:ascii="宋体" w:hAnsi="宋体" w:cs="宋体" w:eastAsia="宋体" w:hint="default"/>
                <w:sz w:val="18"/>
                <w:szCs w:val="18"/>
              </w:rPr>
            </w:pPr>
            <w:r>
              <w:rPr>
                <w:rFonts w:ascii="宋体" w:hAnsi="宋体" w:cs="宋体" w:eastAsia="宋体" w:hint="default"/>
                <w:sz w:val="18"/>
                <w:szCs w:val="18"/>
              </w:rPr>
              <w:t>福建省新能海上风电研发中 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180,384.96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523,584.91</w:t>
            </w:r>
          </w:p>
        </w:tc>
      </w:tr>
    </w:tbl>
    <w:p>
      <w:pPr>
        <w:pStyle w:val="Heading3"/>
        <w:spacing w:line="240" w:lineRule="auto" w:before="38"/>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372" w:lineRule="auto" w:before="177"/>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70"/>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381" w:lineRule="auto" w:before="177"/>
        <w:ind w:left="152" w:right="7365"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3"/>
        <w:spacing w:line="240" w:lineRule="auto" w:before="105"/>
        <w:ind w:right="0"/>
        <w:jc w:val="left"/>
        <w:rPr>
          <w:b w:val="0"/>
          <w:bCs w:val="0"/>
        </w:rPr>
      </w:pPr>
      <w:r>
        <w:rPr>
          <w:rFonts w:ascii="Times New Roman" w:hAnsi="Times New Roman" w:cs="Times New Roman" w:eastAsia="Times New Roman" w:hint="default"/>
        </w:rPr>
        <w:t>2</w:t>
      </w:r>
      <w:r>
        <w:rPr/>
        <w:t>、或有事项</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468" w:lineRule="exact" w:before="34"/>
        <w:ind w:left="513" w:right="278"/>
        <w:jc w:val="left"/>
      </w:pPr>
      <w:r>
        <w:rPr>
          <w:rFonts w:ascii="Times New Roman" w:hAnsi="Times New Roman" w:cs="Times New Roman" w:eastAsia="Times New Roman" w:hint="default"/>
        </w:rPr>
        <w:t>1</w:t>
      </w:r>
      <w:r>
        <w:rPr/>
        <w:t>、开出保函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日止，公司已开具尚未撤销的银行保函金额为人民币</w:t>
      </w:r>
      <w:r>
        <w:rPr>
          <w:rFonts w:ascii="Times New Roman" w:hAnsi="Times New Roman" w:cs="Times New Roman" w:eastAsia="Times New Roman" w:hint="default"/>
        </w:rPr>
        <w:t>83,358,730.99</w:t>
      </w:r>
      <w:r>
        <w:rPr/>
        <w:t>元、美元</w:t>
      </w:r>
      <w:r>
        <w:rPr>
          <w:rFonts w:ascii="Times New Roman" w:hAnsi="Times New Roman" w:cs="Times New Roman" w:eastAsia="Times New Roman" w:hint="default"/>
        </w:rPr>
        <w:t>80,000.00</w:t>
      </w:r>
      <w:r>
        <w:rPr/>
        <w:t>元，其中人民</w:t>
      </w:r>
    </w:p>
    <w:p>
      <w:pPr>
        <w:pStyle w:val="BodyText"/>
        <w:spacing w:line="240" w:lineRule="auto" w:before="8"/>
        <w:ind w:right="0"/>
        <w:jc w:val="left"/>
      </w:pPr>
      <w:r>
        <w:rPr/>
        <w:t>币</w:t>
      </w:r>
      <w:r>
        <w:rPr>
          <w:rFonts w:ascii="Times New Roman" w:hAnsi="Times New Roman" w:cs="Times New Roman" w:eastAsia="Times New Roman" w:hint="default"/>
        </w:rPr>
        <w:t>56,578,338.85</w:t>
      </w:r>
      <w:r>
        <w:rPr/>
        <w:t>元、美元</w:t>
      </w:r>
      <w:r>
        <w:rPr>
          <w:rFonts w:ascii="Times New Roman" w:hAnsi="Times New Roman" w:cs="Times New Roman" w:eastAsia="Times New Roman" w:hint="default"/>
        </w:rPr>
        <w:t>80,000.00</w:t>
      </w:r>
      <w:r>
        <w:rPr/>
        <w:t>元由关联方保证担保，具体详见</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pStyle w:val="BodyText"/>
        <w:spacing w:line="460" w:lineRule="atLeast" w:before="8"/>
        <w:ind w:left="513" w:right="278"/>
        <w:jc w:val="left"/>
      </w:pPr>
      <w:r>
        <w:rPr>
          <w:rFonts w:ascii="Times New Roman" w:hAnsi="Times New Roman" w:cs="Times New Roman" w:eastAsia="Times New Roman" w:hint="default"/>
        </w:rPr>
        <w:t>2</w:t>
      </w:r>
      <w:r>
        <w:rPr/>
        <w:t>、对外提供债务担保形成的或有事项及其财务影响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日止，子公司福建永福铁塔技术开发有限公司为公司提供履约保函担保金额</w:t>
      </w:r>
      <w:r>
        <w:rPr>
          <w:rFonts w:ascii="Times New Roman" w:hAnsi="Times New Roman" w:cs="Times New Roman" w:eastAsia="Times New Roman" w:hint="default"/>
        </w:rPr>
        <w:t>43,171,993.80</w:t>
      </w:r>
      <w:r>
        <w:rPr/>
        <w:t>元，具体</w:t>
      </w:r>
    </w:p>
    <w:p>
      <w:pPr>
        <w:pStyle w:val="BodyText"/>
        <w:spacing w:line="240" w:lineRule="auto" w:before="63"/>
        <w:ind w:right="0"/>
        <w:jc w:val="left"/>
      </w:pPr>
      <w:r>
        <w:rPr/>
        <w:t>详见</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p>
    <w:p>
      <w:pPr>
        <w:spacing w:line="240" w:lineRule="auto" w:before="9"/>
        <w:rPr>
          <w:rFonts w:ascii="宋体" w:hAnsi="宋体" w:cs="宋体" w:eastAsia="宋体" w:hint="default"/>
          <w:sz w:val="16"/>
          <w:szCs w:val="16"/>
        </w:rPr>
      </w:pPr>
    </w:p>
    <w:p>
      <w:pPr>
        <w:pStyle w:val="BodyText"/>
        <w:spacing w:line="451" w:lineRule="auto"/>
        <w:ind w:left="513" w:right="1180"/>
        <w:jc w:val="left"/>
      </w:pPr>
      <w:r>
        <w:rPr>
          <w:rFonts w:ascii="Times New Roman" w:hAnsi="Times New Roman" w:cs="Times New Roman" w:eastAsia="Times New Roman" w:hint="default"/>
        </w:rPr>
        <w:t>3</w:t>
      </w:r>
      <w:r>
        <w:rPr/>
        <w:t>、已背书或贴现且在资产负债表日尚未到期票据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日止，公司已背书或贴现且在资产负债表日尚未到期应收票据金额为</w:t>
      </w:r>
      <w:r>
        <w:rPr>
          <w:spacing w:val="-2"/>
        </w:rPr>
        <w:t> </w:t>
      </w:r>
      <w:r>
        <w:rPr>
          <w:rFonts w:ascii="Times New Roman" w:hAnsi="Times New Roman" w:cs="Times New Roman" w:eastAsia="Times New Roman" w:hint="default"/>
        </w:rPr>
        <w:t>5,247,436.90</w:t>
      </w:r>
      <w:r>
        <w:rPr/>
        <w:t>元。</w:t>
      </w:r>
    </w:p>
    <w:p>
      <w:pPr>
        <w:spacing w:after="0" w:line="451" w:lineRule="auto"/>
        <w:jc w:val="left"/>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pStyle w:val="BodyText"/>
        <w:spacing w:line="240" w:lineRule="auto" w:before="198"/>
        <w:ind w:right="0"/>
        <w:jc w:val="left"/>
      </w:pPr>
      <w:r>
        <w:rPr/>
        <w:t>公司不存在需要披露的重要或有事项。</w:t>
      </w:r>
    </w:p>
    <w:p>
      <w:pPr>
        <w:spacing w:line="240" w:lineRule="auto" w:before="2"/>
        <w:rPr>
          <w:rFonts w:ascii="宋体" w:hAnsi="宋体" w:cs="宋体" w:eastAsia="宋体" w:hint="default"/>
          <w:sz w:val="16"/>
          <w:szCs w:val="16"/>
        </w:rPr>
      </w:pPr>
    </w:p>
    <w:p>
      <w:pPr>
        <w:spacing w:line="372"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70"/>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84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pStyle w:val="Heading3"/>
        <w:spacing w:line="240" w:lineRule="auto" w:before="38"/>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52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14,008,000.00</w:t>
            </w:r>
          </w:p>
        </w:tc>
      </w:tr>
    </w:tbl>
    <w:p>
      <w:pPr>
        <w:pStyle w:val="Heading3"/>
        <w:spacing w:line="240" w:lineRule="auto" w:before="38"/>
        <w:ind w:right="0"/>
        <w:jc w:val="left"/>
        <w:rPr>
          <w:b w:val="0"/>
          <w:bCs w:val="0"/>
        </w:rPr>
      </w:pPr>
      <w:r>
        <w:rPr>
          <w:rFonts w:ascii="Times New Roman" w:hAnsi="Times New Roman" w:cs="Times New Roman" w:eastAsia="Times New Roman" w:hint="default"/>
        </w:rPr>
        <w:t>3</w:t>
      </w:r>
      <w:r>
        <w:rPr/>
        <w:t>、销售退回</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468" w:lineRule="exact" w:before="34"/>
        <w:ind w:left="513" w:right="26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）为全资子公司福州新创机电设备有限公司银行授信提供担保事项</w:t>
      </w:r>
      <w:r>
        <w:rPr>
          <w:rFonts w:ascii="宋体" w:hAnsi="宋体" w:cs="宋体" w:eastAsia="宋体" w:hint="default"/>
          <w:b/>
          <w:bCs/>
          <w:w w:val="99"/>
          <w:sz w:val="18"/>
          <w:szCs w:val="18"/>
        </w:rPr>
        <w:t> </w:t>
      </w:r>
      <w:r>
        <w:rPr>
          <w:rFonts w:ascii="宋体" w:hAnsi="宋体" w:cs="宋体" w:eastAsia="宋体" w:hint="default"/>
          <w:sz w:val="18"/>
          <w:szCs w:val="18"/>
        </w:rPr>
        <w:t>鉴于子公司福州新创机电设备有限公司承接</w:t>
      </w:r>
      <w:r>
        <w:rPr>
          <w:rFonts w:ascii="Times New Roman" w:hAnsi="Times New Roman" w:cs="Times New Roman" w:eastAsia="Times New Roman" w:hint="default"/>
          <w:sz w:val="18"/>
          <w:szCs w:val="18"/>
        </w:rPr>
        <w:t>EPC</w:t>
      </w:r>
      <w:r>
        <w:rPr>
          <w:rFonts w:ascii="宋体" w:hAnsi="宋体" w:cs="宋体" w:eastAsia="宋体" w:hint="default"/>
          <w:sz w:val="18"/>
          <w:szCs w:val="18"/>
        </w:rPr>
        <w:t>总承包部分项目设备采购业务，需要配套的流动资金，其拟与招商银</w:t>
      </w:r>
    </w:p>
    <w:p>
      <w:pPr>
        <w:pStyle w:val="BodyText"/>
        <w:spacing w:line="240" w:lineRule="auto" w:before="8"/>
        <w:ind w:right="0"/>
        <w:jc w:val="left"/>
      </w:pPr>
      <w:r>
        <w:rPr/>
        <w:t>行股份有限公司福州南门支行申请综合授信，并由公司为其提供担保。</w:t>
      </w:r>
    </w:p>
    <w:p>
      <w:pPr>
        <w:spacing w:line="240" w:lineRule="auto" w:before="10"/>
        <w:rPr>
          <w:rFonts w:ascii="宋体" w:hAnsi="宋体" w:cs="宋体" w:eastAsia="宋体" w:hint="default"/>
          <w:sz w:val="17"/>
          <w:szCs w:val="17"/>
        </w:rPr>
      </w:pPr>
    </w:p>
    <w:p>
      <w:pPr>
        <w:pStyle w:val="BodyText"/>
        <w:spacing w:line="312" w:lineRule="auto"/>
        <w:ind w:right="251"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日，与招商银行股份有限公司福州南门支行签订《最高额不可撤销担保书》，担保额度最高不超过 贰仟伍佰万元整，保证方式为连带责任担保，担保期限自公司签订打担保书生效之日起至其与招商银行签订《授信协议》 项下每笔贷款或者其他融资或者招商银行受让的应收账款债权的到期日或者每笔垫款的垫款日另加三年。任一项具体授信 展期，则保证期间延续至展期期间届满后另加三年止。</w:t>
      </w:r>
    </w:p>
    <w:p>
      <w:pPr>
        <w:spacing w:line="468" w:lineRule="exact" w:before="14"/>
        <w:ind w:left="513" w:right="18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）关于公司股东股份质押的事项</w:t>
      </w:r>
      <w:r>
        <w:rPr>
          <w:rFonts w:ascii="宋体" w:hAnsi="宋体" w:cs="宋体" w:eastAsia="宋体" w:hint="default"/>
          <w:b/>
          <w:bCs/>
          <w:w w:val="99"/>
          <w:sz w:val="18"/>
          <w:szCs w:val="18"/>
        </w:rPr>
        <w:t> </w:t>
      </w:r>
      <w:r>
        <w:rPr>
          <w:rFonts w:ascii="宋体" w:hAnsi="宋体" w:cs="宋体" w:eastAsia="宋体" w:hint="default"/>
          <w:sz w:val="18"/>
          <w:szCs w:val="18"/>
        </w:rPr>
        <w:t>本公司控股股东福州博宏投资管理有限公司，因融资需求，将其持有本公司股份</w:t>
      </w:r>
      <w:r>
        <w:rPr>
          <w:rFonts w:ascii="Times New Roman" w:hAnsi="Times New Roman" w:cs="Times New Roman" w:eastAsia="Times New Roman" w:hint="default"/>
          <w:sz w:val="18"/>
          <w:szCs w:val="18"/>
        </w:rPr>
        <w:t>2,500,000.00</w:t>
      </w:r>
      <w:r>
        <w:rPr>
          <w:rFonts w:ascii="宋体" w:hAnsi="宋体" w:cs="宋体" w:eastAsia="宋体" w:hint="default"/>
          <w:sz w:val="18"/>
          <w:szCs w:val="18"/>
        </w:rPr>
        <w:t>股（占其所持公司股份比</w:t>
      </w:r>
    </w:p>
    <w:p>
      <w:pPr>
        <w:pStyle w:val="BodyText"/>
        <w:spacing w:line="300" w:lineRule="auto" w:before="8"/>
        <w:ind w:right="204"/>
        <w:jc w:val="left"/>
      </w:pPr>
      <w:r>
        <w:rPr/>
        <w:t>例的</w:t>
      </w:r>
      <w:r>
        <w:rPr>
          <w:rFonts w:ascii="Times New Roman" w:hAnsi="Times New Roman" w:cs="Times New Roman" w:eastAsia="Times New Roman" w:hint="default"/>
        </w:rPr>
        <w:t>5.9530%</w:t>
      </w:r>
      <w:r>
        <w:rPr/>
        <w:t>，占公司总股份的</w:t>
      </w:r>
      <w:r>
        <w:rPr>
          <w:rFonts w:ascii="Times New Roman" w:hAnsi="Times New Roman" w:cs="Times New Roman" w:eastAsia="Times New Roman" w:hint="default"/>
        </w:rPr>
        <w:t>1.7847%</w:t>
      </w:r>
      <w:r>
        <w:rPr/>
        <w:t>），向中国民生银行股份有限公司福州分行进行质押，质押起止日为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2"/>
        <w:spacing w:line="240" w:lineRule="auto"/>
        <w:ind w:right="0"/>
        <w:jc w:val="left"/>
        <w:rPr>
          <w:b w:val="0"/>
          <w:bCs w:val="0"/>
        </w:rPr>
      </w:pPr>
      <w:r>
        <w:rPr/>
        <w:t>十六、其他重要事项</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10"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footerReference w:type="default" r:id="rId23"/>
          <w:pgSz w:w="11910" w:h="16840"/>
          <w:pgMar w:footer="979" w:header="852"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7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pStyle w:val="Heading3"/>
        <w:spacing w:line="240" w:lineRule="auto" w:before="38"/>
        <w:ind w:right="0"/>
        <w:jc w:val="left"/>
        <w:rPr>
          <w:b w:val="0"/>
          <w:bCs w:val="0"/>
        </w:rPr>
      </w:pPr>
      <w:r>
        <w:rPr>
          <w:rFonts w:ascii="Times New Roman" w:hAnsi="Times New Roman" w:cs="Times New Roman" w:eastAsia="Times New Roman" w:hint="default"/>
        </w:rPr>
        <w:t>2</w:t>
      </w:r>
      <w:r>
        <w:rPr/>
        <w:t>、债务重组</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3</w:t>
      </w:r>
      <w:r>
        <w:rPr/>
        <w:t>、资产置换</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pStyle w:val="Heading3"/>
        <w:spacing w:line="240" w:lineRule="auto" w:before="178"/>
        <w:ind w:right="0"/>
        <w:jc w:val="left"/>
        <w:rPr>
          <w:b w:val="0"/>
          <w:bCs w:val="0"/>
        </w:rPr>
      </w:pPr>
      <w:r>
        <w:rPr>
          <w:rFonts w:ascii="Times New Roman" w:hAnsi="Times New Roman" w:cs="Times New Roman" w:eastAsia="Times New Roman" w:hint="default"/>
        </w:rPr>
        <w:t>4</w:t>
      </w:r>
      <w:r>
        <w:rPr/>
        <w:t>、年金计划</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115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392"/>
        <w:gridCol w:w="2393"/>
        <w:gridCol w:w="2392"/>
        <w:gridCol w:w="2391"/>
      </w:tblGrid>
      <w:tr>
        <w:trPr>
          <w:trHeight w:val="52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pStyle w:val="Heading3"/>
        <w:spacing w:line="240" w:lineRule="auto" w:before="178"/>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8</w:t>
      </w:r>
      <w:r>
        <w:rPr/>
        <w:t>、其他</w:t>
      </w:r>
      <w:r>
        <w:rPr>
          <w:b w:val="0"/>
          <w:bCs w:val="0"/>
        </w:rPr>
      </w:r>
    </w:p>
    <w:p>
      <w:pPr>
        <w:spacing w:line="468" w:lineRule="exact" w:before="33"/>
        <w:ind w:left="513" w:right="233" w:firstLine="0"/>
        <w:jc w:val="left"/>
        <w:rPr>
          <w:rFonts w:ascii="宋体" w:hAnsi="宋体" w:cs="宋体" w:eastAsia="宋体" w:hint="default"/>
          <w:sz w:val="18"/>
          <w:szCs w:val="18"/>
        </w:rPr>
      </w:pPr>
      <w:r>
        <w:rPr>
          <w:rFonts w:ascii="宋体" w:hAnsi="宋体" w:cs="宋体" w:eastAsia="宋体" w:hint="default"/>
          <w:b/>
          <w:bCs/>
          <w:sz w:val="18"/>
          <w:szCs w:val="18"/>
        </w:rPr>
        <w:t>本公司与华安县耀南石材厂高度危险活动损害责任纠纷案</w:t>
      </w:r>
      <w:r>
        <w:rPr>
          <w:rFonts w:ascii="宋体" w:hAnsi="宋体" w:cs="宋体" w:eastAsia="宋体" w:hint="default"/>
          <w:b/>
          <w:bCs/>
          <w:w w:val="99"/>
          <w:sz w:val="18"/>
          <w:szCs w:val="18"/>
        </w:rPr>
        <w:t> </w:t>
      </w:r>
      <w:r>
        <w:rPr>
          <w:rFonts w:ascii="宋体" w:hAnsi="宋体" w:cs="宋体" w:eastAsia="宋体" w:hint="default"/>
          <w:sz w:val="18"/>
          <w:szCs w:val="18"/>
        </w:rPr>
        <w:t>华安县耀南石材厂于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日因高度危险活动损害责任纠纷作为原告向福建省漳州市芗城区人民法院提起诉讼，</w:t>
      </w:r>
    </w:p>
    <w:p>
      <w:pPr>
        <w:pStyle w:val="BodyText"/>
        <w:spacing w:line="300" w:lineRule="auto" w:before="8"/>
        <w:ind w:right="154"/>
        <w:jc w:val="left"/>
      </w:pPr>
      <w:r>
        <w:rPr/>
        <w:t>请求法院判令国网福建省电力有限公司漳州供电公司（注：曾用名</w:t>
      </w:r>
      <w:r>
        <w:rPr>
          <w:rFonts w:ascii="Times New Roman" w:hAnsi="Times New Roman" w:cs="Times New Roman" w:eastAsia="Times New Roman" w:hint="default"/>
        </w:rPr>
        <w:t>“</w:t>
      </w:r>
      <w:r>
        <w:rPr/>
        <w:t>福建省电力有限公司漳州电业局</w:t>
      </w:r>
      <w:r>
        <w:rPr>
          <w:rFonts w:ascii="Times New Roman" w:hAnsi="Times New Roman" w:cs="Times New Roman" w:eastAsia="Times New Roman" w:hint="default"/>
        </w:rPr>
        <w:t>”</w:t>
      </w:r>
      <w:r>
        <w:rPr/>
        <w:t>，下称</w:t>
      </w:r>
      <w:r>
        <w:rPr>
          <w:rFonts w:ascii="Times New Roman" w:hAnsi="Times New Roman" w:cs="Times New Roman" w:eastAsia="Times New Roman" w:hint="default"/>
        </w:rPr>
        <w:t>“</w:t>
      </w:r>
      <w:r>
        <w:rPr/>
        <w:t>国网福建漳州 公司</w:t>
      </w:r>
      <w:r>
        <w:rPr>
          <w:rFonts w:ascii="Times New Roman" w:hAnsi="Times New Roman" w:cs="Times New Roman" w:eastAsia="Times New Roman" w:hint="default"/>
        </w:rPr>
        <w:t>”</w:t>
      </w:r>
      <w:r>
        <w:rPr/>
        <w:t>）、福建省送变电工程有限公司、永福股份三名被告立即停止因高压电线设置不当对原告造成的侵害并清除危险，赔 偿其经济损失</w:t>
      </w:r>
      <w:r>
        <w:rPr>
          <w:rFonts w:ascii="Times New Roman" w:hAnsi="Times New Roman" w:cs="Times New Roman" w:eastAsia="Times New Roman" w:hint="default"/>
        </w:rPr>
        <w:t>500</w:t>
      </w:r>
      <w:r>
        <w:rPr/>
        <w:t>万元并承担本案受理费。根据福建省漳州市芗城区人民法院于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日向公司发出的《传票》，本 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日开庭审理，截至报告日该案件仍在法院审理中。</w:t>
      </w:r>
    </w:p>
    <w:p>
      <w:pPr>
        <w:spacing w:line="240" w:lineRule="auto" w:before="12"/>
        <w:rPr>
          <w:rFonts w:ascii="宋体" w:hAnsi="宋体" w:cs="宋体" w:eastAsia="宋体" w:hint="default"/>
          <w:sz w:val="12"/>
          <w:szCs w:val="12"/>
        </w:rPr>
      </w:pPr>
    </w:p>
    <w:p>
      <w:pPr>
        <w:pStyle w:val="BodyText"/>
        <w:spacing w:line="300" w:lineRule="auto"/>
        <w:ind w:right="154" w:firstLine="360"/>
        <w:jc w:val="left"/>
      </w:pPr>
      <w:r>
        <w:rPr/>
        <w:t>上述案件所涉工程项目为</w:t>
      </w:r>
      <w:r>
        <w:rPr>
          <w:rFonts w:ascii="Times New Roman" w:hAnsi="Times New Roman" w:cs="Times New Roman" w:eastAsia="Times New Roman" w:hint="default"/>
        </w:rPr>
        <w:t>“</w:t>
      </w:r>
      <w:r>
        <w:rPr/>
        <w:t>五峰</w:t>
      </w:r>
      <w:r>
        <w:rPr>
          <w:rFonts w:ascii="Times New Roman" w:hAnsi="Times New Roman" w:cs="Times New Roman" w:eastAsia="Times New Roman" w:hint="default"/>
        </w:rPr>
        <w:t>-</w:t>
      </w:r>
      <w:r>
        <w:rPr/>
        <w:t>兴泰</w:t>
      </w:r>
      <w:r>
        <w:rPr>
          <w:rFonts w:ascii="Times New Roman" w:hAnsi="Times New Roman" w:cs="Times New Roman" w:eastAsia="Times New Roman" w:hint="default"/>
        </w:rPr>
        <w:t>220kV</w:t>
      </w:r>
      <w:r>
        <w:rPr/>
        <w:t>Ⅰ、Ⅱ回线路等</w:t>
      </w:r>
      <w:r>
        <w:rPr>
          <w:rFonts w:ascii="Times New Roman" w:hAnsi="Times New Roman" w:cs="Times New Roman" w:eastAsia="Times New Roman" w:hint="default"/>
        </w:rPr>
        <w:t>3</w:t>
      </w:r>
      <w:r>
        <w:rPr/>
        <w:t>项线路工程</w:t>
      </w:r>
      <w:r>
        <w:rPr>
          <w:rFonts w:ascii="Times New Roman" w:hAnsi="Times New Roman" w:cs="Times New Roman" w:eastAsia="Times New Roman" w:hint="default"/>
        </w:rPr>
        <w:t>”</w:t>
      </w:r>
      <w:r>
        <w:rPr/>
        <w:t>，系本公司前身永福有限于</w:t>
      </w:r>
      <w:r>
        <w:rPr>
          <w:rFonts w:ascii="Times New Roman" w:hAnsi="Times New Roman" w:cs="Times New Roman" w:eastAsia="Times New Roman" w:hint="default"/>
        </w:rPr>
        <w:t>2010</w:t>
      </w:r>
      <w:r>
        <w:rPr/>
        <w:t>年通过招投标 方式承接，项目建设单位为国网福建漳州公司、施工单位为福建省送变电工程有限公司，本公司为勘察设计单位，并与国</w:t>
      </w:r>
    </w:p>
    <w:p>
      <w:pPr>
        <w:spacing w:after="0" w:line="300" w:lineRule="auto"/>
        <w:jc w:val="left"/>
        <w:sectPr>
          <w:footerReference w:type="default" r:id="rId24"/>
          <w:pgSz w:w="11910" w:h="16840"/>
          <w:pgMar w:footer="979" w:header="852" w:top="1220" w:bottom="1160" w:left="980" w:right="980"/>
          <w:pgNumType w:start="201"/>
        </w:sectPr>
      </w:pPr>
    </w:p>
    <w:p>
      <w:pPr>
        <w:spacing w:line="240" w:lineRule="auto" w:before="11"/>
        <w:rPr>
          <w:rFonts w:ascii="宋体" w:hAnsi="宋体" w:cs="宋体" w:eastAsia="宋体" w:hint="default"/>
          <w:sz w:val="13"/>
          <w:szCs w:val="13"/>
        </w:rPr>
      </w:pPr>
    </w:p>
    <w:p>
      <w:pPr>
        <w:pStyle w:val="BodyText"/>
        <w:spacing w:line="316" w:lineRule="auto" w:before="44"/>
        <w:ind w:right="234"/>
        <w:jc w:val="left"/>
      </w:pPr>
      <w:r>
        <w:rPr/>
        <w:t>网福建漳州公司签署了相应《建设工程勘察设计合同》。本公司已依约完成项目勘察、设计工作，相关工作成果已取得建 设单位审核确认，该项目于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月投产运行。</w:t>
      </w:r>
    </w:p>
    <w:p>
      <w:pPr>
        <w:pStyle w:val="BodyText"/>
        <w:spacing w:line="240" w:lineRule="auto" w:before="155"/>
        <w:ind w:left="513" w:right="0"/>
        <w:jc w:val="left"/>
      </w:pPr>
      <w:r>
        <w:rPr/>
        <w:t>该案件系本公司在正常经营过程中产生，不会对本公司的资产和财务状况产生重大不利影响，理由如下：（</w:t>
      </w:r>
      <w:r>
        <w:rPr>
          <w:rFonts w:ascii="Times New Roman" w:hAnsi="Times New Roman" w:cs="Times New Roman" w:eastAsia="Times New Roman" w:hint="default"/>
        </w:rPr>
        <w:t>1</w:t>
      </w:r>
      <w:r>
        <w:rPr/>
        <w:t>）根据</w:t>
      </w:r>
    </w:p>
    <w:p>
      <w:pPr>
        <w:pStyle w:val="BodyText"/>
        <w:spacing w:line="302" w:lineRule="auto" w:before="63"/>
        <w:ind w:right="144"/>
        <w:jc w:val="left"/>
      </w:pPr>
      <w:r>
        <w:rPr/>
        <w:t>《中华人民共和国侵权责任法》第七十三条规定</w:t>
      </w:r>
      <w:r>
        <w:rPr>
          <w:rFonts w:ascii="Times New Roman" w:hAnsi="Times New Roman" w:cs="Times New Roman" w:eastAsia="Times New Roman" w:hint="default"/>
        </w:rPr>
        <w:t>“</w:t>
      </w:r>
      <w:r>
        <w:rPr/>
        <w:t>从事高空、高压、地下挖掘活动或者使用高速轨道运输工具造成他人损害 的，经营者应当承担侵权责任</w:t>
      </w:r>
      <w:r>
        <w:rPr>
          <w:rFonts w:ascii="Times New Roman" w:hAnsi="Times New Roman" w:cs="Times New Roman" w:eastAsia="Times New Roman" w:hint="default"/>
        </w:rPr>
        <w:t>……”</w:t>
      </w:r>
      <w:r>
        <w:rPr/>
        <w:t>，因本案所涉工程项目经营者为国网福建漳州公司，本公司作为设计单位并非本案的直 接责任方；（</w:t>
      </w:r>
      <w:r>
        <w:rPr>
          <w:rFonts w:ascii="Times New Roman" w:hAnsi="Times New Roman" w:cs="Times New Roman" w:eastAsia="Times New Roman" w:hint="default"/>
        </w:rPr>
        <w:t>2</w:t>
      </w:r>
      <w:r>
        <w:rPr/>
        <w:t>）该工程相关设计文件中已列明</w:t>
      </w:r>
      <w:r>
        <w:rPr>
          <w:rFonts w:ascii="Times New Roman" w:hAnsi="Times New Roman" w:cs="Times New Roman" w:eastAsia="Times New Roman" w:hint="default"/>
        </w:rPr>
        <w:t>“</w:t>
      </w:r>
      <w:r>
        <w:rPr/>
        <w:t>凡本工程涉及的路径走廊</w:t>
      </w:r>
      <w:r>
        <w:rPr>
          <w:rFonts w:ascii="Times New Roman" w:hAnsi="Times New Roman" w:cs="Times New Roman" w:eastAsia="Times New Roman" w:hint="default"/>
        </w:rPr>
        <w:t>……</w:t>
      </w:r>
      <w:r>
        <w:rPr/>
        <w:t>采石场封闭</w:t>
      </w:r>
      <w:r>
        <w:rPr>
          <w:rFonts w:ascii="Times New Roman" w:hAnsi="Times New Roman" w:cs="Times New Roman" w:eastAsia="Times New Roman" w:hint="default"/>
        </w:rPr>
        <w:t>……</w:t>
      </w:r>
      <w:r>
        <w:rPr/>
        <w:t>等方面的有关协议事项均由 本工程建设单位负责办理</w:t>
      </w:r>
      <w:r>
        <w:rPr>
          <w:rFonts w:ascii="Times New Roman" w:hAnsi="Times New Roman" w:cs="Times New Roman" w:eastAsia="Times New Roman" w:hint="default"/>
        </w:rPr>
        <w:t>”</w:t>
      </w:r>
      <w:r>
        <w:rPr/>
        <w:t>，本公司无需就未妥善处理采石场封闭事项承担法律责任；（</w:t>
      </w:r>
      <w:r>
        <w:rPr>
          <w:rFonts w:ascii="Times New Roman" w:hAnsi="Times New Roman" w:cs="Times New Roman" w:eastAsia="Times New Roman" w:hint="default"/>
        </w:rPr>
        <w:t>3</w:t>
      </w:r>
      <w:r>
        <w:rPr/>
        <w:t>）即使本案经审理查明该工程对 华安县耀南石材厂造成了损害，也应由经营者向其予以先行赔付，并且在经营者能够证明本公司提交的工程设计文件存在 设计缺陷的前提下，本公司才需要承担相应设计责任；（</w:t>
      </w:r>
      <w:r>
        <w:rPr>
          <w:rFonts w:ascii="Times New Roman" w:hAnsi="Times New Roman" w:cs="Times New Roman" w:eastAsia="Times New Roman" w:hint="default"/>
        </w:rPr>
        <w:t>4</w:t>
      </w:r>
      <w:r>
        <w:rPr/>
        <w:t>）该工程相关设计文件中已将原告所经营采石场列入需封闭赔偿 范畴，并已将赔偿费用列入项目概算</w:t>
      </w:r>
      <w:r>
        <w:rPr>
          <w:rFonts w:ascii="Times New Roman" w:hAnsi="Times New Roman" w:cs="Times New Roman" w:eastAsia="Times New Roman" w:hint="default"/>
        </w:rPr>
        <w:t>“</w:t>
      </w:r>
      <w:r>
        <w:rPr/>
        <w:t>其他费用</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建设场地征用及清理费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采石场封闭赔偿费</w:t>
      </w:r>
      <w:r>
        <w:rPr>
          <w:rFonts w:ascii="Times New Roman" w:hAnsi="Times New Roman" w:cs="Times New Roman" w:eastAsia="Times New Roman" w:hint="default"/>
        </w:rPr>
        <w:t>”</w:t>
      </w:r>
      <w:r>
        <w:rPr/>
        <w:t>，该等设计文件已取得 项目建设单位审核确认，本公司已履行合同约定的勘察、设计义务。</w:t>
      </w:r>
    </w:p>
    <w:p>
      <w:pPr>
        <w:pStyle w:val="Heading2"/>
        <w:spacing w:line="240" w:lineRule="auto" w:before="137"/>
        <w:ind w:right="0"/>
        <w:jc w:val="left"/>
        <w:rPr>
          <w:b w:val="0"/>
          <w:bCs w:val="0"/>
        </w:rPr>
      </w:pPr>
      <w:r>
        <w:rPr/>
        <w:t>十七、母公司财务报表主要项目注释</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、应收账款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98"/>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523"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33"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4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290,027,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21,958,0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268,068,9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208,346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,928.84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15,094,12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193,252,80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2.71</w:t>
            </w:r>
          </w:p>
        </w:tc>
      </w:tr>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3,777,51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2,519,69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1,257,825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3,777,5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3,777,515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0" w:right="0"/>
              <w:jc w:val="center"/>
              <w:rPr>
                <w:rFonts w:ascii="Times New Roman" w:hAnsi="Times New Roman" w:cs="Times New Roman" w:eastAsia="Times New Roman" w:hint="default"/>
                <w:sz w:val="18"/>
                <w:szCs w:val="18"/>
              </w:rPr>
            </w:pPr>
            <w:r>
              <w:rPr>
                <w:rFonts w:ascii="Times New Roman"/>
                <w:sz w:val="18"/>
              </w:rPr>
              <w:t>293,804,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535.38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24,477,7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73.92</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269,326,7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61.46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 w:right="0"/>
              <w:jc w:val="left"/>
              <w:rPr>
                <w:rFonts w:ascii="Times New Roman" w:hAnsi="Times New Roman" w:cs="Times New Roman" w:eastAsia="Times New Roman" w:hint="default"/>
                <w:sz w:val="18"/>
                <w:szCs w:val="18"/>
              </w:rPr>
            </w:pPr>
            <w:r>
              <w:rPr>
                <w:rFonts w:ascii="Times New Roman"/>
                <w:sz w:val="18"/>
              </w:rPr>
              <w:t>212,124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,443.93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 w:right="0"/>
              <w:jc w:val="left"/>
              <w:rPr>
                <w:rFonts w:ascii="Times New Roman" w:hAnsi="Times New Roman" w:cs="Times New Roman" w:eastAsia="Times New Roman" w:hint="default"/>
                <w:sz w:val="18"/>
                <w:szCs w:val="18"/>
              </w:rPr>
            </w:pPr>
            <w:r>
              <w:rPr>
                <w:rFonts w:ascii="Times New Roman"/>
                <w:sz w:val="18"/>
              </w:rPr>
              <w:t>18,871,64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1.22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 w:right="0"/>
              <w:jc w:val="left"/>
              <w:rPr>
                <w:rFonts w:ascii="Times New Roman" w:hAnsi="Times New Roman" w:cs="Times New Roman" w:eastAsia="Times New Roman" w:hint="default"/>
                <w:sz w:val="18"/>
                <w:szCs w:val="18"/>
              </w:rPr>
            </w:pPr>
            <w:r>
              <w:rPr>
                <w:rFonts w:ascii="Times New Roman"/>
                <w:sz w:val="18"/>
              </w:rPr>
              <w:t>193,252,80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2.71</w:t>
            </w:r>
          </w:p>
        </w:tc>
      </w:tr>
    </w:tbl>
    <w:p>
      <w:pPr>
        <w:pStyle w:val="BodyText"/>
        <w:spacing w:line="240" w:lineRule="auto" w:before="58"/>
        <w:ind w:right="0"/>
        <w:jc w:val="left"/>
      </w:pPr>
      <w:r>
        <w:rPr/>
        <w:t>期末单项金额重大并单项计提坏账准备的应收账款：</w:t>
      </w:r>
    </w:p>
    <w:p>
      <w:pPr>
        <w:spacing w:line="240" w:lineRule="auto" w:before="10"/>
        <w:rPr>
          <w:rFonts w:ascii="宋体" w:hAnsi="宋体" w:cs="宋体" w:eastAsia="宋体" w:hint="default"/>
          <w:sz w:val="17"/>
          <w:szCs w:val="17"/>
        </w:rPr>
      </w:pPr>
    </w:p>
    <w:p>
      <w:pPr>
        <w:pStyle w:val="BodyText"/>
        <w:spacing w:line="477" w:lineRule="auto"/>
        <w:ind w:right="5814"/>
        <w:jc w:val="left"/>
      </w:pPr>
      <w:r>
        <w:rPr/>
        <w:t>□ 适用 √</w:t>
      </w:r>
      <w:r>
        <w:rPr>
          <w:spacing w:val="3"/>
        </w:rPr>
        <w:t> </w:t>
      </w:r>
      <w:r>
        <w:rPr/>
        <w:t>不适用</w:t>
      </w:r>
      <w:r>
        <w:rPr/>
        <w:t> 组合中，按账龄分析法计提坏账准备的应收账款：</w:t>
      </w:r>
    </w:p>
    <w:p>
      <w:pPr>
        <w:pStyle w:val="BodyText"/>
        <w:spacing w:line="240" w:lineRule="auto" w:before="54"/>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7074"/>
      </w:tblGrid>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8"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216,886,226.90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10,844,311.35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49,781,339.44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4,978,133.94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10.00%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8,467,345.41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2,540,203.62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2,257,605.84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1,128,802.92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r>
      <w:tr>
        <w:trPr>
          <w:trHeight w:val="529"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1,512,465.00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1,209,972.00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80.00%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1,256,660.00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1,256,660.00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280,161,642.59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21,958,083.83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58"/>
        <w:ind w:right="5454"/>
        <w:jc w:val="left"/>
      </w:pPr>
      <w:r>
        <w:rPr/>
        <w:t>确定该组合依据的说明： 组合中，采用余额百分比法计提坏账准备的应收账款：</w:t>
      </w:r>
    </w:p>
    <w:p>
      <w:pPr>
        <w:pStyle w:val="BodyText"/>
        <w:spacing w:line="240" w:lineRule="auto" w:before="54"/>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528"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8"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9,865,377.70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9,865,377.70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77" w:lineRule="auto" w:before="58"/>
        <w:ind w:right="5814"/>
        <w:jc w:val="left"/>
      </w:pPr>
      <w:r>
        <w:rPr/>
        <w:t>确定该组合依据的说明： 组合中，采用其他方法计提坏账准备的应收账款：</w:t>
      </w: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451" w:lineRule="auto" w:before="198"/>
        <w:ind w:right="2849"/>
        <w:jc w:val="left"/>
      </w:pPr>
      <w:r>
        <w:rPr/>
        <w:t>本期计提坏账准备金额</w:t>
      </w:r>
      <w:r>
        <w:rPr>
          <w:spacing w:val="-47"/>
        </w:rPr>
        <w:t> </w:t>
      </w:r>
      <w:r>
        <w:rPr>
          <w:rFonts w:ascii="Times New Roman" w:hAnsi="Times New Roman" w:cs="Times New Roman" w:eastAsia="Times New Roman" w:hint="default"/>
        </w:rPr>
        <w:t>6,863,957.70 </w:t>
      </w:r>
      <w:r>
        <w:rPr/>
        <w:t>元；本期收回或转回坏账准备金额</w:t>
      </w:r>
      <w:r>
        <w:rPr>
          <w:spacing w:val="-48"/>
        </w:rPr>
        <w:t> </w:t>
      </w:r>
      <w:r>
        <w:rPr>
          <w:rFonts w:ascii="Times New Roman" w:hAnsi="Times New Roman" w:cs="Times New Roman" w:eastAsia="Times New Roman" w:hint="default"/>
        </w:rPr>
        <w:t>1,257,825.00 </w:t>
      </w:r>
      <w:r>
        <w:rPr/>
        <w:t>元。 其中本期坏账准备收回或转回金额重要的：</w:t>
      </w:r>
    </w:p>
    <w:p>
      <w:pPr>
        <w:pStyle w:val="BodyText"/>
        <w:spacing w:line="240" w:lineRule="auto" w:before="7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52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福建鑫海冶金有限公司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1,257,825.00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1,257,825.00</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38"/>
        <w:ind w:left="1430" w:right="0" w:firstLine="0"/>
        <w:jc w:val="left"/>
        <w:rPr>
          <w:rFonts w:ascii="宋体" w:hAnsi="宋体" w:cs="宋体" w:eastAsia="宋体" w:hint="default"/>
          <w:sz w:val="21"/>
          <w:szCs w:val="21"/>
        </w:rPr>
      </w:pPr>
      <w:r>
        <w:rPr>
          <w:rFonts w:ascii="宋体" w:hAnsi="宋体" w:cs="宋体" w:eastAsia="宋体" w:hint="default"/>
          <w:sz w:val="18"/>
          <w:szCs w:val="18"/>
        </w:rPr>
        <w:t>该公司破产重整，根据民事裁定书裁定结果转回</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日，收到该笔转回金额</w:t>
      </w:r>
    </w:p>
    <w:p>
      <w:pPr>
        <w:pStyle w:val="Heading4"/>
        <w:spacing w:line="240" w:lineRule="auto" w:before="21"/>
        <w:ind w:left="1430" w:right="0"/>
        <w:jc w:val="left"/>
      </w:pPr>
      <w:r>
        <w:rPr>
          <w:rFonts w:ascii="Times New Roman" w:hAnsi="Times New Roman" w:cs="Times New Roman" w:eastAsia="Times New Roman" w:hint="default"/>
        </w:rPr>
        <w:t>1,257,825.00</w:t>
      </w:r>
      <w:r>
        <w:rPr/>
        <w:t>元</w:t>
      </w:r>
    </w:p>
    <w:p>
      <w:pPr>
        <w:spacing w:after="0" w:line="240" w:lineRule="auto"/>
        <w:jc w:val="left"/>
        <w:sectPr>
          <w:pgSz w:w="11910" w:h="16840"/>
          <w:pgMar w:header="852" w:footer="979" w:top="122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52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8"/>
        <w:ind w:right="0"/>
        <w:jc w:val="left"/>
      </w:pPr>
      <w:r>
        <w:rPr/>
        <w:t>其中重要的应收账款核销情况：</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841"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8"/>
        <w:ind w:right="0"/>
        <w:jc w:val="left"/>
      </w:pPr>
      <w:r>
        <w:rPr/>
        <w:t>应收账款核销说明：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2690"/>
        <w:gridCol w:w="2549"/>
        <w:gridCol w:w="2268"/>
        <w:gridCol w:w="2127"/>
      </w:tblGrid>
      <w:tr>
        <w:trPr>
          <w:trHeight w:val="528" w:hRule="exact"/>
        </w:trPr>
        <w:tc>
          <w:tcPr>
            <w:tcW w:w="26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94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40" w:hRule="exact"/>
        </w:trPr>
        <w:tc>
          <w:tcPr>
            <w:tcW w:w="2690" w:type="dxa"/>
            <w:vMerge/>
            <w:tcBorders>
              <w:left w:val="single" w:sz="4" w:space="0" w:color="000000"/>
              <w:bottom w:val="single" w:sz="4" w:space="0" w:color="000000"/>
              <w:right w:val="single" w:sz="4" w:space="0" w:color="000000"/>
            </w:tcBorders>
            <w:shd w:val="clear" w:color="auto" w:fill="D9D9D9"/>
          </w:tcPr>
          <w:p>
            <w:pPr/>
          </w:p>
        </w:tc>
        <w:tc>
          <w:tcPr>
            <w:tcW w:w="25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8"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30,635,056.57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10.43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2,443,026.03</w:t>
            </w:r>
          </w:p>
        </w:tc>
      </w:tr>
      <w:tr>
        <w:trPr>
          <w:trHeight w:val="528"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22,144,542.07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7.54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1,120,354.46</w:t>
            </w:r>
          </w:p>
        </w:tc>
      </w:tr>
      <w:tr>
        <w:trPr>
          <w:trHeight w:val="528"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上海电气燃气轮机有限公司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20,070,886.79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1,038,938.68</w:t>
            </w:r>
          </w:p>
        </w:tc>
      </w:tr>
      <w:tr>
        <w:trPr>
          <w:trHeight w:val="528"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17,523,630.19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1,383,657.36</w:t>
            </w:r>
          </w:p>
        </w:tc>
      </w:tr>
      <w:tr>
        <w:trPr>
          <w:trHeight w:val="840"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104" w:right="234"/>
              <w:jc w:val="left"/>
              <w:rPr>
                <w:rFonts w:ascii="宋体" w:hAnsi="宋体" w:cs="宋体" w:eastAsia="宋体" w:hint="default"/>
                <w:sz w:val="18"/>
                <w:szCs w:val="18"/>
              </w:rPr>
            </w:pPr>
            <w:r>
              <w:rPr>
                <w:rFonts w:ascii="宋体" w:hAnsi="宋体" w:cs="宋体" w:eastAsia="宋体" w:hint="default"/>
                <w:sz w:val="18"/>
                <w:szCs w:val="18"/>
              </w:rPr>
              <w:t>国网福建省电力有限公司漳州 供电公司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14,277,330.49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4.86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869,509.28</w:t>
            </w:r>
          </w:p>
        </w:tc>
      </w:tr>
      <w:tr>
        <w:trPr>
          <w:trHeight w:val="529" w:hRule="exact"/>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104,651,446.11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35.62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6,855,485.81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pStyle w:val="BodyText"/>
        <w:spacing w:line="240" w:lineRule="auto" w:before="198"/>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35"/>
        <w:gridCol w:w="3839"/>
        <w:gridCol w:w="4095"/>
      </w:tblGrid>
      <w:tr>
        <w:trPr>
          <w:trHeight w:val="5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528"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40"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15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81,702,7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81,214,53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65,144,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099.37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64,686,260.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r>
      <w:tr>
        <w:trPr>
          <w:trHeight w:val="84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81,702,7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488,200.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81,214,53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65,144,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099.37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457,838.6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64,686,260.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r>
    </w:tbl>
    <w:p>
      <w:pPr>
        <w:pStyle w:val="BodyText"/>
        <w:spacing w:line="240" w:lineRule="auto" w:before="59"/>
        <w:ind w:right="0"/>
        <w:jc w:val="left"/>
      </w:pPr>
      <w:r>
        <w:rPr/>
        <w:t>期末单项金额重大并单项计提坏账准备的其他应收款：</w:t>
      </w:r>
    </w:p>
    <w:p>
      <w:pPr>
        <w:spacing w:line="240" w:lineRule="auto" w:before="10"/>
        <w:rPr>
          <w:rFonts w:ascii="宋体" w:hAnsi="宋体" w:cs="宋体" w:eastAsia="宋体" w:hint="default"/>
          <w:sz w:val="17"/>
          <w:szCs w:val="17"/>
        </w:rPr>
      </w:pPr>
    </w:p>
    <w:p>
      <w:pPr>
        <w:pStyle w:val="BodyText"/>
        <w:spacing w:line="477" w:lineRule="auto"/>
        <w:ind w:right="5634"/>
        <w:jc w:val="left"/>
      </w:pPr>
      <w:r>
        <w:rPr/>
        <w:t>□ 适用 √</w:t>
      </w:r>
      <w:r>
        <w:rPr>
          <w:spacing w:val="3"/>
        </w:rPr>
        <w:t> </w:t>
      </w:r>
      <w:r>
        <w:rPr/>
        <w:t>不适用</w:t>
      </w:r>
      <w:r>
        <w:rPr/>
        <w:t> 组合中，按账龄分析法计提坏账准备的其他应收款：</w:t>
      </w:r>
    </w:p>
    <w:p>
      <w:pPr>
        <w:pStyle w:val="BodyText"/>
        <w:spacing w:line="240" w:lineRule="auto" w:before="54"/>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269"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9"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259"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69"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4,215,646.07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210,782.30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259,046.41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25,904.64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10.00%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61,478.00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18,443.40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30.00%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154,636.00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77,318.00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50.00%</w:t>
            </w:r>
          </w:p>
        </w:tc>
      </w:tr>
      <w:tr>
        <w:trPr>
          <w:trHeight w:val="529"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w w:val="95"/>
                <w:sz w:val="18"/>
              </w:rPr>
              <w:t>2,400.00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80.00%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153,352.00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153,352.00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4,847,158.48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488,200.34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58"/>
        <w:ind w:right="5274"/>
        <w:jc w:val="left"/>
      </w:pPr>
      <w:r>
        <w:rPr/>
        <w:t>确定该组合依据的说明： 组合中，采用余额百分比法计提坏账准备的其他应收款：</w:t>
      </w:r>
    </w:p>
    <w:p>
      <w:pPr>
        <w:pStyle w:val="BodyText"/>
        <w:spacing w:line="477" w:lineRule="auto" w:before="54"/>
        <w:ind w:right="5634"/>
        <w:jc w:val="left"/>
      </w:pPr>
      <w:r>
        <w:rPr/>
        <w:t>□ 适用 √</w:t>
      </w:r>
      <w:r>
        <w:rPr>
          <w:spacing w:val="3"/>
        </w:rPr>
        <w:t> </w:t>
      </w:r>
      <w:r>
        <w:rPr/>
        <w:t>不适用</w:t>
      </w:r>
      <w:r>
        <w:rPr/>
        <w:t> 组合中，采用其他方法计提坏账准备的其他应收款：</w:t>
      </w:r>
    </w:p>
    <w:p>
      <w:pPr>
        <w:pStyle w:val="BodyText"/>
        <w:spacing w:line="240" w:lineRule="auto" w:before="54"/>
        <w:ind w:right="0"/>
        <w:jc w:val="left"/>
      </w:pPr>
      <w:r>
        <w:rPr/>
        <w:t>√ 适用 □</w:t>
      </w:r>
      <w:r>
        <w:rPr>
          <w:spacing w:val="3"/>
        </w:rPr>
        <w:t> </w:t>
      </w:r>
      <w:r>
        <w:rPr/>
        <w:t>不适用</w:t>
      </w:r>
    </w:p>
    <w:p>
      <w:pPr>
        <w:spacing w:after="0" w:line="240" w:lineRule="auto"/>
        <w:jc w:val="lef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53" w:type="dxa"/>
        <w:tblLayout w:type="fixed"/>
        <w:tblCellMar>
          <w:top w:w="0" w:type="dxa"/>
          <w:left w:w="0" w:type="dxa"/>
          <w:bottom w:w="0" w:type="dxa"/>
          <w:right w:w="0" w:type="dxa"/>
        </w:tblCellMar>
        <w:tblLook w:val="01E0"/>
      </w:tblPr>
      <w:tblGrid>
        <w:gridCol w:w="3223"/>
        <w:gridCol w:w="1841"/>
        <w:gridCol w:w="1560"/>
        <w:gridCol w:w="1191"/>
      </w:tblGrid>
      <w:tr>
        <w:trPr>
          <w:trHeight w:val="528" w:hRule="exact"/>
        </w:trPr>
        <w:tc>
          <w:tcPr>
            <w:tcW w:w="322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59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期末余额（元）</w:t>
            </w:r>
          </w:p>
        </w:tc>
      </w:tr>
      <w:tr>
        <w:trPr>
          <w:trHeight w:val="528" w:hRule="exact"/>
        </w:trPr>
        <w:tc>
          <w:tcPr>
            <w:tcW w:w="3223" w:type="dxa"/>
            <w:vMerge/>
            <w:tcBorders>
              <w:left w:val="single" w:sz="4" w:space="0" w:color="000000"/>
              <w:bottom w:val="single" w:sz="4" w:space="0" w:color="000000"/>
              <w:right w:val="single" w:sz="4" w:space="0" w:color="000000"/>
            </w:tcBorders>
            <w:shd w:val="clear" w:color="auto" w:fill="D9D9D9"/>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8" w:hRule="exact"/>
        </w:trPr>
        <w:tc>
          <w:tcPr>
            <w:tcW w:w="3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96" w:right="0"/>
              <w:jc w:val="left"/>
              <w:rPr>
                <w:rFonts w:ascii="Times New Roman" w:hAnsi="Times New Roman" w:cs="Times New Roman" w:eastAsia="Times New Roman" w:hint="default"/>
                <w:sz w:val="18"/>
                <w:szCs w:val="18"/>
              </w:rPr>
            </w:pPr>
            <w:r>
              <w:rPr>
                <w:rFonts w:ascii="Times New Roman"/>
                <w:sz w:val="18"/>
              </w:rPr>
              <w:t>76,855,580.10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451" w:lineRule="auto" w:before="198"/>
        <w:ind w:right="3701"/>
        <w:jc w:val="left"/>
      </w:pPr>
      <w:r>
        <w:rPr/>
        <w:t>本期计提坏账准备金额</w:t>
      </w:r>
      <w:r>
        <w:rPr>
          <w:spacing w:val="-46"/>
        </w:rPr>
        <w:t> </w:t>
      </w:r>
      <w:r>
        <w:rPr>
          <w:rFonts w:ascii="Times New Roman" w:hAnsi="Times New Roman" w:cs="Times New Roman" w:eastAsia="Times New Roman" w:hint="default"/>
        </w:rPr>
        <w:t>30,361.71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7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52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52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8"/>
        <w:ind w:right="0"/>
        <w:jc w:val="left"/>
      </w:pPr>
      <w:r>
        <w:rPr/>
        <w:t>其中重要的其他应收款核销情况：</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840"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8"/>
        <w:ind w:right="0"/>
        <w:jc w:val="left"/>
      </w:pPr>
      <w:r>
        <w:rPr/>
        <w:t>其他应收款核销说明：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52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2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76,855,580.10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60,743,775.10</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2,904,522.00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3,077,400.00</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1,204,488.46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190,147.00</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609,824.52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949,262.27</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61,370.00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61,370.00</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109,200.00</w:t>
            </w:r>
          </w:p>
        </w:tc>
      </w:tr>
      <w:tr>
        <w:trPr>
          <w:trHeight w:val="52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52,953.50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12,945.00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52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33" w:right="0"/>
              <w:jc w:val="left"/>
              <w:rPr>
                <w:rFonts w:ascii="Times New Roman" w:hAnsi="Times New Roman" w:cs="Times New Roman" w:eastAsia="Times New Roman" w:hint="default"/>
                <w:sz w:val="18"/>
                <w:szCs w:val="18"/>
              </w:rPr>
            </w:pPr>
            <w:r>
              <w:rPr>
                <w:rFonts w:ascii="Times New Roman"/>
                <w:sz w:val="18"/>
              </w:rPr>
              <w:t>81,702,738.58</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33" w:right="0"/>
              <w:jc w:val="left"/>
              <w:rPr>
                <w:rFonts w:ascii="Times New Roman" w:hAnsi="Times New Roman" w:cs="Times New Roman" w:eastAsia="Times New Roman" w:hint="default"/>
                <w:sz w:val="18"/>
                <w:szCs w:val="18"/>
              </w:rPr>
            </w:pPr>
            <w:r>
              <w:rPr>
                <w:rFonts w:ascii="Times New Roman"/>
                <w:sz w:val="18"/>
              </w:rPr>
              <w:t>65,144,099.37</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840"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840"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z w:val="18"/>
                <w:szCs w:val="18"/>
              </w:rPr>
              <w:t>福建永福电通技术开 发有限公司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22,110,414.05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27"/>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18,304,984.35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z w:val="18"/>
                <w:szCs w:val="18"/>
              </w:rPr>
              <w:t>厦门福思威特工程有 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36,440,181.70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z w:val="18"/>
                <w:szCs w:val="18"/>
              </w:rPr>
              <w:t>福建省新能海上风电 研发中心有限公司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1,204,488.46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60,224.42</w:t>
            </w:r>
          </w:p>
        </w:tc>
      </w:tr>
      <w:tr>
        <w:trPr>
          <w:trHeight w:val="840"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z w:val="18"/>
                <w:szCs w:val="18"/>
              </w:rPr>
              <w:t>国网福建招标有限公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21,650.00</w:t>
            </w:r>
          </w:p>
        </w:tc>
      </w:tr>
      <w:tr>
        <w:trPr>
          <w:trHeight w:val="528"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78,480,068.56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96.04%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81,874.42</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840"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right="0"/>
        <w:jc w:val="left"/>
      </w:pPr>
      <w:r>
        <w:rPr/>
        <w:t>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52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2" w:right="0"/>
              <w:jc w:val="left"/>
              <w:rPr>
                <w:rFonts w:ascii="Times New Roman" w:hAnsi="Times New Roman" w:cs="Times New Roman" w:eastAsia="Times New Roman" w:hint="default"/>
                <w:sz w:val="18"/>
                <w:szCs w:val="18"/>
              </w:rPr>
            </w:pPr>
            <w:r>
              <w:rPr>
                <w:rFonts w:ascii="Times New Roman"/>
                <w:sz w:val="18"/>
              </w:rPr>
              <w:t>42,720,000.00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Times New Roman" w:hAnsi="Times New Roman" w:cs="Times New Roman" w:eastAsia="Times New Roman" w:hint="default"/>
                <w:sz w:val="18"/>
                <w:szCs w:val="18"/>
              </w:rPr>
            </w:pPr>
            <w:r>
              <w:rPr>
                <w:rFonts w:ascii="Times New Roman"/>
                <w:sz w:val="18"/>
              </w:rPr>
              <w:t>42,720,000.00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Times New Roman" w:hAnsi="Times New Roman" w:cs="Times New Roman" w:eastAsia="Times New Roman" w:hint="default"/>
                <w:sz w:val="18"/>
                <w:szCs w:val="18"/>
              </w:rPr>
            </w:pPr>
            <w:r>
              <w:rPr>
                <w:rFonts w:ascii="Times New Roman"/>
                <w:sz w:val="18"/>
              </w:rPr>
              <w:t>17,720,000.00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Times New Roman" w:hAnsi="Times New Roman" w:cs="Times New Roman" w:eastAsia="Times New Roman" w:hint="default"/>
                <w:sz w:val="18"/>
                <w:szCs w:val="18"/>
              </w:rPr>
            </w:pPr>
            <w:r>
              <w:rPr>
                <w:rFonts w:ascii="Times New Roman"/>
                <w:sz w:val="18"/>
              </w:rPr>
              <w:t>17,720,000.00</w:t>
            </w:r>
          </w:p>
        </w:tc>
      </w:tr>
      <w:tr>
        <w:trPr>
          <w:trHeight w:val="5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2" w:right="0"/>
              <w:jc w:val="left"/>
              <w:rPr>
                <w:rFonts w:ascii="Times New Roman" w:hAnsi="Times New Roman" w:cs="Times New Roman" w:eastAsia="Times New Roman" w:hint="default"/>
                <w:sz w:val="18"/>
                <w:szCs w:val="18"/>
              </w:rPr>
            </w:pPr>
            <w:r>
              <w:rPr>
                <w:rFonts w:ascii="Times New Roman"/>
                <w:sz w:val="18"/>
              </w:rPr>
              <w:t>42,720,000.00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Times New Roman" w:hAnsi="Times New Roman" w:cs="Times New Roman" w:eastAsia="Times New Roman" w:hint="default"/>
                <w:sz w:val="18"/>
                <w:szCs w:val="18"/>
              </w:rPr>
            </w:pPr>
            <w:r>
              <w:rPr>
                <w:rFonts w:ascii="Times New Roman"/>
                <w:sz w:val="18"/>
              </w:rPr>
              <w:t>42,720,000.00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Times New Roman" w:hAnsi="Times New Roman" w:cs="Times New Roman" w:eastAsia="Times New Roman" w:hint="default"/>
                <w:sz w:val="18"/>
                <w:szCs w:val="18"/>
              </w:rPr>
            </w:pPr>
            <w:r>
              <w:rPr>
                <w:rFonts w:ascii="Times New Roman"/>
                <w:sz w:val="18"/>
              </w:rPr>
              <w:t>17,720,000.00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Times New Roman" w:hAnsi="Times New Roman" w:cs="Times New Roman" w:eastAsia="Times New Roman" w:hint="default"/>
                <w:sz w:val="18"/>
                <w:szCs w:val="18"/>
              </w:rPr>
            </w:pPr>
            <w:r>
              <w:rPr>
                <w:rFonts w:ascii="Times New Roman"/>
                <w:sz w:val="18"/>
              </w:rPr>
              <w:t>17,720,000.00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sz w:val="12"/>
          <w:szCs w:val="1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840"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84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3"/>
              <w:jc w:val="left"/>
              <w:rPr>
                <w:rFonts w:ascii="宋体" w:hAnsi="宋体" w:cs="宋体" w:eastAsia="宋体" w:hint="default"/>
                <w:sz w:val="18"/>
                <w:szCs w:val="18"/>
              </w:rPr>
            </w:pPr>
            <w:r>
              <w:rPr>
                <w:rFonts w:ascii="宋体" w:hAnsi="宋体" w:cs="宋体" w:eastAsia="宋体" w:hint="default"/>
                <w:sz w:val="18"/>
                <w:szCs w:val="18"/>
              </w:rPr>
              <w:t>福建永福铁塔技 术开发有限公司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3"/>
              <w:jc w:val="left"/>
              <w:rPr>
                <w:rFonts w:ascii="宋体" w:hAnsi="宋体" w:cs="宋体" w:eastAsia="宋体" w:hint="default"/>
                <w:sz w:val="18"/>
                <w:szCs w:val="18"/>
              </w:rPr>
            </w:pPr>
            <w:r>
              <w:rPr>
                <w:rFonts w:ascii="宋体" w:hAnsi="宋体" w:cs="宋体" w:eastAsia="宋体" w:hint="default"/>
                <w:sz w:val="18"/>
                <w:szCs w:val="18"/>
              </w:rPr>
              <w:t>福建永福电通技 术开发有限公司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3"/>
              <w:jc w:val="left"/>
              <w:rPr>
                <w:rFonts w:ascii="宋体" w:hAnsi="宋体" w:cs="宋体" w:eastAsia="宋体" w:hint="default"/>
                <w:sz w:val="18"/>
                <w:szCs w:val="18"/>
              </w:rPr>
            </w:pPr>
            <w:r>
              <w:rPr>
                <w:rFonts w:ascii="宋体" w:hAnsi="宋体" w:cs="宋体" w:eastAsia="宋体" w:hint="default"/>
                <w:sz w:val="18"/>
                <w:szCs w:val="18"/>
              </w:rPr>
              <w:t>福州新创机电设 备有限公司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17,720,000.00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Times New Roman" w:hAnsi="Times New Roman" w:cs="Times New Roman" w:eastAsia="Times New Roman" w:hint="default"/>
                <w:sz w:val="18"/>
                <w:szCs w:val="18"/>
              </w:rPr>
            </w:pPr>
            <w:r>
              <w:rPr>
                <w:rFonts w:ascii="Times New Roman"/>
                <w:sz w:val="18"/>
              </w:rPr>
              <w:t>25,000,000.00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42,720,000.00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528"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152"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2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Heading3"/>
        <w:spacing w:line="240" w:lineRule="auto" w:before="38"/>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pStyle w:val="Heading3"/>
        <w:spacing w:line="240" w:lineRule="auto" w:before="177"/>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528"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2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453,959,874.23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290,981,044.70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329,975,436.66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165,967,725.74</w:t>
            </w:r>
          </w:p>
        </w:tc>
      </w:tr>
      <w:tr>
        <w:trPr>
          <w:trHeight w:val="52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8,981,790.75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2,558,995.76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3,237,764.16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2,057,907.80</w:t>
            </w:r>
          </w:p>
        </w:tc>
      </w:tr>
      <w:tr>
        <w:trPr>
          <w:trHeight w:val="52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462,941,664.98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293,540,040.46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333,213,200.82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168,025,633.54</w:t>
            </w:r>
          </w:p>
        </w:tc>
      </w:tr>
    </w:tbl>
    <w:p>
      <w:pPr>
        <w:pStyle w:val="BodyText"/>
        <w:spacing w:line="240" w:lineRule="auto" w:before="58"/>
        <w:ind w:right="0"/>
        <w:jc w:val="left"/>
      </w:pPr>
      <w:r>
        <w:rPr/>
        <w:t>其他说明：</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79" w:top="1220" w:bottom="1160" w:left="980" w:right="980"/>
        </w:sectPr>
      </w:pPr>
    </w:p>
    <w:p>
      <w:pPr>
        <w:spacing w:line="240" w:lineRule="auto" w:before="7"/>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638.00</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638.00</w:t>
            </w:r>
          </w:p>
        </w:tc>
      </w:tr>
    </w:tbl>
    <w:p>
      <w:pPr>
        <w:pStyle w:val="Heading3"/>
        <w:spacing w:line="240" w:lineRule="auto" w:before="38"/>
        <w:ind w:right="0"/>
        <w:jc w:val="left"/>
        <w:rPr>
          <w:b w:val="0"/>
          <w:bCs w:val="0"/>
        </w:rPr>
      </w:pPr>
      <w:r>
        <w:rPr>
          <w:rFonts w:ascii="Times New Roman" w:hAnsi="Times New Roman" w:cs="Times New Roman" w:eastAsia="Times New Roman" w:hint="default"/>
        </w:rPr>
        <w:t>6</w:t>
      </w:r>
      <w:r>
        <w:rPr/>
        <w:t>、其他</w:t>
      </w:r>
      <w:r>
        <w:rPr>
          <w:b w:val="0"/>
          <w:bCs w:val="0"/>
        </w:rPr>
      </w:r>
    </w:p>
    <w:p>
      <w:pPr>
        <w:pStyle w:val="Heading2"/>
        <w:spacing w:line="240" w:lineRule="auto" w:before="149"/>
        <w:ind w:right="0"/>
        <w:jc w:val="left"/>
        <w:rPr>
          <w:b w:val="0"/>
          <w:bCs w:val="0"/>
        </w:rPr>
      </w:pPr>
      <w:r>
        <w:rPr/>
        <w:t>十八、补充资料</w:t>
      </w:r>
      <w:r>
        <w:rPr>
          <w:b w:val="0"/>
          <w:bCs w:val="0"/>
        </w:rPr>
      </w:r>
    </w:p>
    <w:p>
      <w:pPr>
        <w:pStyle w:val="Heading3"/>
        <w:spacing w:line="240" w:lineRule="auto" w:before="181"/>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2,335,488.91</w:t>
            </w:r>
          </w:p>
        </w:tc>
        <w:tc>
          <w:tcPr>
            <w:tcW w:w="3188" w:type="dxa"/>
            <w:vMerge w:val="restart"/>
            <w:tcBorders>
              <w:top w:val="single" w:sz="4" w:space="0" w:color="000000"/>
              <w:left w:val="single" w:sz="4" w:space="0" w:color="000000"/>
              <w:right w:val="single" w:sz="4" w:space="0" w:color="000000"/>
            </w:tcBorders>
          </w:tcPr>
          <w:p>
            <w:pPr>
              <w:pStyle w:val="TableParagraph"/>
              <w:spacing w:line="300" w:lineRule="auto" w:before="58"/>
              <w:ind w:left="23" w:right="180"/>
              <w:jc w:val="left"/>
              <w:rPr>
                <w:rFonts w:ascii="宋体" w:hAnsi="宋体" w:cs="宋体" w:eastAsia="宋体" w:hint="default"/>
                <w:sz w:val="18"/>
                <w:szCs w:val="18"/>
              </w:rPr>
            </w:pPr>
            <w:r>
              <w:rPr>
                <w:rFonts w:ascii="宋体" w:hAnsi="宋体" w:cs="宋体" w:eastAsia="宋体" w:hint="default"/>
                <w:sz w:val="18"/>
                <w:szCs w:val="18"/>
              </w:rPr>
              <w:t>主要原因是处置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年购置处于广州 的房产及其他固定资产处置收益</w:t>
            </w:r>
          </w:p>
        </w:tc>
      </w:tr>
      <w:tr>
        <w:trPr>
          <w:trHeight w:val="518"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161"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4" w:space="0" w:color="000000"/>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r>
        <w:trPr>
          <w:trHeight w:val="115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441,611.52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各类财政补贴</w:t>
            </w:r>
          </w:p>
        </w:tc>
      </w:tr>
      <w:tr>
        <w:trPr>
          <w:trHeight w:val="840"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1,257,825.00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92"/>
              <w:jc w:val="left"/>
              <w:rPr>
                <w:rFonts w:ascii="宋体" w:hAnsi="宋体" w:cs="宋体" w:eastAsia="宋体" w:hint="default"/>
                <w:sz w:val="18"/>
                <w:szCs w:val="18"/>
              </w:rPr>
            </w:pPr>
            <w:r>
              <w:rPr>
                <w:rFonts w:ascii="宋体" w:hAnsi="宋体" w:cs="宋体" w:eastAsia="宋体" w:hint="default"/>
                <w:sz w:val="18"/>
                <w:szCs w:val="18"/>
              </w:rPr>
              <w:t>鑫海冶金线路迁改工程已单项全额计提 减值，债务重组后可收回金额转回</w:t>
            </w: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43,456.25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621,556.64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3,456,825.04</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8"/>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3"/>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spacing w:line="240" w:lineRule="auto" w:before="5"/>
        <w:rPr>
          <w:rFonts w:ascii="宋体" w:hAnsi="宋体" w:cs="宋体" w:eastAsia="宋体" w:hint="default"/>
          <w:sz w:val="14"/>
          <w:szCs w:val="14"/>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14"/>
          <w:szCs w:val="14"/>
        </w:rPr>
      </w:pPr>
    </w:p>
    <w:tbl>
      <w:tblPr>
        <w:tblW w:w="0" w:type="auto"/>
        <w:jc w:val="left"/>
        <w:tblInd w:w="181" w:type="dxa"/>
        <w:tblLayout w:type="fixed"/>
        <w:tblCellMar>
          <w:top w:w="0" w:type="dxa"/>
          <w:left w:w="0" w:type="dxa"/>
          <w:bottom w:w="0" w:type="dxa"/>
          <w:right w:w="0" w:type="dxa"/>
        </w:tblCellMar>
        <w:tblLook w:val="01E0"/>
      </w:tblPr>
      <w:tblGrid>
        <w:gridCol w:w="2663"/>
        <w:gridCol w:w="3080"/>
        <w:gridCol w:w="1913"/>
        <w:gridCol w:w="1913"/>
      </w:tblGrid>
      <w:tr>
        <w:trPr>
          <w:trHeight w:val="269"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59"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59"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69"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28"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14.80%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0.6940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0.6940</w:t>
            </w:r>
          </w:p>
        </w:tc>
      </w:tr>
      <w:tr>
        <w:trPr>
          <w:trHeight w:val="840"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0.6629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220" w:bottom="1160" w:left="980" w:right="980"/>
        </w:sectPr>
      </w:pPr>
    </w:p>
    <w:p>
      <w:pPr>
        <w:spacing w:line="240" w:lineRule="auto" w:before="12"/>
        <w:rPr>
          <w:rFonts w:ascii="宋体" w:hAnsi="宋体" w:cs="宋体" w:eastAsia="宋体" w:hint="default"/>
          <w:b/>
          <w:bCs/>
          <w:sz w:val="12"/>
          <w:szCs w:val="12"/>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pStyle w:val="Heading3"/>
        <w:spacing w:line="240" w:lineRule="auto" w:before="177"/>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pStyle w:val="BodyText"/>
        <w:spacing w:line="240" w:lineRule="auto" w:before="198"/>
        <w:ind w:right="0"/>
        <w:jc w:val="left"/>
      </w:pPr>
      <w:r>
        <w:rPr/>
        <w:t>□ 适用 √</w:t>
      </w:r>
      <w:r>
        <w:rPr>
          <w:spacing w:val="3"/>
        </w:rPr>
        <w:t> </w:t>
      </w:r>
      <w:r>
        <w:rPr/>
        <w:t>不适用</w:t>
      </w:r>
    </w:p>
    <w:p>
      <w:pPr>
        <w:spacing w:line="240" w:lineRule="auto" w:before="2"/>
        <w:rPr>
          <w:rFonts w:ascii="宋体" w:hAnsi="宋体" w:cs="宋体" w:eastAsia="宋体" w:hint="default"/>
          <w:sz w:val="16"/>
          <w:szCs w:val="16"/>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pStyle w:val="Heading3"/>
        <w:spacing w:line="240" w:lineRule="auto" w:before="178"/>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52" w:footer="979" w:top="122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24"/>
          <w:szCs w:val="24"/>
        </w:rPr>
      </w:pPr>
    </w:p>
    <w:p>
      <w:pPr>
        <w:spacing w:line="352" w:lineRule="auto" w:before="0"/>
        <w:ind w:left="152" w:right="414" w:firstLine="0"/>
        <w:jc w:val="left"/>
        <w:rPr>
          <w:rFonts w:ascii="宋体" w:hAnsi="宋体" w:cs="宋体" w:eastAsia="宋体" w:hint="default"/>
          <w:sz w:val="24"/>
          <w:szCs w:val="24"/>
        </w:rPr>
      </w:pPr>
      <w:r>
        <w:rPr>
          <w:rFonts w:ascii="宋体" w:hAnsi="宋体" w:cs="宋体" w:eastAsia="宋体" w:hint="default"/>
          <w:sz w:val="24"/>
          <w:szCs w:val="24"/>
        </w:rPr>
        <w:t>一、载有法定代表人签名的</w:t>
      </w:r>
      <w:r>
        <w:rPr>
          <w:rFonts w:ascii="Times New Roman" w:hAnsi="Times New Roman" w:cs="Times New Roman" w:eastAsia="Times New Roman" w:hint="default"/>
          <w:sz w:val="24"/>
          <w:szCs w:val="24"/>
        </w:rPr>
        <w:t>2017</w:t>
      </w:r>
      <w:r>
        <w:rPr>
          <w:rFonts w:ascii="宋体" w:hAnsi="宋体" w:cs="宋体" w:eastAsia="宋体" w:hint="default"/>
          <w:sz w:val="24"/>
          <w:szCs w:val="24"/>
        </w:rPr>
        <w:t>年度报告文本； 二、载有公司负责人、主管会计工作负责人、会计机构负责人签名并盖章的财务报表文本 三、载有会计师事务所盖章、注册会计师签名并盖章的审计报告原件 四、报告期内在中国证监会指定网站上公开披露过的所有公司文件的正本及公告的原稿。 以上备查文件的备置地点：公司董事会办公室。</w:t>
      </w:r>
    </w:p>
    <w:sectPr>
      <w:pgSz w:w="11910" w:h="16840"/>
      <w:pgMar w:header="852" w:footer="979" w:top="122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73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73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73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3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73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3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73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3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42.599983pt;width:57.207pt;height:16.8pt;mso-position-horizontal-relative:page;mso-position-vertical-relative:page;z-index:-973840" type="#_x0000_t75" stroked="false">
          <v:imagedata r:id="rId1" o:title=""/>
        </v:shape>
      </w:pict>
    </w:r>
    <w:r>
      <w:rPr/>
      <w:pict>
        <v:group style="position:absolute;margin-left:55.200001pt;margin-top:63.359982pt;width:484.9pt;height:.1pt;mso-position-horizontal-relative:page;mso-position-vertical-relative:page;z-index:-973816" coordorigin="1104,1267" coordsize="9698,2">
          <v:shape style="position:absolute;left:1104;top:1267;width:9698;height:2" coordorigin="1104,1267" coordsize="9698,0" path="m1104,1267l10802,1267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4.630005pt;margin-top:50.665607pt;width:213.5pt;height:11.5pt;mso-position-horizontal-relative:page;mso-position-vertical-relative:page;z-index:-973792" type="#_x0000_t202" filled="false" stroked="false">
          <v:textbox inset="0,0,0,0">
            <w:txbxContent>
              <w:p>
                <w:pPr>
                  <w:pStyle w:val="BodyText"/>
                  <w:spacing w:line="214" w:lineRule="exact"/>
                  <w:ind w:left="20" w:right="0"/>
                  <w:jc w:val="left"/>
                </w:pPr>
                <w:r>
                  <w:rPr/>
                  <w:t>福建永福电力设计股份有限公司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5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fjyfdl.com/" TargetMode="External"/><Relationship Id="rId9" Type="http://schemas.openxmlformats.org/officeDocument/2006/relationships/hyperlink" Target="mailto:yfdb@fjyongfu.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2.xml"/><Relationship Id="rId15" Type="http://schemas.openxmlformats.org/officeDocument/2006/relationships/hyperlink" Target="http://www/" TargetMode="External"/><Relationship Id="rId16" Type="http://schemas.openxmlformats.org/officeDocument/2006/relationships/hyperlink" Target="http://w/" TargetMode="External"/><Relationship Id="rId17" Type="http://schemas.openxmlformats.org/officeDocument/2006/relationships/image" Target="media/image6.jpeg"/><Relationship Id="rId18" Type="http://schemas.openxmlformats.org/officeDocument/2006/relationships/hyperlink" Target="http://www.cninfo.com.c/"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福建永福电力设计股份有限公司</dc:creator>
  <dc:title>福建永福电力设计股份有限公司2017年年度报告全文</dc:title>
  <dcterms:created xsi:type="dcterms:W3CDTF">2020-05-03T01:26:14Z</dcterms:created>
  <dcterms:modified xsi:type="dcterms:W3CDTF">2020-05-03T01:26:14Z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2013</vt:lpwstr>
  </property>
  <property fmtid="{D5CDD505-2E9C-101B-9397-08002B2CF9AE}" pid="4" name="LastSaved">
    <vt:filetime>2020-05-02T00:00:00Z</vt:filetime>
  </property>
</Properties>
</file>