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p>
      <w:pPr>
        <w:spacing w:line="2055" w:lineRule="exact"/>
        <w:ind w:left="222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drawing>
          <wp:inline distT="0" distB="0" distL="0" distR="0">
            <wp:extent cx="2600325" cy="1304925"/>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600325" cy="1304925"/>
                    </a:xfrm>
                    <a:prstGeom prst="rect">
                      <a:avLst/>
                    </a:prstGeom>
                  </pic:spPr>
                </pic:pic>
              </a:graphicData>
            </a:graphic>
          </wp:inline>
        </w:drawing>
      </w:r>
      <w:r>
        <w:rPr>
          <w:rFonts w:ascii="Times New Roman" w:hAnsi="Times New Roman" w:cs="Times New Roman" w:eastAsia="Times New Roman" w:hint="default"/>
          <w:position w:val="-40"/>
          <w:sz w:val="20"/>
          <w:szCs w:val="20"/>
        </w:rPr>
      </w:r>
    </w:p>
    <w:p>
      <w:pPr>
        <w:spacing w:line="240" w:lineRule="auto" w:before="10"/>
        <w:rPr>
          <w:rFonts w:ascii="Times New Roman" w:hAnsi="Times New Roman" w:cs="Times New Roman" w:eastAsia="Times New Roman" w:hint="default"/>
          <w:sz w:val="13"/>
          <w:szCs w:val="13"/>
        </w:rPr>
      </w:pPr>
    </w:p>
    <w:p>
      <w:pPr>
        <w:spacing w:line="500" w:lineRule="exact" w:before="0"/>
        <w:ind w:left="1439" w:right="3125" w:firstLine="0"/>
        <w:jc w:val="center"/>
        <w:rPr>
          <w:rFonts w:ascii="宋体" w:hAnsi="宋体" w:cs="宋体" w:eastAsia="宋体" w:hint="default"/>
          <w:sz w:val="40"/>
          <w:szCs w:val="40"/>
        </w:rPr>
      </w:pPr>
      <w:r>
        <w:rPr>
          <w:rFonts w:ascii="宋体" w:hAnsi="宋体" w:cs="宋体" w:eastAsia="宋体" w:hint="default"/>
          <w:b/>
          <w:bCs/>
          <w:sz w:val="40"/>
          <w:szCs w:val="40"/>
        </w:rPr>
        <w:t>福建永福电力设计股份有限公司</w:t>
      </w:r>
      <w:r>
        <w:rPr>
          <w:rFonts w:ascii="宋体" w:hAnsi="宋体" w:cs="宋体" w:eastAsia="宋体" w:hint="default"/>
          <w:sz w:val="40"/>
          <w:szCs w:val="40"/>
        </w:rPr>
      </w:r>
    </w:p>
    <w:p>
      <w:pPr>
        <w:spacing w:line="240" w:lineRule="auto" w:before="9"/>
        <w:rPr>
          <w:rFonts w:ascii="宋体" w:hAnsi="宋体" w:cs="宋体" w:eastAsia="宋体" w:hint="default"/>
          <w:b/>
          <w:bCs/>
          <w:sz w:val="30"/>
          <w:szCs w:val="30"/>
        </w:rPr>
      </w:pPr>
    </w:p>
    <w:p>
      <w:pPr>
        <w:spacing w:before="0"/>
        <w:ind w:left="1439" w:right="3115"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2018</w:t>
      </w:r>
      <w:r>
        <w:rPr>
          <w:rFonts w:ascii="Times New Roman" w:hAnsi="Times New Roman" w:cs="Times New Roman" w:eastAsia="Times New Roman" w:hint="default"/>
          <w:b/>
          <w:bCs/>
          <w:spacing w:val="-3"/>
          <w:sz w:val="36"/>
          <w:szCs w:val="36"/>
        </w:rPr>
        <w:t> </w:t>
      </w:r>
      <w:r>
        <w:rPr>
          <w:rFonts w:ascii="宋体" w:hAnsi="宋体" w:cs="宋体" w:eastAsia="宋体" w:hint="default"/>
          <w:b/>
          <w:bCs/>
          <w:sz w:val="36"/>
          <w:szCs w:val="36"/>
        </w:rPr>
        <w:t>年年度报告</w:t>
      </w:r>
      <w:r>
        <w:rPr>
          <w:rFonts w:ascii="宋体" w:hAnsi="宋体" w:cs="宋体" w:eastAsia="宋体" w:hint="default"/>
          <w:sz w:val="36"/>
          <w:szCs w:val="36"/>
        </w:rPr>
      </w:r>
    </w:p>
    <w:p>
      <w:pPr>
        <w:spacing w:line="240" w:lineRule="auto" w:before="9"/>
        <w:rPr>
          <w:rFonts w:ascii="宋体" w:hAnsi="宋体" w:cs="宋体" w:eastAsia="宋体" w:hint="default"/>
          <w:b/>
          <w:bCs/>
          <w:sz w:val="32"/>
          <w:szCs w:val="32"/>
        </w:rPr>
      </w:pPr>
    </w:p>
    <w:p>
      <w:pPr>
        <w:pStyle w:val="Heading2"/>
        <w:spacing w:line="240" w:lineRule="auto"/>
        <w:ind w:left="1439" w:right="3116"/>
        <w:jc w:val="center"/>
        <w:rPr>
          <w:rFonts w:ascii="Times New Roman" w:hAnsi="Times New Roman" w:cs="Times New Roman" w:eastAsia="Times New Roman" w:hint="default"/>
          <w:b w:val="0"/>
          <w:bCs w:val="0"/>
        </w:rPr>
      </w:pPr>
      <w:r>
        <w:rPr>
          <w:rFonts w:ascii="Times New Roman"/>
        </w:rPr>
        <w:t>2019-019</w:t>
      </w:r>
      <w:r>
        <w:rPr>
          <w:rFonts w:ascii="Times New Roman"/>
          <w:b w:val="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before="146"/>
        <w:ind w:left="1439" w:right="3116" w:firstLine="0"/>
        <w:jc w:val="center"/>
        <w:rPr>
          <w:rFonts w:ascii="宋体" w:hAnsi="宋体" w:cs="宋体" w:eastAsia="宋体" w:hint="default"/>
          <w:sz w:val="36"/>
          <w:szCs w:val="36"/>
        </w:rPr>
      </w:pPr>
      <w:r>
        <w:rPr>
          <w:rFonts w:ascii="Times New Roman" w:hAnsi="Times New Roman" w:cs="Times New Roman" w:eastAsia="Times New Roman" w:hint="default"/>
          <w:b/>
          <w:bCs/>
          <w:sz w:val="36"/>
          <w:szCs w:val="36"/>
        </w:rPr>
        <w:t>2019</w:t>
      </w:r>
      <w:r>
        <w:rPr>
          <w:rFonts w:ascii="Times New Roman" w:hAnsi="Times New Roman" w:cs="Times New Roman" w:eastAsia="Times New Roman" w:hint="default"/>
          <w:b/>
          <w:bCs/>
          <w:spacing w:val="-1"/>
          <w:sz w:val="36"/>
          <w:szCs w:val="36"/>
        </w:rPr>
        <w:t> </w:t>
      </w:r>
      <w:r>
        <w:rPr>
          <w:rFonts w:ascii="宋体" w:hAnsi="宋体" w:cs="宋体" w:eastAsia="宋体" w:hint="default"/>
          <w:b/>
          <w:bCs/>
          <w:sz w:val="36"/>
          <w:szCs w:val="36"/>
        </w:rPr>
        <w:t>年</w:t>
      </w:r>
      <w:r>
        <w:rPr>
          <w:rFonts w:ascii="宋体" w:hAnsi="宋体" w:cs="宋体" w:eastAsia="宋体" w:hint="default"/>
          <w:b/>
          <w:bCs/>
          <w:spacing w:val="-92"/>
          <w:sz w:val="36"/>
          <w:szCs w:val="36"/>
        </w:rPr>
        <w:t> </w:t>
      </w:r>
      <w:r>
        <w:rPr>
          <w:rFonts w:ascii="Times New Roman" w:hAnsi="Times New Roman" w:cs="Times New Roman" w:eastAsia="Times New Roman" w:hint="default"/>
          <w:b/>
          <w:bCs/>
          <w:sz w:val="36"/>
          <w:szCs w:val="36"/>
        </w:rPr>
        <w:t>04 </w:t>
      </w:r>
      <w:r>
        <w:rPr>
          <w:rFonts w:ascii="宋体" w:hAnsi="宋体" w:cs="宋体" w:eastAsia="宋体" w:hint="default"/>
          <w:b/>
          <w:bCs/>
          <w:sz w:val="36"/>
          <w:szCs w:val="36"/>
        </w:rPr>
        <w:t>月</w:t>
      </w:r>
      <w:r>
        <w:rPr>
          <w:rFonts w:ascii="宋体" w:hAnsi="宋体" w:cs="宋体" w:eastAsia="宋体" w:hint="default"/>
          <w:sz w:val="36"/>
          <w:szCs w:val="36"/>
        </w:rPr>
      </w:r>
    </w:p>
    <w:p>
      <w:pPr>
        <w:spacing w:after="0"/>
        <w:jc w:val="center"/>
        <w:rPr>
          <w:rFonts w:ascii="宋体" w:hAnsi="宋体" w:cs="宋体" w:eastAsia="宋体" w:hint="default"/>
          <w:sz w:val="36"/>
          <w:szCs w:val="36"/>
        </w:rPr>
        <w:sectPr>
          <w:footerReference w:type="default" r:id="rId5"/>
          <w:type w:val="continuous"/>
          <w:pgSz w:w="11910" w:h="16840"/>
          <w:pgMar w:footer="504" w:top="1580" w:bottom="700" w:left="168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公司负责人林一文、主管会计工作负责人张善传及会计机构负责人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张玉科声明：保证年度报告中财务报告的真实、准确、完整。</w:t>
      </w:r>
      <w:r>
        <w:rPr>
          <w:rFonts w:ascii="宋体" w:hAnsi="宋体" w:cs="宋体" w:eastAsia="宋体" w:hint="default"/>
          <w:sz w:val="28"/>
          <w:szCs w:val="28"/>
        </w:rPr>
      </w:r>
    </w:p>
    <w:p>
      <w:pPr>
        <w:spacing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36"/>
        <w:gridCol w:w="2211"/>
        <w:gridCol w:w="2212"/>
        <w:gridCol w:w="2210"/>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工作原因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工作原因</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陈冲</w:t>
            </w:r>
          </w:p>
        </w:tc>
      </w:tr>
    </w:tbl>
    <w:p>
      <w:pPr>
        <w:spacing w:line="240" w:lineRule="auto" w:before="2"/>
        <w:rPr>
          <w:rFonts w:ascii="宋体" w:hAnsi="宋体" w:cs="宋体" w:eastAsia="宋体" w:hint="default"/>
          <w:b/>
          <w:bCs/>
          <w:sz w:val="13"/>
          <w:szCs w:val="13"/>
        </w:rPr>
      </w:pPr>
    </w:p>
    <w:p>
      <w:pPr>
        <w:spacing w:line="408" w:lineRule="auto" w:before="13"/>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本报告中如有涉及未来的计划、发展战略等方面的前瞻性陈述内容，均不</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构成本公司对任何投资者的实质承诺。投资者均应对此保持足够的风险认识，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并应当理解计划、预测与承诺之间的差异。</w:t>
      </w:r>
      <w:r>
        <w:rPr>
          <w:rFonts w:ascii="宋体" w:hAnsi="宋体" w:cs="宋体" w:eastAsia="宋体" w:hint="default"/>
          <w:sz w:val="28"/>
          <w:szCs w:val="28"/>
        </w:rPr>
      </w:r>
    </w:p>
    <w:p>
      <w:pPr>
        <w:spacing w:line="472" w:lineRule="auto" w:before="161"/>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请投资者注意本报告第四节经营讨论与分析的相关风险提示。</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140080000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line="323" w:lineRule="exact" w:before="0"/>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1.00</w:t>
      </w:r>
      <w:r>
        <w:rPr>
          <w:rFonts w:ascii="Times New Roman" w:hAnsi="Times New Roman" w:cs="Times New Roman" w:eastAsia="Times New Roman" w:hint="default"/>
          <w:b/>
          <w:bCs/>
          <w:sz w:val="28"/>
          <w:szCs w:val="28"/>
        </w:rPr>
        <w:t> </w:t>
      </w:r>
      <w:r>
        <w:rPr>
          <w:rFonts w:ascii="宋体" w:hAnsi="宋体" w:cs="宋体" w:eastAsia="宋体" w:hint="default"/>
          <w:b/>
          <w:bCs/>
          <w:spacing w:val="-28"/>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28"/>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9"/>
          <w:sz w:val="28"/>
          <w:szCs w:val="28"/>
        </w:rPr>
        <w:t> </w:t>
      </w:r>
      <w:r>
        <w:rPr>
          <w:rFonts w:ascii="宋体" w:hAnsi="宋体" w:cs="宋体" w:eastAsia="宋体" w:hint="default"/>
          <w:b/>
          <w:bCs/>
          <w:spacing w:val="-28"/>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7"/>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7"/>
          <w:footerReference w:type="default" r:id="rId8"/>
          <w:pgSz w:w="11910" w:h="16840"/>
          <w:pgMar w:header="850" w:footer="1267" w:top="1260" w:bottom="1460" w:left="980" w:right="0"/>
          <w:pgNumType w:start="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802" w:val="left" w:leader="none"/>
        </w:tabs>
        <w:spacing w:before="153"/>
        <w:ind w:left="0" w:right="978" w:firstLine="0"/>
        <w:jc w:val="center"/>
        <w:rPr>
          <w:rFonts w:ascii="宋体" w:hAnsi="宋体" w:cs="宋体" w:eastAsia="宋体" w:hint="default"/>
          <w:sz w:val="40"/>
          <w:szCs w:val="40"/>
        </w:rPr>
      </w:pPr>
      <w:r>
        <w:rPr>
          <w:rFonts w:ascii="宋体" w:hAnsi="宋体" w:cs="宋体" w:eastAsia="宋体" w:hint="default"/>
          <w:b/>
          <w:bCs/>
          <w:w w:val="95"/>
          <w:sz w:val="40"/>
          <w:szCs w:val="40"/>
        </w:rPr>
        <w:t>目</w:t>
        <w:tab/>
      </w:r>
      <w:r>
        <w:rPr>
          <w:rFonts w:ascii="宋体" w:hAnsi="宋体" w:cs="宋体" w:eastAsia="宋体" w:hint="default"/>
          <w:b/>
          <w:bCs/>
          <w:sz w:val="40"/>
          <w:szCs w:val="40"/>
        </w:rPr>
        <w:t>录</w:t>
      </w:r>
      <w:r>
        <w:rPr>
          <w:rFonts w:ascii="宋体" w:hAnsi="宋体" w:cs="宋体" w:eastAsia="宋体" w:hint="default"/>
          <w:sz w:val="40"/>
          <w:szCs w:val="40"/>
        </w:rPr>
      </w:r>
    </w:p>
    <w:p>
      <w:pPr>
        <w:spacing w:line="240" w:lineRule="auto" w:before="0"/>
        <w:rPr>
          <w:rFonts w:ascii="宋体" w:hAnsi="宋体" w:cs="宋体" w:eastAsia="宋体" w:hint="default"/>
          <w:b/>
          <w:bCs/>
          <w:sz w:val="40"/>
          <w:szCs w:val="40"/>
        </w:rPr>
      </w:pPr>
    </w:p>
    <w:p>
      <w:pPr>
        <w:spacing w:line="240" w:lineRule="auto" w:before="0"/>
        <w:rPr>
          <w:rFonts w:ascii="宋体" w:hAnsi="宋体" w:cs="宋体" w:eastAsia="宋体" w:hint="default"/>
          <w:b/>
          <w:bCs/>
          <w:sz w:val="40"/>
          <w:szCs w:val="40"/>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before="237"/>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201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850" w:footer="1267" w:top="1260" w:bottom="1460" w:left="980" w:right="0"/>
        </w:sectPr>
      </w:pPr>
    </w:p>
    <w:p>
      <w:pPr>
        <w:spacing w:before="927"/>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397"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中华人民共和国国家发展和改革委员会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国家能源局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中华人民共和国国家能源局</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外经贸部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原中华人民共和国对外经济贸易合作部，于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年整合为中华人 民共和国商务部</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永福股份、公司、本公司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福建永福电力设计股份有限公司股东大会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福建永福电力设计股份有限公司董事会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福建永福电力设计股份有限公司监事会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福建永福电力设计股份有限公司公司章程</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华创证券、保荐机构、保荐人、主承销商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华创证券有限责任公司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会计师事务所、审计机构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律师事务所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北京市中伦（广州）律师事务所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上海电气</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上海电气集团股份有限公司及其子公司</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财务报表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9"/>
              <w:jc w:val="left"/>
              <w:rPr>
                <w:rFonts w:ascii="宋体" w:hAnsi="宋体" w:cs="宋体" w:eastAsia="宋体" w:hint="default"/>
                <w:sz w:val="18"/>
                <w:szCs w:val="18"/>
              </w:rPr>
            </w:pPr>
            <w:r>
              <w:rPr>
                <w:rFonts w:ascii="宋体" w:hAnsi="宋体" w:cs="宋体" w:eastAsia="宋体" w:hint="default"/>
                <w:sz w:val="18"/>
                <w:szCs w:val="18"/>
              </w:rPr>
              <w:t>本公司报告期的合并及母公司资产负债表、利润表、现金流量表、 股东权益变动表及相关报表附注</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企业会计准则</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2"/>
              <w:jc w:val="left"/>
              <w:rPr>
                <w:rFonts w:ascii="宋体" w:hAnsi="宋体" w:cs="宋体" w:eastAsia="宋体" w:hint="default"/>
                <w:sz w:val="18"/>
                <w:szCs w:val="18"/>
              </w:rPr>
            </w:pPr>
            <w:r>
              <w:rPr>
                <w:rFonts w:ascii="宋体" w:hAnsi="宋体" w:cs="宋体" w:eastAsia="宋体" w:hint="default"/>
                <w:spacing w:val="-4"/>
                <w:sz w:val="18"/>
                <w:szCs w:val="18"/>
              </w:rPr>
              <w:t>财政部颁布的《企业会计准则</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基本准则》和具体企业会计准则、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企业会计准则应用指南、企业会计准则解释及其他相关规定</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业主</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工程建设项目的投资人或投资人专门为工程建设项目设立的单位。</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分包商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不与业主或业主代理人有合同关系，而由总承包商雇佣来完成部分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专项工程的，具备相应资质的承包商。</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工程咨询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9"/>
              <w:jc w:val="left"/>
              <w:rPr>
                <w:rFonts w:ascii="宋体" w:hAnsi="宋体" w:cs="宋体" w:eastAsia="宋体" w:hint="default"/>
                <w:sz w:val="18"/>
                <w:szCs w:val="18"/>
              </w:rPr>
            </w:pPr>
            <w:r>
              <w:rPr>
                <w:rFonts w:ascii="宋体" w:hAnsi="宋体" w:cs="宋体" w:eastAsia="宋体" w:hint="default"/>
                <w:sz w:val="18"/>
                <w:szCs w:val="18"/>
              </w:rPr>
              <w:t>为建设工程提供从投资决策到建设实施及运营维护全过程、专业化 的智力服务活动，包括前期立项阶段咨询（含规划、项目建议书、 可行性研究报告、项目申请报告、资金申请报告的编制、咨询及评 </w:t>
            </w:r>
            <w:r>
              <w:rPr>
                <w:rFonts w:ascii="宋体" w:hAnsi="宋体" w:cs="宋体" w:eastAsia="宋体" w:hint="default"/>
                <w:spacing w:val="-4"/>
                <w:sz w:val="18"/>
                <w:szCs w:val="18"/>
              </w:rPr>
              <w:t>估），以及勘察设计阶段的咨询与评估、工程项目管理（含全过程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策划和准备阶段管理）的咨询、投产或交付使用后的评价等工作。</w:t>
            </w:r>
          </w:p>
        </w:tc>
      </w:tr>
    </w:tbl>
    <w:p>
      <w:pPr>
        <w:spacing w:after="0" w:line="319"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工程勘察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4"/>
                <w:sz w:val="18"/>
                <w:szCs w:val="18"/>
              </w:rPr>
              <w:t>为工程建设的规划、设计、施工、运营及综合治理等目的，对地形、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地质及水文等要素进行测绘、勘测、测试及综合评定，并提供可行</w:t>
            </w:r>
            <w:r>
              <w:rPr>
                <w:rFonts w:ascii="宋体" w:hAnsi="宋体" w:cs="宋体" w:eastAsia="宋体" w:hint="default"/>
                <w:sz w:val="18"/>
                <w:szCs w:val="18"/>
              </w:rPr>
              <w:t> 性评价与建设所需要的勘察成果数据，以及进行岩土工程勘测、设 计、处理、检测的活动。</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工程设计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根据建设工程的要求，对建设工程所需的技术、经济、资源、环境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等条件进行综合分析、论证，编制建设工程设计文件的活动。</w:t>
            </w:r>
          </w:p>
        </w:tc>
      </w:tr>
      <w:tr>
        <w:trPr>
          <w:trHeight w:val="227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工程总承包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Engineering</w:t>
            </w:r>
            <w:r>
              <w:rPr>
                <w:rFonts w:ascii="宋体" w:hAnsi="宋体" w:cs="宋体" w:eastAsia="宋体" w:hint="default"/>
                <w:spacing w:val="-9"/>
                <w:sz w:val="18"/>
                <w:szCs w:val="18"/>
              </w:rPr>
              <w:t>（工程设计）、</w:t>
            </w:r>
            <w:r>
              <w:rPr>
                <w:rFonts w:ascii="Times New Roman" w:hAnsi="Times New Roman" w:cs="Times New Roman" w:eastAsia="Times New Roman" w:hint="default"/>
                <w:spacing w:val="-9"/>
                <w:sz w:val="18"/>
                <w:szCs w:val="18"/>
              </w:rPr>
              <w:t>Procurement</w:t>
            </w:r>
            <w:r>
              <w:rPr>
                <w:rFonts w:ascii="宋体" w:hAnsi="宋体" w:cs="宋体" w:eastAsia="宋体" w:hint="default"/>
                <w:spacing w:val="-9"/>
                <w:sz w:val="18"/>
                <w:szCs w:val="18"/>
              </w:rPr>
              <w:t>（设备采购）、</w:t>
            </w:r>
            <w:r>
              <w:rPr>
                <w:rFonts w:ascii="Times New Roman" w:hAnsi="Times New Roman" w:cs="Times New Roman" w:eastAsia="Times New Roman" w:hint="default"/>
                <w:spacing w:val="-9"/>
                <w:sz w:val="18"/>
                <w:szCs w:val="18"/>
              </w:rPr>
              <w:t>Construction</w:t>
            </w:r>
            <w:r>
              <w:rPr>
                <w:rFonts w:ascii="宋体" w:hAnsi="宋体" w:cs="宋体" w:eastAsia="宋体" w:hint="default"/>
                <w:spacing w:val="-9"/>
                <w:sz w:val="18"/>
                <w:szCs w:val="18"/>
              </w:rPr>
              <w:t>（主</w:t>
            </w:r>
            <w:r>
              <w:rPr>
                <w:rFonts w:ascii="宋体" w:hAnsi="宋体" w:cs="宋体" w:eastAsia="宋体" w:hint="default"/>
                <w:spacing w:val="-47"/>
                <w:sz w:val="18"/>
                <w:szCs w:val="18"/>
              </w:rPr>
              <w:t> </w:t>
            </w:r>
            <w:r>
              <w:rPr>
                <w:rFonts w:ascii="宋体" w:hAnsi="宋体" w:cs="宋体" w:eastAsia="宋体" w:hint="default"/>
                <w:sz w:val="18"/>
                <w:szCs w:val="18"/>
              </w:rPr>
              <w:t>持建设）的英文缩写，又称设计采购施工或交钥匙工程总承包，指</w:t>
            </w:r>
            <w:r>
              <w:rPr>
                <w:rFonts w:ascii="宋体" w:hAnsi="宋体" w:cs="宋体" w:eastAsia="宋体" w:hint="default"/>
                <w:sz w:val="18"/>
                <w:szCs w:val="18"/>
              </w:rPr>
              <w:t> </w:t>
            </w:r>
            <w:r>
              <w:rPr>
                <w:rFonts w:ascii="宋体" w:hAnsi="宋体" w:cs="宋体" w:eastAsia="宋体" w:hint="default"/>
                <w:spacing w:val="-4"/>
                <w:sz w:val="18"/>
                <w:szCs w:val="18"/>
              </w:rPr>
              <w:t>工程总承包企业按照合同约定，承担工程项目的设计、采购、施工、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试运行服务等工作，并对承包工程的质量、安全、工期、造价全面</w:t>
            </w:r>
            <w:r>
              <w:rPr>
                <w:rFonts w:ascii="宋体" w:hAnsi="宋体" w:cs="宋体" w:eastAsia="宋体" w:hint="default"/>
                <w:sz w:val="18"/>
                <w:szCs w:val="18"/>
              </w:rPr>
              <w:t> 负责。该类总承包模式强调设计在项目承接以及工程建设过程中的 主导作用，有利于工程项目建设整体方案的不断优化。公司实施的 工程总承包业务为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工程总承包。</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初步设计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
              <w:jc w:val="both"/>
              <w:rPr>
                <w:rFonts w:ascii="宋体" w:hAnsi="宋体" w:cs="宋体" w:eastAsia="宋体" w:hint="default"/>
                <w:sz w:val="18"/>
                <w:szCs w:val="18"/>
              </w:rPr>
            </w:pPr>
            <w:r>
              <w:rPr>
                <w:rFonts w:ascii="宋体" w:hAnsi="宋体" w:cs="宋体" w:eastAsia="宋体" w:hint="default"/>
                <w:sz w:val="18"/>
                <w:szCs w:val="18"/>
              </w:rPr>
              <w:t>根据批复的可行性研究报告或业主的要求，拟定建设原则，选定设 计方案、拟定施工方案，计算工程数量及主要材料数量，编制设计 </w:t>
            </w:r>
            <w:r>
              <w:rPr>
                <w:rFonts w:ascii="宋体" w:hAnsi="宋体" w:cs="宋体" w:eastAsia="宋体" w:hint="default"/>
                <w:spacing w:val="-4"/>
                <w:sz w:val="18"/>
                <w:szCs w:val="18"/>
              </w:rPr>
              <w:t>概算，提供文字说明及图表资料的活动，目的是确定基本设计方案。</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施工图设计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9"/>
              <w:jc w:val="both"/>
              <w:rPr>
                <w:rFonts w:ascii="宋体" w:hAnsi="宋体" w:cs="宋体" w:eastAsia="宋体" w:hint="default"/>
                <w:sz w:val="18"/>
                <w:szCs w:val="18"/>
              </w:rPr>
            </w:pPr>
            <w:r>
              <w:rPr>
                <w:rFonts w:ascii="宋体" w:hAnsi="宋体" w:cs="宋体" w:eastAsia="宋体" w:hint="default"/>
                <w:sz w:val="18"/>
                <w:szCs w:val="18"/>
              </w:rPr>
              <w:t>根据初步设计批复意见或业主的要求，进一步对审定的建设原则、 设计方案、技术决定加以具体和深化，最终确定各项工程数量，提 出文字说明和适应施工需要的图表资料以及施工组织计划，并编制 施工图预算的活动。</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竣工图设计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1"/>
                <w:sz w:val="18"/>
                <w:szCs w:val="18"/>
              </w:rPr>
              <w:t>根据实际完工情况，确定最终的工程数量、采用的设计方案、技术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决定等，并形成施工结果图表资料和工程决算。</w:t>
            </w:r>
          </w:p>
        </w:tc>
      </w:tr>
      <w:tr>
        <w:trPr>
          <w:trHeight w:val="16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智能电网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9"/>
              <w:jc w:val="left"/>
              <w:rPr>
                <w:rFonts w:ascii="宋体" w:hAnsi="宋体" w:cs="宋体" w:eastAsia="宋体" w:hint="default"/>
                <w:sz w:val="18"/>
                <w:szCs w:val="18"/>
              </w:rPr>
            </w:pPr>
            <w:r>
              <w:rPr>
                <w:rFonts w:ascii="宋体" w:hAnsi="宋体" w:cs="宋体" w:eastAsia="宋体" w:hint="default"/>
                <w:sz w:val="18"/>
                <w:szCs w:val="18"/>
              </w:rPr>
              <w:t>是以特高压电网为骨干网架、各级电网协调发展的坚强网架为基 础，以通信信息平台为支撑，具有信息化、自动化、互动化特征， 包含电力系统的发电、输电、变电、配电、用电和调度各个环节， 覆盖所有电压等级，实现“电力流、信息流、业务流”的高度一体 化融合的现代电网。</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清洁能源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7"/>
                <w:sz w:val="18"/>
                <w:szCs w:val="18"/>
              </w:rPr>
              <w:t>不排放污染物的能源，包括核能、太阳能、风能、水能、生物能（沼</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2"/>
                <w:sz w:val="18"/>
                <w:szCs w:val="18"/>
              </w:rPr>
              <w:t>气）、海潮能等。</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可再生能源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自然界中可以不断利用、循环再生的能源。可再生能源主要包括太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阳能、风能、水能、生物质能、地热能和海洋能等。</w:t>
            </w:r>
          </w:p>
        </w:tc>
      </w:tr>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传统能源之外的各种能源形式。指刚开始开发利用或正在积极研 </w:t>
            </w:r>
            <w:r>
              <w:rPr>
                <w:rFonts w:ascii="宋体" w:hAnsi="宋体" w:cs="宋体" w:eastAsia="宋体" w:hint="default"/>
                <w:spacing w:val="-1"/>
                <w:sz w:val="18"/>
                <w:szCs w:val="18"/>
              </w:rPr>
              <w:t>究、有待推广的能源，如太阳能、地热能、风能、海洋能、生物质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能和核聚变能等。</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配电网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9"/>
              <w:jc w:val="both"/>
              <w:rPr>
                <w:rFonts w:ascii="宋体" w:hAnsi="宋体" w:cs="宋体" w:eastAsia="宋体" w:hint="default"/>
                <w:sz w:val="18"/>
                <w:szCs w:val="18"/>
              </w:rPr>
            </w:pPr>
            <w:r>
              <w:rPr>
                <w:rFonts w:ascii="宋体" w:hAnsi="宋体" w:cs="宋体" w:eastAsia="宋体" w:hint="default"/>
                <w:sz w:val="18"/>
                <w:szCs w:val="18"/>
              </w:rPr>
              <w:t>由架空线路、电缆、杆塔、配电变压器、隔离开关、无功补偿器及 一些附属设施等组成的，在电力网中起重要分配电能作用的网络。 </w:t>
            </w:r>
            <w:r>
              <w:rPr>
                <w:rFonts w:ascii="宋体" w:hAnsi="宋体" w:cs="宋体" w:eastAsia="宋体" w:hint="default"/>
                <w:spacing w:val="-4"/>
                <w:sz w:val="18"/>
                <w:szCs w:val="18"/>
              </w:rPr>
              <w:t>按电压等级，可分为高压配电网（</w:t>
            </w:r>
            <w:r>
              <w:rPr>
                <w:rFonts w:ascii="Times New Roman" w:hAnsi="Times New Roman" w:cs="Times New Roman" w:eastAsia="Times New Roman" w:hint="default"/>
                <w:spacing w:val="-4"/>
                <w:sz w:val="18"/>
                <w:szCs w:val="18"/>
              </w:rPr>
              <w:t>35</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
                <w:sz w:val="18"/>
                <w:szCs w:val="18"/>
              </w:rPr>
              <w:t>110kV</w:t>
            </w:r>
            <w:r>
              <w:rPr>
                <w:rFonts w:ascii="宋体" w:hAnsi="宋体" w:cs="宋体" w:eastAsia="宋体" w:hint="default"/>
                <w:spacing w:val="-4"/>
                <w:sz w:val="18"/>
                <w:szCs w:val="18"/>
              </w:rPr>
              <w:t>），中压配电网</w:t>
            </w: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20k</w:t>
            </w:r>
            <w:r>
              <w:rPr>
                <w:rFonts w:ascii="Times New Roman" w:hAnsi="Times New Roman" w:cs="Times New Roman" w:eastAsia="Times New Roman" w:hint="default"/>
                <w:spacing w:val="-1"/>
                <w:sz w:val="18"/>
                <w:szCs w:val="18"/>
              </w:rPr>
              <w:t>V</w:t>
            </w:r>
            <w:r>
              <w:rPr>
                <w:rFonts w:ascii="宋体" w:hAnsi="宋体" w:cs="宋体" w:eastAsia="宋体" w:hint="default"/>
                <w:spacing w:val="-90"/>
                <w:sz w:val="18"/>
                <w:szCs w:val="18"/>
              </w:rPr>
              <w:t>）</w:t>
            </w:r>
            <w:r>
              <w:rPr>
                <w:rFonts w:ascii="宋体" w:hAnsi="宋体" w:cs="宋体" w:eastAsia="宋体" w:hint="default"/>
                <w:sz w:val="18"/>
                <w:szCs w:val="18"/>
              </w:rPr>
              <w:t>，低压配电网（</w:t>
            </w:r>
            <w:r>
              <w:rPr>
                <w:rFonts w:ascii="Times New Roman" w:hAnsi="Times New Roman" w:cs="Times New Roman" w:eastAsia="Times New Roman" w:hint="default"/>
                <w:sz w:val="18"/>
                <w:szCs w:val="18"/>
              </w:rPr>
              <w:t>220/380V</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高压、超高压、特高压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在电力传输领域，</w:t>
            </w:r>
            <w:r>
              <w:rPr>
                <w:rFonts w:ascii="Times New Roman" w:hAnsi="Times New Roman" w:cs="Times New Roman" w:eastAsia="Times New Roman" w:hint="default"/>
                <w:sz w:val="18"/>
                <w:szCs w:val="18"/>
              </w:rPr>
              <w:t>110kV-220kV</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为高压、</w:t>
            </w:r>
            <w:r>
              <w:rPr>
                <w:rFonts w:ascii="Times New Roman" w:hAnsi="Times New Roman" w:cs="Times New Roman" w:eastAsia="Times New Roman" w:hint="default"/>
                <w:sz w:val="18"/>
                <w:szCs w:val="18"/>
              </w:rPr>
              <w:t>330kV-750kV</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为超高压、 交流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及以上电压和直流±</w:t>
            </w:r>
            <w:r>
              <w:rPr>
                <w:rFonts w:ascii="Times New Roman" w:hAnsi="Times New Roman" w:cs="Times New Roman" w:eastAsia="Times New Roman" w:hint="default"/>
                <w:sz w:val="18"/>
                <w:szCs w:val="18"/>
              </w:rPr>
              <w:t>800kV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及以上电压为特高压。</w:t>
            </w:r>
          </w:p>
        </w:tc>
      </w:tr>
    </w:tbl>
    <w:p>
      <w:pPr>
        <w:spacing w:after="0" w:line="302"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装机容量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实际安装的发电机组额定的有功功率的总和</w:t>
            </w:r>
            <w:r>
              <w:rPr>
                <w:rFonts w:ascii="宋体" w:hAnsi="宋体" w:cs="宋体" w:eastAsia="宋体" w:hint="default"/>
                <w:spacing w:val="-2"/>
                <w:sz w:val="18"/>
                <w:szCs w:val="18"/>
              </w:rPr>
              <w:t>，</w:t>
            </w:r>
            <w:r>
              <w:rPr>
                <w:rFonts w:ascii="宋体" w:hAnsi="宋体" w:cs="宋体" w:eastAsia="宋体" w:hint="default"/>
                <w:sz w:val="18"/>
                <w:szCs w:val="18"/>
              </w:rPr>
              <w:t>以千</w:t>
            </w:r>
            <w:r>
              <w:rPr>
                <w:rFonts w:ascii="宋体" w:hAnsi="宋体" w:cs="宋体" w:eastAsia="宋体" w:hint="default"/>
                <w:spacing w:val="-2"/>
                <w:sz w:val="18"/>
                <w:szCs w:val="18"/>
              </w:rPr>
              <w:t>瓦</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k</w:t>
            </w:r>
            <w:r>
              <w:rPr>
                <w:rFonts w:ascii="Times New Roman" w:hAnsi="Times New Roman" w:cs="Times New Roman" w:eastAsia="Times New Roman" w:hint="default"/>
                <w:spacing w:val="-1"/>
                <w:sz w:val="18"/>
                <w:szCs w:val="18"/>
              </w:rPr>
              <w:t>W</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兆瓦</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MW</w:t>
            </w:r>
            <w:r>
              <w:rPr>
                <w:rFonts w:ascii="宋体" w:hAnsi="宋体" w:cs="宋体" w:eastAsia="宋体" w:hint="default"/>
                <w:sz w:val="18"/>
                <w:szCs w:val="18"/>
              </w:rPr>
              <w:t>，即</w:t>
            </w:r>
            <w:r>
              <w:rPr>
                <w:rFonts w:ascii="宋体" w:hAnsi="宋体" w:cs="宋体" w:eastAsia="宋体" w:hint="default"/>
                <w:spacing w:val="1"/>
                <w:sz w:val="18"/>
                <w:szCs w:val="18"/>
              </w:rPr>
              <w:t>百</w:t>
            </w:r>
            <w:r>
              <w:rPr>
                <w:rFonts w:ascii="宋体" w:hAnsi="宋体" w:cs="宋体" w:eastAsia="宋体" w:hint="default"/>
                <w:sz w:val="18"/>
                <w:szCs w:val="18"/>
              </w:rPr>
              <w:t>万瓦</w:t>
            </w:r>
            <w:r>
              <w:rPr>
                <w:rFonts w:ascii="宋体" w:hAnsi="宋体" w:cs="宋体" w:eastAsia="宋体" w:hint="default"/>
                <w:spacing w:val="-90"/>
                <w:sz w:val="18"/>
                <w:szCs w:val="18"/>
              </w:rPr>
              <w:t>）</w:t>
            </w:r>
            <w:r>
              <w:rPr>
                <w:rFonts w:ascii="宋体" w:hAnsi="宋体" w:cs="宋体" w:eastAsia="宋体" w:hint="default"/>
                <w:sz w:val="18"/>
                <w:szCs w:val="18"/>
              </w:rPr>
              <w:t>、吉瓦（</w:t>
            </w:r>
            <w:r>
              <w:rPr>
                <w:rFonts w:ascii="Times New Roman" w:hAnsi="Times New Roman" w:cs="Times New Roman" w:eastAsia="Times New Roman" w:hint="default"/>
                <w:spacing w:val="-1"/>
                <w:w w:val="99"/>
                <w:sz w:val="18"/>
                <w:szCs w:val="18"/>
              </w:rPr>
              <w:t>GW</w:t>
            </w:r>
            <w:r>
              <w:rPr>
                <w:rFonts w:ascii="宋体" w:hAnsi="宋体" w:cs="宋体" w:eastAsia="宋体" w:hint="default"/>
                <w:sz w:val="18"/>
                <w:szCs w:val="18"/>
              </w:rPr>
              <w:t>，即百万</w:t>
            </w:r>
            <w:r>
              <w:rPr>
                <w:rFonts w:ascii="宋体" w:hAnsi="宋体" w:cs="宋体" w:eastAsia="宋体" w:hint="default"/>
                <w:spacing w:val="1"/>
                <w:sz w:val="18"/>
                <w:szCs w:val="18"/>
              </w:rPr>
              <w:t>千</w:t>
            </w:r>
            <w:r>
              <w:rPr>
                <w:rFonts w:ascii="宋体" w:hAnsi="宋体" w:cs="宋体" w:eastAsia="宋体" w:hint="default"/>
                <w:sz w:val="18"/>
                <w:szCs w:val="18"/>
              </w:rPr>
              <w:t>瓦</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千瓦时</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
                <w:sz w:val="18"/>
                <w:szCs w:val="18"/>
              </w:rPr>
              <w:t>能量量度单位，表示一个功率为一千瓦的电器使用一小时所消耗的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能量。</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储能</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电能的储存。</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9">
              <w:r>
                <w:rPr>
                  <w:rFonts w:ascii="Times New Roman" w:hAnsi="Times New Roman" w:cs="Times New Roman" w:eastAsia="Times New Roman" w:hint="default"/>
                  <w:sz w:val="18"/>
                  <w:szCs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1"/>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7"/>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永福股份</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300712</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永福股份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Fujian </w:t>
            </w:r>
            <w:r>
              <w:rPr>
                <w:rFonts w:ascii="Times New Roman"/>
                <w:spacing w:val="-4"/>
                <w:sz w:val="18"/>
              </w:rPr>
              <w:t>Yongfu </w:t>
            </w:r>
            <w:r>
              <w:rPr>
                <w:rFonts w:ascii="Times New Roman"/>
                <w:sz w:val="18"/>
              </w:rPr>
              <w:t>Power Engineering</w:t>
            </w:r>
            <w:r>
              <w:rPr>
                <w:rFonts w:ascii="Times New Roman"/>
                <w:spacing w:val="-9"/>
                <w:sz w:val="18"/>
              </w:rPr>
              <w:t> </w:t>
            </w:r>
            <w:r>
              <w:rPr>
                <w:rFonts w:ascii="Times New Roman"/>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9"/>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4"/>
                <w:sz w:val="18"/>
              </w:rPr>
              <w:t>Yongfu</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福建省福州市闽侯县上街镇海西科技园高新大道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350108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福建省福州市闽侯县上街镇海西科技园高新大道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350108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0">
              <w:r>
                <w:rPr>
                  <w:rFonts w:ascii="Times New Roman"/>
                  <w:sz w:val="18"/>
                </w:rPr>
                <w:t>www.fjyfdl.com</w:t>
              </w:r>
            </w:hyperlink>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11">
              <w:r>
                <w:rPr>
                  <w:rFonts w:ascii="Times New Roman"/>
                  <w:sz w:val="18"/>
                </w:rPr>
                <w:t>yfdb@fjyongfu.com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卢庆议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吴轶群</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96"/>
              <w:jc w:val="left"/>
              <w:rPr>
                <w:rFonts w:ascii="宋体" w:hAnsi="宋体" w:cs="宋体" w:eastAsia="宋体" w:hint="default"/>
                <w:sz w:val="18"/>
                <w:szCs w:val="18"/>
              </w:rPr>
            </w:pPr>
            <w:r>
              <w:rPr>
                <w:rFonts w:ascii="宋体" w:hAnsi="宋体" w:cs="宋体" w:eastAsia="宋体" w:hint="default"/>
                <w:sz w:val="18"/>
                <w:szCs w:val="18"/>
              </w:rPr>
              <w:t>福建省福州市闽侯县上街镇海西科技 园高新大道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福建省福州市闽侯县上街镇海西科技 园高新大道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0591-38269599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0591-38269599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0591-38269599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0591-38269599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hyperlink r:id="rId11">
              <w:r>
                <w:rPr>
                  <w:rFonts w:ascii="Times New Roman"/>
                  <w:sz w:val="18"/>
                </w:rPr>
                <w:t>yfdb@fjyongfu.com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yfdb@fjyongfu.com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7"/>
        <w:rPr>
          <w:rFonts w:ascii="宋体" w:hAnsi="宋体" w:cs="宋体" w:eastAsia="宋体" w:hint="default"/>
          <w:b/>
          <w:bCs/>
          <w:sz w:val="8"/>
          <w:szCs w:val="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上海市黄浦区南京东路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杨志平、瞿玉敏</w:t>
            </w:r>
          </w:p>
        </w:tc>
      </w:tr>
    </w:tbl>
    <w:p>
      <w:pPr>
        <w:pStyle w:val="BodyText"/>
        <w:spacing w:line="240" w:lineRule="auto" w:before="51"/>
        <w:ind w:right="0"/>
        <w:jc w:val="left"/>
      </w:pPr>
      <w:r>
        <w:rPr/>
        <w:t>公司聘请的报告期内履行持续督导职责的保荐机构</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49"/>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华创证券有限责任公司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北京市西城区锦什坊街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号恒奥中心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层华创证 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陈仕强、陈勇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96"/>
              <w:jc w:val="right"/>
              <w:rPr>
                <w:rFonts w:ascii="Times New Roman" w:hAnsi="Times New Roman" w:cs="Times New Roman" w:eastAsia="Times New Roman" w:hint="default"/>
                <w:sz w:val="18"/>
                <w:szCs w:val="18"/>
              </w:rPr>
            </w:pPr>
            <w:r>
              <w:rPr>
                <w:rFonts w:ascii="Times New Roman"/>
                <w:spacing w:val="-1"/>
                <w:sz w:val="18"/>
              </w:rPr>
              <w:t>2017.10.31-2020.12.31</w:t>
            </w:r>
          </w:p>
        </w:tc>
      </w:tr>
    </w:tbl>
    <w:p>
      <w:pPr>
        <w:pStyle w:val="BodyText"/>
        <w:spacing w:line="240" w:lineRule="auto" w:before="51"/>
        <w:ind w:right="0"/>
        <w:jc w:val="left"/>
      </w:pPr>
      <w:r>
        <w:rPr/>
        <w:t>公司聘请的报告期内履行持续督导职责的财务顾问</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t>□ 是 √ 否</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685,964,228.70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564,396,520.28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21.54%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444,714,055.19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73,533,333.39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76,966,118.46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73,299,462.99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64,697,695.54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73,509,293.42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72,060,138.10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20,123,743.81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56,365,713.93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72,991,218.08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0.5249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0.6940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0.6977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0.5249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0.6940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0.6977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19.15%</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3" w:right="142" w:hanging="630"/>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1,420,600,618.35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1,202,239,854.29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18.16%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806,582,943.77</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929,923,749.66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870,398,416.27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419,342,297.81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128,784,251.08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170,147,856.73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172,247,287.43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214,784,833.46</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17,931,210.79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20,321,111.04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17,594,810.10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17,686,201.46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16,171,099.40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17,177,746.99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15,538,436.80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15,810,412.35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-104,859,913.87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1,451,204.32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3,425,654.13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120,106,799.23</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t>√ 是 □ 否</w:t>
      </w:r>
    </w:p>
    <w:p>
      <w:pPr>
        <w:pStyle w:val="BodyText"/>
        <w:spacing w:line="240" w:lineRule="auto" w:before="115"/>
        <w:ind w:right="0"/>
        <w:jc w:val="left"/>
      </w:pPr>
      <w:r>
        <w:rPr>
          <w:rFonts w:ascii="Times New Roman" w:hAnsi="Times New Roman" w:cs="Times New Roman" w:eastAsia="Times New Roman" w:hint="default"/>
        </w:rPr>
        <w:t>2018</w:t>
      </w:r>
      <w:r>
        <w:rPr/>
        <w:t>年前三季度利用暂时闲置募集资金购买结构性存款的利息收入第一季度</w:t>
      </w:r>
      <w:r>
        <w:rPr>
          <w:rFonts w:ascii="Times New Roman" w:hAnsi="Times New Roman" w:cs="Times New Roman" w:eastAsia="Times New Roman" w:hint="default"/>
        </w:rPr>
        <w:t>178.52</w:t>
      </w:r>
      <w:r>
        <w:rPr/>
        <w:t>万元、第二季度</w:t>
      </w:r>
      <w:r>
        <w:rPr>
          <w:rFonts w:ascii="Times New Roman" w:hAnsi="Times New Roman" w:cs="Times New Roman" w:eastAsia="Times New Roman" w:hint="default"/>
        </w:rPr>
        <w:t>363.95</w:t>
      </w:r>
      <w:r>
        <w:rPr/>
        <w:t>万元、第三季度</w:t>
      </w:r>
    </w:p>
    <w:p>
      <w:pPr>
        <w:pStyle w:val="BodyText"/>
        <w:spacing w:line="300" w:lineRule="auto" w:before="63"/>
        <w:ind w:right="1122"/>
        <w:jc w:val="left"/>
      </w:pPr>
      <w:r>
        <w:rPr>
          <w:rFonts w:ascii="Times New Roman" w:hAnsi="Times New Roman" w:cs="Times New Roman" w:eastAsia="Times New Roman" w:hint="default"/>
        </w:rPr>
        <w:t>236.59</w:t>
      </w:r>
      <w:r>
        <w:rPr/>
        <w:t>万元，共计</w:t>
      </w:r>
      <w:r>
        <w:rPr>
          <w:rFonts w:ascii="Times New Roman" w:hAnsi="Times New Roman" w:cs="Times New Roman" w:eastAsia="Times New Roman" w:hint="default"/>
        </w:rPr>
        <w:t>779.07</w:t>
      </w:r>
      <w:r>
        <w:rPr/>
        <w:t>万计入经常性损益，经年终审计调整至非经常性损益，致扣除经常性损益的净利润与季度报告、半 年度报告存在差异。以上分季度主要财务指标，按考虑所得税影响调整扣除非经常性损益的净利润。</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1393"/>
        <w:jc w:val="left"/>
      </w:pPr>
      <w:r>
        <w:rPr/>
        <w:t>□ 适用 √ 不适用 公司报告期不存在按照国际会计准则与按照中国会计准则披露的财务报告中净利润和净资产差异情况。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652"/>
        <w:jc w:val="left"/>
      </w:pPr>
      <w:r>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w w:val="95"/>
                <w:sz w:val="18"/>
              </w:rPr>
              <w:t>8,114.54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2,335,488.91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-11,489.96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1,313,501.75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441,611.52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1,674,500.00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9,240,155.95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638.00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 转回</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1,257,825.00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-155,727.71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43,456.25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-186,085.41</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1,570,406.68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621,556.64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238,237.74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8,835,637.85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3,456,825.04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1,239,324.89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t>□ 适用 √ 不适用</w:t>
      </w:r>
    </w:p>
    <w:p>
      <w:pPr>
        <w:pStyle w:val="BodyText"/>
        <w:spacing w:line="302" w:lineRule="auto" w:before="115"/>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850" w:footer="1267" w:top="1260" w:bottom="14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spacing w:line="240" w:lineRule="auto"/>
        <w:ind w:right="978"/>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4"/>
        <w:spacing w:line="264" w:lineRule="auto" w:before="117"/>
        <w:ind w:right="1130" w:firstLine="482"/>
        <w:jc w:val="both"/>
      </w:pPr>
      <w:r>
        <w:rPr>
          <w:spacing w:val="-2"/>
        </w:rPr>
        <w:t>公司主营业务是提供电力工程规划咨询、勘察设计和</w:t>
      </w:r>
      <w:r>
        <w:rPr>
          <w:rFonts w:ascii="Times New Roman" w:hAnsi="Times New Roman" w:cs="Times New Roman" w:eastAsia="Times New Roman" w:hint="default"/>
          <w:spacing w:val="-2"/>
        </w:rPr>
        <w:t>EPC</w:t>
      </w:r>
      <w:r>
        <w:rPr>
          <w:spacing w:val="-2"/>
        </w:rPr>
        <w:t>工程总承包等全寿命周期技术服务，业务覆</w:t>
      </w:r>
      <w:r>
        <w:rPr/>
        <w:t> </w:t>
      </w:r>
      <w:r>
        <w:rPr>
          <w:spacing w:val="-1"/>
        </w:rPr>
        <w:t>盖发电、输变电等类型，其中，发电业务涵盖核电、火力发电、燃气发电、风力发电、太阳能发电、生物</w:t>
      </w:r>
      <w:r>
        <w:rPr>
          <w:spacing w:val="-85"/>
        </w:rPr>
        <w:t> </w:t>
      </w:r>
      <w:r>
        <w:rPr>
          <w:spacing w:val="-85"/>
        </w:rPr>
      </w:r>
      <w:r>
        <w:rPr/>
        <w:t>质发电、分布式能源等业务，输变电业务涵盖</w:t>
      </w:r>
      <w:r>
        <w:rPr>
          <w:rFonts w:ascii="Times New Roman" w:hAnsi="Times New Roman" w:cs="Times New Roman" w:eastAsia="Times New Roman" w:hint="default"/>
        </w:rPr>
        <w:t>220V</w:t>
      </w:r>
      <w:r>
        <w:rPr>
          <w:rFonts w:ascii="Times New Roman" w:hAnsi="Times New Roman" w:cs="Times New Roman" w:eastAsia="Times New Roman" w:hint="default"/>
        </w:rPr>
        <w:t>—</w:t>
      </w:r>
      <w:r>
        <w:rPr/>
        <w:t>±</w:t>
      </w:r>
      <w:r>
        <w:rPr>
          <w:rFonts w:ascii="Times New Roman" w:hAnsi="Times New Roman" w:cs="Times New Roman" w:eastAsia="Times New Roman" w:hint="default"/>
        </w:rPr>
        <w:t>1100kV</w:t>
      </w:r>
      <w:r>
        <w:rPr/>
        <w:t>全电压等级；主要服务于电力、石油、化</w:t>
      </w:r>
      <w:r>
        <w:rPr>
          <w:spacing w:val="-24"/>
        </w:rPr>
        <w:t> </w:t>
      </w:r>
      <w:r>
        <w:rPr>
          <w:spacing w:val="-24"/>
        </w:rPr>
      </w:r>
      <w:r>
        <w:rPr>
          <w:spacing w:val="-1"/>
        </w:rPr>
        <w:t>工和钢铁等领域；目前，公司市场布局覆盖全国二十余个省份及自治区，海外业务遍及东南亚、非洲、中</w:t>
      </w:r>
      <w:r>
        <w:rPr>
          <w:spacing w:val="-83"/>
        </w:rPr>
        <w:t> </w:t>
      </w:r>
      <w:r>
        <w:rPr>
          <w:spacing w:val="-83"/>
        </w:rPr>
      </w:r>
      <w:r>
        <w:rPr/>
        <w:t>东等十几个国家。</w:t>
      </w:r>
    </w:p>
    <w:p>
      <w:pPr>
        <w:spacing w:line="450" w:lineRule="atLeast" w:before="14"/>
        <w:ind w:left="636"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宋体" w:hAnsi="宋体" w:cs="宋体" w:eastAsia="宋体" w:hint="default"/>
          <w:b/>
          <w:bCs/>
          <w:sz w:val="21"/>
          <w:szCs w:val="21"/>
        </w:rPr>
        <w:t>电力工程规划咨询业务</w:t>
      </w:r>
      <w:r>
        <w:rPr>
          <w:rFonts w:ascii="宋体" w:hAnsi="宋体" w:cs="宋体" w:eastAsia="宋体" w:hint="default"/>
          <w:b/>
          <w:bCs/>
          <w:w w:val="99"/>
          <w:sz w:val="21"/>
          <w:szCs w:val="21"/>
        </w:rPr>
        <w:t> </w:t>
      </w:r>
      <w:r>
        <w:rPr>
          <w:rFonts w:ascii="宋体" w:hAnsi="宋体" w:cs="宋体" w:eastAsia="宋体" w:hint="default"/>
          <w:spacing w:val="-2"/>
          <w:sz w:val="21"/>
          <w:szCs w:val="21"/>
        </w:rPr>
        <w:t>规划咨询为各级政府编制国家级、省级发展规划做参谋，促进经济社会又好又快发展；为项目投资人</w:t>
      </w:r>
    </w:p>
    <w:p>
      <w:pPr>
        <w:pStyle w:val="Heading4"/>
        <w:spacing w:line="240" w:lineRule="auto" w:before="37"/>
        <w:ind w:left="636" w:right="0" w:hanging="483"/>
        <w:jc w:val="left"/>
      </w:pPr>
      <w:r>
        <w:rPr/>
        <w:t>的投资决策充当第一把关人，优化项目建设方案，防范投资风险，减少和避免决策失误，提高投资效益。</w:t>
      </w:r>
    </w:p>
    <w:p>
      <w:pPr>
        <w:spacing w:line="240" w:lineRule="auto" w:before="11"/>
        <w:rPr>
          <w:rFonts w:ascii="宋体" w:hAnsi="宋体" w:cs="宋体" w:eastAsia="宋体" w:hint="default"/>
          <w:sz w:val="14"/>
          <w:szCs w:val="14"/>
        </w:rPr>
      </w:pPr>
    </w:p>
    <w:p>
      <w:pPr>
        <w:pStyle w:val="Heading4"/>
        <w:spacing w:line="273" w:lineRule="auto"/>
        <w:ind w:right="1130" w:firstLine="482"/>
        <w:jc w:val="both"/>
      </w:pPr>
      <w:r>
        <w:rPr>
          <w:spacing w:val="-2"/>
        </w:rPr>
        <w:t>公司在电力规划和工程建设前期咨询领域拥有核心技术，可为业主提供电力负荷预测、电源规划、主</w:t>
      </w:r>
      <w:r>
        <w:rPr/>
        <w:t> </w:t>
      </w:r>
      <w:r>
        <w:rPr>
          <w:spacing w:val="-1"/>
        </w:rPr>
        <w:t>干电网与配电网系统研究、电力设施布局规划、电源和用户接入系统设计、电力通信网系统研究、项目投</w:t>
      </w:r>
      <w:r>
        <w:rPr>
          <w:spacing w:val="-86"/>
        </w:rPr>
        <w:t> </w:t>
      </w:r>
      <w:r>
        <w:rPr>
          <w:spacing w:val="-86"/>
        </w:rPr>
      </w:r>
      <w:r>
        <w:rPr>
          <w:spacing w:val="-1"/>
        </w:rPr>
        <w:t>资机会研究、项目建议书、初步可行性研究报告、可行性研究报告、项目申请报告等规划咨询业务，以及</w:t>
      </w:r>
      <w:r>
        <w:rPr>
          <w:spacing w:val="-83"/>
        </w:rPr>
        <w:t> </w:t>
      </w:r>
      <w:r>
        <w:rPr>
          <w:spacing w:val="-83"/>
        </w:rPr>
      </w:r>
      <w:r>
        <w:rPr/>
        <w:t>对以上业务的评估工作。</w:t>
      </w:r>
    </w:p>
    <w:p>
      <w:pPr>
        <w:pStyle w:val="Heading4"/>
        <w:spacing w:line="450" w:lineRule="atLeast" w:before="6"/>
        <w:ind w:left="636" w:right="1118"/>
        <w:jc w:val="left"/>
      </w:pPr>
      <w:r>
        <w:rPr>
          <w:rFonts w:ascii="Times New Roman" w:hAnsi="Times New Roman" w:cs="Times New Roman" w:eastAsia="Times New Roman" w:hint="default"/>
          <w:b/>
          <w:bCs/>
        </w:rPr>
        <w:t>2. </w:t>
      </w:r>
      <w:r>
        <w:rPr>
          <w:rFonts w:ascii="宋体" w:hAnsi="宋体" w:cs="宋体" w:eastAsia="宋体" w:hint="default"/>
          <w:b/>
          <w:bCs/>
        </w:rPr>
        <w:t>勘察设计业务</w:t>
      </w:r>
      <w:r>
        <w:rPr>
          <w:rFonts w:ascii="宋体" w:hAnsi="宋体" w:cs="宋体" w:eastAsia="宋体" w:hint="default"/>
          <w:b/>
          <w:bCs/>
          <w:w w:val="99"/>
        </w:rPr>
        <w:t> </w:t>
      </w:r>
      <w:r>
        <w:rPr>
          <w:spacing w:val="-2"/>
        </w:rPr>
        <w:t>电力工程勘察设计是指根据电力工程的建设要求，对工程所需的技术、经济、资源、环境等条件进行</w:t>
      </w:r>
    </w:p>
    <w:p>
      <w:pPr>
        <w:pStyle w:val="Heading4"/>
        <w:spacing w:line="273" w:lineRule="auto" w:before="37"/>
        <w:ind w:right="0"/>
        <w:jc w:val="left"/>
      </w:pPr>
      <w:r>
        <w:rPr>
          <w:spacing w:val="-1"/>
        </w:rPr>
        <w:t>综合分析、论证，编制建设工程设计文件的业务。公司从事的电力工程勘察设计业务主要包括发电工程和</w:t>
      </w:r>
      <w:r>
        <w:rPr>
          <w:spacing w:val="-83"/>
        </w:rPr>
        <w:t> </w:t>
      </w:r>
      <w:r>
        <w:rPr>
          <w:spacing w:val="-83"/>
        </w:rPr>
      </w:r>
      <w:r>
        <w:rPr/>
        <w:t>输变电工程勘察设计业务。</w:t>
      </w:r>
    </w:p>
    <w:p>
      <w:pPr>
        <w:pStyle w:val="Heading4"/>
        <w:spacing w:line="468" w:lineRule="exact" w:before="36"/>
        <w:ind w:left="636" w:right="1118"/>
        <w:jc w:val="left"/>
      </w:pPr>
      <w:r>
        <w:rPr/>
        <w:t>①发电工程勘察设计 </w:t>
      </w:r>
      <w:r>
        <w:rPr>
          <w:spacing w:val="-2"/>
        </w:rPr>
        <w:t>发电厂为人类社会提供源源不断的电力能源，也是电力行业中涉及建设要求最高、专业配置最多、技</w:t>
      </w:r>
    </w:p>
    <w:p>
      <w:pPr>
        <w:pStyle w:val="Heading4"/>
        <w:spacing w:line="248" w:lineRule="exact"/>
        <w:ind w:right="0"/>
        <w:jc w:val="left"/>
      </w:pPr>
      <w:r>
        <w:rPr/>
        <w:t>术最复杂的业务，先进综合的发电勘察设计技术是公司的核心竞争力；发电工程勘察设计主要包括核电、</w:t>
      </w:r>
    </w:p>
    <w:p>
      <w:pPr>
        <w:pStyle w:val="Heading4"/>
        <w:spacing w:line="240" w:lineRule="auto" w:before="37"/>
        <w:ind w:right="0"/>
        <w:jc w:val="left"/>
      </w:pPr>
      <w:r>
        <w:rPr/>
        <w:t>火力发电、燃气发电、风力发电、太阳能发电、生物质发电、分布式能源等发电工程的勘察设计工作。</w:t>
      </w:r>
    </w:p>
    <w:p>
      <w:pPr>
        <w:spacing w:line="240" w:lineRule="auto" w:before="11"/>
        <w:rPr>
          <w:rFonts w:ascii="宋体" w:hAnsi="宋体" w:cs="宋体" w:eastAsia="宋体" w:hint="default"/>
          <w:sz w:val="14"/>
          <w:szCs w:val="14"/>
        </w:rPr>
      </w:pPr>
    </w:p>
    <w:p>
      <w:pPr>
        <w:pStyle w:val="Heading4"/>
        <w:spacing w:line="268" w:lineRule="auto"/>
        <w:ind w:right="1023" w:firstLine="482"/>
        <w:jc w:val="left"/>
      </w:pPr>
      <w:r>
        <w:rPr/>
        <w:t>公司重点发展国家提倡的</w:t>
      </w:r>
      <w:r>
        <w:rPr>
          <w:rFonts w:ascii="Times New Roman" w:hAnsi="Times New Roman" w:cs="Times New Roman" w:eastAsia="Times New Roman" w:hint="default"/>
        </w:rPr>
        <w:t>“</w:t>
      </w:r>
      <w:r>
        <w:rPr/>
        <w:t>清洁低碳、安全高效</w:t>
      </w:r>
      <w:r>
        <w:rPr>
          <w:rFonts w:ascii="Times New Roman" w:hAnsi="Times New Roman" w:cs="Times New Roman" w:eastAsia="Times New Roman" w:hint="default"/>
        </w:rPr>
        <w:t>”</w:t>
      </w:r>
      <w:r>
        <w:rPr/>
        <w:t>的清洁能源及新能源领域，大力发展大型燃气电站、 </w:t>
      </w:r>
      <w:r>
        <w:rPr>
          <w:spacing w:val="-3"/>
        </w:rPr>
        <w:t>风力发电、太阳能发电、分布式能源业务，并把海上风电业务作为公司战略发展方向，加大技术研发力度，</w:t>
      </w:r>
      <w:r>
        <w:rPr>
          <w:spacing w:val="-96"/>
        </w:rPr>
        <w:t> </w:t>
      </w:r>
      <w:r>
        <w:rPr>
          <w:spacing w:val="-96"/>
        </w:rPr>
      </w:r>
      <w:r>
        <w:rPr/>
        <w:t>进一步提升核心竞争力。业务已经遍及国内多个省份和东南亚、非洲等几个国家。将来，在国内市场业务</w:t>
      </w:r>
      <w:r>
        <w:rPr/>
        <w:t> 重点发展海上风电业务，立足于福建沿海，往国内沿海其他省份发展；积极参与国家走出去战略，深耕海 外业务，进一步提升海外发电业务的综合执行能力。</w:t>
      </w:r>
    </w:p>
    <w:p>
      <w:pPr>
        <w:pStyle w:val="Heading4"/>
        <w:spacing w:line="470" w:lineRule="exact" w:before="38"/>
        <w:ind w:left="636" w:right="1118"/>
        <w:jc w:val="left"/>
      </w:pPr>
      <w:r>
        <w:rPr/>
        <w:t>②输变电工程勘察设计 </w:t>
      </w:r>
      <w:r>
        <w:rPr>
          <w:spacing w:val="-2"/>
        </w:rPr>
        <w:t>电力能源通过电网网架传输到全社会的每一个用户，保障电力可靠供应和系统安全稳定运行，实现电</w:t>
      </w:r>
    </w:p>
    <w:p>
      <w:pPr>
        <w:pStyle w:val="Heading4"/>
        <w:spacing w:line="248" w:lineRule="exact"/>
        <w:ind w:right="0"/>
        <w:jc w:val="left"/>
      </w:pPr>
      <w:r>
        <w:rPr/>
        <w:t>力供需动态平衡。公司在电网网架设计技术中的特高压、柔性直流、高压电缆（包含陆揽、海底电缆和桥</w:t>
      </w:r>
    </w:p>
    <w:p>
      <w:pPr>
        <w:pStyle w:val="Heading4"/>
        <w:spacing w:line="273" w:lineRule="auto" w:before="37"/>
        <w:ind w:right="1138"/>
        <w:jc w:val="left"/>
      </w:pPr>
      <w:r>
        <w:rPr>
          <w:spacing w:val="-1"/>
        </w:rPr>
        <w:t>揽）、智能变电站、装配式变电站等领域具备核心竞争力。输变电工程勘察设计包括从特高压到低压配网</w:t>
      </w:r>
      <w:r>
        <w:rPr>
          <w:spacing w:val="-94"/>
        </w:rPr>
        <w:t> </w:t>
      </w:r>
      <w:r>
        <w:rPr>
          <w:spacing w:val="-94"/>
        </w:rPr>
      </w:r>
      <w:r>
        <w:rPr/>
        <w:t>的全电压等级输电、变电、配电工程的勘察设计工作。</w:t>
      </w:r>
    </w:p>
    <w:p>
      <w:pPr>
        <w:spacing w:after="0" w:line="273"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66" w:lineRule="auto" w:before="35"/>
        <w:ind w:right="1023" w:firstLine="482"/>
        <w:jc w:val="left"/>
      </w:pPr>
      <w:r>
        <w:rPr/>
        <w:t>公司在确保</w:t>
      </w:r>
      <w:r>
        <w:rPr>
          <w:rFonts w:ascii="Times New Roman" w:hAnsi="Times New Roman" w:cs="Times New Roman" w:eastAsia="Times New Roman" w:hint="default"/>
        </w:rPr>
        <w:t>220kV</w:t>
      </w:r>
      <w:r>
        <w:rPr/>
        <w:t>及以上电压等级主网设计业务稳定发展的基础上，积极响应国家配电网建设改造行 动计划，大力发展智能配电业务，重点在配电网新材料、新技术、新工艺、新标准等领域加大研发力度， </w:t>
      </w:r>
      <w:r>
        <w:rPr>
          <w:spacing w:val="-3"/>
        </w:rPr>
        <w:t>努力成为福建省内的智能配电网领域的技术引领者，并在智能微电网、智能建筑、智慧社区、直流配电网、</w:t>
      </w:r>
      <w:r>
        <w:rPr>
          <w:spacing w:val="-96"/>
        </w:rPr>
        <w:t> </w:t>
      </w:r>
      <w:r>
        <w:rPr>
          <w:spacing w:val="-96"/>
        </w:rPr>
      </w:r>
      <w:r>
        <w:rPr/>
        <w:t>智能充电站、综合能源服务等领域积极布局。</w:t>
      </w:r>
    </w:p>
    <w:p>
      <w:pPr>
        <w:spacing w:line="450" w:lineRule="atLeast" w:before="12"/>
        <w:ind w:left="636" w:right="1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Times New Roman" w:hAnsi="Times New Roman" w:cs="Times New Roman" w:eastAsia="Times New Roman" w:hint="default"/>
          <w:b/>
          <w:bCs/>
          <w:sz w:val="21"/>
          <w:szCs w:val="21"/>
        </w:rPr>
        <w:t>EPC</w:t>
      </w:r>
      <w:r>
        <w:rPr>
          <w:rFonts w:ascii="宋体" w:hAnsi="宋体" w:cs="宋体" w:eastAsia="宋体" w:hint="default"/>
          <w:b/>
          <w:bCs/>
          <w:sz w:val="21"/>
          <w:szCs w:val="21"/>
        </w:rPr>
        <w:t>工程总承包业务</w:t>
      </w:r>
      <w:r>
        <w:rPr>
          <w:rFonts w:ascii="宋体" w:hAnsi="宋体" w:cs="宋体" w:eastAsia="宋体" w:hint="default"/>
          <w:b/>
          <w:bCs/>
          <w:w w:val="99"/>
          <w:sz w:val="21"/>
          <w:szCs w:val="21"/>
        </w:rPr>
        <w:t> </w:t>
      </w:r>
      <w:r>
        <w:rPr>
          <w:rFonts w:ascii="宋体" w:hAnsi="宋体" w:cs="宋体" w:eastAsia="宋体" w:hint="default"/>
          <w:spacing w:val="-2"/>
          <w:sz w:val="21"/>
          <w:szCs w:val="21"/>
        </w:rPr>
        <w:t>公司拥有电力行业甲级设计资质，可从事资质证书许可范围内相应的电力工程总承包业务、项目管理</w:t>
      </w:r>
    </w:p>
    <w:p>
      <w:pPr>
        <w:pStyle w:val="Heading4"/>
        <w:spacing w:line="273" w:lineRule="auto" w:before="37"/>
        <w:ind w:right="0"/>
        <w:jc w:val="left"/>
      </w:pPr>
      <w:r>
        <w:rPr>
          <w:spacing w:val="-1"/>
        </w:rPr>
        <w:t>及相关技术与管理服务。工程总承包是对电力工程项目的勘察、设计、采购、施工、调试、验收等实行全</w:t>
      </w:r>
      <w:r>
        <w:rPr>
          <w:spacing w:val="-83"/>
        </w:rPr>
        <w:t> </w:t>
      </w:r>
      <w:r>
        <w:rPr>
          <w:spacing w:val="-83"/>
        </w:rPr>
      </w:r>
      <w:r>
        <w:rPr/>
        <w:t>过程承包的建设模式，是当前国家重点推进的工程建设模式。</w:t>
      </w:r>
    </w:p>
    <w:p>
      <w:pPr>
        <w:pStyle w:val="Heading4"/>
        <w:spacing w:line="266" w:lineRule="auto" w:before="165"/>
        <w:ind w:right="1130" w:firstLine="482"/>
        <w:jc w:val="both"/>
      </w:pPr>
      <w:r>
        <w:rPr>
          <w:spacing w:val="-1"/>
        </w:rPr>
        <w:t>公司实施</w:t>
      </w:r>
      <w:r>
        <w:rPr>
          <w:rFonts w:ascii="Times New Roman" w:hAnsi="Times New Roman" w:cs="Times New Roman" w:eastAsia="Times New Roman" w:hint="default"/>
          <w:spacing w:val="-1"/>
        </w:rPr>
        <w:t>EPC</w:t>
      </w:r>
      <w:r>
        <w:rPr>
          <w:spacing w:val="-1"/>
        </w:rPr>
        <w:t>工程总承包，可以充分发挥设计企业在</w:t>
      </w:r>
      <w:r>
        <w:rPr>
          <w:rFonts w:ascii="Times New Roman" w:hAnsi="Times New Roman" w:cs="Times New Roman" w:eastAsia="Times New Roman" w:hint="default"/>
          <w:spacing w:val="-1"/>
        </w:rPr>
        <w:t>EPC</w:t>
      </w:r>
      <w:r>
        <w:rPr>
          <w:spacing w:val="-1"/>
        </w:rPr>
        <w:t>总承包价值链最核心环节</w:t>
      </w:r>
      <w:r>
        <w:rPr>
          <w:rFonts w:ascii="Times New Roman" w:hAnsi="Times New Roman" w:cs="Times New Roman" w:eastAsia="Times New Roman" w:hint="default"/>
          <w:spacing w:val="-1"/>
        </w:rPr>
        <w:t>——</w:t>
      </w:r>
      <w:r>
        <w:rPr>
          <w:spacing w:val="-1"/>
        </w:rPr>
        <w:t>设计、采购和</w:t>
      </w:r>
      <w:r>
        <w:rPr/>
        <w:t> </w:t>
      </w:r>
      <w:r>
        <w:rPr>
          <w:spacing w:val="-1"/>
        </w:rPr>
        <w:t>项目管理的能力和优势，建设资源节约型和环境友好型工程；确保项目建设全过程设计优化，充分贯彻设</w:t>
      </w:r>
      <w:r>
        <w:rPr>
          <w:spacing w:val="-83"/>
        </w:rPr>
        <w:t> </w:t>
      </w:r>
      <w:r>
        <w:rPr>
          <w:spacing w:val="-83"/>
        </w:rPr>
      </w:r>
      <w:r>
        <w:rPr>
          <w:spacing w:val="-1"/>
        </w:rPr>
        <w:t>计理念和意图，实现最优工程建设效果；实现设计与采购、施工的合理交叉和有机融合，实现进度、成本</w:t>
      </w:r>
      <w:r>
        <w:rPr>
          <w:spacing w:val="-83"/>
        </w:rPr>
        <w:t> </w:t>
      </w:r>
      <w:r>
        <w:rPr>
          <w:spacing w:val="-83"/>
        </w:rPr>
      </w:r>
      <w:r>
        <w:rPr/>
        <w:t>和质量等方面的精确控制，确保项目获得良好的投资效益。</w:t>
      </w:r>
    </w:p>
    <w:p>
      <w:pPr>
        <w:pStyle w:val="Heading4"/>
        <w:spacing w:line="273" w:lineRule="auto" w:before="171"/>
        <w:ind w:right="1133" w:firstLine="482"/>
        <w:jc w:val="both"/>
      </w:pPr>
      <w:r>
        <w:rPr>
          <w:spacing w:val="-2"/>
        </w:rPr>
        <w:t>公司大力发展新能源、火电环保技改和高压输变电用户项目总承包业务，加大东南亚海外市场开拓力</w:t>
      </w:r>
      <w:r>
        <w:rPr/>
        <w:t> </w:t>
      </w:r>
      <w:r>
        <w:rPr>
          <w:spacing w:val="-1"/>
        </w:rPr>
        <w:t>度，经过近几年的发展，已经建立了完整的总承包管理制度，管理理念先进，积累了丰富的总承包实施经</w:t>
      </w:r>
      <w:r>
        <w:rPr>
          <w:spacing w:val="-86"/>
        </w:rPr>
        <w:t> </w:t>
      </w:r>
      <w:r>
        <w:rPr>
          <w:spacing w:val="-86"/>
        </w:rPr>
      </w:r>
      <w:r>
        <w:rPr/>
        <w:t>验，专业配置齐全，综合能力明显提升，取得了良好的经济效益。</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764"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2"/>
              <w:jc w:val="left"/>
              <w:rPr>
                <w:rFonts w:ascii="宋体" w:hAnsi="宋体" w:cs="宋体" w:eastAsia="宋体" w:hint="default"/>
                <w:sz w:val="18"/>
                <w:szCs w:val="18"/>
              </w:rPr>
            </w:pPr>
            <w:r>
              <w:rPr>
                <w:rFonts w:ascii="宋体" w:hAnsi="宋体" w:cs="宋体" w:eastAsia="宋体" w:hint="default"/>
                <w:sz w:val="18"/>
                <w:szCs w:val="18"/>
              </w:rPr>
              <w:t>长期股权投资期末较年初增长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，主要原因是：一、年初可供出售金融资产 </w:t>
            </w:r>
            <w:r>
              <w:rPr>
                <w:rFonts w:ascii="宋体" w:hAnsi="宋体" w:cs="宋体" w:eastAsia="宋体" w:hint="default"/>
                <w:spacing w:val="-3"/>
                <w:sz w:val="18"/>
                <w:szCs w:val="18"/>
              </w:rPr>
              <w:t>福建永帆风电科技有限公司，增持股份调整至长期股权投资权益法进行核算，二、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确认投资收益的同时调整账面价值（损益调整）。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期末较年初增长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，主要原因是：公司夜景照明工程未完工。</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期末较年初增长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62.41%</w:t>
            </w:r>
            <w:r>
              <w:rPr>
                <w:rFonts w:ascii="宋体" w:hAnsi="宋体" w:cs="宋体" w:eastAsia="宋体" w:hint="default"/>
                <w:sz w:val="18"/>
                <w:szCs w:val="18"/>
              </w:rPr>
              <w:t>，主要原因是：本报告期的净现金流增加的货币资金。</w:t>
            </w:r>
          </w:p>
        </w:tc>
      </w:tr>
      <w:tr>
        <w:trPr>
          <w:trHeight w:val="1650"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期末较年初增长 </w:t>
            </w:r>
            <w:r>
              <w:rPr>
                <w:rFonts w:ascii="Times New Roman" w:hAnsi="Times New Roman" w:cs="Times New Roman" w:eastAsia="Times New Roman" w:hint="default"/>
                <w:sz w:val="18"/>
                <w:szCs w:val="18"/>
              </w:rPr>
              <w:t>31.97%</w:t>
            </w:r>
            <w:r>
              <w:rPr>
                <w:rFonts w:ascii="宋体" w:hAnsi="宋体" w:cs="宋体" w:eastAsia="宋体" w:hint="default"/>
                <w:sz w:val="18"/>
                <w:szCs w:val="18"/>
              </w:rPr>
              <w:t>，主要原因是：一、报告期内随业务增长而增长</w:t>
            </w:r>
            <w:r>
              <w:rPr>
                <w:rFonts w:ascii="宋体" w:hAnsi="宋体" w:cs="宋体" w:eastAsia="宋体" w:hint="default"/>
                <w:spacing w:val="-46"/>
                <w:sz w:val="18"/>
                <w:szCs w:val="18"/>
              </w:rPr>
              <w:t> </w:t>
            </w:r>
            <w:r>
              <w:rPr>
                <w:rFonts w:ascii="宋体" w:hAnsi="宋体" w:cs="宋体" w:eastAsia="宋体" w:hint="default"/>
                <w:sz w:val="18"/>
                <w:szCs w:val="18"/>
              </w:rPr>
              <w:t>；二、 菲律宾光伏项目由于业主外接线路原因导致工程投产推后，致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ECOPARK</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ENERGY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OF</w:t>
            </w:r>
            <w:r>
              <w:rPr>
                <w:rFonts w:ascii="Times New Roman" w:hAnsi="Times New Roman" w:cs="Times New Roman" w:eastAsia="Times New Roman" w:hint="default"/>
                <w:spacing w:val="-3"/>
                <w:sz w:val="18"/>
                <w:szCs w:val="18"/>
              </w:rPr>
              <w:t> VALENZUELA</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CORP </w:t>
            </w:r>
            <w:r>
              <w:rPr>
                <w:rFonts w:ascii="宋体" w:hAnsi="宋体" w:cs="宋体" w:eastAsia="宋体" w:hint="default"/>
                <w:sz w:val="18"/>
                <w:szCs w:val="18"/>
              </w:rPr>
              <w:t>应收账款金额较上期增加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5,045.12 </w:t>
            </w:r>
            <w:r>
              <w:rPr>
                <w:rFonts w:ascii="宋体" w:hAnsi="宋体" w:cs="宋体" w:eastAsia="宋体" w:hint="default"/>
                <w:spacing w:val="-14"/>
                <w:sz w:val="18"/>
                <w:szCs w:val="18"/>
              </w:rPr>
              <w:t>万元，截止</w:t>
            </w:r>
            <w:r>
              <w:rPr>
                <w:rFonts w:ascii="宋体" w:hAnsi="宋体" w:cs="宋体" w:eastAsia="宋体" w:hint="default"/>
                <w:sz w:val="18"/>
                <w:szCs w:val="18"/>
              </w:rPr>
              <w:t> </w:t>
            </w:r>
            <w:r>
              <w:rPr>
                <w:rFonts w:ascii="宋体" w:hAnsi="宋体" w:cs="宋体" w:eastAsia="宋体" w:hint="default"/>
                <w:spacing w:val="-12"/>
                <w:sz w:val="18"/>
                <w:szCs w:val="18"/>
              </w:rPr>
              <w:t>目前，公司已和</w:t>
            </w:r>
            <w:r>
              <w:rPr>
                <w:rFonts w:ascii="宋体" w:hAnsi="宋体" w:cs="宋体" w:eastAsia="宋体" w:hint="default"/>
                <w:spacing w:val="-44"/>
                <w:sz w:val="18"/>
                <w:szCs w:val="18"/>
              </w:rPr>
              <w:t> </w:t>
            </w:r>
            <w:r>
              <w:rPr>
                <w:rFonts w:ascii="Times New Roman" w:hAnsi="Times New Roman" w:cs="Times New Roman" w:eastAsia="Times New Roman" w:hint="default"/>
                <w:spacing w:val="-3"/>
                <w:w w:val="99"/>
                <w:sz w:val="18"/>
                <w:szCs w:val="18"/>
              </w:rPr>
              <w:t>ECOPARK</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w w:val="99"/>
                <w:sz w:val="18"/>
                <w:szCs w:val="18"/>
              </w:rPr>
              <w:t>ENERGY</w:t>
            </w:r>
            <w:r>
              <w:rPr>
                <w:rFonts w:ascii="Times New Roman" w:hAnsi="Times New Roman" w:cs="Times New Roman" w:eastAsia="Times New Roman" w:hint="default"/>
                <w:spacing w:val="-6"/>
                <w:w w:val="99"/>
                <w:sz w:val="18"/>
                <w:szCs w:val="18"/>
              </w:rPr>
              <w:t> </w:t>
            </w:r>
            <w:r>
              <w:rPr>
                <w:rFonts w:ascii="Times New Roman" w:hAnsi="Times New Roman" w:cs="Times New Roman" w:eastAsia="Times New Roman" w:hint="default"/>
                <w:w w:val="99"/>
                <w:sz w:val="18"/>
                <w:szCs w:val="18"/>
              </w:rPr>
              <w:t>OF</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3"/>
                <w:w w:val="99"/>
                <w:sz w:val="18"/>
                <w:szCs w:val="18"/>
              </w:rPr>
              <w:t>VALENZUELA</w:t>
            </w:r>
            <w:r>
              <w:rPr>
                <w:rFonts w:ascii="Times New Roman" w:hAnsi="Times New Roman" w:cs="Times New Roman" w:eastAsia="Times New Roman" w:hint="default"/>
                <w:spacing w:val="-7"/>
                <w:w w:val="99"/>
                <w:sz w:val="18"/>
                <w:szCs w:val="18"/>
              </w:rPr>
              <w:t> </w:t>
            </w:r>
            <w:r>
              <w:rPr>
                <w:rFonts w:ascii="Times New Roman" w:hAnsi="Times New Roman" w:cs="Times New Roman" w:eastAsia="Times New Roman" w:hint="default"/>
                <w:spacing w:val="-1"/>
                <w:w w:val="99"/>
                <w:sz w:val="18"/>
                <w:szCs w:val="18"/>
              </w:rPr>
              <w:t>CORP</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对应收款回款方案 达成一致。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1" w:right="100"/>
              <w:jc w:val="left"/>
              <w:rPr>
                <w:rFonts w:ascii="宋体" w:hAnsi="宋体" w:cs="宋体" w:eastAsia="宋体" w:hint="default"/>
                <w:sz w:val="18"/>
                <w:szCs w:val="18"/>
              </w:rPr>
            </w:pPr>
            <w:r>
              <w:rPr>
                <w:rFonts w:ascii="宋体" w:hAnsi="宋体" w:cs="宋体" w:eastAsia="宋体" w:hint="default"/>
                <w:sz w:val="18"/>
                <w:szCs w:val="18"/>
              </w:rPr>
              <w:t>期末较年初下降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30.52%</w:t>
            </w:r>
            <w:r>
              <w:rPr>
                <w:rFonts w:ascii="宋体" w:hAnsi="宋体" w:cs="宋体" w:eastAsia="宋体" w:hint="default"/>
                <w:spacing w:val="-2"/>
                <w:sz w:val="18"/>
                <w:szCs w:val="18"/>
              </w:rPr>
              <w:t>，主要原因是：报告期内随着工程项目持续推进、采购合</w:t>
            </w:r>
            <w:r>
              <w:rPr>
                <w:rFonts w:ascii="宋体" w:hAnsi="宋体" w:cs="宋体" w:eastAsia="宋体" w:hint="default"/>
                <w:sz w:val="18"/>
                <w:szCs w:val="18"/>
              </w:rPr>
              <w:t> 同的履约进度推进因而减少。</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期末较年初增长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53.84%</w:t>
            </w:r>
            <w:r>
              <w:rPr>
                <w:rFonts w:ascii="宋体" w:hAnsi="宋体" w:cs="宋体" w:eastAsia="宋体" w:hint="default"/>
                <w:spacing w:val="-75"/>
                <w:sz w:val="18"/>
                <w:szCs w:val="18"/>
              </w:rPr>
              <w:t>，</w:t>
            </w:r>
            <w:r>
              <w:rPr>
                <w:rFonts w:ascii="宋体" w:hAnsi="宋体" w:cs="宋体" w:eastAsia="宋体" w:hint="default"/>
                <w:sz w:val="18"/>
                <w:szCs w:val="18"/>
              </w:rPr>
              <w:t>主要原因是</w:t>
            </w:r>
            <w:r>
              <w:rPr>
                <w:rFonts w:ascii="宋体" w:hAnsi="宋体" w:cs="宋体" w:eastAsia="宋体" w:hint="default"/>
                <w:spacing w:val="-75"/>
                <w:sz w:val="18"/>
                <w:szCs w:val="18"/>
              </w:rPr>
              <w:t>：</w:t>
            </w:r>
            <w:r>
              <w:rPr>
                <w:rFonts w:ascii="宋体" w:hAnsi="宋体" w:cs="宋体" w:eastAsia="宋体" w:hint="default"/>
                <w:sz w:val="18"/>
                <w:szCs w:val="18"/>
              </w:rPr>
              <w:t>投标保证金及公司日常工作备用金等增加。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1" w:right="100"/>
              <w:jc w:val="left"/>
              <w:rPr>
                <w:rFonts w:ascii="宋体" w:hAnsi="宋体" w:cs="宋体" w:eastAsia="宋体" w:hint="default"/>
                <w:sz w:val="18"/>
                <w:szCs w:val="18"/>
              </w:rPr>
            </w:pPr>
            <w:r>
              <w:rPr>
                <w:rFonts w:ascii="宋体" w:hAnsi="宋体" w:cs="宋体" w:eastAsia="宋体" w:hint="default"/>
                <w:sz w:val="18"/>
                <w:szCs w:val="18"/>
              </w:rPr>
              <w:t>期末较年初增长</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92.62%</w:t>
            </w:r>
            <w:r>
              <w:rPr>
                <w:rFonts w:ascii="宋体" w:hAnsi="宋体" w:cs="宋体" w:eastAsia="宋体" w:hint="default"/>
                <w:spacing w:val="-2"/>
                <w:sz w:val="18"/>
                <w:szCs w:val="18"/>
              </w:rPr>
              <w:t>，主要原因是：本报告期内工程总承包规模增长，部分总</w:t>
            </w:r>
            <w:r>
              <w:rPr>
                <w:rFonts w:ascii="宋体" w:hAnsi="宋体" w:cs="宋体" w:eastAsia="宋体" w:hint="default"/>
                <w:sz w:val="18"/>
                <w:szCs w:val="18"/>
              </w:rPr>
              <w:t> 包工程工期跨年，造成工程实际进度与合同约定工程结算差异增加。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1" w:right="100"/>
              <w:jc w:val="left"/>
              <w:rPr>
                <w:rFonts w:ascii="宋体" w:hAnsi="宋体" w:cs="宋体" w:eastAsia="宋体" w:hint="default"/>
                <w:sz w:val="18"/>
                <w:szCs w:val="18"/>
              </w:rPr>
            </w:pPr>
            <w:r>
              <w:rPr>
                <w:rFonts w:ascii="宋体" w:hAnsi="宋体" w:cs="宋体" w:eastAsia="宋体" w:hint="default"/>
                <w:sz w:val="18"/>
                <w:szCs w:val="18"/>
              </w:rPr>
              <w:t>期末较年初下降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59.83%</w:t>
            </w:r>
            <w:r>
              <w:rPr>
                <w:rFonts w:ascii="宋体" w:hAnsi="宋体" w:cs="宋体" w:eastAsia="宋体" w:hint="default"/>
                <w:spacing w:val="-2"/>
                <w:sz w:val="18"/>
                <w:szCs w:val="18"/>
              </w:rPr>
              <w:t>，主要原因是：随着募投项目的实施，报告期末利用闲置</w:t>
            </w:r>
            <w:r>
              <w:rPr>
                <w:rFonts w:ascii="宋体" w:hAnsi="宋体" w:cs="宋体" w:eastAsia="宋体" w:hint="default"/>
                <w:sz w:val="18"/>
                <w:szCs w:val="18"/>
              </w:rPr>
              <w:t> 的募集资金购买结构性存款的余额减少。</w:t>
            </w:r>
          </w:p>
        </w:tc>
      </w:tr>
    </w:tbl>
    <w:p>
      <w:pPr>
        <w:spacing w:after="0" w:line="302"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03"/>
              <w:jc w:val="both"/>
              <w:rPr>
                <w:rFonts w:ascii="宋体" w:hAnsi="宋体" w:cs="宋体" w:eastAsia="宋体" w:hint="default"/>
                <w:sz w:val="18"/>
                <w:szCs w:val="18"/>
              </w:rPr>
            </w:pPr>
            <w:r>
              <w:rPr>
                <w:rFonts w:ascii="宋体" w:hAnsi="宋体" w:cs="宋体" w:eastAsia="宋体" w:hint="default"/>
                <w:sz w:val="18"/>
                <w:szCs w:val="18"/>
              </w:rPr>
              <w:t>期末较年初增长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150.88%</w:t>
            </w:r>
            <w:r>
              <w:rPr>
                <w:rFonts w:ascii="宋体" w:hAnsi="宋体" w:cs="宋体" w:eastAsia="宋体" w:hint="default"/>
                <w:sz w:val="18"/>
                <w:szCs w:val="18"/>
              </w:rPr>
              <w:t>，主要原因是：一、永帆风电增持股份，调整至长期股 权投资权益法进行核算；二、本报告期内增加投资上海毅昊信息科技股份有限公 司、福建积微科技有限公司，福建中青集团有限公司。</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期末较年初下降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，主要原因是：长期待摊费用报告期内摊销完毕。</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3"/>
        <w:spacing w:line="240" w:lineRule="auto"/>
        <w:ind w:left="576" w:right="0"/>
        <w:jc w:val="left"/>
        <w:rPr>
          <w:b w:val="0"/>
          <w:bCs w:val="0"/>
        </w:rPr>
      </w:pPr>
      <w:r>
        <w:rPr/>
        <w:t>（一）资质优势</w:t>
      </w:r>
      <w:r>
        <w:rPr>
          <w:b w:val="0"/>
          <w:bCs w:val="0"/>
        </w:rPr>
      </w:r>
    </w:p>
    <w:p>
      <w:pPr>
        <w:spacing w:line="240" w:lineRule="auto" w:before="7"/>
        <w:rPr>
          <w:rFonts w:ascii="宋体" w:hAnsi="宋体" w:cs="宋体" w:eastAsia="宋体" w:hint="default"/>
          <w:b/>
          <w:bCs/>
          <w:sz w:val="16"/>
          <w:szCs w:val="16"/>
        </w:rPr>
      </w:pPr>
    </w:p>
    <w:p>
      <w:pPr>
        <w:pStyle w:val="Heading4"/>
        <w:spacing w:line="273" w:lineRule="auto"/>
        <w:ind w:right="1017" w:firstLine="420"/>
        <w:jc w:val="left"/>
      </w:pPr>
      <w:r>
        <w:rPr>
          <w:spacing w:val="-3"/>
        </w:rPr>
        <w:t>公司拥有工程设计（电力行业）甲级资质，是电力设计最高资质等级，同时拥有工程勘察专业类甲级、</w:t>
      </w:r>
      <w:r>
        <w:rPr/>
        <w:t> 工程咨询电力专业甲级资信等资质，可以承接各种规模的电力行业建设工程项目的规划咨询、勘察设计及 </w:t>
      </w:r>
      <w:r>
        <w:rPr>
          <w:rFonts w:ascii="Times New Roman" w:hAnsi="Times New Roman" w:cs="Times New Roman" w:eastAsia="Times New Roman" w:hint="default"/>
        </w:rPr>
        <w:t>EPC</w:t>
      </w:r>
      <w:r>
        <w:rPr/>
        <w:t>总承包业务，并具备了相应的工程业绩。</w:t>
      </w:r>
    </w:p>
    <w:p>
      <w:pPr>
        <w:pStyle w:val="Heading4"/>
        <w:spacing w:line="492" w:lineRule="exact" w:before="20"/>
        <w:ind w:left="574" w:right="0" w:firstLine="60"/>
        <w:jc w:val="left"/>
      </w:pPr>
      <w:r>
        <w:rPr>
          <w:rFonts w:ascii="宋体" w:hAnsi="宋体" w:cs="宋体" w:eastAsia="宋体" w:hint="default"/>
          <w:b/>
          <w:bCs/>
        </w:rPr>
        <w:t>（二）科技创新优势</w:t>
      </w:r>
      <w:r>
        <w:rPr>
          <w:rFonts w:ascii="宋体" w:hAnsi="宋体" w:cs="宋体" w:eastAsia="宋体" w:hint="default"/>
          <w:b/>
          <w:bCs/>
          <w:w w:val="99"/>
        </w:rPr>
        <w:t> </w:t>
      </w:r>
      <w:r>
        <w:rPr>
          <w:spacing w:val="-1"/>
        </w:rPr>
        <w:t>作为国家高新技术企业，公司始终坚持以科技创新提升技术实力，以科技进步引领公司发展，并取得</w:t>
      </w:r>
    </w:p>
    <w:p>
      <w:pPr>
        <w:pStyle w:val="Heading4"/>
        <w:spacing w:line="259" w:lineRule="exact"/>
        <w:ind w:right="0"/>
        <w:jc w:val="left"/>
      </w:pPr>
      <w:r>
        <w:rPr/>
        <w:t>了丰硕的成果，共获得发明和实用新型专利</w:t>
      </w:r>
      <w:r>
        <w:rPr>
          <w:rFonts w:ascii="Times New Roman" w:hAnsi="Times New Roman" w:cs="Times New Roman" w:eastAsia="Times New Roman" w:hint="default"/>
        </w:rPr>
        <w:t>90</w:t>
      </w:r>
      <w:r>
        <w:rPr/>
        <w:t>项。其中，</w:t>
      </w:r>
      <w:r>
        <w:rPr>
          <w:rFonts w:ascii="Times New Roman" w:hAnsi="Times New Roman" w:cs="Times New Roman" w:eastAsia="Times New Roman" w:hint="default"/>
        </w:rPr>
        <w:t>2018</w:t>
      </w:r>
      <w:r>
        <w:rPr/>
        <w:t>年公司研发投入占总收入的</w:t>
      </w:r>
      <w:r>
        <w:rPr>
          <w:rFonts w:ascii="Times New Roman" w:hAnsi="Times New Roman" w:cs="Times New Roman" w:eastAsia="Times New Roman" w:hint="default"/>
        </w:rPr>
        <w:t>2.8%</w:t>
      </w:r>
      <w:r>
        <w:rPr/>
        <w:t>，共获得发</w:t>
      </w:r>
    </w:p>
    <w:p>
      <w:pPr>
        <w:pStyle w:val="Heading4"/>
        <w:spacing w:line="240" w:lineRule="auto" w:before="21"/>
        <w:ind w:right="0"/>
        <w:jc w:val="left"/>
      </w:pPr>
      <w:r>
        <w:rPr/>
        <w:t>明和实用新型专利</w:t>
      </w:r>
      <w:r>
        <w:rPr>
          <w:rFonts w:ascii="Times New Roman" w:hAnsi="Times New Roman" w:cs="Times New Roman" w:eastAsia="Times New Roman" w:hint="default"/>
        </w:rPr>
        <w:t>21</w:t>
      </w:r>
      <w:r>
        <w:rPr/>
        <w:t>项。</w:t>
      </w:r>
    </w:p>
    <w:p>
      <w:pPr>
        <w:spacing w:line="240" w:lineRule="auto" w:before="5"/>
        <w:rPr>
          <w:rFonts w:ascii="宋体" w:hAnsi="宋体" w:cs="宋体" w:eastAsia="宋体" w:hint="default"/>
          <w:sz w:val="15"/>
          <w:szCs w:val="15"/>
        </w:rPr>
      </w:pPr>
    </w:p>
    <w:p>
      <w:pPr>
        <w:pStyle w:val="Heading4"/>
        <w:spacing w:line="264" w:lineRule="auto"/>
        <w:ind w:right="1130" w:firstLine="422"/>
        <w:jc w:val="both"/>
      </w:pPr>
      <w:r>
        <w:rPr>
          <w:rFonts w:ascii="宋体" w:hAnsi="宋体" w:cs="宋体" w:eastAsia="宋体" w:hint="default"/>
          <w:b/>
          <w:bCs/>
          <w:spacing w:val="-1"/>
        </w:rPr>
        <w:t>海上风电勘察设计核心技术逐步形成。</w:t>
      </w:r>
      <w:r>
        <w:rPr>
          <w:spacing w:val="-1"/>
        </w:rPr>
        <w:t>公司抓住海上风电蓬勃发展的机会，积极开展海上风电勘察设</w:t>
      </w:r>
      <w:r>
        <w:rPr/>
        <w:t> </w:t>
      </w:r>
      <w:r>
        <w:rPr>
          <w:spacing w:val="-2"/>
        </w:rPr>
        <w:t>计关键技术研发，重点开展</w:t>
      </w:r>
      <w:r>
        <w:rPr>
          <w:rFonts w:ascii="Times New Roman" w:hAnsi="Times New Roman" w:cs="Times New Roman" w:eastAsia="Times New Roman" w:hint="default"/>
          <w:spacing w:val="-2"/>
        </w:rPr>
        <w:t>“</w:t>
      </w:r>
      <w:r>
        <w:rPr>
          <w:spacing w:val="-2"/>
        </w:rPr>
        <w:t>海上风电嵌岩单桩基础设计研究</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海上风电基础漂浮式防撞技术研究</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单</w:t>
      </w:r>
      <w:r>
        <w:rPr>
          <w:spacing w:val="-78"/>
        </w:rPr>
        <w:t> </w:t>
      </w:r>
      <w:r>
        <w:rPr/>
        <w:t>桩基础三维信息化技术在海上风电工程上的应用</w:t>
      </w:r>
      <w:r>
        <w:rPr>
          <w:rFonts w:ascii="Times New Roman" w:hAnsi="Times New Roman" w:cs="Times New Roman" w:eastAsia="Times New Roman" w:hint="default"/>
        </w:rPr>
        <w:t>”</w:t>
      </w:r>
      <w:r>
        <w:rPr/>
        <w:t>等关键技术研究。</w:t>
      </w:r>
      <w:r>
        <w:rPr>
          <w:rFonts w:ascii="Times New Roman" w:hAnsi="Times New Roman" w:cs="Times New Roman" w:eastAsia="Times New Roman" w:hint="default"/>
        </w:rPr>
        <w:t>2018</w:t>
      </w:r>
      <w:r>
        <w:rPr/>
        <w:t>年，取得了</w:t>
      </w:r>
      <w:r>
        <w:rPr>
          <w:rFonts w:ascii="Times New Roman" w:hAnsi="Times New Roman" w:cs="Times New Roman" w:eastAsia="Times New Roman" w:hint="default"/>
        </w:rPr>
        <w:t>“</w:t>
      </w:r>
      <w:r>
        <w:rPr/>
        <w:t>一种海上风电嵌岩单 </w:t>
      </w:r>
      <w:r>
        <w:rPr>
          <w:spacing w:val="-2"/>
        </w:rPr>
        <w:t>桩基础及其施工方法</w:t>
      </w:r>
      <w:r>
        <w:rPr>
          <w:rFonts w:ascii="Times New Roman" w:hAnsi="Times New Roman" w:cs="Times New Roman" w:eastAsia="Times New Roman" w:hint="default"/>
          <w:spacing w:val="-2"/>
        </w:rPr>
        <w:t>”</w:t>
      </w:r>
      <w:r>
        <w:rPr>
          <w:spacing w:val="-2"/>
        </w:rPr>
        <w:t>等</w:t>
      </w:r>
      <w:r>
        <w:rPr>
          <w:rFonts w:ascii="Times New Roman" w:hAnsi="Times New Roman" w:cs="Times New Roman" w:eastAsia="Times New Roman" w:hint="default"/>
          <w:spacing w:val="-2"/>
        </w:rPr>
        <w:t>5</w:t>
      </w:r>
      <w:r>
        <w:rPr>
          <w:spacing w:val="-2"/>
        </w:rPr>
        <w:t>项发明专利、</w:t>
      </w:r>
      <w:r>
        <w:rPr>
          <w:rFonts w:ascii="Times New Roman" w:hAnsi="Times New Roman" w:cs="Times New Roman" w:eastAsia="Times New Roman" w:hint="default"/>
          <w:spacing w:val="-2"/>
        </w:rPr>
        <w:t>“</w:t>
      </w:r>
      <w:r>
        <w:rPr>
          <w:spacing w:val="-2"/>
        </w:rPr>
        <w:t>一种风能和潮流能综合发电装置</w:t>
      </w:r>
      <w:r>
        <w:rPr>
          <w:rFonts w:ascii="Times New Roman" w:hAnsi="Times New Roman" w:cs="Times New Roman" w:eastAsia="Times New Roman" w:hint="default"/>
          <w:spacing w:val="-2"/>
        </w:rPr>
        <w:t>”</w:t>
      </w:r>
      <w:r>
        <w:rPr>
          <w:spacing w:val="-2"/>
        </w:rPr>
        <w:t>等</w:t>
      </w:r>
      <w:r>
        <w:rPr>
          <w:rFonts w:ascii="Times New Roman" w:hAnsi="Times New Roman" w:cs="Times New Roman" w:eastAsia="Times New Roman" w:hint="default"/>
          <w:spacing w:val="-2"/>
        </w:rPr>
        <w:t>4</w:t>
      </w:r>
      <w:r>
        <w:rPr>
          <w:spacing w:val="-2"/>
        </w:rPr>
        <w:t>项实用新型专利授权。海上风</w:t>
      </w:r>
      <w:r>
        <w:rPr/>
        <w:t> </w:t>
      </w:r>
      <w:r>
        <w:rPr>
          <w:spacing w:val="-1"/>
        </w:rPr>
        <w:t>电累计获得实用新型专利和发明专利</w:t>
      </w:r>
      <w:r>
        <w:rPr>
          <w:rFonts w:ascii="Times New Roman" w:hAnsi="Times New Roman" w:cs="Times New Roman" w:eastAsia="Times New Roman" w:hint="default"/>
          <w:spacing w:val="-1"/>
        </w:rPr>
        <w:t>25</w:t>
      </w:r>
      <w:r>
        <w:rPr>
          <w:spacing w:val="-1"/>
        </w:rPr>
        <w:t>项，成为国内首个提供三维数字化基础设计成果的设计单位。公司</w:t>
      </w:r>
      <w:r>
        <w:rPr>
          <w:spacing w:val="-82"/>
        </w:rPr>
        <w:t> </w:t>
      </w:r>
      <w:r>
        <w:rPr>
          <w:spacing w:val="-82"/>
        </w:rPr>
      </w:r>
      <w:r>
        <w:rPr>
          <w:spacing w:val="-1"/>
        </w:rPr>
        <w:t>积极参与国家能源局海上风电标准编制工作，参与国家能源行业标准《海上风电场风能资源小尺度数值模</w:t>
      </w:r>
      <w:r>
        <w:rPr>
          <w:spacing w:val="-81"/>
        </w:rPr>
        <w:t> </w:t>
      </w:r>
      <w:r>
        <w:rPr>
          <w:spacing w:val="-81"/>
        </w:rPr>
      </w:r>
      <w:r>
        <w:rPr>
          <w:spacing w:val="-1"/>
        </w:rPr>
        <w:t>拟技术规程》、福建省标准《福建省海上风电场平台与船舶接口设计要求规程》的编制工作。</w:t>
      </w:r>
      <w:r>
        <w:rPr>
          <w:rFonts w:ascii="Times New Roman" w:hAnsi="Times New Roman" w:cs="Times New Roman" w:eastAsia="Times New Roman" w:hint="default"/>
          <w:spacing w:val="-1"/>
        </w:rPr>
        <w:t>2018</w:t>
      </w:r>
      <w:r>
        <w:rPr>
          <w:spacing w:val="-1"/>
        </w:rPr>
        <w:t>年公司</w:t>
      </w:r>
      <w:r>
        <w:rPr>
          <w:spacing w:val="-83"/>
        </w:rPr>
        <w:t> </w:t>
      </w:r>
      <w:r>
        <w:rPr>
          <w:spacing w:val="-83"/>
        </w:rPr>
      </w:r>
      <w:r>
        <w:rPr/>
        <w:t>采购了进口多波束测深仪、浅地层剖面仪，应用先进仪器完成了</w:t>
      </w:r>
      <w:r>
        <w:rPr>
          <w:rFonts w:ascii="Times New Roman" w:hAnsi="Times New Roman" w:cs="Times New Roman" w:eastAsia="Times New Roman" w:hint="default"/>
        </w:rPr>
        <w:t>2</w:t>
      </w:r>
      <w:r>
        <w:rPr/>
        <w:t>个海上风电场的大比例尺海底地形测量</w:t>
      </w:r>
      <w:r>
        <w:rPr>
          <w:spacing w:val="-28"/>
        </w:rPr>
        <w:t> </w:t>
      </w:r>
      <w:r>
        <w:rPr>
          <w:spacing w:val="-28"/>
        </w:rPr>
      </w:r>
      <w:r>
        <w:rPr>
          <w:spacing w:val="-1"/>
        </w:rPr>
        <w:t>及浅地层剖面探测项目，掌握了多波束测深、浅地层剖面探测技术，提高了海上勘测的竞争力。公司通过</w:t>
      </w:r>
      <w:r>
        <w:rPr>
          <w:spacing w:val="-86"/>
        </w:rPr>
        <w:t> </w:t>
      </w:r>
      <w:r>
        <w:rPr>
          <w:spacing w:val="-86"/>
        </w:rPr>
      </w:r>
      <w:r>
        <w:rPr>
          <w:spacing w:val="-1"/>
        </w:rPr>
        <w:t>产学研相结合，积极参与海上风电工程检测、运维技术研发，使得公司海上风电技术覆盖全产业链，快速</w:t>
      </w:r>
      <w:r>
        <w:rPr>
          <w:spacing w:val="-86"/>
        </w:rPr>
        <w:t> </w:t>
      </w:r>
      <w:r>
        <w:rPr>
          <w:spacing w:val="-86"/>
        </w:rPr>
      </w:r>
      <w:r>
        <w:rPr/>
        <w:t>形成特色的、领先的海上风电核心技术，在国内海上风电设计舞台处于领先地位。</w:t>
      </w:r>
    </w:p>
    <w:p>
      <w:pPr>
        <w:spacing w:line="240" w:lineRule="auto" w:before="13"/>
        <w:rPr>
          <w:rFonts w:ascii="宋体" w:hAnsi="宋体" w:cs="宋体" w:eastAsia="宋体" w:hint="default"/>
          <w:sz w:val="14"/>
          <w:szCs w:val="14"/>
        </w:rPr>
      </w:pPr>
    </w:p>
    <w:p>
      <w:pPr>
        <w:pStyle w:val="Heading4"/>
        <w:spacing w:line="266" w:lineRule="auto"/>
        <w:ind w:right="1130" w:firstLine="422"/>
        <w:jc w:val="both"/>
      </w:pPr>
      <w:r>
        <w:rPr>
          <w:rFonts w:ascii="宋体" w:hAnsi="宋体" w:cs="宋体" w:eastAsia="宋体" w:hint="default"/>
          <w:b/>
          <w:bCs/>
          <w:spacing w:val="-1"/>
        </w:rPr>
        <w:t>智慧海上风电场研究引领潮流。</w:t>
      </w:r>
      <w:r>
        <w:rPr>
          <w:spacing w:val="-1"/>
        </w:rPr>
        <w:t>公司致力于智慧海上风电场研究，建设数字化风电场，构建海上互联</w:t>
      </w:r>
      <w:r>
        <w:rPr/>
        <w:t> </w:t>
      </w:r>
      <w:r>
        <w:rPr>
          <w:spacing w:val="-3"/>
        </w:rPr>
        <w:t>通信系统，引入人工智能分析云计算，依托</w:t>
      </w:r>
      <w:r>
        <w:rPr>
          <w:rFonts w:ascii="Times New Roman" w:hAnsi="Times New Roman" w:cs="Times New Roman" w:eastAsia="Times New Roman" w:hint="default"/>
          <w:spacing w:val="-3"/>
        </w:rPr>
        <w:t>VR</w:t>
      </w:r>
      <w:r>
        <w:rPr>
          <w:spacing w:val="-3"/>
        </w:rPr>
        <w:t>全息技术，实现海上风电设备物联、人机交互，最终形成具</w:t>
      </w:r>
      <w:r>
        <w:rPr>
          <w:spacing w:val="-71"/>
        </w:rPr>
        <w:t> </w:t>
      </w:r>
      <w:r>
        <w:rPr>
          <w:spacing w:val="-71"/>
        </w:rPr>
      </w:r>
      <w:r>
        <w:rPr>
          <w:spacing w:val="-1"/>
        </w:rPr>
        <w:t>有状态全面感知、信息高效智能处理、应用便捷灵活的智慧海上风电场服务系统。公司计划</w:t>
      </w:r>
      <w:r>
        <w:rPr>
          <w:rFonts w:ascii="Times New Roman" w:hAnsi="Times New Roman" w:cs="Times New Roman" w:eastAsia="Times New Roman" w:hint="default"/>
          <w:spacing w:val="-1"/>
        </w:rPr>
        <w:t>2019</w:t>
      </w:r>
      <w:r>
        <w:rPr>
          <w:spacing w:val="-1"/>
        </w:rPr>
        <w:t>年完成数</w:t>
      </w:r>
      <w:r>
        <w:rPr>
          <w:spacing w:val="-80"/>
        </w:rPr>
        <w:t> </w:t>
      </w:r>
      <w:r>
        <w:rPr>
          <w:spacing w:val="-1"/>
        </w:rPr>
        <w:t>字化海上风电场技术、海上风电互联通信系统和智慧海上风电施工管理平台研究。公司依托智慧海上风电</w:t>
      </w:r>
      <w:r>
        <w:rPr>
          <w:spacing w:val="-81"/>
        </w:rPr>
        <w:t> </w:t>
      </w:r>
      <w:r>
        <w:rPr>
          <w:spacing w:val="-81"/>
        </w:rPr>
      </w:r>
      <w:r>
        <w:rPr>
          <w:spacing w:val="-1"/>
        </w:rPr>
        <w:t>场研究，构建海上风电设计新业态，形成具有特色的智慧海上风电核心技术，从而在国内海上风电设计行</w:t>
      </w:r>
      <w:r>
        <w:rPr>
          <w:spacing w:val="-83"/>
        </w:rPr>
        <w:t> </w:t>
      </w:r>
      <w:r>
        <w:rPr>
          <w:spacing w:val="-83"/>
        </w:rPr>
      </w:r>
      <w:r>
        <w:rPr/>
        <w:t>业数字化、信息化和智能化中保持领先地位。</w:t>
      </w:r>
    </w:p>
    <w:p>
      <w:pPr>
        <w:spacing w:line="240" w:lineRule="auto" w:before="11"/>
        <w:rPr>
          <w:rFonts w:ascii="宋体" w:hAnsi="宋体" w:cs="宋体" w:eastAsia="宋体" w:hint="default"/>
          <w:sz w:val="14"/>
          <w:szCs w:val="14"/>
        </w:rPr>
      </w:pPr>
    </w:p>
    <w:p>
      <w:pPr>
        <w:pStyle w:val="Heading4"/>
        <w:spacing w:line="273" w:lineRule="auto"/>
        <w:ind w:right="1132" w:firstLine="422"/>
        <w:jc w:val="both"/>
      </w:pPr>
      <w:r>
        <w:rPr>
          <w:rFonts w:ascii="宋体" w:hAnsi="宋体" w:cs="宋体" w:eastAsia="宋体" w:hint="default"/>
          <w:b/>
          <w:bCs/>
          <w:spacing w:val="-1"/>
        </w:rPr>
        <w:t>数字化技术为智能电网提供数据服务。</w:t>
      </w:r>
      <w:r>
        <w:rPr>
          <w:spacing w:val="-1"/>
        </w:rPr>
        <w:t>数字化设计企业级实施对全设计行业而言都是全新的课题和巨</w:t>
      </w:r>
      <w:r>
        <w:rPr/>
        <w:t> </w:t>
      </w:r>
      <w:r>
        <w:rPr>
          <w:spacing w:val="-1"/>
        </w:rPr>
        <w:t>大挑战。公司将数字化设计企业级实施分为前期筹备阶段、规划制定阶段、全面启动阶段、整体推广四个</w:t>
      </w:r>
    </w:p>
    <w:p>
      <w:pPr>
        <w:spacing w:after="0" w:line="273" w:lineRule="auto"/>
        <w:jc w:val="both"/>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64" w:lineRule="auto" w:before="35"/>
        <w:ind w:right="1110"/>
        <w:jc w:val="both"/>
      </w:pPr>
      <w:r>
        <w:rPr>
          <w:spacing w:val="-1"/>
        </w:rPr>
        <w:t>阶段。</w:t>
      </w:r>
      <w:r>
        <w:rPr>
          <w:rFonts w:ascii="Times New Roman" w:hAnsi="Times New Roman" w:cs="Times New Roman" w:eastAsia="Times New Roman" w:hint="default"/>
          <w:spacing w:val="-1"/>
        </w:rPr>
        <w:t>2018</w:t>
      </w:r>
      <w:r>
        <w:rPr>
          <w:spacing w:val="-1"/>
        </w:rPr>
        <w:t>年成立公司数字化技术研发中心并完成了前两阶段研究工作，全面启动阶段工作完成过半，构</w:t>
      </w:r>
      <w:r>
        <w:rPr>
          <w:spacing w:val="-80"/>
        </w:rPr>
        <w:t> </w:t>
      </w:r>
      <w:r>
        <w:rPr>
          <w:spacing w:val="-80"/>
        </w:rPr>
      </w:r>
      <w:r>
        <w:rPr/>
        <w:t>建了“鹰图系列软件</w:t>
      </w:r>
      <w:r>
        <w:rPr>
          <w:rFonts w:ascii="Times New Roman" w:hAnsi="Times New Roman" w:cs="Times New Roman" w:eastAsia="Times New Roman" w:hint="default"/>
        </w:rPr>
        <w:t>+</w:t>
      </w:r>
      <w:r>
        <w:rPr/>
        <w:t>欧特克系列软件”发变电三维设计平台；完成基于虚拟桌面技术的</w:t>
      </w:r>
      <w:r>
        <w:rPr>
          <w:rFonts w:ascii="Times New Roman" w:hAnsi="Times New Roman" w:cs="Times New Roman" w:eastAsia="Times New Roman" w:hint="default"/>
        </w:rPr>
        <w:t>IT</w:t>
      </w:r>
      <w:r>
        <w:rPr/>
        <w:t>构架的研究工</w:t>
      </w:r>
      <w:r>
        <w:rPr>
          <w:spacing w:val="-30"/>
        </w:rPr>
        <w:t> </w:t>
      </w:r>
      <w:r>
        <w:rPr>
          <w:spacing w:val="-30"/>
        </w:rPr>
      </w:r>
      <w:r>
        <w:rPr/>
        <w:t>作；完成示范项目技术突破。</w:t>
      </w:r>
      <w:r>
        <w:rPr>
          <w:rFonts w:ascii="Times New Roman" w:hAnsi="Times New Roman" w:cs="Times New Roman" w:eastAsia="Times New Roman" w:hint="default"/>
        </w:rPr>
        <w:t>2019</w:t>
      </w:r>
      <w:r>
        <w:rPr/>
        <w:t>年下半年，永福股份将在电网、发电</w:t>
      </w:r>
      <w:r>
        <w:rPr>
          <w:rFonts w:ascii="Times New Roman" w:hAnsi="Times New Roman" w:cs="Times New Roman" w:eastAsia="Times New Roman" w:hint="default"/>
        </w:rPr>
        <w:t>BOP</w:t>
      </w:r>
      <w:r>
        <w:rPr/>
        <w:t>、海上风电板块全面推广数字 </w:t>
      </w:r>
      <w:r>
        <w:rPr>
          <w:spacing w:val="-1"/>
        </w:rPr>
        <w:t>化设计，在行业内率先实现数字化设计企业级实施，从根本上体现出数字化技术为企业带来的整体价值和</w:t>
      </w:r>
      <w:r>
        <w:rPr>
          <w:spacing w:val="-80"/>
        </w:rPr>
        <w:t> </w:t>
      </w:r>
      <w:r>
        <w:rPr>
          <w:spacing w:val="-80"/>
        </w:rPr>
      </w:r>
      <w:r>
        <w:rPr>
          <w:spacing w:val="-1"/>
        </w:rPr>
        <w:t>变革性的作用，引领新的工作流和行业惯例。公司为客户不仅带来更高质量的工程设计成果，同时提供附</w:t>
      </w:r>
      <w:r>
        <w:rPr>
          <w:spacing w:val="-83"/>
        </w:rPr>
        <w:t> </w:t>
      </w:r>
      <w:r>
        <w:rPr>
          <w:spacing w:val="-83"/>
        </w:rPr>
      </w:r>
      <w:r>
        <w:rPr>
          <w:spacing w:val="-5"/>
        </w:rPr>
        <w:t>加信息属性的数字孪生产品。在数字时代，数字化设计产品将充分发挥设计先导作用，实现泛在物联网“数</w:t>
      </w:r>
      <w:r>
        <w:rPr>
          <w:spacing w:val="-102"/>
        </w:rPr>
        <w:t> </w:t>
      </w:r>
      <w:r>
        <w:rPr>
          <w:spacing w:val="-102"/>
        </w:rPr>
      </w:r>
      <w:r>
        <w:rPr/>
        <w:t>据一个源</w:t>
      </w:r>
      <w:r>
        <w:rPr>
          <w:rFonts w:ascii="Times New Roman" w:hAnsi="Times New Roman" w:cs="Times New Roman" w:eastAsia="Times New Roman" w:hint="default"/>
        </w:rPr>
        <w:t>”</w:t>
      </w:r>
      <w:r>
        <w:rPr/>
        <w:t>的目标。另一方面，公司通过控股公司福建华超信息科技有限公司，介入国家电网公司全业务</w:t>
      </w:r>
      <w:r>
        <w:rPr>
          <w:spacing w:val="-25"/>
        </w:rPr>
        <w:t> </w:t>
      </w:r>
      <w:r>
        <w:rPr>
          <w:spacing w:val="-25"/>
        </w:rPr>
      </w:r>
      <w:r>
        <w:rPr/>
        <w:t>统一数据中心的开发，实现信息化、大数据和云平台等技术积累，在国家电网公司构建能源流、业务流、 数据流“三流合一”能源互联网的战略引领下共享发展，从产品建造到数据服务建造，延伸产业链。</w:t>
      </w:r>
    </w:p>
    <w:p>
      <w:pPr>
        <w:spacing w:line="240" w:lineRule="auto" w:before="13"/>
        <w:rPr>
          <w:rFonts w:ascii="宋体" w:hAnsi="宋体" w:cs="宋体" w:eastAsia="宋体" w:hint="default"/>
          <w:sz w:val="14"/>
          <w:szCs w:val="14"/>
        </w:rPr>
      </w:pPr>
    </w:p>
    <w:p>
      <w:pPr>
        <w:pStyle w:val="Heading4"/>
        <w:spacing w:line="264" w:lineRule="auto"/>
        <w:ind w:right="1131" w:firstLine="422"/>
        <w:jc w:val="both"/>
      </w:pPr>
      <w:r>
        <w:rPr>
          <w:rFonts w:ascii="宋体" w:hAnsi="宋体" w:cs="宋体" w:eastAsia="宋体" w:hint="default"/>
          <w:b/>
          <w:bCs/>
          <w:spacing w:val="-1"/>
        </w:rPr>
        <w:t>发挥人才优势驱动企业发展。</w:t>
      </w:r>
      <w:r>
        <w:rPr>
          <w:spacing w:val="-1"/>
        </w:rPr>
        <w:t>公司现已建立了一支团结、忠诚、敬业、务实、高效、高素质的管理团</w:t>
      </w:r>
      <w:r>
        <w:rPr/>
        <w:t> </w:t>
      </w:r>
      <w:r>
        <w:rPr>
          <w:spacing w:val="-1"/>
        </w:rPr>
        <w:t>队和技术、销售队伍，为保持公司持续稳定发展奠定了基础。公司核心管理人员大都具有深厚的专业背景</w:t>
      </w:r>
      <w:r>
        <w:rPr>
          <w:spacing w:val="-83"/>
        </w:rPr>
        <w:t> </w:t>
      </w:r>
      <w:r>
        <w:rPr>
          <w:spacing w:val="-83"/>
        </w:rPr>
      </w:r>
      <w:r>
        <w:rPr>
          <w:spacing w:val="-1"/>
        </w:rPr>
        <w:t>和丰富的行业经验，能够敏锐把握市场机会，确保公司在激烈的市场竞争中不断发展壮大。</w:t>
      </w:r>
      <w:r>
        <w:rPr>
          <w:rFonts w:ascii="Times New Roman" w:hAnsi="Times New Roman" w:cs="Times New Roman" w:eastAsia="Times New Roman" w:hint="default"/>
          <w:spacing w:val="-1"/>
        </w:rPr>
        <w:t>2018</w:t>
      </w:r>
      <w:r>
        <w:rPr>
          <w:spacing w:val="-1"/>
        </w:rPr>
        <w:t>年，公司</w:t>
      </w:r>
      <w:r>
        <w:rPr>
          <w:spacing w:val="-82"/>
        </w:rPr>
        <w:t> </w:t>
      </w:r>
      <w:r>
        <w:rPr>
          <w:spacing w:val="-82"/>
        </w:rPr>
      </w:r>
      <w:r>
        <w:rPr/>
        <w:t>获得福建省人力资源及社会保障厅授予的</w:t>
      </w:r>
      <w:r>
        <w:rPr>
          <w:spacing w:val="11"/>
        </w:rPr>
        <w:t> </w:t>
      </w:r>
      <w:r>
        <w:rPr>
          <w:rFonts w:ascii="Times New Roman" w:hAnsi="Times New Roman" w:cs="Times New Roman" w:eastAsia="Times New Roman" w:hint="default"/>
          <w:spacing w:val="-4"/>
        </w:rPr>
        <w:t>“</w:t>
      </w:r>
      <w:r>
        <w:rPr>
          <w:spacing w:val="-4"/>
        </w:rPr>
        <w:t>博士后创新实践基地</w:t>
      </w:r>
      <w:r>
        <w:rPr>
          <w:rFonts w:ascii="Times New Roman" w:hAnsi="Times New Roman" w:cs="Times New Roman" w:eastAsia="Times New Roman" w:hint="default"/>
          <w:spacing w:val="-4"/>
        </w:rPr>
        <w:t>”</w:t>
      </w:r>
      <w:r>
        <w:rPr>
          <w:spacing w:val="-4"/>
        </w:rPr>
        <w:t>资格。公司将以项目合作、校企联合等多</w:t>
      </w:r>
      <w:r>
        <w:rPr/>
        <w:t> 种方式，吸收和引进人才，打造高素质的研发队伍，打通</w:t>
      </w:r>
      <w:r>
        <w:rPr>
          <w:rFonts w:ascii="Times New Roman" w:hAnsi="Times New Roman" w:cs="Times New Roman" w:eastAsia="Times New Roman" w:hint="default"/>
        </w:rPr>
        <w:t>“</w:t>
      </w:r>
      <w:r>
        <w:rPr/>
        <w:t>产学研用</w:t>
      </w:r>
      <w:r>
        <w:rPr>
          <w:rFonts w:ascii="Times New Roman" w:hAnsi="Times New Roman" w:cs="Times New Roman" w:eastAsia="Times New Roman" w:hint="default"/>
        </w:rPr>
        <w:t>”</w:t>
      </w:r>
      <w:r>
        <w:rPr/>
        <w:t>的整体渠道，鼓励员工积极参加对外 </w:t>
      </w:r>
      <w:r>
        <w:rPr>
          <w:spacing w:val="-1"/>
        </w:rPr>
        <w:t>高端技术交流，跟踪储备行业前沿技术，掌握电力能源新技术、新模式、新业态，从而对专业人才队伍建</w:t>
      </w:r>
      <w:r>
        <w:rPr>
          <w:spacing w:val="-82"/>
        </w:rPr>
        <w:t> </w:t>
      </w:r>
      <w:r>
        <w:rPr>
          <w:spacing w:val="-82"/>
        </w:rPr>
      </w:r>
      <w:r>
        <w:rPr/>
        <w:t>设和核心技术能力培养发挥重要作用，进一步增强技术进步和创新能力，助推公司业务转型升级。</w:t>
      </w:r>
    </w:p>
    <w:p>
      <w:pPr>
        <w:spacing w:line="240" w:lineRule="auto" w:before="13"/>
        <w:rPr>
          <w:rFonts w:ascii="宋体" w:hAnsi="宋体" w:cs="宋体" w:eastAsia="宋体" w:hint="default"/>
          <w:sz w:val="14"/>
          <w:szCs w:val="14"/>
        </w:rPr>
      </w:pPr>
    </w:p>
    <w:p>
      <w:pPr>
        <w:pStyle w:val="Heading4"/>
        <w:spacing w:line="256" w:lineRule="auto"/>
        <w:ind w:right="1085" w:firstLine="480"/>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日，公司拥有技术人员</w:t>
      </w:r>
      <w:r>
        <w:rPr>
          <w:rFonts w:ascii="Times New Roman" w:hAnsi="Times New Roman" w:cs="Times New Roman" w:eastAsia="Times New Roman" w:hint="default"/>
        </w:rPr>
        <w:t>418</w:t>
      </w:r>
      <w:r>
        <w:rPr/>
        <w:t>人，占员工总数的</w:t>
      </w:r>
      <w:r>
        <w:rPr>
          <w:rFonts w:ascii="Times New Roman" w:hAnsi="Times New Roman" w:cs="Times New Roman" w:eastAsia="Times New Roman" w:hint="default"/>
        </w:rPr>
        <w:t>63%</w:t>
      </w:r>
      <w:r>
        <w:rPr/>
        <w:t>。工程师及以上职称员工</w:t>
      </w:r>
      <w:r>
        <w:rPr>
          <w:rFonts w:ascii="Times New Roman" w:hAnsi="Times New Roman" w:cs="Times New Roman" w:eastAsia="Times New Roman" w:hint="default"/>
        </w:rPr>
        <w:t>286</w:t>
      </w:r>
      <w:r>
        <w:rPr/>
        <w:t>人， </w:t>
      </w:r>
      <w:r>
        <w:rPr>
          <w:spacing w:val="-2"/>
        </w:rPr>
        <w:t>占员工总数的</w:t>
      </w:r>
      <w:r>
        <w:rPr>
          <w:rFonts w:ascii="Times New Roman" w:hAnsi="Times New Roman" w:cs="Times New Roman" w:eastAsia="Times New Roman" w:hint="default"/>
          <w:spacing w:val="-2"/>
        </w:rPr>
        <w:t>43%</w:t>
      </w:r>
      <w:r>
        <w:rPr>
          <w:spacing w:val="-2"/>
        </w:rPr>
        <w:t>，其中高级工程师</w:t>
      </w:r>
      <w:r>
        <w:rPr>
          <w:rFonts w:ascii="Times New Roman" w:hAnsi="Times New Roman" w:cs="Times New Roman" w:eastAsia="Times New Roman" w:hint="default"/>
          <w:spacing w:val="-2"/>
        </w:rPr>
        <w:t>142</w:t>
      </w:r>
      <w:r>
        <w:rPr>
          <w:spacing w:val="-2"/>
        </w:rPr>
        <w:t>人，教授级高级工程师</w:t>
      </w:r>
      <w:r>
        <w:rPr>
          <w:rFonts w:ascii="Times New Roman" w:hAnsi="Times New Roman" w:cs="Times New Roman" w:eastAsia="Times New Roman" w:hint="default"/>
          <w:spacing w:val="-2"/>
        </w:rPr>
        <w:t>4</w:t>
      </w:r>
      <w:r>
        <w:rPr>
          <w:spacing w:val="-2"/>
        </w:rPr>
        <w:t>人，各类国家注册师</w:t>
      </w:r>
      <w:r>
        <w:rPr>
          <w:rFonts w:ascii="Times New Roman" w:hAnsi="Times New Roman" w:cs="Times New Roman" w:eastAsia="Times New Roman" w:hint="default"/>
          <w:spacing w:val="-2"/>
        </w:rPr>
        <w:t>126</w:t>
      </w:r>
      <w:r>
        <w:rPr>
          <w:spacing w:val="-2"/>
        </w:rPr>
        <w:t>人，高素质的管理</w:t>
      </w:r>
      <w:r>
        <w:rPr>
          <w:spacing w:val="-103"/>
        </w:rPr>
        <w:t> </w:t>
      </w:r>
      <w:r>
        <w:rPr>
          <w:spacing w:val="-103"/>
        </w:rPr>
      </w:r>
      <w:r>
        <w:rPr/>
        <w:t>人员和技术人才队伍为公司的技术研发和持续快速发展提供了有力保障。</w:t>
      </w:r>
    </w:p>
    <w:p>
      <w:pPr>
        <w:pStyle w:val="Heading4"/>
        <w:spacing w:line="492" w:lineRule="exact" w:before="54"/>
        <w:ind w:left="469" w:right="0" w:firstLine="164"/>
        <w:jc w:val="left"/>
      </w:pPr>
      <w:r>
        <w:rPr>
          <w:rFonts w:ascii="宋体" w:hAnsi="宋体" w:cs="宋体" w:eastAsia="宋体" w:hint="default"/>
          <w:b/>
          <w:bCs/>
        </w:rPr>
        <w:t>（三）体制机制优势</w:t>
      </w:r>
      <w:r>
        <w:rPr>
          <w:rFonts w:ascii="宋体" w:hAnsi="宋体" w:cs="宋体" w:eastAsia="宋体" w:hint="default"/>
          <w:b/>
          <w:bCs/>
          <w:w w:val="99"/>
        </w:rPr>
        <w:t> </w:t>
      </w:r>
      <w:r>
        <w:rPr/>
        <w:t>全国拥有工程设计电力行业甲级及以上资质的企业约</w:t>
      </w:r>
      <w:r>
        <w:rPr>
          <w:rFonts w:ascii="Times New Roman" w:hAnsi="Times New Roman" w:cs="Times New Roman" w:eastAsia="Times New Roman" w:hint="default"/>
        </w:rPr>
        <w:t>50</w:t>
      </w:r>
      <w:r>
        <w:rPr/>
        <w:t>家，主要由中国电力工程顾问集团和中国电力</w:t>
      </w:r>
    </w:p>
    <w:p>
      <w:pPr>
        <w:pStyle w:val="Heading4"/>
        <w:spacing w:line="243" w:lineRule="exact"/>
        <w:ind w:right="0"/>
        <w:jc w:val="both"/>
      </w:pPr>
      <w:r>
        <w:rPr/>
        <w:t>建设集团所属的六大区域电力设计院及部分省级电力设计院组成，公司与上述电力勘察设计企业相比，公</w:t>
      </w:r>
    </w:p>
    <w:p>
      <w:pPr>
        <w:pStyle w:val="Heading4"/>
        <w:spacing w:line="273" w:lineRule="auto" w:before="37"/>
        <w:ind w:right="1110"/>
        <w:jc w:val="both"/>
      </w:pPr>
      <w:r>
        <w:rPr/>
        <w:t>司能发挥自主经营权优势，实现高效决策、更快地响应市场需求，并能根据市场变化及时调整经营策略； </w:t>
      </w:r>
      <w:r>
        <w:rPr>
          <w:spacing w:val="-1"/>
        </w:rPr>
        <w:t>能发挥机构合理高效、执行力强的优势，能最大限度地降低运营成本；能发挥人才激励和淘汰机制，能充</w:t>
      </w:r>
      <w:r>
        <w:rPr>
          <w:spacing w:val="-86"/>
        </w:rPr>
        <w:t> </w:t>
      </w:r>
      <w:r>
        <w:rPr>
          <w:spacing w:val="-86"/>
        </w:rPr>
      </w:r>
      <w:r>
        <w:rPr/>
        <w:t>分调动员工积极性，实现企业及员工价值的最大化。</w:t>
      </w:r>
    </w:p>
    <w:p>
      <w:pPr>
        <w:pStyle w:val="Heading4"/>
        <w:spacing w:line="273" w:lineRule="auto" w:before="46"/>
        <w:ind w:right="1133" w:firstLine="315"/>
        <w:jc w:val="both"/>
      </w:pPr>
      <w:r>
        <w:rPr>
          <w:rFonts w:ascii="宋体" w:hAnsi="宋体" w:cs="宋体" w:eastAsia="宋体" w:hint="default"/>
          <w:b/>
          <w:bCs/>
        </w:rPr>
        <w:t>发挥体制机制优势开拓海外市场。</w:t>
      </w:r>
      <w:r>
        <w:rPr/>
        <w:t>通过科学高效的决策机制，快速响应市场需求；建立高效的营销机 </w:t>
      </w:r>
      <w:r>
        <w:rPr>
          <w:spacing w:val="-1"/>
        </w:rPr>
        <w:t>制，及时把握市场商机；创新采用多种国际商务模式、项目管理模式以及创新业务流程，提升了国际市场</w:t>
      </w:r>
      <w:r>
        <w:rPr>
          <w:spacing w:val="-86"/>
        </w:rPr>
        <w:t> </w:t>
      </w:r>
      <w:r>
        <w:rPr>
          <w:spacing w:val="-86"/>
        </w:rPr>
      </w:r>
      <w:r>
        <w:rPr/>
        <w:t>的开拓能力和执行能力，强化了境外工程的管理效率，全面提高公司国际业务的经济效益。</w:t>
      </w:r>
    </w:p>
    <w:p>
      <w:pPr>
        <w:spacing w:line="240" w:lineRule="auto" w:before="5"/>
        <w:rPr>
          <w:rFonts w:ascii="宋体" w:hAnsi="宋体" w:cs="宋体" w:eastAsia="宋体" w:hint="default"/>
          <w:sz w:val="14"/>
          <w:szCs w:val="14"/>
        </w:rPr>
      </w:pPr>
    </w:p>
    <w:p>
      <w:pPr>
        <w:pStyle w:val="Heading4"/>
        <w:spacing w:line="266" w:lineRule="auto"/>
        <w:ind w:right="1132" w:firstLine="422"/>
        <w:jc w:val="both"/>
      </w:pPr>
      <w:r>
        <w:rPr>
          <w:rFonts w:ascii="宋体" w:hAnsi="宋体" w:cs="宋体" w:eastAsia="宋体" w:hint="default"/>
          <w:b/>
          <w:bCs/>
          <w:spacing w:val="-1"/>
        </w:rPr>
        <w:t>事业部制改革提高企业运营效率。</w:t>
      </w:r>
      <w:r>
        <w:rPr>
          <w:rFonts w:ascii="Times New Roman" w:hAnsi="Times New Roman" w:cs="Times New Roman" w:eastAsia="Times New Roman" w:hint="default"/>
          <w:spacing w:val="-1"/>
        </w:rPr>
        <w:t>2018</w:t>
      </w:r>
      <w:r>
        <w:rPr>
          <w:spacing w:val="-1"/>
        </w:rPr>
        <w:t>年公司在组织构架上进行了重大调整，根据业务分工设立多个</w:t>
      </w:r>
      <w:r>
        <w:rPr/>
        <w:t> </w:t>
      </w:r>
      <w:r>
        <w:rPr>
          <w:spacing w:val="-1"/>
        </w:rPr>
        <w:t>事业部，形成生产经营一体化、设计总包一体化的管理模式，优化内部生产经营管理流程，公司对事业部</w:t>
      </w:r>
      <w:r>
        <w:rPr>
          <w:spacing w:val="-86"/>
        </w:rPr>
        <w:t> </w:t>
      </w:r>
      <w:r>
        <w:rPr>
          <w:spacing w:val="-86"/>
        </w:rPr>
      </w:r>
      <w:r>
        <w:rPr>
          <w:spacing w:val="-1"/>
        </w:rPr>
        <w:t>充分授权，提高企业运营效率；统一事业部的责权利，增强全员市场意识及经营意识，同时配套出台相关</w:t>
      </w:r>
      <w:r>
        <w:rPr>
          <w:spacing w:val="-86"/>
        </w:rPr>
        <w:t> </w:t>
      </w:r>
      <w:r>
        <w:rPr>
          <w:spacing w:val="-86"/>
        </w:rPr>
      </w:r>
      <w:r>
        <w:rPr/>
        <w:t>制度，实现员工的收入与企业效益直接挂钩，做到收入上不封顶的原则，激发员工的积极性。</w:t>
      </w:r>
    </w:p>
    <w:p>
      <w:pPr>
        <w:spacing w:line="240" w:lineRule="auto" w:before="11"/>
        <w:rPr>
          <w:rFonts w:ascii="宋体" w:hAnsi="宋体" w:cs="宋体" w:eastAsia="宋体" w:hint="default"/>
          <w:sz w:val="14"/>
          <w:szCs w:val="14"/>
        </w:rPr>
      </w:pPr>
    </w:p>
    <w:p>
      <w:pPr>
        <w:pStyle w:val="Heading4"/>
        <w:spacing w:line="268" w:lineRule="auto"/>
        <w:ind w:right="1131" w:firstLine="422"/>
        <w:jc w:val="both"/>
      </w:pPr>
      <w:r>
        <w:rPr>
          <w:rFonts w:ascii="宋体" w:hAnsi="宋体" w:cs="宋体" w:eastAsia="宋体" w:hint="default"/>
          <w:b/>
          <w:bCs/>
          <w:spacing w:val="-1"/>
        </w:rPr>
        <w:t>骨干员工持股增强企业的凝聚力和创造力。</w:t>
      </w:r>
      <w:r>
        <w:rPr>
          <w:spacing w:val="-1"/>
        </w:rPr>
        <w:t>公司自成立之初就一直非常重视团队建设及人才培养，通</w:t>
      </w:r>
      <w:r>
        <w:rPr/>
        <w:t> </w:t>
      </w:r>
      <w:r>
        <w:rPr>
          <w:spacing w:val="-1"/>
        </w:rPr>
        <w:t>过持股制度安排，实现员工共享企业发展成果；同时公司注重建立长期人才激励政策，</w:t>
      </w:r>
      <w:r>
        <w:rPr>
          <w:rFonts w:ascii="Times New Roman" w:hAnsi="Times New Roman" w:cs="Times New Roman" w:eastAsia="Times New Roman" w:hint="default"/>
          <w:spacing w:val="-1"/>
        </w:rPr>
        <w:t>2018</w:t>
      </w:r>
      <w:r>
        <w:rPr>
          <w:spacing w:val="-1"/>
        </w:rPr>
        <w:t>年，公司推出</w:t>
      </w:r>
      <w:r>
        <w:rPr>
          <w:spacing w:val="-84"/>
        </w:rPr>
        <w:t> </w:t>
      </w:r>
      <w:r>
        <w:rPr>
          <w:spacing w:val="-84"/>
        </w:rPr>
      </w:r>
      <w:r>
        <w:rPr>
          <w:spacing w:val="-1"/>
        </w:rPr>
        <w:t>了第一期员工持股计划，将企业发展的成果与员工共享；再者公司制定了形式多样的激励政策和绩效考核</w:t>
      </w:r>
      <w:r>
        <w:rPr>
          <w:spacing w:val="-81"/>
        </w:rPr>
        <w:t> </w:t>
      </w:r>
      <w:r>
        <w:rPr>
          <w:spacing w:val="-81"/>
        </w:rPr>
      </w:r>
      <w:r>
        <w:rPr>
          <w:spacing w:val="-1"/>
        </w:rPr>
        <w:t>制度，并为员工提供了多元化的发展通道及成长机会；进而充分调动员工积极主动性，增强企业的凝聚力</w:t>
      </w:r>
      <w:r>
        <w:rPr>
          <w:spacing w:val="-83"/>
        </w:rPr>
        <w:t> </w:t>
      </w:r>
      <w:r>
        <w:rPr>
          <w:spacing w:val="-83"/>
        </w:rPr>
      </w:r>
      <w:r>
        <w:rPr/>
        <w:t>和创新能力，吸引更多优秀人才，为公司的快速发展奠定了坚实的基础。</w:t>
      </w:r>
    </w:p>
    <w:p>
      <w:pPr>
        <w:spacing w:line="240" w:lineRule="auto" w:before="9"/>
        <w:rPr>
          <w:rFonts w:ascii="宋体" w:hAnsi="宋体" w:cs="宋体" w:eastAsia="宋体" w:hint="default"/>
          <w:sz w:val="14"/>
          <w:szCs w:val="14"/>
        </w:rPr>
      </w:pPr>
    </w:p>
    <w:p>
      <w:pPr>
        <w:pStyle w:val="Heading4"/>
        <w:spacing w:line="429" w:lineRule="auto"/>
        <w:ind w:left="574" w:right="0" w:firstLine="60"/>
        <w:jc w:val="left"/>
      </w:pPr>
      <w:r>
        <w:rPr>
          <w:rFonts w:ascii="宋体" w:hAnsi="宋体" w:cs="宋体" w:eastAsia="宋体" w:hint="default"/>
          <w:b/>
          <w:bCs/>
        </w:rPr>
        <w:t>（四）品牌信誉优势</w:t>
      </w:r>
      <w:r>
        <w:rPr>
          <w:rFonts w:ascii="宋体" w:hAnsi="宋体" w:cs="宋体" w:eastAsia="宋体" w:hint="default"/>
          <w:b/>
          <w:bCs/>
          <w:w w:val="99"/>
        </w:rPr>
        <w:t> </w:t>
      </w:r>
      <w:r>
        <w:rPr/>
        <w:t>公司是目前唯一一家在</w:t>
      </w:r>
      <w:r>
        <w:rPr>
          <w:rFonts w:ascii="Times New Roman" w:hAnsi="Times New Roman" w:cs="Times New Roman" w:eastAsia="Times New Roman" w:hint="default"/>
        </w:rPr>
        <w:t>A</w:t>
      </w:r>
      <w:r>
        <w:rPr/>
        <w:t>股自主上市的电力勘察设计企业，在全国千余家电力勘察设计企业中名列前</w:t>
      </w:r>
    </w:p>
    <w:p>
      <w:pPr>
        <w:spacing w:after="0" w:line="429"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73" w:lineRule="auto" w:before="35"/>
        <w:ind w:right="1132"/>
        <w:jc w:val="both"/>
      </w:pPr>
      <w:r>
        <w:rPr>
          <w:spacing w:val="-1"/>
        </w:rPr>
        <w:t>茅，具有品牌和信誉优势。主要体现在公司发挥上市公司资本运作平台的优势，通过资产并购等手段，跨</w:t>
      </w:r>
      <w:r>
        <w:rPr>
          <w:spacing w:val="-84"/>
        </w:rPr>
        <w:t> </w:t>
      </w:r>
      <w:r>
        <w:rPr>
          <w:spacing w:val="-84"/>
        </w:rPr>
      </w:r>
      <w:r>
        <w:rPr>
          <w:spacing w:val="-1"/>
        </w:rPr>
        <w:t>区实现产业并购，以获得新的市场空间；发挥吸引高端人才优势，在激烈的市场竞争中，抢占智力资本的</w:t>
      </w:r>
      <w:r>
        <w:rPr>
          <w:spacing w:val="-86"/>
        </w:rPr>
        <w:t> </w:t>
      </w:r>
      <w:r>
        <w:rPr>
          <w:spacing w:val="-86"/>
        </w:rPr>
      </w:r>
      <w:r>
        <w:rPr/>
        <w:t>制高点。</w:t>
      </w:r>
    </w:p>
    <w:p>
      <w:pPr>
        <w:spacing w:line="240" w:lineRule="auto" w:before="5"/>
        <w:rPr>
          <w:rFonts w:ascii="宋体" w:hAnsi="宋体" w:cs="宋体" w:eastAsia="宋体" w:hint="default"/>
          <w:sz w:val="14"/>
          <w:szCs w:val="14"/>
        </w:rPr>
      </w:pPr>
    </w:p>
    <w:p>
      <w:pPr>
        <w:pStyle w:val="Heading4"/>
        <w:spacing w:line="259" w:lineRule="auto"/>
        <w:ind w:right="0" w:firstLine="420"/>
        <w:jc w:val="left"/>
      </w:pPr>
      <w:r>
        <w:rPr/>
        <w:t>公司同国家电网公司、大型发电集团、上海电气等</w:t>
      </w:r>
      <w:r>
        <w:rPr>
          <w:rFonts w:ascii="Times New Roman" w:hAnsi="Times New Roman" w:cs="Times New Roman" w:eastAsia="Times New Roman" w:hint="default"/>
        </w:rPr>
        <w:t>30</w:t>
      </w:r>
      <w:r>
        <w:rPr/>
        <w:t>多家大型国有企业及其下属公司建立了稳定的合 作关系，经过</w:t>
      </w:r>
      <w:r>
        <w:rPr>
          <w:rFonts w:ascii="Times New Roman" w:hAnsi="Times New Roman" w:cs="Times New Roman" w:eastAsia="Times New Roman" w:hint="default"/>
        </w:rPr>
        <w:t>20</w:t>
      </w:r>
      <w:r>
        <w:rPr/>
        <w:t>余年的发展，公司在大型燃机及分布式能源站、陆上风力发电、海上风力发电、太阳能发 电、生物质发电、核电等发电工程和包括特高压在内的全电压等级输变电工程的勘察设计以及工程总承包 等领域形成了专业优势，积累了丰富的电力工程勘察设计及</w:t>
      </w:r>
      <w:r>
        <w:rPr>
          <w:rFonts w:ascii="Times New Roman" w:hAnsi="Times New Roman" w:cs="Times New Roman" w:eastAsia="Times New Roman" w:hint="default"/>
        </w:rPr>
        <w:t>EPC</w:t>
      </w:r>
      <w:r>
        <w:rPr/>
        <w:t>工程总承包经验，已在行业内形成明显的</w:t>
      </w:r>
      <w:r>
        <w:rPr>
          <w:spacing w:val="-96"/>
        </w:rPr>
        <w:t> </w:t>
      </w:r>
      <w:r>
        <w:rPr>
          <w:spacing w:val="-96"/>
        </w:rPr>
      </w:r>
      <w:r>
        <w:rPr>
          <w:spacing w:val="-1"/>
        </w:rPr>
        <w:t>品牌影响力。承担或参与了</w:t>
      </w:r>
      <w:r>
        <w:rPr>
          <w:rFonts w:ascii="Times New Roman" w:hAnsi="Times New Roman" w:cs="Times New Roman" w:eastAsia="Times New Roman" w:hint="default"/>
          <w:spacing w:val="-1"/>
        </w:rPr>
        <w:t>100</w:t>
      </w:r>
      <w:r>
        <w:rPr>
          <w:spacing w:val="-1"/>
        </w:rPr>
        <w:t>多项国家与省级重点工程的勘察设计任务，多项国家或行业标准编制任务，</w:t>
      </w:r>
      <w:r>
        <w:rPr>
          <w:spacing w:val="-81"/>
        </w:rPr>
        <w:t> </w:t>
      </w:r>
      <w:r>
        <w:rPr>
          <w:spacing w:val="-81"/>
        </w:rPr>
      </w:r>
      <w:r>
        <w:rPr>
          <w:spacing w:val="-2"/>
        </w:rPr>
        <w:t>获得国家及省部级优质工程</w:t>
      </w:r>
      <w:r>
        <w:rPr>
          <w:rFonts w:ascii="Times New Roman" w:hAnsi="Times New Roman" w:cs="Times New Roman" w:eastAsia="Times New Roman" w:hint="default"/>
          <w:spacing w:val="-2"/>
        </w:rPr>
        <w:t>158</w:t>
      </w:r>
      <w:r>
        <w:rPr>
          <w:spacing w:val="-2"/>
        </w:rPr>
        <w:t>项。报告期内公司承担设计的蒙西</w:t>
      </w:r>
      <w:r>
        <w:rPr>
          <w:rFonts w:ascii="Times New Roman" w:hAnsi="Times New Roman" w:cs="Times New Roman" w:eastAsia="Times New Roman" w:hint="default"/>
          <w:spacing w:val="-2"/>
        </w:rPr>
        <w:t>~</w:t>
      </w:r>
      <w:r>
        <w:rPr>
          <w:spacing w:val="-2"/>
        </w:rPr>
        <w:t>天津南</w:t>
      </w:r>
      <w:r>
        <w:rPr>
          <w:rFonts w:ascii="Times New Roman" w:hAnsi="Times New Roman" w:cs="Times New Roman" w:eastAsia="Times New Roman" w:hint="default"/>
          <w:spacing w:val="-2"/>
        </w:rPr>
        <w:t>1000kV</w:t>
      </w:r>
      <w:r>
        <w:rPr>
          <w:spacing w:val="-2"/>
        </w:rPr>
        <w:t>特高压交流线路工程获得</w:t>
      </w:r>
      <w:r>
        <w:rPr>
          <w:spacing w:val="-81"/>
        </w:rPr>
        <w:t> </w:t>
      </w:r>
      <w:r>
        <w:rPr>
          <w:rFonts w:ascii="Times New Roman" w:hAnsi="Times New Roman" w:cs="Times New Roman" w:eastAsia="Times New Roman" w:hint="default"/>
        </w:rPr>
        <w:t>2017</w:t>
      </w:r>
      <w:r>
        <w:rPr/>
        <w:t>年度电力行业优秀工程设计一等奖；同利（牛首山）</w:t>
      </w:r>
      <w:r>
        <w:rPr>
          <w:rFonts w:ascii="Times New Roman" w:hAnsi="Times New Roman" w:cs="Times New Roman" w:eastAsia="Times New Roman" w:hint="default"/>
        </w:rPr>
        <w:t>330kV</w:t>
      </w:r>
      <w:r>
        <w:rPr/>
        <w:t>变电站工程、扎鲁特</w:t>
      </w:r>
      <w:r>
        <w:rPr>
          <w:rFonts w:ascii="Times New Roman" w:hAnsi="Times New Roman" w:cs="Times New Roman" w:eastAsia="Times New Roman" w:hint="default"/>
        </w:rPr>
        <w:t>~</w:t>
      </w:r>
      <w:r>
        <w:rPr/>
        <w:t>青州±</w:t>
      </w:r>
      <w:r>
        <w:rPr>
          <w:rFonts w:ascii="Times New Roman" w:hAnsi="Times New Roman" w:cs="Times New Roman" w:eastAsia="Times New Roman" w:hint="default"/>
        </w:rPr>
        <w:t>800kV</w:t>
      </w:r>
      <w:r>
        <w:rPr/>
        <w:t>特高压 直流线路工程同时获得国家电网公司</w:t>
      </w:r>
      <w:r>
        <w:rPr>
          <w:rFonts w:ascii="Times New Roman" w:hAnsi="Times New Roman" w:cs="Times New Roman" w:eastAsia="Times New Roman" w:hint="default"/>
        </w:rPr>
        <w:t>2018</w:t>
      </w:r>
      <w:r>
        <w:rPr/>
        <w:t>年度输变电工程优秀设计一等奖。</w:t>
      </w:r>
    </w:p>
    <w:p>
      <w:pPr>
        <w:spacing w:after="0" w:line="259" w:lineRule="auto"/>
        <w:jc w:val="left"/>
        <w:sectPr>
          <w:pgSz w:w="11910" w:h="16840"/>
          <w:pgMar w:header="850" w:footer="1267" w:top="1260" w:bottom="14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Heading4"/>
        <w:spacing w:line="264" w:lineRule="auto"/>
        <w:ind w:right="1130" w:firstLine="482"/>
        <w:jc w:val="both"/>
      </w:pPr>
      <w:r>
        <w:rPr>
          <w:rFonts w:ascii="Times New Roman" w:hAnsi="Times New Roman" w:cs="Times New Roman" w:eastAsia="Times New Roman" w:hint="default"/>
          <w:spacing w:val="-2"/>
        </w:rPr>
        <w:t>2018</w:t>
      </w:r>
      <w:r>
        <w:rPr>
          <w:spacing w:val="-2"/>
        </w:rPr>
        <w:t>年，我国面临多年少有的国内外复杂严峻形势，经济出现新的下行压力，但经济运行保持在合理</w:t>
      </w:r>
      <w:r>
        <w:rPr/>
        <w:t> </w:t>
      </w:r>
      <w:r>
        <w:rPr>
          <w:spacing w:val="-1"/>
        </w:rPr>
        <w:t>区间，全年国内生产总值同比增长</w:t>
      </w:r>
      <w:r>
        <w:rPr>
          <w:rFonts w:ascii="Times New Roman" w:hAnsi="Times New Roman" w:cs="Times New Roman" w:eastAsia="Times New Roman" w:hint="default"/>
          <w:spacing w:val="-1"/>
        </w:rPr>
        <w:t>6.6%</w:t>
      </w:r>
      <w:r>
        <w:rPr>
          <w:spacing w:val="-1"/>
        </w:rPr>
        <w:t>。经济发展新动能快速成长，新兴产业蓬勃发展，传统产业加快转</w:t>
      </w:r>
      <w:r>
        <w:rPr>
          <w:spacing w:val="-100"/>
        </w:rPr>
        <w:t> </w:t>
      </w:r>
      <w:r>
        <w:rPr>
          <w:spacing w:val="-100"/>
        </w:rPr>
      </w:r>
      <w:r>
        <w:rPr>
          <w:spacing w:val="-1"/>
        </w:rPr>
        <w:t>型升级，电力消费增速提高，电力供应能力持续增强。随着国家持续推动能源生产和利用方式变革，调整</w:t>
      </w:r>
      <w:r>
        <w:rPr>
          <w:spacing w:val="-86"/>
        </w:rPr>
        <w:t> </w:t>
      </w:r>
      <w:r>
        <w:rPr>
          <w:spacing w:val="-86"/>
        </w:rPr>
      </w:r>
      <w:r>
        <w:rPr>
          <w:spacing w:val="-1"/>
        </w:rPr>
        <w:t>优化能源结构，电力工业不断向结构优化、资源节约化的方向迈进。电源建设呈现煤电投资下降明显、重</w:t>
      </w:r>
      <w:r>
        <w:rPr>
          <w:spacing w:val="-85"/>
        </w:rPr>
        <w:t> </w:t>
      </w:r>
      <w:r>
        <w:rPr>
          <w:spacing w:val="-85"/>
        </w:rPr>
      </w:r>
      <w:r>
        <w:rPr/>
        <w:t>点向非化石能源方向倾斜的特征；电网投资重心向配电网、特高压输变电倾斜。</w:t>
      </w:r>
    </w:p>
    <w:p>
      <w:pPr>
        <w:pStyle w:val="Heading4"/>
        <w:spacing w:line="273" w:lineRule="auto" w:before="136"/>
        <w:ind w:right="1023" w:firstLine="482"/>
        <w:jc w:val="left"/>
      </w:pPr>
      <w:r>
        <w:rPr>
          <w:spacing w:val="-2"/>
        </w:rPr>
        <w:t>公司管理层在董事会的领导下紧密围绕公司发展战略和年度经营计划开展工作，积极应对国内外经济</w:t>
      </w:r>
      <w:r>
        <w:rPr/>
        <w:t> </w:t>
      </w:r>
      <w:r>
        <w:rPr>
          <w:spacing w:val="-3"/>
        </w:rPr>
        <w:t>新形势和电力行业竞争态势，响应国家宏观能源投资政策，持续不断推进技术研发，提升公司核心竞争力。</w:t>
      </w:r>
    </w:p>
    <w:p>
      <w:pPr>
        <w:pStyle w:val="Heading4"/>
        <w:spacing w:line="256" w:lineRule="auto" w:before="127"/>
        <w:ind w:right="1131" w:firstLine="482"/>
        <w:jc w:val="both"/>
      </w:pPr>
      <w:r>
        <w:rPr>
          <w:spacing w:val="-3"/>
        </w:rPr>
        <w:t>报告期内，公司实现营业收入</w:t>
      </w:r>
      <w:r>
        <w:rPr>
          <w:rFonts w:ascii="Times New Roman" w:hAnsi="Times New Roman" w:cs="Times New Roman" w:eastAsia="Times New Roman" w:hint="default"/>
          <w:spacing w:val="-3"/>
        </w:rPr>
        <w:t>68,596.42</w:t>
      </w:r>
      <w:r>
        <w:rPr>
          <w:spacing w:val="-3"/>
        </w:rPr>
        <w:t>万元，较上年增长</w:t>
      </w:r>
      <w:r>
        <w:rPr>
          <w:rFonts w:ascii="Times New Roman" w:hAnsi="Times New Roman" w:cs="Times New Roman" w:eastAsia="Times New Roman" w:hint="default"/>
          <w:spacing w:val="-3"/>
        </w:rPr>
        <w:t>21.54%</w:t>
      </w:r>
      <w:r>
        <w:rPr>
          <w:spacing w:val="-3"/>
        </w:rPr>
        <w:t>；其中电力工程勘察设计（含规划咨</w:t>
      </w:r>
      <w:r>
        <w:rPr/>
        <w:t> 询）收入</w:t>
      </w:r>
      <w:r>
        <w:rPr>
          <w:rFonts w:ascii="Times New Roman" w:hAnsi="Times New Roman" w:cs="Times New Roman" w:eastAsia="Times New Roman" w:hint="default"/>
        </w:rPr>
        <w:t>25,556.81</w:t>
      </w:r>
      <w:r>
        <w:rPr/>
        <w:t>万元，较上年上涨</w:t>
      </w:r>
      <w:r>
        <w:rPr>
          <w:rFonts w:ascii="Times New Roman" w:hAnsi="Times New Roman" w:cs="Times New Roman" w:eastAsia="Times New Roman" w:hint="default"/>
        </w:rPr>
        <w:t>0.36%</w:t>
      </w:r>
      <w:r>
        <w:rPr/>
        <w:t>，</w:t>
      </w:r>
      <w:r>
        <w:rPr>
          <w:rFonts w:ascii="Times New Roman" w:hAnsi="Times New Roman" w:cs="Times New Roman" w:eastAsia="Times New Roman" w:hint="default"/>
        </w:rPr>
        <w:t>EPC</w:t>
      </w:r>
      <w:r>
        <w:rPr/>
        <w:t>总承包收入</w:t>
      </w:r>
      <w:r>
        <w:rPr>
          <w:rFonts w:ascii="Times New Roman" w:hAnsi="Times New Roman" w:cs="Times New Roman" w:eastAsia="Times New Roman" w:hint="default"/>
        </w:rPr>
        <w:t>42,738.21</w:t>
      </w:r>
      <w:r>
        <w:rPr/>
        <w:t>万元，较上年增长</w:t>
      </w:r>
      <w:r>
        <w:rPr>
          <w:rFonts w:ascii="Times New Roman" w:hAnsi="Times New Roman" w:cs="Times New Roman" w:eastAsia="Times New Roman" w:hint="default"/>
        </w:rPr>
        <w:t>39.79%</w:t>
      </w:r>
      <w:r>
        <w:rPr/>
        <w:t>。营业利</w:t>
      </w:r>
      <w:r>
        <w:rPr>
          <w:spacing w:val="-32"/>
        </w:rPr>
        <w:t> </w:t>
      </w:r>
      <w:r>
        <w:rPr>
          <w:spacing w:val="-32"/>
        </w:rPr>
      </w:r>
      <w:r>
        <w:rPr/>
        <w:t>润</w:t>
      </w:r>
      <w:r>
        <w:rPr>
          <w:rFonts w:ascii="Times New Roman" w:hAnsi="Times New Roman" w:cs="Times New Roman" w:eastAsia="Times New Roman" w:hint="default"/>
        </w:rPr>
        <w:t>8,641.13</w:t>
      </w:r>
      <w:r>
        <w:rPr/>
        <w:t>万元，较上年下降</w:t>
      </w:r>
      <w:r>
        <w:rPr>
          <w:rFonts w:ascii="Times New Roman" w:hAnsi="Times New Roman" w:cs="Times New Roman" w:eastAsia="Times New Roman" w:hint="default"/>
        </w:rPr>
        <w:t>3.69%</w:t>
      </w:r>
      <w:r>
        <w:rPr/>
        <w:t>；归属于上市公司股东净利润为</w:t>
      </w:r>
      <w:r>
        <w:rPr>
          <w:rFonts w:ascii="Times New Roman" w:hAnsi="Times New Roman" w:cs="Times New Roman" w:eastAsia="Times New Roman" w:hint="default"/>
        </w:rPr>
        <w:t>7,353.33</w:t>
      </w:r>
      <w:r>
        <w:rPr/>
        <w:t>万元，较上年下降</w:t>
      </w:r>
      <w:r>
        <w:rPr>
          <w:rFonts w:ascii="Times New Roman" w:hAnsi="Times New Roman" w:cs="Times New Roman" w:eastAsia="Times New Roman" w:hint="default"/>
        </w:rPr>
        <w:t>4.46%</w:t>
      </w:r>
      <w:r>
        <w:rPr/>
        <w:t>。</w:t>
      </w:r>
    </w:p>
    <w:p>
      <w:pPr>
        <w:pStyle w:val="Heading3"/>
        <w:spacing w:line="240" w:lineRule="auto" w:before="125"/>
        <w:ind w:left="576"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生产经营完成情况</w:t>
      </w:r>
      <w:r>
        <w:rPr>
          <w:b w:val="0"/>
          <w:bCs w:val="0"/>
        </w:rPr>
      </w:r>
    </w:p>
    <w:p>
      <w:pPr>
        <w:pStyle w:val="Heading4"/>
        <w:spacing w:line="357" w:lineRule="auto" w:before="141"/>
        <w:ind w:left="574" w:right="0"/>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52"/>
        </w:rPr>
        <w:t> </w:t>
      </w:r>
      <w:r>
        <w:rPr/>
        <w:t>勘察设计（含规划咨询）业务 </w:t>
      </w:r>
      <w:r>
        <w:rPr>
          <w:spacing w:val="-1"/>
        </w:rPr>
        <w:t>近几年，公司紧跟国家和地方能源投资政策，在稳定发展高压、特高压业务、清洁能源和新能源发电</w:t>
      </w:r>
    </w:p>
    <w:p>
      <w:pPr>
        <w:pStyle w:val="Heading4"/>
        <w:spacing w:line="209" w:lineRule="exact"/>
        <w:ind w:right="0"/>
        <w:jc w:val="left"/>
      </w:pPr>
      <w:r>
        <w:rPr/>
        <w:t>业务的基础上，在海上风电、特高压等业务领域取得明显的增长。</w:t>
      </w:r>
    </w:p>
    <w:p>
      <w:pPr>
        <w:pStyle w:val="Heading4"/>
        <w:spacing w:line="261" w:lineRule="auto" w:before="157"/>
        <w:ind w:right="1131" w:firstLine="420"/>
        <w:jc w:val="both"/>
      </w:pPr>
      <w:r>
        <w:rPr>
          <w:spacing w:val="-1"/>
        </w:rPr>
        <w:t>海上风电业务较快增长。公司紧跟行业发展趋势，着力发展清洁能源和新能源相关业务，公司在海上</w:t>
      </w:r>
      <w:r>
        <w:rPr/>
        <w:t> 风电实现较快增长，完成长乐外海 </w:t>
      </w:r>
      <w:r>
        <w:rPr>
          <w:rFonts w:ascii="Times New Roman" w:hAnsi="Times New Roman" w:cs="Times New Roman" w:eastAsia="Times New Roman" w:hint="default"/>
          <w:spacing w:val="-7"/>
        </w:rPr>
        <w:t>A</w:t>
      </w:r>
      <w:r>
        <w:rPr>
          <w:spacing w:val="-7"/>
        </w:rPr>
        <w:t>、</w:t>
      </w:r>
      <w:r>
        <w:rPr>
          <w:rFonts w:ascii="Times New Roman" w:hAnsi="Times New Roman" w:cs="Times New Roman" w:eastAsia="Times New Roman" w:hint="default"/>
          <w:spacing w:val="-7"/>
        </w:rPr>
        <w:t>B</w:t>
      </w:r>
      <w:r>
        <w:rPr>
          <w:spacing w:val="-7"/>
        </w:rPr>
        <w:t>、</w:t>
      </w:r>
      <w:r>
        <w:rPr>
          <w:rFonts w:ascii="Times New Roman" w:hAnsi="Times New Roman" w:cs="Times New Roman" w:eastAsia="Times New Roman" w:hint="default"/>
          <w:spacing w:val="-7"/>
        </w:rPr>
        <w:t>C </w:t>
      </w:r>
      <w:r>
        <w:rPr/>
        <w:t>区和宁德霞浦 </w:t>
      </w:r>
      <w:r>
        <w:rPr>
          <w:rFonts w:ascii="Times New Roman" w:hAnsi="Times New Roman" w:cs="Times New Roman" w:eastAsia="Times New Roman" w:hint="default"/>
        </w:rPr>
        <w:t>B </w:t>
      </w:r>
      <w:r>
        <w:rPr/>
        <w:t>区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项海上风电项目可研，完成长乐外海 </w:t>
      </w:r>
      <w:r>
        <w:rPr>
          <w:rFonts w:ascii="Times New Roman" w:hAnsi="Times New Roman" w:cs="Times New Roman" w:eastAsia="Times New Roman" w:hint="default"/>
        </w:rPr>
        <w:t>A</w:t>
      </w:r>
      <w:r>
        <w:rPr/>
        <w:t>、</w:t>
      </w:r>
      <w:r>
        <w:rPr>
          <w:rFonts w:ascii="Times New Roman" w:hAnsi="Times New Roman" w:cs="Times New Roman" w:eastAsia="Times New Roman" w:hint="default"/>
        </w:rPr>
        <w:t>C </w:t>
      </w:r>
      <w:r>
        <w:rPr/>
        <w:t>区</w:t>
      </w:r>
      <w:r>
        <w:rPr>
          <w:spacing w:val="-1"/>
        </w:rPr>
        <w:t> </w:t>
      </w:r>
      <w:r>
        <w:rPr>
          <w:rFonts w:ascii="Times New Roman" w:hAnsi="Times New Roman" w:cs="Times New Roman" w:eastAsia="Times New Roman" w:hint="default"/>
        </w:rPr>
        <w:t>2</w:t>
      </w:r>
      <w:r>
        <w:rPr/>
        <w:t>个项目核准立项；以前期技术咨询总包模式完成南日二期、大麦屿海上风电项目可研等；全年 实现合同额</w:t>
      </w:r>
      <w:r>
        <w:rPr>
          <w:rFonts w:ascii="Times New Roman" w:hAnsi="Times New Roman" w:cs="Times New Roman" w:eastAsia="Times New Roman" w:hint="default"/>
        </w:rPr>
        <w:t>5,898</w:t>
      </w:r>
      <w:r>
        <w:rPr/>
        <w:t>万元，全年完成收入</w:t>
      </w:r>
      <w:r>
        <w:rPr>
          <w:rFonts w:ascii="Times New Roman" w:hAnsi="Times New Roman" w:cs="Times New Roman" w:eastAsia="Times New Roman" w:hint="default"/>
        </w:rPr>
        <w:t>3,862.26</w:t>
      </w:r>
      <w:r>
        <w:rPr/>
        <w:t>万元，较上年增长</w:t>
      </w:r>
      <w:r>
        <w:rPr>
          <w:rFonts w:ascii="Times New Roman" w:hAnsi="Times New Roman" w:cs="Times New Roman" w:eastAsia="Times New Roman" w:hint="default"/>
        </w:rPr>
        <w:t>311.72%</w:t>
      </w:r>
      <w:r>
        <w:rPr/>
        <w:t>。</w:t>
      </w:r>
    </w:p>
    <w:p>
      <w:pPr>
        <w:pStyle w:val="Heading4"/>
        <w:spacing w:line="256" w:lineRule="auto" w:before="120"/>
        <w:ind w:right="1044" w:firstLine="420"/>
        <w:jc w:val="left"/>
      </w:pPr>
      <w:r>
        <w:rPr/>
        <w:t>特高压业务持续增长。受益于国家电力发展</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规划，在国家特高压新政策的引导下和社会资本 投资的推动下，特高压业务将持续增长</w:t>
      </w:r>
      <w:r>
        <w:rPr>
          <w:rFonts w:ascii="Times New Roman" w:hAnsi="Times New Roman" w:cs="Times New Roman" w:eastAsia="Times New Roman" w:hint="default"/>
        </w:rPr>
        <w:t>,</w:t>
      </w:r>
      <w:r>
        <w:rPr/>
        <w:t>公司完成武汉</w:t>
      </w:r>
      <w:r>
        <w:rPr>
          <w:rFonts w:ascii="Times New Roman" w:hAnsi="Times New Roman" w:cs="Times New Roman" w:eastAsia="Times New Roman" w:hint="default"/>
        </w:rPr>
        <w:t>~</w:t>
      </w:r>
      <w:r>
        <w:rPr/>
        <w:t>南昌、福州</w:t>
      </w:r>
      <w:r>
        <w:rPr>
          <w:rFonts w:ascii="Times New Roman" w:hAnsi="Times New Roman" w:cs="Times New Roman" w:eastAsia="Times New Roman" w:hint="default"/>
        </w:rPr>
        <w:t>~</w:t>
      </w:r>
      <w:r>
        <w:rPr/>
        <w:t>厦门 </w:t>
      </w:r>
      <w:r>
        <w:rPr>
          <w:rFonts w:ascii="Times New Roman" w:hAnsi="Times New Roman" w:cs="Times New Roman" w:eastAsia="Times New Roman" w:hint="default"/>
        </w:rPr>
        <w:t>2 </w:t>
      </w:r>
      <w:r>
        <w:rPr/>
        <w:t>条 </w:t>
      </w:r>
      <w:r>
        <w:rPr>
          <w:rFonts w:ascii="Times New Roman" w:hAnsi="Times New Roman" w:cs="Times New Roman" w:eastAsia="Times New Roman" w:hint="default"/>
        </w:rPr>
        <w:t>1000kV</w:t>
      </w:r>
      <w:r>
        <w:rPr>
          <w:rFonts w:ascii="Times New Roman" w:hAnsi="Times New Roman" w:cs="Times New Roman" w:eastAsia="Times New Roman" w:hint="default"/>
          <w:spacing w:val="20"/>
        </w:rPr>
        <w:t> </w:t>
      </w:r>
      <w:r>
        <w:rPr/>
        <w:t>交流特高压可研和 陕北</w:t>
      </w:r>
      <w:r>
        <w:rPr>
          <w:rFonts w:ascii="Times New Roman" w:hAnsi="Times New Roman" w:cs="Times New Roman" w:eastAsia="Times New Roman" w:hint="default"/>
        </w:rPr>
        <w:t>~</w:t>
      </w:r>
      <w:r>
        <w:rPr/>
        <w:t>湖北±</w:t>
      </w:r>
      <w:r>
        <w:rPr>
          <w:rFonts w:ascii="Times New Roman" w:hAnsi="Times New Roman" w:cs="Times New Roman" w:eastAsia="Times New Roman" w:hint="default"/>
        </w:rPr>
        <w:t>800kV</w:t>
      </w:r>
      <w:r>
        <w:rPr>
          <w:rFonts w:ascii="Times New Roman" w:hAnsi="Times New Roman" w:cs="Times New Roman" w:eastAsia="Times New Roman" w:hint="default"/>
          <w:spacing w:val="45"/>
        </w:rPr>
        <w:t> </w:t>
      </w:r>
      <w:r>
        <w:rPr/>
        <w:t>直流特高压线路施工图设计，截止</w:t>
      </w:r>
      <w:r>
        <w:rPr>
          <w:rFonts w:ascii="Times New Roman" w:hAnsi="Times New Roman" w:cs="Times New Roman" w:eastAsia="Times New Roman" w:hint="default"/>
        </w:rPr>
        <w:t>2018</w:t>
      </w:r>
      <w:r>
        <w:rPr/>
        <w:t>年底累计中标</w:t>
      </w:r>
      <w:r>
        <w:rPr>
          <w:rFonts w:ascii="Times New Roman" w:hAnsi="Times New Roman" w:cs="Times New Roman" w:eastAsia="Times New Roman" w:hint="default"/>
        </w:rPr>
        <w:t>9</w:t>
      </w:r>
      <w:r>
        <w:rPr/>
        <w:t>条特高压直流和交流线路工程。 全年实现合同额</w:t>
      </w:r>
      <w:r>
        <w:rPr>
          <w:rFonts w:ascii="Times New Roman" w:hAnsi="Times New Roman" w:cs="Times New Roman" w:eastAsia="Times New Roman" w:hint="default"/>
        </w:rPr>
        <w:t>2,862.22</w:t>
      </w:r>
      <w:r>
        <w:rPr/>
        <w:t>万元，全年完成收入</w:t>
      </w:r>
      <w:r>
        <w:rPr>
          <w:rFonts w:ascii="Times New Roman" w:hAnsi="Times New Roman" w:cs="Times New Roman" w:eastAsia="Times New Roman" w:hint="default"/>
        </w:rPr>
        <w:t>1,182.07</w:t>
      </w:r>
      <w:r>
        <w:rPr/>
        <w:t>万元。</w:t>
      </w:r>
    </w:p>
    <w:p>
      <w:pPr>
        <w:pStyle w:val="Heading4"/>
        <w:spacing w:line="240" w:lineRule="auto" w:before="125"/>
        <w:ind w:left="574" w:right="0"/>
        <w:jc w:val="left"/>
      </w:pPr>
      <w:r>
        <w:rPr>
          <w:rFonts w:ascii="Times New Roman" w:hAnsi="Times New Roman" w:cs="Times New Roman" w:eastAsia="Times New Roman" w:hint="default"/>
        </w:rPr>
        <w:t>2018</w:t>
      </w:r>
      <w:r>
        <w:rPr/>
        <w:t>年，公司实现勘察设计业务收入</w:t>
      </w:r>
      <w:r>
        <w:rPr>
          <w:rFonts w:ascii="Times New Roman" w:hAnsi="Times New Roman" w:cs="Times New Roman" w:eastAsia="Times New Roman" w:hint="default"/>
        </w:rPr>
        <w:t>25,556.81</w:t>
      </w:r>
      <w:r>
        <w:rPr/>
        <w:t>万元，同比稍有增长。</w:t>
      </w:r>
    </w:p>
    <w:p>
      <w:pPr>
        <w:pStyle w:val="Heading4"/>
        <w:spacing w:line="357" w:lineRule="auto" w:before="141"/>
        <w:ind w:left="574" w:right="0"/>
        <w:jc w:val="left"/>
      </w:pPr>
      <w:r>
        <w:rPr>
          <w:rFonts w:ascii="Times New Roman" w:hAnsi="Times New Roman" w:cs="Times New Roman" w:eastAsia="Times New Roman" w:hint="default"/>
        </w:rPr>
        <w:t>1.2 EPC</w:t>
      </w:r>
      <w:r>
        <w:rPr/>
        <w:t>工程总承包业务 </w:t>
      </w:r>
      <w:r>
        <w:rPr>
          <w:spacing w:val="-1"/>
        </w:rPr>
        <w:t>在国家大力推进工程总承包新形势下，公司积极拓展国内总承包业务基础上，在国际总承包市场开拓</w:t>
      </w:r>
    </w:p>
    <w:p>
      <w:pPr>
        <w:pStyle w:val="Heading4"/>
        <w:spacing w:line="209" w:lineRule="exact"/>
        <w:ind w:right="0"/>
        <w:jc w:val="left"/>
      </w:pPr>
      <w:r>
        <w:rPr/>
        <w:t>取得成效。</w:t>
      </w:r>
    </w:p>
    <w:p>
      <w:pPr>
        <w:pStyle w:val="Heading4"/>
        <w:spacing w:line="256" w:lineRule="auto" w:before="157"/>
        <w:ind w:right="1130" w:firstLine="420"/>
        <w:jc w:val="both"/>
      </w:pPr>
      <w:r>
        <w:rPr/>
        <w:t>国际业务大幅度增长。依托</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，聚焦东南亚电力市场，</w:t>
      </w:r>
      <w:r>
        <w:rPr>
          <w:rFonts w:ascii="Times New Roman" w:hAnsi="Times New Roman" w:cs="Times New Roman" w:eastAsia="Times New Roman" w:hint="default"/>
        </w:rPr>
        <w:t>2018</w:t>
      </w:r>
      <w:r>
        <w:rPr/>
        <w:t>年底，公司签订了越南平顺省涵 </w:t>
      </w:r>
      <w:r>
        <w:rPr>
          <w:spacing w:val="-1"/>
        </w:rPr>
        <w:t>剑社</w:t>
      </w:r>
      <w:r>
        <w:rPr>
          <w:rFonts w:ascii="Times New Roman" w:hAnsi="Times New Roman" w:cs="Times New Roman" w:eastAsia="Times New Roman" w:hint="default"/>
          <w:spacing w:val="-1"/>
        </w:rPr>
        <w:t>49MW</w:t>
      </w:r>
      <w:r>
        <w:rPr>
          <w:spacing w:val="-1"/>
        </w:rPr>
        <w:t>地面光伏项目</w:t>
      </w:r>
      <w:r>
        <w:rPr>
          <w:rFonts w:ascii="Times New Roman" w:hAnsi="Times New Roman" w:cs="Times New Roman" w:eastAsia="Times New Roman" w:hint="default"/>
          <w:spacing w:val="-1"/>
        </w:rPr>
        <w:t>EPC</w:t>
      </w:r>
      <w:r>
        <w:rPr>
          <w:spacing w:val="-1"/>
        </w:rPr>
        <w:t>总承包合同，合同额达</w:t>
      </w:r>
      <w:r>
        <w:rPr>
          <w:rFonts w:ascii="Times New Roman" w:hAnsi="Times New Roman" w:cs="Times New Roman" w:eastAsia="Times New Roman" w:hint="default"/>
          <w:spacing w:val="-1"/>
        </w:rPr>
        <w:t>3.22</w:t>
      </w:r>
      <w:r>
        <w:rPr>
          <w:spacing w:val="-1"/>
        </w:rPr>
        <w:t>亿元；全年完成海外市场收入</w:t>
      </w:r>
      <w:r>
        <w:rPr>
          <w:rFonts w:ascii="Times New Roman" w:hAnsi="Times New Roman" w:cs="Times New Roman" w:eastAsia="Times New Roman" w:hint="default"/>
          <w:spacing w:val="-1"/>
        </w:rPr>
        <w:t>7,084.01</w:t>
      </w:r>
      <w:r>
        <w:rPr>
          <w:spacing w:val="-1"/>
        </w:rPr>
        <w:t>万元，占营</w:t>
      </w:r>
      <w:r>
        <w:rPr>
          <w:spacing w:val="-60"/>
        </w:rPr>
        <w:t> </w:t>
      </w:r>
      <w:r>
        <w:rPr>
          <w:spacing w:val="-60"/>
        </w:rPr>
      </w:r>
      <w:r>
        <w:rPr/>
        <w:t>业收入比重</w:t>
      </w:r>
      <w:r>
        <w:rPr>
          <w:rFonts w:ascii="Times New Roman" w:hAnsi="Times New Roman" w:cs="Times New Roman" w:eastAsia="Times New Roman" w:hint="default"/>
        </w:rPr>
        <w:t>10.33%</w:t>
      </w:r>
      <w:r>
        <w:rPr/>
        <w:t>，较上年增长</w:t>
      </w:r>
      <w:r>
        <w:rPr>
          <w:rFonts w:ascii="Times New Roman" w:hAnsi="Times New Roman" w:cs="Times New Roman" w:eastAsia="Times New Roman" w:hint="default"/>
        </w:rPr>
        <w:t>1087.46%</w:t>
      </w:r>
      <w:r>
        <w:rPr/>
        <w:t>。</w:t>
      </w:r>
    </w:p>
    <w:p>
      <w:pPr>
        <w:pStyle w:val="Heading4"/>
        <w:spacing w:line="240" w:lineRule="auto" w:before="125"/>
        <w:ind w:left="574" w:right="0"/>
        <w:jc w:val="left"/>
      </w:pPr>
      <w:r>
        <w:rPr>
          <w:rFonts w:ascii="Times New Roman" w:hAnsi="Times New Roman" w:cs="Times New Roman" w:eastAsia="Times New Roman" w:hint="default"/>
        </w:rPr>
        <w:t>2018</w:t>
      </w:r>
      <w:r>
        <w:rPr/>
        <w:t>年公司实现总承包业务收入</w:t>
      </w:r>
      <w:r>
        <w:rPr>
          <w:rFonts w:ascii="Times New Roman" w:hAnsi="Times New Roman" w:cs="Times New Roman" w:eastAsia="Times New Roman" w:hint="default"/>
        </w:rPr>
        <w:t>42,738.21</w:t>
      </w:r>
      <w:r>
        <w:rPr/>
        <w:t>万元，同比增长</w:t>
      </w:r>
      <w:r>
        <w:rPr>
          <w:rFonts w:ascii="Times New Roman" w:hAnsi="Times New Roman" w:cs="Times New Roman" w:eastAsia="Times New Roman" w:hint="default"/>
        </w:rPr>
        <w:t>39.79%</w:t>
      </w:r>
      <w:r>
        <w:rPr/>
        <w:t>。</w:t>
      </w:r>
    </w:p>
    <w:p>
      <w:pPr>
        <w:spacing w:line="357" w:lineRule="auto" w:before="140"/>
        <w:ind w:left="574" w:right="113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组织架构改革情况</w:t>
      </w:r>
      <w:r>
        <w:rPr>
          <w:rFonts w:ascii="宋体" w:hAnsi="宋体" w:cs="宋体" w:eastAsia="宋体" w:hint="default"/>
          <w:b/>
          <w:bCs/>
          <w:w w:val="99"/>
          <w:sz w:val="21"/>
          <w:szCs w:val="21"/>
        </w:rPr>
        <w:t> </w:t>
      </w:r>
      <w:r>
        <w:rPr>
          <w:rFonts w:ascii="宋体" w:hAnsi="宋体" w:cs="宋体" w:eastAsia="宋体" w:hint="default"/>
          <w:spacing w:val="-3"/>
          <w:sz w:val="21"/>
          <w:szCs w:val="21"/>
        </w:rPr>
        <w:t>根据业务分工对公司组织架构进行调整，设立事业部。明确各事业部的职责，形成各事业部生产</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经营</w:t>
      </w:r>
      <w:r>
        <w:rPr>
          <w:rFonts w:ascii="宋体" w:hAnsi="宋体" w:cs="宋体" w:eastAsia="宋体" w:hint="default"/>
          <w:sz w:val="21"/>
          <w:szCs w:val="21"/>
        </w:rPr>
      </w:r>
    </w:p>
    <w:p>
      <w:pPr>
        <w:spacing w:after="0" w:line="357" w:lineRule="auto"/>
        <w:jc w:val="left"/>
        <w:rPr>
          <w:rFonts w:ascii="宋体" w:hAnsi="宋体" w:cs="宋体" w:eastAsia="宋体" w:hint="default"/>
          <w:sz w:val="21"/>
          <w:szCs w:val="21"/>
        </w:rPr>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64" w:lineRule="auto" w:before="35"/>
        <w:ind w:right="1023"/>
        <w:jc w:val="left"/>
      </w:pPr>
      <w:r>
        <w:rPr>
          <w:spacing w:val="-2"/>
        </w:rPr>
        <w:t>一体化、设计</w:t>
      </w:r>
      <w:r>
        <w:rPr>
          <w:rFonts w:ascii="Times New Roman" w:hAnsi="Times New Roman" w:cs="Times New Roman" w:eastAsia="Times New Roman" w:hint="default"/>
          <w:spacing w:val="-2"/>
        </w:rPr>
        <w:t>-</w:t>
      </w:r>
      <w:r>
        <w:rPr>
          <w:spacing w:val="-2"/>
        </w:rPr>
        <w:t>总包一体化的管理模式，优化生产经营过程中的管理流程和管理界面。同时，给事业部更大</w:t>
      </w:r>
      <w:r>
        <w:rPr/>
        <w:t> </w:t>
      </w:r>
      <w:r>
        <w:rPr>
          <w:spacing w:val="-3"/>
        </w:rPr>
        <w:t>的自主权，使各事业部的责、权、利高度统一，最大限度激发员工积极性，提高企业管理水平和运营效率，</w:t>
      </w:r>
      <w:r>
        <w:rPr>
          <w:spacing w:val="-94"/>
        </w:rPr>
        <w:t> </w:t>
      </w:r>
      <w:r>
        <w:rPr>
          <w:spacing w:val="-94"/>
        </w:rPr>
      </w:r>
      <w:r>
        <w:rPr/>
        <w:t>提升公司的盈利能力。</w:t>
      </w:r>
    </w:p>
    <w:p>
      <w:pPr>
        <w:pStyle w:val="Heading3"/>
        <w:spacing w:line="240" w:lineRule="auto" w:before="136"/>
        <w:ind w:left="576" w:right="0"/>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创新研发情况</w:t>
      </w:r>
      <w:r>
        <w:rPr>
          <w:b w:val="0"/>
          <w:bCs w:val="0"/>
        </w:rPr>
      </w:r>
    </w:p>
    <w:p>
      <w:pPr>
        <w:pStyle w:val="Heading4"/>
        <w:spacing w:line="430" w:lineRule="atLeast" w:before="2"/>
        <w:ind w:left="574" w:right="1116"/>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52"/>
        </w:rPr>
        <w:t> </w:t>
      </w:r>
      <w:r>
        <w:rPr/>
        <w:t>强化产学研结合 报告期内，公司在获得福建省科学技术厅的</w:t>
      </w:r>
      <w:r>
        <w:rPr>
          <w:rFonts w:ascii="Times New Roman" w:hAnsi="Times New Roman" w:cs="Times New Roman" w:eastAsia="Times New Roman" w:hint="default"/>
        </w:rPr>
        <w:t>“</w:t>
      </w:r>
      <w:r>
        <w:rPr/>
        <w:t>福建省电力设计企业工程技术研究中心</w:t>
      </w:r>
      <w:r>
        <w:rPr>
          <w:rFonts w:ascii="Times New Roman" w:hAnsi="Times New Roman" w:cs="Times New Roman" w:eastAsia="Times New Roman" w:hint="default"/>
        </w:rPr>
        <w:t>”</w:t>
      </w:r>
      <w:r>
        <w:rPr/>
        <w:t>的基础上取得福</w:t>
      </w:r>
    </w:p>
    <w:p>
      <w:pPr>
        <w:pStyle w:val="Heading4"/>
        <w:spacing w:line="273" w:lineRule="auto" w:before="21"/>
        <w:ind w:right="1110"/>
        <w:jc w:val="both"/>
      </w:pPr>
      <w:r>
        <w:rPr/>
        <w:t>建省博士后创新实践基地，将进一步提升公司创新研发能力和技术影响力，促进公司吸引高端技术人才。 </w:t>
      </w:r>
      <w:r>
        <w:rPr>
          <w:spacing w:val="-1"/>
        </w:rPr>
        <w:t>报告期内，公司围绕市场和技术的发展方向，设立研发部门，积极与清华大学、同济大学、福州大学、台</w:t>
      </w:r>
      <w:r>
        <w:rPr>
          <w:spacing w:val="-83"/>
        </w:rPr>
        <w:t> </w:t>
      </w:r>
      <w:r>
        <w:rPr>
          <w:spacing w:val="-83"/>
        </w:rPr>
      </w:r>
      <w:r>
        <w:rPr>
          <w:spacing w:val="-1"/>
        </w:rPr>
        <w:t>湾海洋大学等科研单位、高等院校建立合作关系，通过产学研合作等方式，为公司未来业务发展及开拓做</w:t>
      </w:r>
      <w:r>
        <w:rPr>
          <w:spacing w:val="-82"/>
        </w:rPr>
        <w:t> </w:t>
      </w:r>
      <w:r>
        <w:rPr>
          <w:spacing w:val="-82"/>
        </w:rPr>
      </w:r>
      <w:r>
        <w:rPr/>
        <w:t>好技术储备。</w:t>
      </w:r>
    </w:p>
    <w:p>
      <w:pPr>
        <w:pStyle w:val="Heading4"/>
        <w:spacing w:line="357" w:lineRule="auto" w:before="127"/>
        <w:ind w:left="574" w:right="0"/>
        <w:jc w:val="left"/>
      </w:pPr>
      <w:r>
        <w:rPr>
          <w:rFonts w:ascii="Times New Roman" w:hAnsi="Times New Roman" w:cs="Times New Roman" w:eastAsia="Times New Roman" w:hint="default"/>
        </w:rPr>
        <w:t>3.2</w:t>
      </w:r>
      <w:r>
        <w:rPr>
          <w:rFonts w:ascii="Times New Roman" w:hAnsi="Times New Roman" w:cs="Times New Roman" w:eastAsia="Times New Roman" w:hint="default"/>
          <w:spacing w:val="52"/>
        </w:rPr>
        <w:t> </w:t>
      </w:r>
      <w:r>
        <w:rPr/>
        <w:t>发电技术研发 </w:t>
      </w:r>
      <w:r>
        <w:rPr>
          <w:spacing w:val="-1"/>
        </w:rPr>
        <w:t>在发电技术方面，积极开展海上风电关键技术研发，通过产学研相结合，积极开展海上风电勘察设计</w:t>
      </w:r>
    </w:p>
    <w:p>
      <w:pPr>
        <w:pStyle w:val="Heading4"/>
        <w:spacing w:line="209" w:lineRule="exact"/>
        <w:ind w:right="0"/>
        <w:jc w:val="left"/>
      </w:pPr>
      <w:r>
        <w:rPr/>
        <w:t>关键技术研发，逐步形成公司海上风电的核心技术；掌握多波束测深系统与星战差分技术相结合的实时定</w:t>
      </w:r>
    </w:p>
    <w:p>
      <w:pPr>
        <w:pStyle w:val="Heading4"/>
        <w:spacing w:line="273" w:lineRule="auto" w:before="37"/>
        <w:ind w:right="0"/>
        <w:jc w:val="left"/>
      </w:pPr>
      <w:r>
        <w:rPr>
          <w:spacing w:val="-1"/>
        </w:rPr>
        <w:t>位测量技术，以及开展浅地层剖面探测技术研究，提升海上风电的勘察能力；同时，继续开展燃气电厂以</w:t>
      </w:r>
      <w:r>
        <w:rPr>
          <w:spacing w:val="-86"/>
        </w:rPr>
        <w:t> </w:t>
      </w:r>
      <w:r>
        <w:rPr>
          <w:spacing w:val="-86"/>
        </w:rPr>
      </w:r>
      <w:r>
        <w:rPr/>
        <w:t>及清洁能源和新能源核心技术的研发。</w:t>
      </w:r>
    </w:p>
    <w:p>
      <w:pPr>
        <w:pStyle w:val="Heading4"/>
        <w:spacing w:line="240" w:lineRule="auto" w:before="127"/>
        <w:ind w:left="574" w:right="0"/>
        <w:jc w:val="left"/>
      </w:pPr>
      <w:r>
        <w:rPr>
          <w:rFonts w:ascii="Times New Roman" w:hAnsi="Times New Roman" w:cs="Times New Roman" w:eastAsia="Times New Roman" w:hint="default"/>
        </w:rPr>
        <w:t>3.3</w:t>
      </w:r>
      <w:r>
        <w:rPr>
          <w:rFonts w:ascii="Times New Roman" w:hAnsi="Times New Roman" w:cs="Times New Roman" w:eastAsia="Times New Roman" w:hint="default"/>
          <w:spacing w:val="50"/>
        </w:rPr>
        <w:t> </w:t>
      </w:r>
      <w:r>
        <w:rPr/>
        <w:t>电网技术研发</w:t>
      </w:r>
    </w:p>
    <w:p>
      <w:pPr>
        <w:pStyle w:val="Heading4"/>
        <w:spacing w:line="261" w:lineRule="auto" w:before="141"/>
        <w:ind w:right="1110" w:firstLine="420"/>
        <w:jc w:val="both"/>
      </w:pPr>
      <w:r>
        <w:rPr/>
        <w:t>在电网技术方面，加大新技术研发投入，总结提升电网设计技术；开展</w:t>
      </w:r>
      <w:r>
        <w:rPr>
          <w:rFonts w:ascii="Times New Roman" w:hAnsi="Times New Roman" w:cs="Times New Roman" w:eastAsia="Times New Roman" w:hint="default"/>
        </w:rPr>
        <w:t>“</w:t>
      </w:r>
      <w:r>
        <w:rPr>
          <w:rFonts w:ascii="Arial" w:hAnsi="Arial" w:cs="Arial" w:eastAsia="Arial" w:hint="default"/>
        </w:rPr>
        <w:t>η</w:t>
      </w:r>
      <w:r>
        <w:rPr>
          <w:rFonts w:ascii="Arial" w:hAnsi="Arial" w:cs="Arial" w:eastAsia="Arial" w:hint="default"/>
          <w:spacing w:val="31"/>
        </w:rPr>
        <w:t> </w:t>
      </w:r>
      <w:r>
        <w:rPr>
          <w:rFonts w:ascii="Times New Roman" w:hAnsi="Times New Roman" w:cs="Times New Roman" w:eastAsia="Times New Roman" w:hint="default"/>
        </w:rPr>
        <w:t>”</w:t>
      </w:r>
      <w:r>
        <w:rPr/>
        <w:t>型结构</w:t>
      </w:r>
      <w:r>
        <w:rPr>
          <w:rFonts w:ascii="Times New Roman" w:hAnsi="Times New Roman" w:cs="Times New Roman" w:eastAsia="Times New Roman" w:hint="default"/>
        </w:rPr>
        <w:t>GIS</w:t>
      </w:r>
      <w:r>
        <w:rPr/>
        <w:t>设备新型配电 </w:t>
      </w:r>
      <w:r>
        <w:rPr>
          <w:spacing w:val="-1"/>
        </w:rPr>
        <w:t>装置、智能变电站</w:t>
      </w:r>
      <w:r>
        <w:rPr>
          <w:rFonts w:ascii="Times New Roman" w:hAnsi="Times New Roman" w:cs="Times New Roman" w:eastAsia="Times New Roman" w:hint="default"/>
          <w:spacing w:val="-1"/>
        </w:rPr>
        <w:t>IEC61850</w:t>
      </w:r>
      <w:r>
        <w:rPr>
          <w:spacing w:val="-1"/>
        </w:rPr>
        <w:t>全模型及二次回路可视化研究等项目的研发，持续开展标准化设计；在配电网</w:t>
      </w:r>
      <w:r>
        <w:rPr/>
        <w:t> </w:t>
      </w:r>
      <w:r>
        <w:rPr>
          <w:spacing w:val="-1"/>
        </w:rPr>
        <w:t>智能化、五防差异化、防灾减灾、增量配电网接入方案、标准化等方面加大研究力度，开展配电网杆塔基</w:t>
      </w:r>
      <w:r>
        <w:rPr>
          <w:spacing w:val="-83"/>
        </w:rPr>
        <w:t> </w:t>
      </w:r>
      <w:r>
        <w:rPr>
          <w:spacing w:val="-83"/>
        </w:rPr>
      </w:r>
      <w:r>
        <w:rPr/>
        <w:t>础机械化施工工艺和架空线路开关架模块化组装方案的研发，进一步巩固和提升在福建省内的技术优势。</w:t>
      </w:r>
    </w:p>
    <w:p>
      <w:pPr>
        <w:pStyle w:val="Heading4"/>
        <w:spacing w:line="357" w:lineRule="auto" w:before="138"/>
        <w:ind w:left="574" w:right="0"/>
        <w:jc w:val="left"/>
      </w:pPr>
      <w:r>
        <w:rPr>
          <w:rFonts w:ascii="Times New Roman" w:hAnsi="Times New Roman" w:cs="Times New Roman" w:eastAsia="Times New Roman" w:hint="default"/>
        </w:rPr>
        <w:t>3.4</w:t>
      </w:r>
      <w:r>
        <w:rPr>
          <w:rFonts w:ascii="Times New Roman" w:hAnsi="Times New Roman" w:cs="Times New Roman" w:eastAsia="Times New Roman" w:hint="default"/>
          <w:spacing w:val="52"/>
        </w:rPr>
        <w:t> </w:t>
      </w:r>
      <w:r>
        <w:rPr/>
        <w:t>数字化设计技术研发 </w:t>
      </w:r>
      <w:r>
        <w:rPr>
          <w:spacing w:val="-1"/>
        </w:rPr>
        <w:t>成立数字化技术研发部，实现公司全业务、全专业、全过程数字化三维协同设计和工程数字化产品在</w:t>
      </w:r>
    </w:p>
    <w:p>
      <w:pPr>
        <w:pStyle w:val="Heading4"/>
        <w:spacing w:line="209" w:lineRule="exact"/>
        <w:ind w:right="0"/>
        <w:jc w:val="left"/>
      </w:pPr>
      <w:r>
        <w:rPr/>
        <w:t>全生命周期管理的应用为目标，跟踪最新的数字化技术发展趋势，研究其对公司各业务领域的应用价值并</w:t>
      </w:r>
    </w:p>
    <w:p>
      <w:pPr>
        <w:pStyle w:val="Heading4"/>
        <w:spacing w:line="240" w:lineRule="auto" w:before="37"/>
        <w:ind w:right="0"/>
        <w:jc w:val="left"/>
      </w:pPr>
      <w:r>
        <w:rPr/>
        <w:t>落地实施，推进工程设计技术与数字化设计技术相结合。</w:t>
      </w:r>
    </w:p>
    <w:p>
      <w:pPr>
        <w:pStyle w:val="Heading4"/>
        <w:spacing w:line="256" w:lineRule="auto" w:before="157"/>
        <w:ind w:right="1130" w:firstLine="420"/>
        <w:jc w:val="both"/>
      </w:pPr>
      <w:r>
        <w:rPr>
          <w:spacing w:val="-1"/>
        </w:rPr>
        <w:t>报告期内，建立数字化设计技术长期总体规划和短期目标，构建了基于</w:t>
      </w:r>
      <w:r>
        <w:rPr>
          <w:rFonts w:ascii="Times New Roman" w:hAnsi="Times New Roman" w:cs="Times New Roman" w:eastAsia="Times New Roman" w:hint="default"/>
          <w:spacing w:val="-1"/>
        </w:rPr>
        <w:t>“</w:t>
      </w:r>
      <w:r>
        <w:rPr>
          <w:spacing w:val="-1"/>
        </w:rPr>
        <w:t>鹰图系列软件</w:t>
      </w:r>
      <w:r>
        <w:rPr>
          <w:rFonts w:ascii="Times New Roman" w:hAnsi="Times New Roman" w:cs="Times New Roman" w:eastAsia="Times New Roman" w:hint="default"/>
          <w:spacing w:val="-1"/>
        </w:rPr>
        <w:t>+</w:t>
      </w:r>
      <w:r>
        <w:rPr>
          <w:spacing w:val="-1"/>
        </w:rPr>
        <w:t>欧特克系列软</w:t>
      </w:r>
      <w:r>
        <w:rPr/>
        <w:t> </w:t>
      </w:r>
      <w:r>
        <w:rPr>
          <w:spacing w:val="-1"/>
        </w:rPr>
        <w:t>件</w:t>
      </w:r>
      <w:r>
        <w:rPr>
          <w:rFonts w:ascii="Times New Roman" w:hAnsi="Times New Roman" w:cs="Times New Roman" w:eastAsia="Times New Roman" w:hint="default"/>
          <w:spacing w:val="-1"/>
        </w:rPr>
        <w:t>+</w:t>
      </w:r>
      <w:r>
        <w:rPr>
          <w:spacing w:val="-1"/>
        </w:rPr>
        <w:t>深化设计软件</w:t>
      </w:r>
      <w:r>
        <w:rPr>
          <w:rFonts w:ascii="Times New Roman" w:hAnsi="Times New Roman" w:cs="Times New Roman" w:eastAsia="Times New Roman" w:hint="default"/>
          <w:spacing w:val="-1"/>
        </w:rPr>
        <w:t>”</w:t>
      </w:r>
      <w:r>
        <w:rPr>
          <w:spacing w:val="-1"/>
        </w:rPr>
        <w:t>的发变电三维设计平台，初步形成较完整的数字化设计技术解决方案，完成部分试点项</w:t>
      </w:r>
      <w:r>
        <w:rPr>
          <w:spacing w:val="-82"/>
        </w:rPr>
        <w:t> </w:t>
      </w:r>
      <w:r>
        <w:rPr>
          <w:spacing w:val="-82"/>
        </w:rPr>
      </w:r>
      <w:r>
        <w:rPr/>
        <w:t>目数字化设计，制定了部分公司技术标准和规范。</w:t>
      </w:r>
    </w:p>
    <w:p>
      <w:pPr>
        <w:pStyle w:val="Heading4"/>
        <w:spacing w:line="357" w:lineRule="auto" w:before="142"/>
        <w:ind w:left="574" w:right="0"/>
        <w:jc w:val="left"/>
      </w:pPr>
      <w:r>
        <w:rPr>
          <w:rFonts w:ascii="Times New Roman" w:hAnsi="Times New Roman" w:cs="Times New Roman" w:eastAsia="Times New Roman" w:hint="default"/>
        </w:rPr>
        <w:t>3.5</w:t>
      </w:r>
      <w:r>
        <w:rPr>
          <w:rFonts w:ascii="Times New Roman" w:hAnsi="Times New Roman" w:cs="Times New Roman" w:eastAsia="Times New Roman" w:hint="default"/>
          <w:spacing w:val="52"/>
        </w:rPr>
        <w:t> </w:t>
      </w:r>
      <w:r>
        <w:rPr/>
        <w:t>海外工程勘察设计能力提升 </w:t>
      </w:r>
      <w:r>
        <w:rPr>
          <w:spacing w:val="-1"/>
        </w:rPr>
        <w:t>提高海外工程勘察设计能力。深入研究国外项目执行程序、国际标准及国际惯例，加强与海外经验丰</w:t>
      </w:r>
    </w:p>
    <w:p>
      <w:pPr>
        <w:pStyle w:val="Heading4"/>
        <w:spacing w:line="209" w:lineRule="exact"/>
        <w:ind w:right="0"/>
        <w:jc w:val="left"/>
      </w:pPr>
      <w:r>
        <w:rPr/>
        <w:t>富的咨询公司合作，实质性推进设计成品国际化，总结在马来西亚、菲律宾、孟加拉和伊拉克等国家正在</w:t>
      </w:r>
    </w:p>
    <w:p>
      <w:pPr>
        <w:pStyle w:val="Heading4"/>
        <w:spacing w:line="273" w:lineRule="auto" w:before="37"/>
        <w:ind w:right="1023"/>
        <w:jc w:val="left"/>
      </w:pPr>
      <w:r>
        <w:rPr>
          <w:spacing w:val="-3"/>
        </w:rPr>
        <w:t>执行的海外项目勘察设计经验，重点总结越南新能源业务的开发和实施经验，全面提升海外业务执行能力，</w:t>
      </w:r>
      <w:r>
        <w:rPr>
          <w:spacing w:val="-91"/>
        </w:rPr>
        <w:t> </w:t>
      </w:r>
      <w:r>
        <w:rPr>
          <w:spacing w:val="-91"/>
        </w:rPr>
      </w:r>
      <w:r>
        <w:rPr/>
        <w:t>实现深耕一个海外市场、打造一支国际化团队、树立一面国际化旗帜、培育一批国际化合作伙伴；紧跟国</w:t>
      </w:r>
      <w:r>
        <w:rPr/>
        <w:t> 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倡议，促进海外业务开拓。</w:t>
      </w:r>
    </w:p>
    <w:p>
      <w:pPr>
        <w:pStyle w:val="Heading4"/>
        <w:spacing w:line="357" w:lineRule="auto" w:before="108"/>
        <w:ind w:left="574" w:right="1092"/>
        <w:jc w:val="left"/>
      </w:pPr>
      <w:r>
        <w:rPr>
          <w:rFonts w:ascii="Times New Roman" w:hAnsi="Times New Roman" w:cs="Times New Roman" w:eastAsia="Times New Roman" w:hint="default"/>
        </w:rPr>
        <w:t>3.6</w:t>
      </w:r>
      <w:r>
        <w:rPr>
          <w:rFonts w:ascii="Times New Roman" w:hAnsi="Times New Roman" w:cs="Times New Roman" w:eastAsia="Times New Roman" w:hint="default"/>
          <w:spacing w:val="52"/>
        </w:rPr>
        <w:t> </w:t>
      </w:r>
      <w:r>
        <w:rPr/>
        <w:t>储备前瞻性技术 成立智慧能源研发部，跟踪智慧能源新技术的发展方向，积极开展多能互补、新能源微电网、储能、</w:t>
      </w:r>
    </w:p>
    <w:p>
      <w:pPr>
        <w:pStyle w:val="Heading4"/>
        <w:spacing w:line="210" w:lineRule="exact"/>
        <w:ind w:right="0"/>
        <w:jc w:val="left"/>
      </w:pPr>
      <w:r>
        <w:rPr/>
        <w:t>智能充电站等智慧能源领域技术的研究，为公司培育新的业务增长点。报告期内，完成了储能、微电网方</w:t>
      </w:r>
    </w:p>
    <w:p>
      <w:pPr>
        <w:pStyle w:val="Heading4"/>
        <w:spacing w:line="240" w:lineRule="auto" w:before="37"/>
        <w:ind w:right="0"/>
        <w:jc w:val="left"/>
      </w:pPr>
      <w:r>
        <w:rPr/>
        <w:t>面第一阶段的技术储备，并逐步投入项目前期推广应用。</w:t>
      </w:r>
    </w:p>
    <w:p>
      <w:pPr>
        <w:pStyle w:val="Heading3"/>
        <w:spacing w:line="240" w:lineRule="auto" w:before="157"/>
        <w:ind w:left="576" w:right="0"/>
        <w:jc w:val="left"/>
        <w:rPr>
          <w:b w:val="0"/>
          <w:bCs w:val="0"/>
        </w:rPr>
      </w:pPr>
      <w:r>
        <w:rPr>
          <w:rFonts w:ascii="Times New Roman" w:hAnsi="Times New Roman" w:cs="Times New Roman" w:eastAsia="Times New Roman" w:hint="default"/>
        </w:rPr>
        <w:t>4.</w:t>
      </w:r>
      <w:r>
        <w:rPr/>
        <w:t>员工持股情况</w:t>
      </w:r>
      <w:r>
        <w:rPr>
          <w:b w:val="0"/>
          <w:bCs w:val="0"/>
        </w:rPr>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b/>
          <w:bCs/>
          <w:sz w:val="9"/>
          <w:szCs w:val="9"/>
        </w:rPr>
      </w:pPr>
    </w:p>
    <w:p>
      <w:pPr>
        <w:pStyle w:val="Heading4"/>
        <w:spacing w:line="261" w:lineRule="auto" w:before="35"/>
        <w:ind w:right="1130" w:firstLine="420"/>
        <w:jc w:val="both"/>
      </w:pPr>
      <w:r>
        <w:rPr>
          <w:spacing w:val="-1"/>
        </w:rPr>
        <w:t>报告期内，为完善员工与公司全体股东的利益分享和风险共担机制，建立长效激励机制，充分调动员</w:t>
      </w:r>
      <w:r>
        <w:rPr/>
        <w:t> </w:t>
      </w:r>
      <w:r>
        <w:rPr>
          <w:spacing w:val="-1"/>
        </w:rPr>
        <w:t>工的积极性和创造性，提高公司员工的凝聚力和公司竞争力，公司实施了</w:t>
      </w:r>
      <w:r>
        <w:rPr>
          <w:rFonts w:ascii="Times New Roman" w:hAnsi="Times New Roman" w:cs="Times New Roman" w:eastAsia="Times New Roman" w:hint="default"/>
          <w:spacing w:val="-1"/>
        </w:rPr>
        <w:t>2018</w:t>
      </w:r>
      <w:r>
        <w:rPr>
          <w:spacing w:val="-1"/>
        </w:rPr>
        <w:t>年第一期员工持股计划，参</w:t>
      </w:r>
      <w:r>
        <w:rPr>
          <w:spacing w:val="-82"/>
        </w:rPr>
        <w:t> </w:t>
      </w:r>
      <w:r>
        <w:rPr>
          <w:spacing w:val="-82"/>
        </w:rPr>
      </w:r>
      <w:r>
        <w:rPr/>
        <w:t>加持股计划员工总人数</w:t>
      </w:r>
      <w:r>
        <w:rPr>
          <w:rFonts w:ascii="Times New Roman" w:hAnsi="Times New Roman" w:cs="Times New Roman" w:eastAsia="Times New Roman" w:hint="default"/>
        </w:rPr>
        <w:t>99</w:t>
      </w:r>
      <w:r>
        <w:rPr/>
        <w:t>人，共筹集资金</w:t>
      </w:r>
      <w:r>
        <w:rPr>
          <w:rFonts w:ascii="Times New Roman" w:hAnsi="Times New Roman" w:cs="Times New Roman" w:eastAsia="Times New Roman" w:hint="default"/>
        </w:rPr>
        <w:t>2062</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日，公司第一期员工持股计划已完</w:t>
      </w:r>
      <w:r>
        <w:rPr>
          <w:spacing w:val="-30"/>
        </w:rPr>
        <w:t> </w:t>
      </w:r>
      <w:r>
        <w:rPr>
          <w:spacing w:val="-30"/>
        </w:rPr>
      </w:r>
      <w:r>
        <w:rPr/>
        <w:t>成股票购买，共累计买入公司股票</w:t>
      </w:r>
      <w:r>
        <w:rPr>
          <w:rFonts w:ascii="Times New Roman" w:hAnsi="Times New Roman" w:cs="Times New Roman" w:eastAsia="Times New Roman" w:hint="default"/>
        </w:rPr>
        <w:t>1,455,368</w:t>
      </w:r>
      <w:r>
        <w:rPr/>
        <w:t>股，占公司总股本的</w:t>
      </w:r>
      <w:r>
        <w:rPr>
          <w:rFonts w:ascii="Times New Roman" w:hAnsi="Times New Roman" w:cs="Times New Roman" w:eastAsia="Times New Roman" w:hint="default"/>
        </w:rPr>
        <w:t>1.0390%</w:t>
      </w:r>
      <w:r>
        <w:rPr/>
        <w:t>。</w:t>
      </w:r>
    </w:p>
    <w:p>
      <w:pPr>
        <w:pStyle w:val="Heading4"/>
        <w:spacing w:line="357" w:lineRule="auto" w:before="120"/>
        <w:ind w:left="574" w:right="0" w:firstLine="2"/>
        <w:jc w:val="left"/>
      </w:pPr>
      <w:r>
        <w:rPr>
          <w:rFonts w:ascii="Times New Roman" w:hAnsi="Times New Roman" w:cs="Times New Roman" w:eastAsia="Times New Roman" w:hint="default"/>
          <w:b/>
          <w:bCs/>
        </w:rPr>
        <w:t>5. </w:t>
      </w:r>
      <w:r>
        <w:rPr>
          <w:rFonts w:ascii="宋体" w:hAnsi="宋体" w:cs="宋体" w:eastAsia="宋体" w:hint="default"/>
          <w:b/>
          <w:bCs/>
        </w:rPr>
        <w:t>队伍建设情况</w:t>
      </w:r>
      <w:r>
        <w:rPr>
          <w:rFonts w:ascii="宋体" w:hAnsi="宋体" w:cs="宋体" w:eastAsia="宋体" w:hint="default"/>
          <w:b/>
          <w:bCs/>
          <w:w w:val="99"/>
        </w:rPr>
        <w:t> </w:t>
      </w:r>
      <w:r>
        <w:rPr>
          <w:spacing w:val="-1"/>
        </w:rPr>
        <w:t>一是全方位推动人才引进成效明显。充分发挥猎头公司、引进人才、专家、顾问的人脉资源作用，全</w:t>
      </w:r>
    </w:p>
    <w:p>
      <w:pPr>
        <w:pStyle w:val="Heading4"/>
        <w:spacing w:line="225" w:lineRule="exact"/>
        <w:ind w:right="0"/>
        <w:jc w:val="left"/>
      </w:pPr>
      <w:r>
        <w:rPr>
          <w:spacing w:val="-3"/>
        </w:rPr>
        <w:t>年共引进各类人才</w:t>
      </w:r>
      <w:r>
        <w:rPr>
          <w:rFonts w:ascii="Times New Roman" w:hAnsi="Times New Roman" w:cs="Times New Roman" w:eastAsia="Times New Roman" w:hint="default"/>
          <w:spacing w:val="-3"/>
        </w:rPr>
        <w:t>73</w:t>
      </w:r>
      <w:r>
        <w:rPr>
          <w:spacing w:val="-3"/>
        </w:rPr>
        <w:t>人；二是引入竞争机制，创新人才选拔方式，开展部分中层管理岗位的公开竞聘选拔，</w:t>
      </w:r>
    </w:p>
    <w:p>
      <w:pPr>
        <w:pStyle w:val="Heading4"/>
        <w:spacing w:line="240" w:lineRule="auto" w:before="21"/>
        <w:ind w:right="0"/>
        <w:jc w:val="left"/>
      </w:pPr>
      <w:r>
        <w:rPr/>
        <w:t>初步营造了让优秀人才脱颖而出的选人用人环境。</w:t>
      </w:r>
    </w:p>
    <w:p>
      <w:pPr>
        <w:pStyle w:val="Heading4"/>
        <w:spacing w:line="357" w:lineRule="auto" w:before="157"/>
        <w:ind w:left="574" w:right="0" w:firstLine="2"/>
        <w:jc w:val="left"/>
      </w:pPr>
      <w:r>
        <w:rPr>
          <w:rFonts w:ascii="Times New Roman" w:hAnsi="Times New Roman" w:cs="Times New Roman" w:eastAsia="Times New Roman" w:hint="default"/>
          <w:b/>
          <w:bCs/>
        </w:rPr>
        <w:t>6. </w:t>
      </w:r>
      <w:r>
        <w:rPr>
          <w:rFonts w:ascii="宋体" w:hAnsi="宋体" w:cs="宋体" w:eastAsia="宋体" w:hint="default"/>
          <w:b/>
          <w:bCs/>
        </w:rPr>
        <w:t>公司治理情况</w:t>
      </w:r>
      <w:r>
        <w:rPr>
          <w:rFonts w:ascii="宋体" w:hAnsi="宋体" w:cs="宋体" w:eastAsia="宋体" w:hint="default"/>
          <w:b/>
          <w:bCs/>
          <w:w w:val="99"/>
        </w:rPr>
        <w:t> </w:t>
      </w:r>
      <w:r>
        <w:rPr>
          <w:spacing w:val="-1"/>
        </w:rPr>
        <w:t>顺利完成了董事会、监事会换届选举工作，完善公司治理架构、章程以及权限指引等重要的公司治理</w:t>
      </w:r>
    </w:p>
    <w:p>
      <w:pPr>
        <w:pStyle w:val="Heading4"/>
        <w:spacing w:line="209" w:lineRule="exact"/>
        <w:ind w:right="0"/>
        <w:jc w:val="left"/>
      </w:pPr>
      <w:r>
        <w:rPr/>
        <w:t>基本制度，明晰治理主体的各自职权，基本形成决策科学、监督有效、运行稳健的公司治理运作机制。</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参见“经营情况讨论与分析”中的“一、概述”相关内容。</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2"/>
        <w:jc w:val="left"/>
      </w:pPr>
      <w:r>
        <w:rPr/>
        <w:t>公司是否需要遵守光伏产业链相关业的披露要求 否</w:t>
      </w:r>
    </w:p>
    <w:p>
      <w:pPr>
        <w:pStyle w:val="BodyText"/>
        <w:spacing w:line="338" w:lineRule="auto" w:before="26"/>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3"/>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2"/>
        <w:ind w:right="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2"/>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685,964,228.70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564,396,520.28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5" w:right="0"/>
              <w:jc w:val="left"/>
              <w:rPr>
                <w:rFonts w:ascii="Times New Roman" w:hAnsi="Times New Roman" w:cs="Times New Roman" w:eastAsia="Times New Roman" w:hint="default"/>
                <w:sz w:val="18"/>
                <w:szCs w:val="18"/>
              </w:rPr>
            </w:pPr>
            <w:r>
              <w:rPr>
                <w:rFonts w:ascii="Times New Roman"/>
                <w:sz w:val="18"/>
              </w:rPr>
              <w:t>21.54%</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682,950,203.40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560,391,150.90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3,014,025.30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4,005,369.38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-24.75%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41"/>
              <w:jc w:val="left"/>
              <w:rPr>
                <w:rFonts w:ascii="宋体" w:hAnsi="宋体" w:cs="宋体" w:eastAsia="宋体" w:hint="default"/>
                <w:sz w:val="18"/>
                <w:szCs w:val="18"/>
              </w:rPr>
            </w:pPr>
            <w:r>
              <w:rPr>
                <w:rFonts w:ascii="宋体" w:hAnsi="宋体" w:cs="宋体" w:eastAsia="宋体" w:hint="default"/>
                <w:sz w:val="18"/>
                <w:szCs w:val="18"/>
              </w:rPr>
              <w:t>电力工程勘察设 计（含规划咨询）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255,568,055.10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254,651,256.23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工程总承包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427,382,148.30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305,739,894.67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3,014,025.30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4,005,369.38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-24.75%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中国福建省内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466,570,721.42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398,607,841.79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中国福建省外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148,553,429.03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159,822,972.40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70,840,078.25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5,965,706.09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1,087.46%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0" w:footer="1267" w:top="1260" w:bottom="1460" w:left="980" w:right="0"/>
        </w:sectPr>
      </w:pPr>
    </w:p>
    <w:p>
      <w:pPr>
        <w:pStyle w:val="BodyText"/>
        <w:spacing w:line="360" w:lineRule="auto" w:before="44"/>
        <w:ind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580" w:bottom="70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137"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137" w:hanging="91"/>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0"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专业技术服务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682,950,203.40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488,323,059.91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both"/>
              <w:rPr>
                <w:rFonts w:ascii="宋体" w:hAnsi="宋体" w:cs="宋体" w:eastAsia="宋体" w:hint="default"/>
                <w:sz w:val="18"/>
                <w:szCs w:val="18"/>
              </w:rPr>
            </w:pPr>
            <w:r>
              <w:rPr>
                <w:rFonts w:ascii="宋体" w:hAnsi="宋体" w:cs="宋体" w:eastAsia="宋体" w:hint="default"/>
                <w:sz w:val="18"/>
                <w:szCs w:val="18"/>
              </w:rPr>
              <w:t>电力工程勘察 设计（含规划 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255,568,055.10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122,190,805.88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工程总承</w:t>
            </w:r>
            <w:r>
              <w:rPr>
                <w:rFonts w:ascii="宋体" w:hAnsi="宋体" w:cs="宋体" w:eastAsia="宋体" w:hint="default"/>
                <w:w w:val="99"/>
                <w:sz w:val="18"/>
                <w:szCs w:val="18"/>
              </w:rPr>
              <w:t> </w:t>
            </w:r>
            <w:r>
              <w:rPr>
                <w:rFonts w:ascii="宋体" w:hAnsi="宋体" w:cs="宋体" w:eastAsia="宋体" w:hint="default"/>
                <w:sz w:val="18"/>
                <w:szCs w:val="18"/>
              </w:rPr>
              <w:t>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427,382,148.30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366,132,254.03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中国福建省内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466,570,721.42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321,743,624.94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中国福建省外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148,553,429.03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111,233,199.93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16.12%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70,840,078.25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57,408,848.78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1,087.46%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1,095.08%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-0.52%</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 否</w:t>
      </w:r>
    </w:p>
    <w:p>
      <w:pPr>
        <w:spacing w:after="0" w:line="240" w:lineRule="auto"/>
        <w:jc w:val="left"/>
        <w:sectPr>
          <w:type w:val="continuous"/>
          <w:pgSz w:w="11910" w:h="16840"/>
          <w:pgMar w:top="1580" w:bottom="70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222"/>
        <w:jc w:val="left"/>
      </w:pPr>
      <w:r>
        <w:rPr/>
        <w:t>√ 适用 □ 不适用 否</w:t>
      </w:r>
    </w:p>
    <w:p>
      <w:pPr>
        <w:pStyle w:val="BodyText"/>
        <w:spacing w:line="307" w:lineRule="auto" w:before="28"/>
        <w:ind w:right="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04</w:t>
      </w:r>
      <w:r>
        <w:rPr>
          <w:spacing w:val="-2"/>
        </w:rPr>
        <w:t>月，由公司作为牵头方与中国能源建设集团广东火电工程有限公司以联合体方式与福建中核高嵛山风电有限公</w:t>
      </w:r>
      <w:r>
        <w:rPr/>
        <w:t> </w:t>
      </w:r>
      <w:r>
        <w:rPr>
          <w:spacing w:val="-2"/>
        </w:rPr>
        <w:t>司签署了《中核汇能福建南安高嵛山</w:t>
      </w:r>
      <w:r>
        <w:rPr>
          <w:rFonts w:ascii="Times New Roman" w:hAnsi="Times New Roman" w:cs="Times New Roman" w:eastAsia="Times New Roman" w:hint="default"/>
          <w:spacing w:val="-2"/>
        </w:rPr>
        <w:t>70MW</w:t>
      </w:r>
      <w:r>
        <w:rPr>
          <w:spacing w:val="-2"/>
        </w:rPr>
        <w:t>风电工程</w:t>
      </w:r>
      <w:r>
        <w:rPr>
          <w:rFonts w:ascii="Times New Roman" w:hAnsi="Times New Roman" w:cs="Times New Roman" w:eastAsia="Times New Roman" w:hint="default"/>
          <w:spacing w:val="-2"/>
        </w:rPr>
        <w:t>EPC</w:t>
      </w:r>
      <w:r>
        <w:rPr>
          <w:spacing w:val="-2"/>
        </w:rPr>
        <w:t>总承包合同》，主要工作包括：风电场微观选址、风电场工程地质</w:t>
      </w:r>
      <w:r>
        <w:rPr>
          <w:spacing w:val="-69"/>
        </w:rPr>
        <w:t> </w:t>
      </w:r>
      <w:r>
        <w:rPr>
          <w:spacing w:val="-69"/>
        </w:rPr>
      </w:r>
      <w:r>
        <w:rPr>
          <w:spacing w:val="-2"/>
        </w:rPr>
        <w:t>详细勘察及地形图测绘、升压站工程地质详细勘察及地形图测绘、风电场初步设计、升压站初步设计、用于招标的各类技术</w:t>
      </w:r>
      <w:r>
        <w:rPr>
          <w:spacing w:val="-66"/>
        </w:rPr>
        <w:t> </w:t>
      </w:r>
      <w:r>
        <w:rPr>
          <w:spacing w:val="-66"/>
        </w:rPr>
      </w:r>
      <w:r>
        <w:rPr>
          <w:spacing w:val="-2"/>
        </w:rPr>
        <w:t>规范及工程量清单编制、风电场施工图设计、升压站施工图设计、风电场及升压站竣工图、风电场概（预）算编制等；风电</w:t>
      </w:r>
      <w:r>
        <w:rPr>
          <w:spacing w:val="-72"/>
        </w:rPr>
        <w:t> </w:t>
      </w:r>
      <w:r>
        <w:rPr>
          <w:spacing w:val="-72"/>
        </w:rPr>
      </w:r>
      <w:r>
        <w:rPr>
          <w:spacing w:val="-2"/>
        </w:rPr>
        <w:t>场设备（除风机外）与材料采购，全部设备的试验、安装与调试；风电场土建工程施工</w:t>
      </w:r>
      <w:r>
        <w:rPr>
          <w:rFonts w:ascii="Times New Roman" w:hAnsi="Times New Roman" w:cs="Times New Roman" w:eastAsia="Times New Roman" w:hint="default"/>
          <w:spacing w:val="-2"/>
        </w:rPr>
        <w:t>110kV</w:t>
      </w:r>
      <w:r>
        <w:rPr>
          <w:spacing w:val="-2"/>
        </w:rPr>
        <w:t>新建升压站施工、</w:t>
      </w:r>
      <w:r>
        <w:rPr>
          <w:rFonts w:ascii="Times New Roman" w:hAnsi="Times New Roman" w:cs="Times New Roman" w:eastAsia="Times New Roman" w:hint="default"/>
          <w:spacing w:val="-2"/>
        </w:rPr>
        <w:t>35kV</w:t>
      </w:r>
      <w:r>
        <w:rPr>
          <w:spacing w:val="-2"/>
        </w:rPr>
        <w:t>集电线</w:t>
      </w:r>
      <w:r>
        <w:rPr>
          <w:spacing w:val="-48"/>
        </w:rPr>
        <w:t> </w:t>
      </w:r>
      <w:r>
        <w:rPr>
          <w:spacing w:val="-2"/>
        </w:rPr>
        <w:t>路架设、可靠性运行及质量保证期内的服务和建设管理，以及经批准的水土保持、环境保护方案的实施。目前该项目处于施</w:t>
      </w:r>
      <w:r>
        <w:rPr>
          <w:spacing w:val="-66"/>
        </w:rPr>
        <w:t> </w:t>
      </w:r>
      <w:r>
        <w:rPr>
          <w:spacing w:val="-66"/>
        </w:rPr>
      </w:r>
      <w:r>
        <w:rPr>
          <w:spacing w:val="-2"/>
        </w:rPr>
        <w:t>工阶段。合同总金额为</w:t>
      </w:r>
      <w:r>
        <w:rPr>
          <w:rFonts w:ascii="Times New Roman" w:hAnsi="Times New Roman" w:cs="Times New Roman" w:eastAsia="Times New Roman" w:hint="default"/>
          <w:spacing w:val="-2"/>
        </w:rPr>
        <w:t>26,842.87</w:t>
      </w:r>
      <w:r>
        <w:rPr>
          <w:spacing w:val="-2"/>
        </w:rPr>
        <w:t>万元，其中归属永福股份合同金额</w:t>
      </w:r>
      <w:r>
        <w:rPr>
          <w:rFonts w:ascii="Times New Roman" w:hAnsi="Times New Roman" w:cs="Times New Roman" w:eastAsia="Times New Roman" w:hint="default"/>
          <w:spacing w:val="-2"/>
        </w:rPr>
        <w:t>24,336.1333</w:t>
      </w:r>
      <w:r>
        <w:rPr>
          <w:spacing w:val="-2"/>
        </w:rPr>
        <w:t>万元。截至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日，该项目实现营业</w:t>
      </w:r>
      <w:r>
        <w:rPr>
          <w:spacing w:val="-43"/>
        </w:rPr>
        <w:t> </w:t>
      </w:r>
      <w:r>
        <w:rPr>
          <w:spacing w:val="-43"/>
        </w:rPr>
      </w:r>
      <w:r>
        <w:rPr/>
        <w:t>收入不含税金额</w:t>
      </w:r>
      <w:r>
        <w:rPr>
          <w:spacing w:val="-2"/>
        </w:rPr>
        <w:t> </w:t>
      </w:r>
      <w:r>
        <w:rPr>
          <w:rFonts w:ascii="Times New Roman" w:hAnsi="Times New Roman" w:cs="Times New Roman" w:eastAsia="Times New Roman" w:hint="default"/>
        </w:rPr>
        <w:t>21,685.14</w:t>
      </w:r>
      <w:r>
        <w:rPr/>
        <w:t>万元。</w:t>
      </w:r>
    </w:p>
    <w:p>
      <w:pPr>
        <w:pStyle w:val="BodyText"/>
        <w:spacing w:line="309" w:lineRule="auto" w:before="45"/>
        <w:ind w:right="1113"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05</w:t>
      </w:r>
      <w:r>
        <w:rPr/>
        <w:t>月，由公司与福建省水利水电勘测设计研究院以联合体方式与福州海峡发电有限公司签署了《福建长乐外海 </w:t>
      </w:r>
      <w:r>
        <w:rPr>
          <w:rFonts w:ascii="Times New Roman" w:hAnsi="Times New Roman" w:cs="Times New Roman" w:eastAsia="Times New Roman" w:hint="default"/>
          <w:spacing w:val="-3"/>
        </w:rPr>
        <w:t>ABC</w:t>
      </w:r>
      <w:r>
        <w:rPr>
          <w:spacing w:val="-3"/>
        </w:rPr>
        <w:t>区海上风电场预可研、可研及施工图勘测设计服务合同》，主要工作包括：预可研阶段：福建长乐外海</w:t>
      </w:r>
      <w:r>
        <w:rPr>
          <w:rFonts w:ascii="Times New Roman" w:hAnsi="Times New Roman" w:cs="Times New Roman" w:eastAsia="Times New Roman" w:hint="default"/>
          <w:spacing w:val="-3"/>
        </w:rPr>
        <w:t>BC</w:t>
      </w:r>
      <w:r>
        <w:rPr>
          <w:spacing w:val="-3"/>
        </w:rPr>
        <w:t>区测风数据及</w:t>
      </w:r>
      <w:r>
        <w:rPr>
          <w:spacing w:val="-78"/>
        </w:rPr>
        <w:t> </w:t>
      </w:r>
      <w:r>
        <w:rPr/>
        <w:t>海洋水文参数汇总分析，按划分场址区进行预可研报告编制等</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可研阶段：福建长乐外海</w:t>
      </w:r>
      <w:r>
        <w:rPr>
          <w:rFonts w:ascii="Times New Roman" w:hAnsi="Times New Roman" w:cs="Times New Roman" w:eastAsia="Times New Roman" w:hint="default"/>
        </w:rPr>
        <w:t>ABC</w:t>
      </w:r>
      <w:r>
        <w:rPr/>
        <w:t>区可研阶段地形测量和地质勘 </w:t>
      </w:r>
      <w:r>
        <w:rPr>
          <w:spacing w:val="-2"/>
        </w:rPr>
        <w:t>察、测风数据分析，风电场区域浅地层剖测并提交相关报告，风电场规划布置专题报告、风机选型专题报告、风机基础专题</w:t>
      </w:r>
      <w:r>
        <w:rPr>
          <w:spacing w:val="-66"/>
        </w:rPr>
        <w:t> </w:t>
      </w:r>
      <w:r>
        <w:rPr>
          <w:spacing w:val="-66"/>
        </w:rPr>
      </w:r>
      <w:r>
        <w:rPr>
          <w:spacing w:val="-2"/>
        </w:rPr>
        <w:t>报告、施工组织设计专题报告、海上升压站专题报告、陆上集控中心选址专题报告、热带气旋影响评估专题报告编制，可研</w:t>
      </w:r>
      <w:r>
        <w:rPr>
          <w:spacing w:val="-66"/>
        </w:rPr>
        <w:t> </w:t>
      </w:r>
      <w:r>
        <w:rPr>
          <w:spacing w:val="-66"/>
        </w:rPr>
      </w:r>
      <w:r>
        <w:rPr>
          <w:spacing w:val="-2"/>
        </w:rPr>
        <w:t>报告、节能评估专题报告、社会稳定风险分析报告及项目申请报告编制，初步设计报告编制（包括初步设计报告、附图及初</w:t>
      </w:r>
      <w:r>
        <w:rPr>
          <w:spacing w:val="-66"/>
        </w:rPr>
        <w:t> </w:t>
      </w:r>
      <w:r>
        <w:rPr>
          <w:spacing w:val="-66"/>
        </w:rPr>
      </w:r>
      <w:r>
        <w:rPr>
          <w:spacing w:val="-2"/>
        </w:rPr>
        <w:t>步设计概算等），技术经济分析、财务评价及其他调研工作，其他各项必要的专题报告编制以及为项目核准前所需必要的配</w:t>
      </w:r>
      <w:r>
        <w:rPr>
          <w:spacing w:val="-72"/>
        </w:rPr>
        <w:t> </w:t>
      </w:r>
      <w:r>
        <w:rPr>
          <w:spacing w:val="-72"/>
        </w:rPr>
      </w:r>
      <w:r>
        <w:rPr/>
        <w:t>合工作等</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施工图阶段：福建长乐外海</w:t>
      </w:r>
      <w:r>
        <w:rPr>
          <w:rFonts w:ascii="Times New Roman" w:hAnsi="Times New Roman" w:cs="Times New Roman" w:eastAsia="Times New Roman" w:hint="default"/>
        </w:rPr>
        <w:t>ABC</w:t>
      </w:r>
      <w:r>
        <w:rPr/>
        <w:t>区可研阶段地形测量和地质勘察、测风数据分析，风电场区域浅地层剖测并提交 </w:t>
      </w:r>
      <w:r>
        <w:rPr>
          <w:spacing w:val="-2"/>
        </w:rPr>
        <w:t>相关报告，风电场规划布置专题报告、风机选型专题报告、风机基础专题报告、施工组织设计专题报告、海上升压站专题报</w:t>
      </w:r>
      <w:r>
        <w:rPr>
          <w:spacing w:val="-66"/>
        </w:rPr>
        <w:t> </w:t>
      </w:r>
      <w:r>
        <w:rPr>
          <w:spacing w:val="-66"/>
        </w:rPr>
      </w:r>
      <w:r>
        <w:rPr>
          <w:spacing w:val="-2"/>
        </w:rPr>
        <w:t>告、陆上集控中心选址专题报告、热带气旋影响评估专题报告编制，可研报告、节能评估专题报告、社会稳定风险分析报告</w:t>
      </w:r>
      <w:r>
        <w:rPr>
          <w:spacing w:val="-66"/>
        </w:rPr>
        <w:t> </w:t>
      </w:r>
      <w:r>
        <w:rPr>
          <w:spacing w:val="-66"/>
        </w:rPr>
      </w:r>
      <w:r>
        <w:rPr>
          <w:spacing w:val="-2"/>
        </w:rPr>
        <w:t>及项目申请报告编制，初步设计报告编制（包括初步设计报告、附图及初步设计概算等），技术经济分析、财务评价及其他</w:t>
      </w:r>
      <w:r>
        <w:rPr>
          <w:spacing w:val="-72"/>
        </w:rPr>
        <w:t> </w:t>
      </w:r>
      <w:r>
        <w:rPr>
          <w:spacing w:val="-72"/>
        </w:rPr>
      </w:r>
      <w:r>
        <w:rPr>
          <w:spacing w:val="-2"/>
        </w:rPr>
        <w:t>调研工作，其他各项必要的专题报告编制以及为项目核准前所需必要的配合工作等。合同总金额为</w:t>
      </w:r>
      <w:r>
        <w:rPr>
          <w:rFonts w:ascii="Times New Roman" w:hAnsi="Times New Roman" w:cs="Times New Roman" w:eastAsia="Times New Roman" w:hint="default"/>
          <w:spacing w:val="-2"/>
        </w:rPr>
        <w:t>23,997.95</w:t>
      </w:r>
      <w:r>
        <w:rPr>
          <w:spacing w:val="-2"/>
        </w:rPr>
        <w:t>万元，其中永福</w:t>
      </w:r>
      <w:r>
        <w:rPr>
          <w:spacing w:val="-57"/>
        </w:rPr>
        <w:t> </w:t>
      </w:r>
      <w:r>
        <w:rPr>
          <w:spacing w:val="-57"/>
        </w:rPr>
      </w:r>
      <w:r>
        <w:rPr/>
        <w:t>股份占比</w:t>
      </w:r>
      <w:r>
        <w:rPr>
          <w:rFonts w:ascii="Times New Roman" w:hAnsi="Times New Roman" w:cs="Times New Roman" w:eastAsia="Times New Roman" w:hint="default"/>
        </w:rPr>
        <w:t>49%</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日，该项目实现营业收入不含税金额 </w:t>
      </w:r>
      <w:r>
        <w:rPr>
          <w:rFonts w:ascii="Times New Roman" w:hAnsi="Times New Roman" w:cs="Times New Roman" w:eastAsia="Times New Roman" w:hint="default"/>
        </w:rPr>
        <w:t>792.61</w:t>
      </w:r>
      <w:r>
        <w:rPr/>
        <w:t>万元。</w:t>
      </w:r>
    </w:p>
    <w:p>
      <w:pPr>
        <w:pStyle w:val="BodyText"/>
        <w:spacing w:line="307" w:lineRule="auto" w:before="43"/>
        <w:ind w:right="0" w:firstLine="36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月，由公司与平顺长城光伏有限公司签署了《越南平顺省涵剑社</w:t>
      </w:r>
      <w:r>
        <w:rPr/>
        <w:t> </w:t>
      </w:r>
      <w:r>
        <w:rPr>
          <w:rFonts w:ascii="Times New Roman" w:hAnsi="Times New Roman" w:cs="Times New Roman" w:eastAsia="Times New Roman" w:hint="default"/>
        </w:rPr>
        <w:t>49MW </w:t>
      </w:r>
      <w:r>
        <w:rPr/>
        <w:t>地面光伏项目</w:t>
      </w:r>
      <w:r>
        <w:rPr>
          <w:rFonts w:ascii="Times New Roman" w:hAnsi="Times New Roman" w:cs="Times New Roman" w:eastAsia="Times New Roman" w:hint="default"/>
        </w:rPr>
        <w:t>EPC</w:t>
      </w:r>
      <w:r>
        <w:rPr>
          <w:rFonts w:ascii="Times New Roman" w:hAnsi="Times New Roman" w:cs="Times New Roman" w:eastAsia="Times New Roman" w:hint="default"/>
          <w:spacing w:val="11"/>
        </w:rPr>
        <w:t> </w:t>
      </w:r>
      <w:r>
        <w:rPr>
          <w:spacing w:val="-12"/>
        </w:rPr>
        <w:t>总承包合同》，主</w:t>
      </w:r>
      <w:r>
        <w:rPr/>
        <w:t> </w:t>
      </w:r>
      <w:r>
        <w:rPr>
          <w:spacing w:val="-4"/>
        </w:rPr>
        <w:t>要工作包括：负责本光伏电站项目的设计、设备采购、土建和建筑安装、调试工作，以及送出线路工程的设计、采购及施工，</w:t>
      </w:r>
      <w:r>
        <w:rPr>
          <w:spacing w:val="-44"/>
        </w:rPr>
        <w:t> </w:t>
      </w:r>
      <w:r>
        <w:rPr>
          <w:spacing w:val="-44"/>
        </w:rPr>
      </w:r>
      <w:r>
        <w:rPr/>
        <w:t>包括项目土地征用、租用、青赔等工作。合同总金额为</w:t>
      </w:r>
      <w:r>
        <w:rPr>
          <w:rFonts w:ascii="Times New Roman" w:hAnsi="Times New Roman" w:cs="Times New Roman" w:eastAsia="Times New Roman" w:hint="default"/>
        </w:rPr>
        <w:t>4,704</w:t>
      </w:r>
      <w:r>
        <w:rPr/>
        <w:t>万美元（按合同签订当日汇率计算约合人民币</w:t>
      </w:r>
      <w:r>
        <w:rPr>
          <w:rFonts w:ascii="Times New Roman" w:hAnsi="Times New Roman" w:cs="Times New Roman" w:eastAsia="Times New Roman" w:hint="default"/>
        </w:rPr>
        <w:t>32,296.72</w:t>
      </w:r>
      <w:r>
        <w:rPr/>
        <w:t>万，以 </w:t>
      </w:r>
      <w:r>
        <w:rPr>
          <w:spacing w:val="-3"/>
        </w:rPr>
        <w:t>最终结算金额为准）。截至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日，该项目实现营业收入不含税金额</w:t>
      </w:r>
      <w:r>
        <w:rPr>
          <w:rFonts w:ascii="Times New Roman" w:hAnsi="Times New Roman" w:cs="Times New Roman" w:eastAsia="Times New Roman" w:hint="default"/>
          <w:spacing w:val="-3"/>
        </w:rPr>
        <w:t>0</w:t>
      </w:r>
      <w:r>
        <w:rPr>
          <w:spacing w:val="-3"/>
        </w:rPr>
        <w:t>万元。</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0" w:footer="1267" w:top="1260" w:bottom="1460" w:left="980" w:right="0"/>
        </w:sectPr>
      </w:pPr>
    </w:p>
    <w:p>
      <w:pPr>
        <w:pStyle w:val="BodyText"/>
        <w:spacing w:line="360"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580" w:bottom="700" w:left="980" w:right="0"/>
          <w:cols w:num="2" w:equalWidth="0">
            <w:col w:w="875" w:space="804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7"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1"/>
              <w:jc w:val="center"/>
              <w:rPr>
                <w:rFonts w:ascii="宋体" w:hAnsi="宋体" w:cs="宋体" w:eastAsia="宋体" w:hint="default"/>
                <w:sz w:val="18"/>
                <w:szCs w:val="18"/>
              </w:rPr>
            </w:pPr>
            <w:r>
              <w:rPr>
                <w:rFonts w:ascii="宋体" w:hAnsi="宋体" w:cs="宋体" w:eastAsia="宋体" w:hint="default"/>
                <w:sz w:val="18"/>
                <w:szCs w:val="18"/>
              </w:rPr>
              <w:t>勘察设计业务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1"/>
              <w:jc w:val="left"/>
              <w:rPr>
                <w:rFonts w:ascii="宋体" w:hAnsi="宋体" w:cs="宋体" w:eastAsia="宋体" w:hint="default"/>
                <w:sz w:val="18"/>
                <w:szCs w:val="18"/>
              </w:rPr>
            </w:pPr>
            <w:r>
              <w:rPr>
                <w:rFonts w:ascii="宋体" w:hAnsi="宋体" w:cs="宋体" w:eastAsia="宋体" w:hint="default"/>
                <w:sz w:val="18"/>
                <w:szCs w:val="18"/>
              </w:rPr>
              <w:t>人工成本、服 </w:t>
            </w:r>
            <w:r>
              <w:rPr>
                <w:rFonts w:ascii="宋体" w:hAnsi="宋体" w:cs="宋体" w:eastAsia="宋体" w:hint="default"/>
                <w:spacing w:val="-3"/>
                <w:sz w:val="18"/>
                <w:szCs w:val="18"/>
              </w:rPr>
              <w:t>务采购、费用、</w:t>
            </w:r>
            <w:r>
              <w:rPr>
                <w:rFonts w:ascii="宋体" w:hAnsi="宋体" w:cs="宋体" w:eastAsia="宋体" w:hint="default"/>
                <w:sz w:val="18"/>
                <w:szCs w:val="18"/>
              </w:rPr>
              <w:t> 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122,190,805.88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112,631,159.96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8.49%</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7"/>
              <w:jc w:val="center"/>
              <w:rPr>
                <w:rFonts w:ascii="宋体" w:hAnsi="宋体" w:cs="宋体" w:eastAsia="宋体" w:hint="default"/>
                <w:sz w:val="18"/>
                <w:szCs w:val="18"/>
              </w:rPr>
            </w:pP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工程总承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人工成本、采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center"/>
              <w:rPr>
                <w:rFonts w:ascii="Times New Roman" w:hAnsi="Times New Roman" w:cs="Times New Roman" w:eastAsia="Times New Roman" w:hint="default"/>
                <w:sz w:val="18"/>
                <w:szCs w:val="18"/>
              </w:rPr>
            </w:pPr>
            <w:r>
              <w:rPr>
                <w:rFonts w:ascii="Times New Roman"/>
                <w:sz w:val="18"/>
              </w:rPr>
              <w:t>366,132,254.03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 w:right="0"/>
              <w:jc w:val="center"/>
              <w:rPr>
                <w:rFonts w:ascii="Times New Roman" w:hAnsi="Times New Roman" w:cs="Times New Roman" w:eastAsia="Times New Roman" w:hint="default"/>
                <w:sz w:val="18"/>
                <w:szCs w:val="18"/>
              </w:rPr>
            </w:pPr>
            <w:r>
              <w:rPr>
                <w:rFonts w:ascii="Times New Roman"/>
                <w:sz w:val="18"/>
              </w:rPr>
              <w:t>260,489,938.60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40.56%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3"/>
              <w:jc w:val="left"/>
              <w:rPr>
                <w:rFonts w:ascii="宋体" w:hAnsi="宋体" w:cs="宋体" w:eastAsia="宋体" w:hint="default"/>
                <w:sz w:val="18"/>
                <w:szCs w:val="18"/>
              </w:rPr>
            </w:pPr>
            <w:r>
              <w:rPr>
                <w:rFonts w:ascii="宋体" w:hAnsi="宋体" w:cs="宋体" w:eastAsia="宋体" w:hint="default"/>
                <w:sz w:val="18"/>
                <w:szCs w:val="18"/>
              </w:rPr>
              <w:t>购成本、分包 成本、其他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2,062,613.74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9" w:right="0"/>
              <w:jc w:val="left"/>
              <w:rPr>
                <w:rFonts w:ascii="Times New Roman" w:hAnsi="Times New Roman" w:cs="Times New Roman" w:eastAsia="Times New Roman" w:hint="default"/>
                <w:sz w:val="18"/>
                <w:szCs w:val="18"/>
              </w:rPr>
            </w:pPr>
            <w:r>
              <w:rPr>
                <w:rFonts w:ascii="Times New Roman"/>
                <w:sz w:val="18"/>
              </w:rPr>
              <w:t>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2,558,995.76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8" w:right="0"/>
              <w:jc w:val="left"/>
              <w:rPr>
                <w:rFonts w:ascii="Times New Roman" w:hAnsi="Times New Roman" w:cs="Times New Roman" w:eastAsia="Times New Roman" w:hint="default"/>
                <w:sz w:val="18"/>
                <w:szCs w:val="18"/>
              </w:rPr>
            </w:pPr>
            <w:r>
              <w:rPr>
                <w:rFonts w:ascii="Times New Roman"/>
                <w:sz w:val="18"/>
              </w:rPr>
              <w:t>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9" w:right="0"/>
              <w:jc w:val="left"/>
              <w:rPr>
                <w:rFonts w:ascii="Times New Roman" w:hAnsi="Times New Roman" w:cs="Times New Roman" w:eastAsia="Times New Roman" w:hint="default"/>
                <w:sz w:val="18"/>
                <w:szCs w:val="18"/>
              </w:rPr>
            </w:pPr>
            <w:r>
              <w:rPr>
                <w:rFonts w:ascii="Times New Roman"/>
                <w:sz w:val="18"/>
              </w:rPr>
              <w:t>-19.40%</w:t>
            </w:r>
          </w:p>
        </w:tc>
      </w:tr>
    </w:tbl>
    <w:p>
      <w:pPr>
        <w:pStyle w:val="BodyText"/>
        <w:spacing w:line="357" w:lineRule="auto" w:before="51"/>
        <w:ind w:right="10392"/>
        <w:jc w:val="left"/>
      </w:pPr>
      <w:r>
        <w:rPr/>
        <w:t>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是 □ 否</w:t>
      </w:r>
    </w:p>
    <w:p>
      <w:pPr>
        <w:pStyle w:val="BodyText"/>
        <w:spacing w:line="312" w:lineRule="auto" w:before="115"/>
        <w:ind w:right="1132"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日，公司设立子公司福建永福新能电力投资有限公司，注册资本</w:t>
      </w:r>
      <w:r>
        <w:rPr>
          <w:rFonts w:ascii="Times New Roman" w:hAnsi="Times New Roman" w:cs="Times New Roman" w:eastAsia="Times New Roman" w:hint="default"/>
        </w:rPr>
        <w:t>5000</w:t>
      </w:r>
      <w:r>
        <w:rPr/>
        <w:t>万元，公司认缴出资</w:t>
      </w:r>
      <w:r>
        <w:rPr>
          <w:rFonts w:ascii="Times New Roman" w:hAnsi="Times New Roman" w:cs="Times New Roman" w:eastAsia="Times New Roman" w:hint="default"/>
        </w:rPr>
        <w:t>5000</w:t>
      </w:r>
      <w:r>
        <w:rPr/>
        <w:t>万元，占注 册资本的</w:t>
      </w:r>
      <w:r>
        <w:rPr>
          <w:rFonts w:ascii="Times New Roman" w:hAnsi="Times New Roman" w:cs="Times New Roman" w:eastAsia="Times New Roman" w:hint="default"/>
        </w:rPr>
        <w:t>100%</w:t>
      </w:r>
      <w:r>
        <w:rPr/>
        <w:t>。公司经营范围：对电力、热力、燃气及水生产和供应业的投资；新能源技术的技术研发、技术咨询、技术 </w:t>
      </w:r>
      <w:r>
        <w:rPr>
          <w:spacing w:val="-2"/>
        </w:rPr>
        <w:t>服务；火力发电；热电联产；水力发电；核力发电；风力发电；太阳能发电；生物质能发电；海洋能发电；废料发电；电力</w:t>
      </w:r>
      <w:r>
        <w:rPr>
          <w:spacing w:val="-71"/>
        </w:rPr>
        <w:t> </w:t>
      </w:r>
      <w:r>
        <w:rPr>
          <w:spacing w:val="-71"/>
        </w:rPr>
      </w:r>
      <w:r>
        <w:rPr>
          <w:spacing w:val="-2"/>
        </w:rPr>
        <w:t>供应；电气设备批发；先进电力电子装置销售；智能输配电及控制设备销售；储能装置材料及器材研发；储能装置及其管理</w:t>
      </w:r>
      <w:r>
        <w:rPr>
          <w:spacing w:val="-66"/>
        </w:rPr>
        <w:t> </w:t>
      </w:r>
      <w:r>
        <w:rPr>
          <w:spacing w:val="-66"/>
        </w:rPr>
      </w:r>
      <w:r>
        <w:rPr>
          <w:spacing w:val="-2"/>
        </w:rPr>
        <w:t>系统研发；动力与电力工程研究服务；能源科学技术研究服务；设计管理与咨询。（依法须经批准的项目，经相关部门批准</w:t>
      </w:r>
      <w:r>
        <w:rPr>
          <w:spacing w:val="-72"/>
        </w:rPr>
        <w:t> </w:t>
      </w:r>
      <w:r>
        <w:rPr>
          <w:spacing w:val="-72"/>
        </w:rPr>
      </w:r>
      <w:r>
        <w:rPr/>
        <w:t>后方可开展经营活动）</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328,079,755.21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47.83%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福建中核高嵛山风电有限公司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129,044,144.70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18.81%</w:t>
            </w:r>
          </w:p>
        </w:tc>
      </w:tr>
      <w:tr>
        <w:trPr>
          <w:trHeight w:val="71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02"/>
              <w:jc w:val="left"/>
              <w:rPr>
                <w:rFonts w:ascii="Times New Roman" w:hAnsi="Times New Roman" w:cs="Times New Roman" w:eastAsia="Times New Roman" w:hint="default"/>
                <w:sz w:val="18"/>
                <w:szCs w:val="18"/>
              </w:rPr>
            </w:pPr>
            <w:r>
              <w:rPr>
                <w:rFonts w:ascii="Times New Roman"/>
                <w:spacing w:val="-3"/>
                <w:sz w:val="18"/>
              </w:rPr>
              <w:t>ECOPARK </w:t>
            </w:r>
            <w:r>
              <w:rPr>
                <w:rFonts w:ascii="Times New Roman"/>
                <w:sz w:val="18"/>
              </w:rPr>
              <w:t>ENERGY OF</w:t>
            </w:r>
            <w:r>
              <w:rPr>
                <w:rFonts w:ascii="Times New Roman"/>
                <w:spacing w:val="-2"/>
                <w:sz w:val="18"/>
              </w:rPr>
              <w:t> </w:t>
            </w:r>
            <w:r>
              <w:rPr>
                <w:rFonts w:ascii="Times New Roman"/>
                <w:spacing w:val="-3"/>
                <w:sz w:val="18"/>
              </w:rPr>
              <w:t>VALENZUELA</w:t>
            </w:r>
            <w:r>
              <w:rPr>
                <w:rFonts w:ascii="Times New Roman"/>
                <w:w w:val="99"/>
                <w:sz w:val="18"/>
              </w:rPr>
              <w:t> </w:t>
            </w:r>
            <w:r>
              <w:rPr>
                <w:rFonts w:ascii="Times New Roman"/>
                <w:sz w:val="18"/>
              </w:rPr>
              <w:t>CORP</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70,866,137.88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10.33%</w:t>
            </w:r>
          </w:p>
        </w:tc>
      </w:tr>
      <w:tr>
        <w:trPr>
          <w:trHeight w:val="71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6"/>
              <w:jc w:val="left"/>
              <w:rPr>
                <w:rFonts w:ascii="宋体" w:hAnsi="宋体" w:cs="宋体" w:eastAsia="宋体" w:hint="default"/>
                <w:sz w:val="18"/>
                <w:szCs w:val="18"/>
              </w:rPr>
            </w:pPr>
            <w:r>
              <w:rPr>
                <w:rFonts w:ascii="宋体" w:hAnsi="宋体" w:cs="宋体" w:eastAsia="宋体" w:hint="default"/>
                <w:sz w:val="18"/>
                <w:szCs w:val="18"/>
              </w:rPr>
              <w:t>中国能源建设集团天津电力建设有限公 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58,831,062.25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中核国电漳州能源有限公司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35,727,500.27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奉新伟恒风力发电有限公司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33,610,910.11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328,079,755.21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47.83%</w:t>
            </w:r>
          </w:p>
        </w:tc>
      </w:tr>
    </w:tbl>
    <w:p>
      <w:pPr>
        <w:pStyle w:val="BodyText"/>
        <w:spacing w:line="240" w:lineRule="auto" w:before="51"/>
        <w:ind w:right="0"/>
        <w:jc w:val="left"/>
      </w:pPr>
      <w:r>
        <w:rPr/>
        <w:t>主要客户其他情况说明</w:t>
      </w:r>
    </w:p>
    <w:p>
      <w:pPr>
        <w:pStyle w:val="BodyText"/>
        <w:spacing w:line="357" w:lineRule="auto" w:before="117"/>
        <w:ind w:right="9132"/>
        <w:jc w:val="left"/>
      </w:pPr>
      <w:r>
        <w:rPr/>
        <w:t>□ 适用 √ 不适用 公司主要供应商情况</w:t>
      </w:r>
    </w:p>
    <w:p>
      <w:pPr>
        <w:spacing w:after="0" w:line="357" w:lineRule="auto"/>
        <w:jc w:val="left"/>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166,523,461.63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36.74%</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泉州市协胜工程建设有限公司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47,699,545.09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10.52%</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福建福船一帆新能源装备制造有限公 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41,099,043.09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无锡尚德太阳能电力有限公司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34,606,341.53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福建宏瑞建设工程有限公司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21,583,510.81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合肥晶澳太阳能科技有限公司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21,535,021.11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166,523,461.63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36.74%</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6"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22,797,379.29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18,309,322.09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主要原因是：报告期内销售费用增 长主要是经营生产一体化改制后加 强市场拓展能力，增加市场开发人 员。</w:t>
            </w:r>
          </w:p>
        </w:tc>
      </w:tr>
      <w:tr>
        <w:trPr>
          <w:trHeight w:val="227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52,346,221.89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48,343,560.12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主要原因是：报告期内管理费用增 长是因为一、完善管理体系，增加 管理部门，增加人员。二、上年度 与上市相关的审计、券商等中介费 列入上市费用，本年度审计、券商 等与上市公司运行相关等中介费列 入管理费用。</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7,066,562.31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10,062,830.59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
              <w:jc w:val="left"/>
              <w:rPr>
                <w:rFonts w:ascii="宋体" w:hAnsi="宋体" w:cs="宋体" w:eastAsia="宋体" w:hint="default"/>
                <w:sz w:val="18"/>
                <w:szCs w:val="18"/>
              </w:rPr>
            </w:pPr>
            <w:r>
              <w:rPr>
                <w:rFonts w:ascii="宋体" w:hAnsi="宋体" w:cs="宋体" w:eastAsia="宋体" w:hint="default"/>
                <w:sz w:val="18"/>
                <w:szCs w:val="18"/>
              </w:rPr>
              <w:t>主要原因是：报告期内虽然营收规 模增长，但工程总承包项目使用了 </w:t>
            </w:r>
            <w:r>
              <w:rPr>
                <w:rFonts w:ascii="宋体" w:hAnsi="宋体" w:cs="宋体" w:eastAsia="宋体" w:hint="default"/>
                <w:spacing w:val="-6"/>
                <w:sz w:val="18"/>
                <w:szCs w:val="18"/>
              </w:rPr>
              <w:t>部分募集资金，所以贷款规模下降，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利息费用降低。</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19,239,363.96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14,855,522.17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29.51%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02"/>
              <w:jc w:val="left"/>
              <w:rPr>
                <w:rFonts w:ascii="宋体" w:hAnsi="宋体" w:cs="宋体" w:eastAsia="宋体" w:hint="default"/>
                <w:sz w:val="18"/>
                <w:szCs w:val="18"/>
              </w:rPr>
            </w:pPr>
            <w:r>
              <w:rPr>
                <w:rFonts w:ascii="宋体" w:hAnsi="宋体" w:cs="宋体" w:eastAsia="宋体" w:hint="default"/>
                <w:sz w:val="18"/>
                <w:szCs w:val="18"/>
              </w:rPr>
              <w:t>主要原因是：报告期内加大研发投 入，增加研发人员。</w:t>
            </w:r>
          </w:p>
        </w:tc>
      </w:tr>
    </w:tbl>
    <w:p>
      <w:pPr>
        <w:spacing w:after="0" w:line="316"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7"/>
        <w:rPr>
          <w:rFonts w:ascii="宋体" w:hAnsi="宋体" w:cs="宋体" w:eastAsia="宋体" w:hint="default"/>
          <w:sz w:val="9"/>
          <w:szCs w:val="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4" w:right="1122" w:hanging="360"/>
        <w:jc w:val="left"/>
      </w:pPr>
      <w:r>
        <w:rPr/>
        <w:t>√ 适用 □ 不适用 </w:t>
      </w:r>
      <w:r>
        <w:rPr>
          <w:spacing w:val="-2"/>
        </w:rPr>
        <w:t>公司持续注重研发投入力度，坚持自主创新，实现公司的可持续发展。报告期内，公司获得专利授权</w:t>
      </w:r>
      <w:r>
        <w:rPr>
          <w:rFonts w:ascii="Times New Roman" w:hAnsi="Times New Roman" w:cs="Times New Roman" w:eastAsia="Times New Roman" w:hint="default"/>
          <w:spacing w:val="-2"/>
        </w:rPr>
        <w:t>21</w:t>
      </w:r>
      <w:r>
        <w:rPr>
          <w:spacing w:val="-2"/>
        </w:rPr>
        <w:t>项，累计已获得</w:t>
      </w:r>
    </w:p>
    <w:p>
      <w:pPr>
        <w:pStyle w:val="BodyText"/>
        <w:spacing w:line="215" w:lineRule="exact"/>
        <w:ind w:right="0"/>
        <w:jc w:val="left"/>
      </w:pPr>
      <w:r>
        <w:rPr/>
        <w:t>专利授权</w:t>
      </w:r>
      <w:r>
        <w:rPr>
          <w:rFonts w:ascii="Times New Roman" w:hAnsi="Times New Roman" w:cs="Times New Roman" w:eastAsia="Times New Roman" w:hint="default"/>
        </w:rPr>
        <w:t>90</w:t>
      </w:r>
      <w:r>
        <w:rPr/>
        <w:t>项</w:t>
      </w:r>
      <w:r>
        <w:rPr>
          <w:spacing w:val="-67"/>
        </w:rPr>
        <w:t>。</w:t>
      </w:r>
      <w:r>
        <w:rPr/>
        <w:t>公司抓住福建海上风电蓬勃发展的机会</w:t>
      </w:r>
      <w:r>
        <w:rPr>
          <w:spacing w:val="-67"/>
        </w:rPr>
        <w:t>，</w:t>
      </w:r>
      <w:r>
        <w:rPr/>
        <w:t>提</w:t>
      </w:r>
      <w:r>
        <w:rPr>
          <w:spacing w:val="-67"/>
        </w:rPr>
        <w:t>出</w:t>
      </w:r>
      <w:r>
        <w:rPr/>
        <w:t>“风能和潮流能综合发电装置</w:t>
      </w:r>
      <w:r>
        <w:rPr>
          <w:spacing w:val="-90"/>
        </w:rPr>
        <w:t>”</w:t>
      </w:r>
      <w:r>
        <w:rPr>
          <w:spacing w:val="-157"/>
        </w:rPr>
        <w:t>、</w:t>
      </w:r>
      <w:r>
        <w:rPr/>
        <w:t>“风电场与海洋养殖综合利用</w:t>
      </w:r>
      <w:r>
        <w:rPr>
          <w:spacing w:val="-89"/>
        </w:rPr>
        <w:t>”</w:t>
      </w:r>
      <w:r>
        <w:rPr/>
        <w:t>、</w:t>
      </w:r>
    </w:p>
    <w:p>
      <w:pPr>
        <w:pStyle w:val="BodyText"/>
        <w:spacing w:line="312" w:lineRule="auto" w:before="63"/>
        <w:ind w:right="0"/>
        <w:jc w:val="left"/>
      </w:pPr>
      <w:r>
        <w:rPr>
          <w:spacing w:val="-4"/>
        </w:rPr>
        <w:t>“环形组合式超大直径海上风电单桩基础”等多项关于节能环保综合利用及基础防撞课题研究，并取得丰硕成果。报告期内，</w:t>
      </w:r>
      <w:r>
        <w:rPr>
          <w:spacing w:val="-44"/>
        </w:rPr>
        <w:t> </w:t>
      </w:r>
      <w:r>
        <w:rPr>
          <w:spacing w:val="-44"/>
        </w:rPr>
      </w:r>
      <w:r>
        <w:rPr>
          <w:spacing w:val="-2"/>
        </w:rPr>
        <w:t>在海上风电领域获得</w:t>
      </w:r>
      <w:r>
        <w:rPr>
          <w:rFonts w:ascii="Times New Roman" w:hAnsi="Times New Roman" w:cs="Times New Roman" w:eastAsia="Times New Roman" w:hint="default"/>
          <w:spacing w:val="-2"/>
        </w:rPr>
        <w:t>5</w:t>
      </w:r>
      <w:r>
        <w:rPr>
          <w:spacing w:val="-2"/>
        </w:rPr>
        <w:t>项发明授权，</w:t>
      </w:r>
      <w:r>
        <w:rPr>
          <w:rFonts w:ascii="Times New Roman" w:hAnsi="Times New Roman" w:cs="Times New Roman" w:eastAsia="Times New Roman" w:hint="default"/>
          <w:spacing w:val="-2"/>
        </w:rPr>
        <w:t>4</w:t>
      </w:r>
      <w:r>
        <w:rPr>
          <w:spacing w:val="-2"/>
        </w:rPr>
        <w:t>项实用新型专利授权，累计共获得</w:t>
      </w:r>
      <w:r>
        <w:rPr>
          <w:rFonts w:ascii="Times New Roman" w:hAnsi="Times New Roman" w:cs="Times New Roman" w:eastAsia="Times New Roman" w:hint="default"/>
          <w:spacing w:val="-2"/>
        </w:rPr>
        <w:t>25</w:t>
      </w:r>
      <w:r>
        <w:rPr>
          <w:spacing w:val="-2"/>
        </w:rPr>
        <w:t>项专利授权，另有多项专利授权正在授予中。这些</w:t>
      </w:r>
      <w:r>
        <w:rPr>
          <w:spacing w:val="-62"/>
        </w:rPr>
        <w:t> </w:t>
      </w:r>
      <w:r>
        <w:rPr>
          <w:spacing w:val="-62"/>
        </w:rPr>
      </w:r>
      <w:r>
        <w:rPr>
          <w:spacing w:val="-2"/>
        </w:rPr>
        <w:t>研发成果有助于公司在清洁能源及新能源发电等领域，全面提升技术能力，进一步推动设计理念和技术创新，提升公司品牌</w:t>
      </w:r>
      <w:r>
        <w:rPr>
          <w:spacing w:val="-66"/>
        </w:rPr>
        <w:t> </w:t>
      </w:r>
      <w:r>
        <w:rPr>
          <w:spacing w:val="-66"/>
        </w:rPr>
      </w:r>
      <w:r>
        <w:rPr/>
        <w:t>价值。公司作为高新技术企业，通过持续多年的研发投入和技术创新，成功塑造了公司的市场竞争力和品牌美誉度。</w:t>
      </w:r>
    </w:p>
    <w:p>
      <w:pPr>
        <w:spacing w:line="240" w:lineRule="auto" w:before="0"/>
        <w:rPr>
          <w:rFonts w:ascii="宋体" w:hAnsi="宋体" w:cs="宋体" w:eastAsia="宋体" w:hint="default"/>
          <w:sz w:val="18"/>
          <w:szCs w:val="18"/>
        </w:rPr>
      </w:pPr>
    </w:p>
    <w:p>
      <w:pPr>
        <w:pStyle w:val="BodyText"/>
        <w:spacing w:line="240" w:lineRule="auto" w:before="139"/>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19,239,363.96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14,855,522.17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14,592,615.54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研发支出资本化的金</w:t>
            </w:r>
            <w:r>
              <w:rPr>
                <w:rFonts w:ascii="宋体" w:hAnsi="宋体" w:cs="宋体" w:eastAsia="宋体" w:hint="default"/>
                <w:spacing w:val="-75"/>
                <w:sz w:val="18"/>
                <w:szCs w:val="18"/>
              </w:rPr>
              <w:t>额</w:t>
            </w:r>
            <w:r>
              <w:rPr>
                <w:rFonts w:ascii="宋体" w:hAnsi="宋体" w:cs="宋体" w:eastAsia="宋体" w:hint="default"/>
                <w:sz w:val="18"/>
                <w:szCs w:val="18"/>
              </w:rPr>
              <w:t>（元）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研发投入总额占营业收入的比重较上年发生显著变化的原因</w:t>
      </w:r>
    </w:p>
    <w:p>
      <w:pPr>
        <w:pStyle w:val="BodyText"/>
        <w:spacing w:line="357" w:lineRule="auto" w:before="117"/>
        <w:ind w:right="6792"/>
        <w:jc w:val="left"/>
      </w:pPr>
      <w:r>
        <w:rPr/>
        <w:t>□ 适用 √ 不适用 研发投入资本化率大幅变动的原因及其合理性说明</w:t>
      </w:r>
    </w:p>
    <w:p>
      <w:pPr>
        <w:pStyle w:val="BodyText"/>
        <w:spacing w:line="240" w:lineRule="auto" w:before="2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529,312,833.55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493,454,662.99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509,189,089.74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437,088,949.06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16.50%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20,123,743.81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56,365,713.93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844,343,103.95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7,681,783.00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10,891.50%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710,130,156.82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306,523,728.98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131.67%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134,212,947.13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-298,841,945.98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144.91%</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545,336,415.09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-73.41%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194,869,481.76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199,962,986.94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-49,869,481.76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345,373,428.15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-114.44%</w:t>
            </w:r>
            <w:r>
              <w:rPr>
                <w:rFonts w:ascii="Times New Roman"/>
                <w:spacing w:val="-1"/>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104,433,121.18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102,870,052.63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1.52%</w:t>
            </w:r>
          </w:p>
        </w:tc>
      </w:tr>
    </w:tbl>
    <w:p>
      <w:pPr>
        <w:pStyle w:val="BodyText"/>
        <w:spacing w:line="240" w:lineRule="auto" w:before="51"/>
        <w:ind w:right="0"/>
        <w:jc w:val="left"/>
      </w:pPr>
      <w:r>
        <w:rPr/>
        <w:t>相关数据同比发生重大变动的主要影响因素说明</w:t>
      </w:r>
    </w:p>
    <w:p>
      <w:pPr>
        <w:pStyle w:val="BodyText"/>
        <w:spacing w:line="439" w:lineRule="auto" w:before="117"/>
        <w:ind w:right="9222"/>
        <w:jc w:val="left"/>
      </w:pPr>
      <w:r>
        <w:rPr/>
        <w:t>√ 适用 □ 不适用 注：</w:t>
      </w:r>
    </w:p>
    <w:p>
      <w:pPr>
        <w:pStyle w:val="BodyText"/>
        <w:spacing w:line="240" w:lineRule="auto" w:before="47"/>
        <w:ind w:right="0"/>
        <w:jc w:val="left"/>
      </w:pPr>
      <w:r>
        <w:rPr>
          <w:rFonts w:ascii="Times New Roman" w:hAnsi="Times New Roman" w:cs="Times New Roman" w:eastAsia="Times New Roman" w:hint="default"/>
        </w:rPr>
        <w:t>1</w:t>
      </w:r>
      <w:r>
        <w:rPr/>
        <w:t>、经营活动现金流入较上年度增长</w:t>
      </w:r>
      <w:r>
        <w:rPr>
          <w:rFonts w:ascii="Times New Roman" w:hAnsi="Times New Roman" w:cs="Times New Roman" w:eastAsia="Times New Roman" w:hint="default"/>
        </w:rPr>
        <w:t>7.27%</w:t>
      </w:r>
      <w:r>
        <w:rPr/>
        <w:t>，主要原因是公司业务增长致营业收入规模增长。</w:t>
      </w:r>
    </w:p>
    <w:p>
      <w:pPr>
        <w:spacing w:line="240" w:lineRule="auto" w:before="13"/>
        <w:rPr>
          <w:rFonts w:ascii="宋体" w:hAnsi="宋体" w:cs="宋体" w:eastAsia="宋体" w:hint="default"/>
          <w:sz w:val="13"/>
          <w:szCs w:val="13"/>
        </w:rPr>
      </w:pPr>
    </w:p>
    <w:p>
      <w:pPr>
        <w:pStyle w:val="BodyText"/>
        <w:spacing w:line="300" w:lineRule="auto"/>
        <w:ind w:right="0"/>
        <w:jc w:val="left"/>
      </w:pPr>
      <w:r>
        <w:rPr>
          <w:rFonts w:ascii="Times New Roman" w:hAnsi="Times New Roman" w:cs="Times New Roman" w:eastAsia="Times New Roman" w:hint="default"/>
          <w:spacing w:val="-1"/>
        </w:rPr>
        <w:t>2</w:t>
      </w:r>
      <w:r>
        <w:rPr>
          <w:spacing w:val="-1"/>
        </w:rPr>
        <w:t>、经营活动现金流出较上年度增长</w:t>
      </w:r>
      <w:r>
        <w:rPr>
          <w:rFonts w:ascii="Times New Roman" w:hAnsi="Times New Roman" w:cs="Times New Roman" w:eastAsia="Times New Roman" w:hint="default"/>
          <w:spacing w:val="-1"/>
        </w:rPr>
        <w:t>16.50%</w:t>
      </w:r>
      <w:r>
        <w:rPr>
          <w:spacing w:val="-1"/>
        </w:rPr>
        <w:t>，主要原因是公司总承包工程业务增长，支付购买设备、施工分包现金增加；公</w:t>
      </w:r>
      <w:r>
        <w:rPr>
          <w:spacing w:val="-44"/>
        </w:rPr>
        <w:t> </w:t>
      </w:r>
      <w:r>
        <w:rPr>
          <w:spacing w:val="-44"/>
        </w:rPr>
      </w:r>
      <w:r>
        <w:rPr/>
        <w:t>司业务发展，员工增加，职工薪酬支出同比增长较大。</w:t>
      </w:r>
    </w:p>
    <w:p>
      <w:pPr>
        <w:pStyle w:val="BodyText"/>
        <w:spacing w:line="300" w:lineRule="auto" w:before="151"/>
        <w:ind w:right="1122"/>
        <w:jc w:val="left"/>
      </w:pPr>
      <w:r>
        <w:rPr>
          <w:rFonts w:ascii="Times New Roman" w:hAnsi="Times New Roman" w:cs="Times New Roman" w:eastAsia="Times New Roman" w:hint="default"/>
        </w:rPr>
        <w:t>3</w:t>
      </w:r>
      <w:r>
        <w:rPr/>
        <w:t>、投资活动现金流入较上年度增长</w:t>
      </w:r>
      <w:r>
        <w:rPr>
          <w:rFonts w:ascii="Times New Roman" w:hAnsi="Times New Roman" w:cs="Times New Roman" w:eastAsia="Times New Roman" w:hint="default"/>
        </w:rPr>
        <w:t>10,891.50%</w:t>
      </w:r>
      <w:r>
        <w:rPr/>
        <w:t>，主要原因是报告期内滚动收回利用暂时闲置募集资金购买的结构性存款及</w:t>
      </w:r>
      <w:r>
        <w:rPr>
          <w:spacing w:val="-58"/>
        </w:rPr>
        <w:t> </w:t>
      </w:r>
      <w:r>
        <w:rPr>
          <w:spacing w:val="-58"/>
        </w:rPr>
      </w:r>
      <w:r>
        <w:rPr/>
        <w:t>利息收益。</w:t>
      </w:r>
    </w:p>
    <w:p>
      <w:pPr>
        <w:pStyle w:val="BodyText"/>
        <w:spacing w:line="300" w:lineRule="auto" w:before="151"/>
        <w:ind w:right="0"/>
        <w:jc w:val="left"/>
      </w:pPr>
      <w:r>
        <w:rPr>
          <w:rFonts w:ascii="Times New Roman" w:hAnsi="Times New Roman" w:cs="Times New Roman" w:eastAsia="Times New Roman" w:hint="default"/>
        </w:rPr>
        <w:t>4</w:t>
      </w:r>
      <w:r>
        <w:rPr/>
        <w:t>、投资活动现金流出较上年度增长</w:t>
      </w:r>
      <w:r>
        <w:rPr>
          <w:rFonts w:ascii="Times New Roman" w:hAnsi="Times New Roman" w:cs="Times New Roman" w:eastAsia="Times New Roman" w:hint="default"/>
        </w:rPr>
        <w:t>131.67%</w:t>
      </w:r>
      <w:r>
        <w:rPr/>
        <w:t>，主要原因是报告期内募投项目实施投入增加；新增控股公司的投资；利用暂</w:t>
      </w:r>
      <w:r>
        <w:rPr>
          <w:spacing w:val="-22"/>
        </w:rPr>
        <w:t> </w:t>
      </w:r>
      <w:r>
        <w:rPr>
          <w:spacing w:val="-22"/>
        </w:rPr>
      </w:r>
      <w:r>
        <w:rPr/>
        <w:t>时闲置募集资金滚动购买结构性存款。</w:t>
      </w:r>
    </w:p>
    <w:p>
      <w:pPr>
        <w:pStyle w:val="BodyText"/>
        <w:spacing w:line="417" w:lineRule="auto" w:before="151"/>
        <w:ind w:right="3627"/>
        <w:jc w:val="left"/>
      </w:pPr>
      <w:r>
        <w:rPr>
          <w:rFonts w:ascii="Times New Roman" w:hAnsi="Times New Roman" w:cs="Times New Roman" w:eastAsia="Times New Roman" w:hint="default"/>
        </w:rPr>
        <w:t>5</w:t>
      </w:r>
      <w:r>
        <w:rPr/>
        <w:t>、筹资活动现金流入较上年度下降</w:t>
      </w:r>
      <w:r>
        <w:rPr>
          <w:rFonts w:ascii="Times New Roman" w:hAnsi="Times New Roman" w:cs="Times New Roman" w:eastAsia="Times New Roman" w:hint="default"/>
        </w:rPr>
        <w:t>73.41%</w:t>
      </w:r>
      <w:r>
        <w:rPr/>
        <w:t>，主要原因是上年度公司收到首发募集资金款。 报告期内公司经营活动产生的现金净流量与本年度净利润存在重大差异的原因说明</w:t>
      </w:r>
    </w:p>
    <w:p>
      <w:pPr>
        <w:pStyle w:val="BodyText"/>
        <w:spacing w:line="218" w:lineRule="exact"/>
        <w:ind w:right="0"/>
        <w:jc w:val="left"/>
      </w:pPr>
      <w:r>
        <w:rPr/>
        <w:t>√ 适用 □ 不适用</w:t>
      </w:r>
    </w:p>
    <w:p>
      <w:pPr>
        <w:pStyle w:val="BodyText"/>
        <w:spacing w:line="300" w:lineRule="auto" w:before="116"/>
        <w:ind w:right="1122"/>
        <w:jc w:val="left"/>
      </w:pPr>
      <w:r>
        <w:rPr>
          <w:spacing w:val="-1"/>
        </w:rPr>
        <w:t>本报告期</w:t>
      </w:r>
      <w:r>
        <w:rPr>
          <w:rFonts w:ascii="Times New Roman" w:hAnsi="Times New Roman" w:cs="Times New Roman" w:eastAsia="Times New Roman" w:hint="default"/>
          <w:spacing w:val="-1"/>
        </w:rPr>
        <w:t>EPC</w:t>
      </w:r>
      <w:r>
        <w:rPr>
          <w:spacing w:val="-1"/>
        </w:rPr>
        <w:t>工程总承包业务的增长较大，菲律宾光伏项目由于业主外接线路原因导致工程投产推后，致</w:t>
      </w:r>
      <w:r>
        <w:rPr>
          <w:rFonts w:ascii="Times New Roman" w:hAnsi="Times New Roman" w:cs="Times New Roman" w:eastAsia="Times New Roman" w:hint="default"/>
          <w:spacing w:val="-1"/>
        </w:rPr>
        <w:t>ECOPARK</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rFonts w:ascii="Times New Roman" w:hAnsi="Times New Roman" w:cs="Times New Roman" w:eastAsia="Times New Roman" w:hint="default"/>
        </w:rPr>
        <w:t>ENERGY OF </w:t>
      </w:r>
      <w:r>
        <w:rPr>
          <w:rFonts w:ascii="Times New Roman" w:hAnsi="Times New Roman" w:cs="Times New Roman" w:eastAsia="Times New Roman" w:hint="default"/>
          <w:spacing w:val="-3"/>
        </w:rPr>
        <w:t>VALENZUELA</w:t>
      </w:r>
      <w:r>
        <w:rPr>
          <w:rFonts w:ascii="Times New Roman" w:hAnsi="Times New Roman" w:cs="Times New Roman" w:eastAsia="Times New Roman" w:hint="default"/>
          <w:spacing w:val="-19"/>
        </w:rPr>
        <w:t> </w:t>
      </w:r>
      <w:r>
        <w:rPr>
          <w:rFonts w:ascii="Times New Roman" w:hAnsi="Times New Roman" w:cs="Times New Roman" w:eastAsia="Times New Roman" w:hint="default"/>
        </w:rPr>
        <w:t>CORP</w:t>
      </w:r>
      <w:r>
        <w:rPr/>
        <w:t>应收账款增加</w:t>
      </w:r>
      <w:r>
        <w:rPr>
          <w:rFonts w:ascii="Times New Roman" w:hAnsi="Times New Roman" w:cs="Times New Roman" w:eastAsia="Times New Roman" w:hint="default"/>
        </w:rPr>
        <w:t>5,045.12</w:t>
      </w:r>
      <w:r>
        <w:rPr/>
        <w:t>万元，致经营活动产生现金净流量与净利润存在差异。</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50"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6,626,296.42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7.68%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3"/>
                <w:sz w:val="18"/>
                <w:szCs w:val="18"/>
              </w:rPr>
              <w:t>增持永帆风电股份，权益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法核算投资收益及新增 利用暂时闲置募集资金 购买结构性存款利息收 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按权益法核算的投资收益 </w:t>
            </w:r>
            <w:r>
              <w:rPr>
                <w:rFonts w:ascii="宋体" w:hAnsi="宋体" w:cs="宋体" w:eastAsia="宋体" w:hint="default"/>
                <w:spacing w:val="-3"/>
                <w:sz w:val="18"/>
                <w:szCs w:val="18"/>
              </w:rPr>
              <w:t>具备可持续性，利用募集资</w:t>
            </w:r>
            <w:r>
              <w:rPr>
                <w:rFonts w:ascii="宋体" w:hAnsi="宋体" w:cs="宋体" w:eastAsia="宋体" w:hint="default"/>
                <w:sz w:val="18"/>
                <w:szCs w:val="18"/>
              </w:rPr>
              <w:t> 金购买结构性存款利息收 益不具有可持续性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11,394,127.88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13.21%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1"/>
              <w:jc w:val="left"/>
              <w:rPr>
                <w:rFonts w:ascii="宋体" w:hAnsi="宋体" w:cs="宋体" w:eastAsia="宋体" w:hint="default"/>
                <w:sz w:val="18"/>
                <w:szCs w:val="18"/>
              </w:rPr>
            </w:pPr>
            <w:r>
              <w:rPr>
                <w:rFonts w:ascii="宋体" w:hAnsi="宋体" w:cs="宋体" w:eastAsia="宋体" w:hint="default"/>
                <w:sz w:val="18"/>
                <w:szCs w:val="18"/>
              </w:rPr>
              <w:t>根据应收账款政策计提 的坏账准备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20,363.68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政府补助等收益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172,794.14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0.20%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251"/>
              <w:jc w:val="left"/>
              <w:rPr>
                <w:rFonts w:ascii="宋体" w:hAnsi="宋体" w:cs="宋体" w:eastAsia="宋体" w:hint="default"/>
                <w:sz w:val="18"/>
                <w:szCs w:val="18"/>
              </w:rPr>
            </w:pPr>
            <w:r>
              <w:rPr>
                <w:rFonts w:ascii="宋体" w:hAnsi="宋体" w:cs="宋体" w:eastAsia="宋体" w:hint="default"/>
                <w:sz w:val="18"/>
                <w:szCs w:val="18"/>
              </w:rPr>
              <w:t>对外捐赠及固定资产损 毁报废损失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1,303,501.75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1.51%</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51"/>
              <w:jc w:val="left"/>
              <w:rPr>
                <w:rFonts w:ascii="宋体" w:hAnsi="宋体" w:cs="宋体" w:eastAsia="宋体" w:hint="default"/>
                <w:sz w:val="18"/>
                <w:szCs w:val="18"/>
              </w:rPr>
            </w:pPr>
            <w:r>
              <w:rPr>
                <w:rFonts w:ascii="宋体" w:hAnsi="宋体" w:cs="宋体" w:eastAsia="宋体" w:hint="default"/>
                <w:sz w:val="18"/>
                <w:szCs w:val="18"/>
              </w:rPr>
              <w:t>与本公司日常活动相关 的政府补助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14,817.29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6" w:right="0"/>
              <w:jc w:val="left"/>
              <w:rPr>
                <w:rFonts w:ascii="Times New Roman" w:hAnsi="Times New Roman" w:cs="Times New Roman" w:eastAsia="Times New Roman" w:hint="default"/>
                <w:sz w:val="18"/>
                <w:szCs w:val="18"/>
              </w:rPr>
            </w:pPr>
            <w:r>
              <w:rPr>
                <w:rFonts w:ascii="Times New Roman"/>
                <w:sz w:val="18"/>
              </w:rPr>
              <w:t>0.02%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固定资产出售处置收益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不具有可持续性</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5"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329,091,525.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202,617,016.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主要原因是：本报告期的净现金流 增加的货币资金。</w:t>
            </w:r>
          </w:p>
        </w:tc>
      </w:tr>
      <w:tr>
        <w:trPr>
          <w:trHeight w:val="289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390,892,460.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27.52%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296,065,867.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24.63%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2.89%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01"/>
              <w:jc w:val="left"/>
              <w:rPr>
                <w:rFonts w:ascii="宋体" w:hAnsi="宋体" w:cs="宋体" w:eastAsia="宋体" w:hint="default"/>
                <w:sz w:val="18"/>
                <w:szCs w:val="18"/>
              </w:rPr>
            </w:pPr>
            <w:r>
              <w:rPr>
                <w:rFonts w:ascii="宋体" w:hAnsi="宋体" w:cs="宋体" w:eastAsia="宋体" w:hint="default"/>
                <w:sz w:val="18"/>
                <w:szCs w:val="18"/>
              </w:rPr>
              <w:t>应收票据及应收账款变动主要原因 是：一、报告期内随业务增长而增 长</w:t>
            </w:r>
            <w:r>
              <w:rPr>
                <w:rFonts w:ascii="宋体" w:hAnsi="宋体" w:cs="宋体" w:eastAsia="宋体" w:hint="default"/>
                <w:spacing w:val="7"/>
                <w:sz w:val="18"/>
                <w:szCs w:val="18"/>
              </w:rPr>
              <w:t> </w:t>
            </w:r>
            <w:r>
              <w:rPr>
                <w:rFonts w:ascii="宋体" w:hAnsi="宋体" w:cs="宋体" w:eastAsia="宋体" w:hint="default"/>
                <w:spacing w:val="-7"/>
                <w:sz w:val="18"/>
                <w:szCs w:val="18"/>
              </w:rPr>
              <w:t>；二、菲律宾光伏项目由于业主</w:t>
            </w:r>
            <w:r>
              <w:rPr>
                <w:rFonts w:ascii="宋体" w:hAnsi="宋体" w:cs="宋体" w:eastAsia="宋体" w:hint="default"/>
                <w:sz w:val="18"/>
                <w:szCs w:val="18"/>
              </w:rPr>
              <w:t> 外接线路原因导致工程投产推后， 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ECOPARK</w:t>
            </w:r>
            <w:r>
              <w:rPr>
                <w:rFonts w:ascii="Times New Roman" w:hAnsi="Times New Roman" w:cs="Times New Roman" w:eastAsia="Times New Roman" w:hint="default"/>
                <w:sz w:val="18"/>
                <w:szCs w:val="18"/>
              </w:rPr>
              <w:t> ENERGY</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OF</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pacing w:val="-3"/>
                <w:sz w:val="18"/>
                <w:szCs w:val="18"/>
              </w:rPr>
              <w:t>VALENZUELA </w:t>
            </w:r>
            <w:r>
              <w:rPr>
                <w:rFonts w:ascii="Times New Roman" w:hAnsi="Times New Roman" w:cs="Times New Roman" w:eastAsia="Times New Roman" w:hint="default"/>
                <w:sz w:val="18"/>
                <w:szCs w:val="18"/>
              </w:rPr>
              <w:t>CORP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应收账款金</w:t>
            </w:r>
          </w:p>
          <w:p>
            <w:pPr>
              <w:pStyle w:val="TableParagraph"/>
              <w:spacing w:line="309" w:lineRule="auto" w:before="1"/>
              <w:ind w:left="101" w:right="105"/>
              <w:jc w:val="both"/>
              <w:rPr>
                <w:rFonts w:ascii="宋体" w:hAnsi="宋体" w:cs="宋体" w:eastAsia="宋体" w:hint="default"/>
                <w:sz w:val="18"/>
                <w:szCs w:val="18"/>
              </w:rPr>
            </w:pPr>
            <w:r>
              <w:rPr>
                <w:rFonts w:ascii="宋体" w:hAnsi="宋体" w:cs="宋体" w:eastAsia="宋体" w:hint="default"/>
                <w:sz w:val="18"/>
                <w:szCs w:val="18"/>
              </w:rPr>
              <w:t>额较上期增加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5045.12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万元截止目 前，公司已和菲律宾光伏项目业主 对应收款回款方案达成一致。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275,690,691.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143,126,022.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both"/>
              <w:rPr>
                <w:rFonts w:ascii="宋体" w:hAnsi="宋体" w:cs="宋体" w:eastAsia="宋体" w:hint="default"/>
                <w:sz w:val="18"/>
                <w:szCs w:val="18"/>
              </w:rPr>
            </w:pPr>
            <w:r>
              <w:rPr>
                <w:rFonts w:ascii="宋体" w:hAnsi="宋体" w:cs="宋体" w:eastAsia="宋体" w:hint="default"/>
                <w:sz w:val="18"/>
                <w:szCs w:val="18"/>
              </w:rPr>
              <w:t>主要原因是：本报告期内工程总承 包规模增长，部分总包工程工期跨 年，造成工程实际进度与合同约定 工程结算差异增加。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6,004,645.67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7,357,650.79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主要原因是：将一部分投资性房地 产转为自用房地产。</w:t>
            </w:r>
          </w:p>
        </w:tc>
      </w:tr>
      <w:tr>
        <w:trPr>
          <w:trHeight w:val="19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21,386,140.4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主要原因是：一、年初可供出售金 融资产福建永帆风电科技有限公 司，增持股份调整至长期股权投资 权益法进行核算，二、确认投资收 益的同时调整账面价值（损益调 </w:t>
            </w:r>
            <w:r>
              <w:rPr>
                <w:rFonts w:ascii="宋体" w:hAnsi="宋体" w:cs="宋体" w:eastAsia="宋体" w:hint="default"/>
                <w:spacing w:val="-30"/>
                <w:sz w:val="18"/>
                <w:szCs w:val="18"/>
              </w:rPr>
              <w:t>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228,362,775.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215,769,432.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17.95%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 w:right="0"/>
              <w:jc w:val="center"/>
              <w:rPr>
                <w:rFonts w:ascii="Times New Roman" w:hAnsi="Times New Roman" w:cs="Times New Roman" w:eastAsia="Times New Roman" w:hint="default"/>
                <w:sz w:val="18"/>
                <w:szCs w:val="18"/>
              </w:rPr>
            </w:pPr>
            <w:r>
              <w:rPr>
                <w:rFonts w:ascii="Times New Roman"/>
                <w:sz w:val="18"/>
              </w:rPr>
              <w:t>617,047.66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134,410,000.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1" w:right="101"/>
              <w:jc w:val="both"/>
              <w:rPr>
                <w:rFonts w:ascii="宋体" w:hAnsi="宋体" w:cs="宋体" w:eastAsia="宋体" w:hint="default"/>
                <w:sz w:val="18"/>
                <w:szCs w:val="18"/>
              </w:rPr>
            </w:pPr>
            <w:r>
              <w:rPr>
                <w:rFonts w:ascii="宋体" w:hAnsi="宋体" w:cs="宋体" w:eastAsia="宋体" w:hint="default"/>
                <w:spacing w:val="-7"/>
                <w:sz w:val="18"/>
                <w:szCs w:val="18"/>
              </w:rPr>
              <w:t>主要原因是：本年度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工程规模 增大，以银行承兑汇票方式支付相 应的分包款及设备款增多，从而使 短期借款减少。</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7,192,211.39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4,675,266.89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主要原因是：投标保证金及公司日</w:t>
            </w:r>
          </w:p>
        </w:tc>
      </w:tr>
    </w:tbl>
    <w:p>
      <w:pPr>
        <w:spacing w:after="0" w:line="240" w:lineRule="auto"/>
        <w:jc w:val="left"/>
        <w:rPr>
          <w:rFonts w:ascii="宋体" w:hAnsi="宋体" w:cs="宋体" w:eastAsia="宋体" w:hint="default"/>
          <w:sz w:val="18"/>
          <w:szCs w:val="18"/>
        </w:rPr>
        <w:sectPr>
          <w:pgSz w:w="11910" w:h="16840"/>
          <w:pgMar w:header="850" w:footer="1267" w:top="1260" w:bottom="148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常工作备用金等增加</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4,977,014.97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7,162,993.34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both"/>
              <w:rPr>
                <w:rFonts w:ascii="宋体" w:hAnsi="宋体" w:cs="宋体" w:eastAsia="宋体" w:hint="default"/>
                <w:sz w:val="18"/>
                <w:szCs w:val="18"/>
              </w:rPr>
            </w:pPr>
            <w:r>
              <w:rPr>
                <w:rFonts w:ascii="宋体" w:hAnsi="宋体" w:cs="宋体" w:eastAsia="宋体" w:hint="default"/>
                <w:sz w:val="18"/>
                <w:szCs w:val="18"/>
              </w:rPr>
              <w:t>主要原因是：报告期内随着工程项 目持续推进、采购合同的履约进度 推进因而减少。</w:t>
            </w:r>
          </w:p>
        </w:tc>
      </w:tr>
      <w:tr>
        <w:trPr>
          <w:trHeight w:val="19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both"/>
              <w:rPr>
                <w:rFonts w:ascii="宋体" w:hAnsi="宋体" w:cs="宋体" w:eastAsia="宋体" w:hint="default"/>
                <w:sz w:val="18"/>
                <w:szCs w:val="18"/>
              </w:rPr>
            </w:pPr>
            <w:r>
              <w:rPr>
                <w:rFonts w:ascii="宋体" w:hAnsi="宋体" w:cs="宋体" w:eastAsia="宋体" w:hint="default"/>
                <w:sz w:val="18"/>
                <w:szCs w:val="18"/>
              </w:rPr>
              <w:t>主要原因是：一、永帆风电增持股 份，调整至长期股权投资权益法进 行核算；二、本报告期内增加投资 上海毅昊信息科技股份有限公司、 福建积微科技有限公司，福建中青 集团有限公司。</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110,330.42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主要原因是：长期待摊费用报告期 内摊销完毕。</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73"/>
              <w:jc w:val="left"/>
              <w:rPr>
                <w:rFonts w:ascii="宋体" w:hAnsi="宋体" w:cs="宋体" w:eastAsia="宋体" w:hint="default"/>
                <w:sz w:val="18"/>
                <w:szCs w:val="18"/>
              </w:rPr>
            </w:pPr>
            <w:r>
              <w:rPr>
                <w:rFonts w:ascii="宋体" w:hAnsi="宋体" w:cs="宋体" w:eastAsia="宋体" w:hint="default"/>
                <w:sz w:val="18"/>
                <w:szCs w:val="18"/>
              </w:rPr>
              <w:t>应付票据及应 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331,666,296.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150,649,890.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both"/>
              <w:rPr>
                <w:rFonts w:ascii="宋体" w:hAnsi="宋体" w:cs="宋体" w:eastAsia="宋体" w:hint="default"/>
                <w:sz w:val="18"/>
                <w:szCs w:val="18"/>
              </w:rPr>
            </w:pPr>
            <w:r>
              <w:rPr>
                <w:rFonts w:ascii="宋体" w:hAnsi="宋体" w:cs="宋体" w:eastAsia="宋体" w:hint="default"/>
                <w:sz w:val="18"/>
                <w:szCs w:val="18"/>
              </w:rPr>
              <w:t>主要原因是：公司业务规模扩大， 因使用融资成本较低的银行承兑汇 票支付分包商及设备供应商，未到 期银行承兑汇票余额增加。</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120,623,336.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300,296,629.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-16.49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5"/>
              <w:jc w:val="both"/>
              <w:rPr>
                <w:rFonts w:ascii="宋体" w:hAnsi="宋体" w:cs="宋体" w:eastAsia="宋体" w:hint="default"/>
                <w:sz w:val="18"/>
                <w:szCs w:val="18"/>
              </w:rPr>
            </w:pPr>
            <w:r>
              <w:rPr>
                <w:rFonts w:ascii="宋体" w:hAnsi="宋体" w:cs="宋体" w:eastAsia="宋体" w:hint="default"/>
                <w:sz w:val="18"/>
                <w:szCs w:val="18"/>
              </w:rPr>
              <w:t>主要原因是：募投项目实施投入增 加，报告期末可利用暂时闲置募集 资金购买结构性存款的余额减少。</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21,232,300.7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10,835,061.1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0.59%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1" w:right="105"/>
              <w:jc w:val="left"/>
              <w:rPr>
                <w:rFonts w:ascii="宋体" w:hAnsi="宋体" w:cs="宋体" w:eastAsia="宋体" w:hint="default"/>
                <w:sz w:val="18"/>
                <w:szCs w:val="18"/>
              </w:rPr>
            </w:pPr>
            <w:r>
              <w:rPr>
                <w:rFonts w:ascii="宋体" w:hAnsi="宋体" w:cs="宋体" w:eastAsia="宋体" w:hint="default"/>
                <w:sz w:val="18"/>
                <w:szCs w:val="18"/>
              </w:rPr>
              <w:t>主要原因是：期末尚未支付投资款 等应付款项增加。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jc w:val="left"/>
      </w:pPr>
      <w:r>
        <w:rPr/>
        <w:t>因公司经营业务需要在银行开具的银行保函及银行承兑汇票需要的保证金属于限制性货币性资金。截止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日其 他货币资金保证金余额</w:t>
      </w:r>
      <w:r>
        <w:rPr>
          <w:rFonts w:ascii="Times New Roman" w:hAnsi="Times New Roman" w:cs="Times New Roman" w:eastAsia="Times New Roman" w:hint="default"/>
        </w:rPr>
        <w:t>39,890,925.01</w:t>
      </w:r>
      <w:r>
        <w:rPr/>
        <w:t>元，具体情况如下：</w:t>
      </w:r>
    </w:p>
    <w:p>
      <w:pPr>
        <w:pStyle w:val="BodyText"/>
        <w:spacing w:line="240" w:lineRule="auto" w:before="13"/>
        <w:ind w:right="0"/>
        <w:jc w:val="left"/>
      </w:pPr>
      <w:r>
        <w:rPr/>
        <w:t>单位：元</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220"/>
        <w:gridCol w:w="2198"/>
        <w:gridCol w:w="2199"/>
      </w:tblGrid>
      <w:tr>
        <w:trPr>
          <w:trHeight w:val="347" w:hRule="exact"/>
        </w:trPr>
        <w:tc>
          <w:tcPr>
            <w:tcW w:w="32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421"/>
              <w:jc w:val="right"/>
              <w:rPr>
                <w:rFonts w:ascii="宋体" w:hAnsi="宋体" w:cs="宋体" w:eastAsia="宋体" w:hint="default"/>
                <w:sz w:val="18"/>
                <w:szCs w:val="18"/>
              </w:rPr>
            </w:pPr>
            <w:r>
              <w:rPr>
                <w:rFonts w:ascii="宋体" w:hAnsi="宋体" w:cs="宋体" w:eastAsia="宋体" w:hint="default"/>
                <w:sz w:val="18"/>
                <w:szCs w:val="18"/>
              </w:rPr>
              <w:t>项目</w:t>
            </w:r>
          </w:p>
        </w:tc>
        <w:tc>
          <w:tcPr>
            <w:tcW w:w="21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19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28,710,351.81</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1,113,824.00</w:t>
            </w:r>
          </w:p>
        </w:tc>
      </w:tr>
      <w:tr>
        <w:trPr>
          <w:trHeight w:val="348"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11,180,573.20</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16,735,713.77</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421"/>
              <w:jc w:val="right"/>
              <w:rPr>
                <w:rFonts w:ascii="宋体" w:hAnsi="宋体" w:cs="宋体" w:eastAsia="宋体" w:hint="default"/>
                <w:sz w:val="18"/>
                <w:szCs w:val="18"/>
              </w:rPr>
            </w:pPr>
            <w:r>
              <w:rPr>
                <w:rFonts w:ascii="宋体" w:hAnsi="宋体" w:cs="宋体" w:eastAsia="宋体" w:hint="default"/>
                <w:sz w:val="18"/>
                <w:szCs w:val="18"/>
              </w:rPr>
              <w:t>合计</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39,890,925.01</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17,849,537.77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32,600,000.00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1,615.79%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649"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9" w:right="15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9" w:right="157"/>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650"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5"/>
              <w:jc w:val="both"/>
              <w:rPr>
                <w:rFonts w:ascii="宋体" w:hAnsi="宋体" w:cs="宋体" w:eastAsia="宋体" w:hint="default"/>
                <w:sz w:val="18"/>
                <w:szCs w:val="18"/>
              </w:rPr>
            </w:pPr>
            <w:r>
              <w:rPr>
                <w:rFonts w:ascii="宋体" w:hAnsi="宋体" w:cs="宋体" w:eastAsia="宋体" w:hint="default"/>
                <w:sz w:val="18"/>
                <w:szCs w:val="18"/>
              </w:rPr>
              <w:t>首次公 开发行 股票并 在创业 板上市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37,409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20,627.4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23,003.4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14,405.5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专户存 储或购 买结构 性存款</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37,409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20,627.4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23,003.4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14,405.5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23"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both"/>
              <w:rPr>
                <w:rFonts w:ascii="宋体" w:hAnsi="宋体" w:cs="宋体" w:eastAsia="宋体" w:hint="default"/>
                <w:sz w:val="18"/>
                <w:szCs w:val="18"/>
              </w:rPr>
            </w:pPr>
            <w:r>
              <w:rPr>
                <w:rFonts w:ascii="宋体" w:hAnsi="宋体" w:cs="宋体" w:eastAsia="宋体" w:hint="default"/>
                <w:sz w:val="18"/>
                <w:szCs w:val="18"/>
              </w:rPr>
              <w:t>经中国证券监督管理委员会《关于核准福建永福电力设计股份有限公司首次公开发行股票的批复</w:t>
            </w:r>
            <w:r>
              <w:rPr>
                <w:rFonts w:ascii="宋体" w:hAnsi="宋体" w:cs="宋体" w:eastAsia="宋体" w:hint="default"/>
                <w:spacing w:val="-90"/>
                <w:sz w:val="18"/>
                <w:szCs w:val="18"/>
              </w:rPr>
              <w:t>》</w:t>
            </w:r>
            <w:r>
              <w:rPr>
                <w:rFonts w:ascii="宋体" w:hAnsi="宋体" w:cs="宋体" w:eastAsia="宋体" w:hint="default"/>
                <w:sz w:val="18"/>
                <w:szCs w:val="18"/>
              </w:rPr>
              <w:t>（证监许可</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p>
          <w:p>
            <w:pPr>
              <w:pStyle w:val="TableParagraph"/>
              <w:spacing w:line="240" w:lineRule="auto" w:before="61"/>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1780</w:t>
            </w:r>
            <w:r>
              <w:rPr>
                <w:rFonts w:ascii="Times New Roman" w:hAnsi="Times New Roman" w:cs="Times New Roman" w:eastAsia="Times New Roman" w:hint="default"/>
                <w:spacing w:val="41"/>
                <w:sz w:val="18"/>
                <w:szCs w:val="18"/>
              </w:rPr>
              <w:t> </w:t>
            </w:r>
            <w:r>
              <w:rPr>
                <w:rFonts w:ascii="宋体" w:hAnsi="宋体" w:cs="宋体" w:eastAsia="宋体" w:hint="default"/>
                <w:spacing w:val="-2"/>
                <w:sz w:val="18"/>
                <w:szCs w:val="18"/>
              </w:rPr>
              <w:t>号）核准，由主承销商华创证券有限责任公司采用网下询价配售与网上资金申购定价发行相结合的方式发行人民币</w:t>
            </w:r>
          </w:p>
          <w:p>
            <w:pPr>
              <w:pStyle w:val="TableParagraph"/>
              <w:spacing w:line="300" w:lineRule="auto" w:before="63"/>
              <w:ind w:left="103" w:right="100"/>
              <w:jc w:val="both"/>
              <w:rPr>
                <w:rFonts w:ascii="宋体" w:hAnsi="宋体" w:cs="宋体" w:eastAsia="宋体" w:hint="default"/>
                <w:sz w:val="18"/>
                <w:szCs w:val="18"/>
              </w:rPr>
            </w:pPr>
            <w:r>
              <w:rPr>
                <w:rFonts w:ascii="宋体" w:hAnsi="宋体" w:cs="宋体" w:eastAsia="宋体" w:hint="default"/>
                <w:sz w:val="18"/>
                <w:szCs w:val="18"/>
              </w:rPr>
              <w:t>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35,020,000.00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股，发行价格为每股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11.82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日止，公司实际已向社会公开发行人 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35,020,000.00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股，募集资金总额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413,936,400.00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元，扣除承销费和保荐费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27,769,984.91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元后的募集 资金为人民币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386,166,415.09 </w:t>
            </w:r>
            <w:r>
              <w:rPr>
                <w:rFonts w:ascii="宋体" w:hAnsi="宋体" w:cs="宋体" w:eastAsia="宋体" w:hint="default"/>
                <w:spacing w:val="-4"/>
                <w:sz w:val="18"/>
                <w:szCs w:val="18"/>
              </w:rPr>
              <w:t>元，已由华创证券有限责任公司于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日分别存入公司开立在招商银行股份有 限公司福州南门支行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591903324810303</w:t>
            </w:r>
            <w:r>
              <w:rPr>
                <w:rFonts w:ascii="宋体" w:hAnsi="宋体" w:cs="宋体" w:eastAsia="宋体" w:hint="default"/>
                <w:sz w:val="18"/>
                <w:szCs w:val="18"/>
              </w:rPr>
              <w:t>；中国民生银行股份有限公司福州温泉支行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605107102</w:t>
            </w:r>
            <w:r>
              <w:rPr>
                <w:rFonts w:ascii="宋体" w:hAnsi="宋体" w:cs="宋体" w:eastAsia="宋体" w:hint="default"/>
                <w:sz w:val="18"/>
                <w:szCs w:val="18"/>
              </w:rPr>
              <w:t>；兴业银行股份有限公司</w:t>
            </w:r>
          </w:p>
        </w:tc>
      </w:tr>
    </w:tbl>
    <w:p>
      <w:pPr>
        <w:spacing w:after="0" w:line="300" w:lineRule="auto"/>
        <w:jc w:val="both"/>
        <w:rPr>
          <w:rFonts w:ascii="宋体" w:hAnsi="宋体" w:cs="宋体" w:eastAsia="宋体" w:hint="default"/>
          <w:sz w:val="18"/>
          <w:szCs w:val="18"/>
        </w:rPr>
        <w:sectPr>
          <w:pgSz w:w="11910" w:h="16840"/>
          <w:pgMar w:header="850" w:footer="1267" w:top="1260" w:bottom="1460" w:left="980" w:right="0"/>
        </w:sectPr>
      </w:pPr>
    </w:p>
    <w:p>
      <w:pPr>
        <w:spacing w:line="240" w:lineRule="auto" w:before="9"/>
        <w:rPr>
          <w:rFonts w:ascii="宋体" w:hAnsi="宋体" w:cs="宋体" w:eastAsia="宋体" w:hint="default"/>
          <w:sz w:val="13"/>
          <w:szCs w:val="13"/>
        </w:rPr>
      </w:pPr>
    </w:p>
    <w:p>
      <w:pPr>
        <w:spacing w:line="3290" w:lineRule="exact"/>
        <w:ind w:left="154" w:right="0" w:firstLine="0"/>
        <w:rPr>
          <w:rFonts w:ascii="宋体" w:hAnsi="宋体" w:cs="宋体" w:eastAsia="宋体" w:hint="default"/>
          <w:sz w:val="20"/>
          <w:szCs w:val="20"/>
        </w:rPr>
      </w:pPr>
      <w:r>
        <w:rPr>
          <w:rFonts w:ascii="宋体" w:hAnsi="宋体" w:cs="宋体" w:eastAsia="宋体" w:hint="default"/>
          <w:position w:val="-65"/>
          <w:sz w:val="20"/>
          <w:szCs w:val="20"/>
        </w:rPr>
        <w:pict>
          <v:shape style="width:478.2pt;height:164.55pt;mso-position-horizontal-relative:char;mso-position-vertical-relative:line" type="#_x0000_t202" filled="false" stroked="true" strokeweight=".48004pt" strokecolor="#000000">
            <w10:anchorlock/>
            <v:textbox inset="0,0,0,0">
              <w:txbxContent>
                <w:p>
                  <w:pPr>
                    <w:pStyle w:val="BodyText"/>
                    <w:spacing w:line="240" w:lineRule="auto" w:before="10"/>
                    <w:ind w:left="103" w:right="0"/>
                    <w:jc w:val="left"/>
                  </w:pPr>
                  <w:r>
                    <w:rPr/>
                    <w:t>福州华林支行</w:t>
                  </w:r>
                  <w:r>
                    <w:rPr>
                      <w:spacing w:val="-48"/>
                    </w:rPr>
                    <w:t> </w:t>
                  </w:r>
                  <w:r>
                    <w:rPr>
                      <w:rFonts w:ascii="Times New Roman" w:hAnsi="Times New Roman" w:cs="Times New Roman" w:eastAsia="Times New Roman" w:hint="default"/>
                    </w:rPr>
                    <w:t>117130100100255416</w:t>
                  </w:r>
                  <w:r>
                    <w:rPr>
                      <w:rFonts w:ascii="Times New Roman" w:hAnsi="Times New Roman" w:cs="Times New Roman" w:eastAsia="Times New Roman" w:hint="default"/>
                      <w:spacing w:val="-3"/>
                    </w:rPr>
                    <w:t> </w:t>
                  </w:r>
                  <w:r>
                    <w:rPr/>
                    <w:t>的人民币账户里，扣除其他发行费用人民币</w:t>
                  </w:r>
                  <w:r>
                    <w:rPr>
                      <w:spacing w:val="-48"/>
                    </w:rPr>
                    <w:t> </w:t>
                  </w:r>
                  <w:r>
                    <w:rPr>
                      <w:rFonts w:ascii="Times New Roman" w:hAnsi="Times New Roman" w:cs="Times New Roman" w:eastAsia="Times New Roman" w:hint="default"/>
                    </w:rPr>
                    <w:t>12,076,415.09</w:t>
                  </w:r>
                  <w:r>
                    <w:rPr>
                      <w:rFonts w:ascii="Times New Roman" w:hAnsi="Times New Roman" w:cs="Times New Roman" w:eastAsia="Times New Roman" w:hint="default"/>
                      <w:spacing w:val="-3"/>
                    </w:rPr>
                    <w:t> </w:t>
                  </w:r>
                  <w:r>
                    <w:rPr/>
                    <w:t>元后，募集资金净额为人</w:t>
                  </w:r>
                </w:p>
                <w:p>
                  <w:pPr>
                    <w:pStyle w:val="BodyText"/>
                    <w:spacing w:line="302" w:lineRule="auto" w:before="63"/>
                    <w:ind w:left="103" w:right="102"/>
                    <w:jc w:val="left"/>
                  </w:pPr>
                  <w:r>
                    <w:rPr/>
                    <w:t>民币 </w:t>
                  </w:r>
                  <w:r>
                    <w:rPr>
                      <w:rFonts w:ascii="Times New Roman" w:hAnsi="Times New Roman" w:cs="Times New Roman" w:eastAsia="Times New Roman" w:hint="default"/>
                    </w:rPr>
                    <w:t>374,090,000.00</w:t>
                  </w:r>
                  <w:r>
                    <w:rPr>
                      <w:rFonts w:ascii="Times New Roman" w:hAnsi="Times New Roman" w:cs="Times New Roman" w:eastAsia="Times New Roman" w:hint="default"/>
                      <w:spacing w:val="-22"/>
                    </w:rPr>
                    <w:t> </w:t>
                  </w:r>
                  <w:r>
                    <w:rPr>
                      <w:spacing w:val="-6"/>
                    </w:rPr>
                    <w:t>元。上述资金到位情况业经大华会计师事务所（特殊普通合伙）验证，并出具了大华验字</w:t>
                  </w:r>
                  <w:r>
                    <w:rPr>
                      <w:rFonts w:ascii="Times New Roman" w:hAnsi="Times New Roman" w:cs="Times New Roman" w:eastAsia="Times New Roman" w:hint="default"/>
                      <w:spacing w:val="-6"/>
                    </w:rPr>
                    <w:t>[2017]000743</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号验资报告。</w:t>
                  </w:r>
                </w:p>
                <w:p>
                  <w:pPr>
                    <w:pStyle w:val="BodyText"/>
                    <w:spacing w:line="240" w:lineRule="auto" w:before="69"/>
                    <w:ind w:left="103" w:right="0"/>
                    <w:jc w:val="left"/>
                  </w:pPr>
                  <w:r>
                    <w:rPr/>
                    <w:t>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日，公司对募集资金项目累计投入</w:t>
                  </w:r>
                  <w:r>
                    <w:rPr>
                      <w:spacing w:val="-46"/>
                    </w:rPr>
                    <w:t> </w:t>
                  </w:r>
                  <w:r>
                    <w:rPr>
                      <w:rFonts w:ascii="Times New Roman" w:hAnsi="Times New Roman" w:cs="Times New Roman" w:eastAsia="Times New Roman" w:hint="default"/>
                    </w:rPr>
                    <w:t>23,003.41</w:t>
                  </w:r>
                  <w:r>
                    <w:rPr>
                      <w:rFonts w:ascii="Times New Roman" w:hAnsi="Times New Roman" w:cs="Times New Roman" w:eastAsia="Times New Roman" w:hint="default"/>
                      <w:spacing w:val="-1"/>
                    </w:rPr>
                    <w:t> </w:t>
                  </w:r>
                  <w:r>
                    <w:rPr/>
                    <w:t>万元，其中：公司偿还银行贷款项目</w:t>
                  </w:r>
                  <w:r>
                    <w:rPr>
                      <w:spacing w:val="-46"/>
                    </w:rPr>
                    <w:t> </w:t>
                  </w:r>
                  <w:r>
                    <w:rPr>
                      <w:rFonts w:ascii="Times New Roman" w:hAnsi="Times New Roman" w:cs="Times New Roman" w:eastAsia="Times New Roman" w:hint="default"/>
                    </w:rPr>
                    <w:t>2,376</w:t>
                  </w:r>
                  <w:r>
                    <w:rPr>
                      <w:rFonts w:ascii="Times New Roman" w:hAnsi="Times New Roman" w:cs="Times New Roman" w:eastAsia="Times New Roman" w:hint="default"/>
                      <w:spacing w:val="-1"/>
                    </w:rPr>
                    <w:t> </w:t>
                  </w:r>
                  <w:r>
                    <w:rPr/>
                    <w:t>万元，勘</w:t>
                  </w:r>
                </w:p>
                <w:p>
                  <w:pPr>
                    <w:pStyle w:val="BodyText"/>
                    <w:spacing w:line="240" w:lineRule="auto" w:before="63"/>
                    <w:ind w:left="103" w:right="0"/>
                    <w:jc w:val="left"/>
                    <w:rPr>
                      <w:rFonts w:ascii="Times New Roman" w:hAnsi="Times New Roman" w:cs="Times New Roman" w:eastAsia="Times New Roman" w:hint="default"/>
                    </w:rPr>
                  </w:pPr>
                  <w:r>
                    <w:rPr/>
                    <w:t>察设计能力提升及研发中心建设项目</w:t>
                  </w:r>
                  <w:r>
                    <w:rPr>
                      <w:spacing w:val="-46"/>
                    </w:rPr>
                    <w:t> </w:t>
                  </w:r>
                  <w:r>
                    <w:rPr>
                      <w:rFonts w:ascii="Times New Roman" w:hAnsi="Times New Roman" w:cs="Times New Roman" w:eastAsia="Times New Roman" w:hint="default"/>
                    </w:rPr>
                    <w:t>2,026</w:t>
                  </w:r>
                  <w:r>
                    <w:rPr>
                      <w:rFonts w:ascii="Times New Roman" w:hAnsi="Times New Roman" w:cs="Times New Roman" w:eastAsia="Times New Roman" w:hint="default"/>
                      <w:spacing w:val="-1"/>
                    </w:rPr>
                    <w:t>.</w:t>
                  </w:r>
                  <w:r>
                    <w:rPr>
                      <w:rFonts w:ascii="Times New Roman" w:hAnsi="Times New Roman" w:cs="Times New Roman" w:eastAsia="Times New Roman" w:hint="default"/>
                    </w:rPr>
                    <w:t>98</w:t>
                  </w:r>
                  <w:r>
                    <w:rPr>
                      <w:rFonts w:ascii="Times New Roman" w:hAnsi="Times New Roman" w:cs="Times New Roman" w:eastAsia="Times New Roman" w:hint="default"/>
                      <w:spacing w:val="-1"/>
                    </w:rPr>
                    <w:t> </w:t>
                  </w:r>
                  <w:r>
                    <w:rPr/>
                    <w:t>万元</w:t>
                  </w:r>
                  <w:r>
                    <w:rPr>
                      <w:spacing w:val="-82"/>
                    </w:rPr>
                    <w:t>，</w:t>
                  </w:r>
                  <w:r>
                    <w:rPr>
                      <w:rFonts w:ascii="Times New Roman" w:hAnsi="Times New Roman" w:cs="Times New Roman" w:eastAsia="Times New Roman" w:hint="default"/>
                    </w:rPr>
                    <w:t>EPC </w:t>
                  </w:r>
                  <w:r>
                    <w:rPr/>
                    <w:t>工程总承包项目</w:t>
                  </w:r>
                  <w:r>
                    <w:rPr>
                      <w:spacing w:val="-46"/>
                    </w:rPr>
                    <w:t> </w:t>
                  </w:r>
                  <w:r>
                    <w:rPr>
                      <w:rFonts w:ascii="Times New Roman" w:hAnsi="Times New Roman" w:cs="Times New Roman" w:eastAsia="Times New Roman" w:hint="default"/>
                    </w:rPr>
                    <w:t>18,600.43</w:t>
                  </w:r>
                  <w:r>
                    <w:rPr>
                      <w:rFonts w:ascii="Times New Roman" w:hAnsi="Times New Roman" w:cs="Times New Roman" w:eastAsia="Times New Roman" w:hint="default"/>
                      <w:spacing w:val="-1"/>
                    </w:rPr>
                    <w:t> </w:t>
                  </w:r>
                  <w:r>
                    <w:rPr/>
                    <w:t>万元</w:t>
                  </w:r>
                  <w:r>
                    <w:rPr>
                      <w:spacing w:val="-82"/>
                    </w:rPr>
                    <w:t>，</w:t>
                  </w:r>
                  <w:r>
                    <w:rPr/>
                    <w:t>本年度使用募集资金</w:t>
                  </w:r>
                  <w:r>
                    <w:rPr>
                      <w:spacing w:val="-46"/>
                    </w:rPr>
                    <w:t> </w:t>
                  </w:r>
                  <w:r>
                    <w:rPr>
                      <w:rFonts w:ascii="Times New Roman" w:hAnsi="Times New Roman" w:cs="Times New Roman" w:eastAsia="Times New Roman" w:hint="default"/>
                    </w:rPr>
                    <w:t>20,627.41</w:t>
                  </w:r>
                </w:p>
                <w:p>
                  <w:pPr>
                    <w:pStyle w:val="BodyText"/>
                    <w:spacing w:line="240" w:lineRule="auto" w:before="64"/>
                    <w:ind w:left="103" w:right="0"/>
                    <w:jc w:val="left"/>
                  </w:pPr>
                  <w:r>
                    <w:rPr/>
                    <w:t>万元。</w:t>
                  </w:r>
                </w:p>
                <w:p>
                  <w:pPr>
                    <w:pStyle w:val="BodyText"/>
                    <w:spacing w:line="240" w:lineRule="auto" w:before="115"/>
                    <w:ind w:left="103" w:right="0"/>
                    <w:jc w:val="left"/>
                  </w:pPr>
                  <w:r>
                    <w:rPr/>
                    <w:t>截止</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日，公司累计收到募集专户利息收入</w:t>
                  </w:r>
                  <w:r>
                    <w:rPr>
                      <w:spacing w:val="-53"/>
                    </w:rPr>
                    <w:t> </w:t>
                  </w:r>
                  <w:r>
                    <w:rPr>
                      <w:rFonts w:ascii="Times New Roman" w:hAnsi="Times New Roman" w:cs="Times New Roman" w:eastAsia="Times New Roman" w:hint="default"/>
                    </w:rPr>
                    <w:t>9,780,919.76</w:t>
                  </w:r>
                  <w:r>
                    <w:rPr>
                      <w:rFonts w:ascii="Times New Roman" w:hAnsi="Times New Roman" w:cs="Times New Roman" w:eastAsia="Times New Roman" w:hint="default"/>
                      <w:spacing w:val="-9"/>
                    </w:rPr>
                    <w:t> </w:t>
                  </w:r>
                  <w:r>
                    <w:rPr/>
                    <w:t>元（其中利用暂时闲置募集资金购买结构性存款</w:t>
                  </w:r>
                </w:p>
                <w:p>
                  <w:pPr>
                    <w:pStyle w:val="BodyText"/>
                    <w:spacing w:line="240" w:lineRule="auto" w:before="64"/>
                    <w:ind w:left="103" w:right="0"/>
                    <w:jc w:val="left"/>
                  </w:pPr>
                  <w:r>
                    <w:rPr/>
                    <w:t>理财利息收入</w:t>
                  </w:r>
                  <w:r>
                    <w:rPr>
                      <w:spacing w:val="-46"/>
                    </w:rPr>
                    <w:t> </w:t>
                  </w:r>
                  <w:r>
                    <w:rPr>
                      <w:rFonts w:ascii="Times New Roman" w:hAnsi="Times New Roman" w:cs="Times New Roman" w:eastAsia="Times New Roman" w:hint="default"/>
                    </w:rPr>
                    <w:t>9,240,40</w:t>
                  </w:r>
                  <w:r>
                    <w:rPr>
                      <w:rFonts w:ascii="Times New Roman" w:hAnsi="Times New Roman" w:cs="Times New Roman" w:eastAsia="Times New Roman" w:hint="default"/>
                      <w:spacing w:val="-2"/>
                    </w:rPr>
                    <w:t>5</w:t>
                  </w:r>
                  <w:r>
                    <w:rPr>
                      <w:rFonts w:ascii="Times New Roman" w:hAnsi="Times New Roman" w:cs="Times New Roman" w:eastAsia="Times New Roman" w:hint="default"/>
                    </w:rPr>
                    <w:t>.95 </w:t>
                  </w:r>
                  <w:r>
                    <w:rPr/>
                    <w:t>元</w:t>
                  </w:r>
                  <w:r>
                    <w:rPr>
                      <w:spacing w:val="-90"/>
                    </w:rPr>
                    <w:t>）</w:t>
                  </w:r>
                  <w:r>
                    <w:rPr/>
                    <w:t>，累计扣除银行手续费</w:t>
                  </w:r>
                  <w:r>
                    <w:rPr>
                      <w:spacing w:val="-46"/>
                    </w:rPr>
                    <w:t> </w:t>
                  </w:r>
                  <w:r>
                    <w:rPr>
                      <w:rFonts w:ascii="Times New Roman" w:hAnsi="Times New Roman" w:cs="Times New Roman" w:eastAsia="Times New Roman" w:hint="default"/>
                    </w:rPr>
                    <w:t>874.70</w:t>
                  </w:r>
                  <w:r>
                    <w:rPr>
                      <w:rFonts w:ascii="Times New Roman" w:hAnsi="Times New Roman" w:cs="Times New Roman" w:eastAsia="Times New Roman" w:hint="default"/>
                      <w:spacing w:val="-1"/>
                    </w:rPr>
                    <w:t> </w:t>
                  </w:r>
                  <w:r>
                    <w:rPr/>
                    <w:t>元，募集资金累计利息收入净额为</w:t>
                  </w:r>
                  <w:r>
                    <w:rPr>
                      <w:spacing w:val="-46"/>
                    </w:rPr>
                    <w:t> </w:t>
                  </w:r>
                  <w:r>
                    <w:rPr>
                      <w:rFonts w:ascii="Times New Roman" w:hAnsi="Times New Roman" w:cs="Times New Roman" w:eastAsia="Times New Roman" w:hint="default"/>
                    </w:rPr>
                    <w:t>9,780,0</w:t>
                  </w:r>
                  <w:r>
                    <w:rPr>
                      <w:rFonts w:ascii="Times New Roman" w:hAnsi="Times New Roman" w:cs="Times New Roman" w:eastAsia="Times New Roman" w:hint="default"/>
                      <w:spacing w:val="-2"/>
                    </w:rPr>
                    <w:t>4</w:t>
                  </w:r>
                  <w:r>
                    <w:rPr>
                      <w:rFonts w:ascii="Times New Roman" w:hAnsi="Times New Roman" w:cs="Times New Roman" w:eastAsia="Times New Roman" w:hint="default"/>
                    </w:rPr>
                    <w:t>5.06 </w:t>
                  </w:r>
                  <w:r>
                    <w:rPr/>
                    <w:t>元。</w:t>
                  </w:r>
                </w:p>
                <w:p>
                  <w:pPr>
                    <w:pStyle w:val="BodyText"/>
                    <w:spacing w:line="240" w:lineRule="auto" w:before="101"/>
                    <w:ind w:left="103" w:right="0"/>
                    <w:jc w:val="left"/>
                  </w:pPr>
                  <w:r>
                    <w:rPr/>
                    <w:t>截止</w:t>
                  </w:r>
                  <w:r>
                    <w:rPr>
                      <w:spacing w:val="-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0"/>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日，公司未使用的募集资金余额为</w:t>
                  </w:r>
                  <w:r>
                    <w:rPr>
                      <w:spacing w:val="-49"/>
                    </w:rPr>
                    <w:t> </w:t>
                  </w:r>
                  <w:r>
                    <w:rPr>
                      <w:rFonts w:ascii="Times New Roman" w:hAnsi="Times New Roman" w:cs="Times New Roman" w:eastAsia="Times New Roman" w:hint="default"/>
                    </w:rPr>
                    <w:t>153,825,771.96</w:t>
                  </w:r>
                  <w:r>
                    <w:rPr>
                      <w:rFonts w:ascii="Times New Roman" w:hAnsi="Times New Roman" w:cs="Times New Roman" w:eastAsia="Times New Roman" w:hint="default"/>
                      <w:spacing w:val="-3"/>
                    </w:rPr>
                    <w:t> </w:t>
                  </w:r>
                  <w:r>
                    <w:rPr>
                      <w:spacing w:val="-3"/>
                    </w:rPr>
                    <w:t>元（兴业银行监管户余额</w:t>
                  </w:r>
                  <w:r>
                    <w:rPr>
                      <w:spacing w:val="-49"/>
                    </w:rPr>
                    <w:t> </w:t>
                  </w:r>
                  <w:r>
                    <w:rPr>
                      <w:rFonts w:ascii="Times New Roman" w:hAnsi="Times New Roman" w:cs="Times New Roman" w:eastAsia="Times New Roman" w:hint="default"/>
                    </w:rPr>
                    <w:t>10,263.93</w:t>
                  </w:r>
                  <w:r>
                    <w:rPr>
                      <w:rFonts w:ascii="Times New Roman" w:hAnsi="Times New Roman" w:cs="Times New Roman" w:eastAsia="Times New Roman" w:hint="default"/>
                      <w:spacing w:val="-4"/>
                    </w:rPr>
                    <w:t> </w:t>
                  </w:r>
                  <w:r>
                    <w:rPr/>
                    <w:t>元在销户时</w:t>
                  </w:r>
                </w:p>
                <w:p>
                  <w:pPr>
                    <w:pStyle w:val="BodyText"/>
                    <w:spacing w:line="240" w:lineRule="auto" w:before="64"/>
                    <w:ind w:left="103" w:right="0"/>
                    <w:jc w:val="left"/>
                  </w:pPr>
                  <w:r>
                    <w:rPr/>
                    <w:t>转出到一般户</w:t>
                  </w:r>
                  <w:r>
                    <w:rPr>
                      <w:spacing w:val="-90"/>
                    </w:rPr>
                    <w:t>）</w:t>
                  </w:r>
                  <w:r>
                    <w:rPr/>
                    <w:t>，其中：保本理财性结构性存款招商银行</w:t>
                  </w:r>
                  <w:r>
                    <w:rPr>
                      <w:spacing w:val="-45"/>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
                    </w:rPr>
                    <w:t> </w:t>
                  </w:r>
                  <w:r>
                    <w:rPr/>
                    <w:t>万元，其余金额均存储在募集资金专户。</w:t>
                  </w:r>
                </w:p>
              </w:txbxContent>
            </v:textbox>
          </v:shape>
        </w:pict>
      </w:r>
      <w:r>
        <w:rPr>
          <w:rFonts w:ascii="宋体" w:hAnsi="宋体" w:cs="宋体" w:eastAsia="宋体" w:hint="default"/>
          <w:position w:val="-65"/>
          <w:sz w:val="20"/>
          <w:szCs w:val="20"/>
        </w:rPr>
      </w:r>
    </w:p>
    <w:p>
      <w:pPr>
        <w:spacing w:line="240" w:lineRule="auto" w:before="8"/>
        <w:rPr>
          <w:rFonts w:ascii="宋体" w:hAnsi="宋体" w:cs="宋体" w:eastAsia="宋体" w:hint="default"/>
          <w:sz w:val="19"/>
          <w:szCs w:val="19"/>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227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72" w:right="180"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46" w:right="14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5" w:right="174"/>
              <w:jc w:val="both"/>
              <w:rPr>
                <w:rFonts w:ascii="宋体" w:hAnsi="宋体" w:cs="宋体" w:eastAsia="宋体" w:hint="default"/>
                <w:sz w:val="18"/>
                <w:szCs w:val="18"/>
              </w:rPr>
            </w:pPr>
            <w:r>
              <w:rPr>
                <w:rFonts w:ascii="宋体" w:hAnsi="宋体" w:cs="宋体" w:eastAsia="宋体" w:hint="default"/>
                <w:sz w:val="18"/>
                <w:szCs w:val="18"/>
              </w:rPr>
              <w:t>募集 资金 承诺 投资 总额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0" w:right="15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 后投 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75" w:right="173"/>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6" w:right="174"/>
              <w:jc w:val="both"/>
              <w:rPr>
                <w:rFonts w:ascii="宋体" w:hAnsi="宋体" w:cs="宋体" w:eastAsia="宋体" w:hint="default"/>
                <w:sz w:val="18"/>
                <w:szCs w:val="18"/>
              </w:rPr>
            </w:pPr>
            <w:r>
              <w:rPr>
                <w:rFonts w:ascii="宋体" w:hAnsi="宋体" w:cs="宋体" w:eastAsia="宋体" w:hint="default"/>
                <w:sz w:val="18"/>
                <w:szCs w:val="18"/>
              </w:rPr>
              <w:t>截至 期末 累计 投入 金额</w:t>
            </w:r>
          </w:p>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21" w:right="118" w:firstLine="5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 期末 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5" w:right="174"/>
              <w:jc w:val="both"/>
              <w:rPr>
                <w:rFonts w:ascii="宋体" w:hAnsi="宋体" w:cs="宋体" w:eastAsia="宋体" w:hint="default"/>
                <w:sz w:val="18"/>
                <w:szCs w:val="18"/>
              </w:rPr>
            </w:pPr>
            <w:r>
              <w:rPr>
                <w:rFonts w:ascii="宋体" w:hAnsi="宋体" w:cs="宋体" w:eastAsia="宋体" w:hint="default"/>
                <w:sz w:val="18"/>
                <w:szCs w:val="18"/>
              </w:rPr>
              <w:t>项目 达到 预定 可使 用状 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6" w:right="174"/>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6" w:right="174"/>
              <w:jc w:val="both"/>
              <w:rPr>
                <w:rFonts w:ascii="宋体" w:hAnsi="宋体" w:cs="宋体" w:eastAsia="宋体" w:hint="default"/>
                <w:sz w:val="18"/>
                <w:szCs w:val="18"/>
              </w:rPr>
            </w:pPr>
            <w:r>
              <w:rPr>
                <w:rFonts w:ascii="宋体" w:hAnsi="宋体" w:cs="宋体" w:eastAsia="宋体" w:hint="default"/>
                <w:sz w:val="18"/>
                <w:szCs w:val="18"/>
              </w:rPr>
              <w:t>截止 报告 期末 累计 实现 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75" w:right="17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6" w:right="174"/>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、勘察设计能力 提升及研发中心 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15,033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15,033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2,027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2,027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13.48</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24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）勘察能力提升</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351.27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351.27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23.19</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24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）设计能力提升</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3,630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3,630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345.82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345.82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9.53%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24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）研发中心</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782.25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782.25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11.20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1" w:right="24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8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02" w:lineRule="auto"/>
              <w:ind w:left="103"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）企业信息化平 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1,856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1,856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12" w:right="0"/>
              <w:jc w:val="left"/>
              <w:rPr>
                <w:rFonts w:ascii="Times New Roman" w:hAnsi="Times New Roman" w:cs="Times New Roman" w:eastAsia="Times New Roman" w:hint="default"/>
                <w:sz w:val="18"/>
                <w:szCs w:val="18"/>
              </w:rPr>
            </w:pPr>
            <w:r>
              <w:rPr>
                <w:rFonts w:ascii="Times New Roman"/>
                <w:sz w:val="18"/>
              </w:rPr>
              <w:t>156.58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15" w:right="0"/>
              <w:jc w:val="left"/>
              <w:rPr>
                <w:rFonts w:ascii="Times New Roman" w:hAnsi="Times New Roman" w:cs="Times New Roman" w:eastAsia="Times New Roman" w:hint="default"/>
                <w:sz w:val="18"/>
                <w:szCs w:val="18"/>
              </w:rPr>
            </w:pPr>
            <w:r>
              <w:rPr>
                <w:rFonts w:ascii="Times New Roman"/>
                <w:sz w:val="18"/>
              </w:rPr>
              <w:t>156.58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44" w:right="0"/>
              <w:jc w:val="center"/>
              <w:rPr>
                <w:rFonts w:ascii="Times New Roman" w:hAnsi="Times New Roman" w:cs="Times New Roman" w:eastAsia="Times New Roman" w:hint="default"/>
                <w:sz w:val="18"/>
                <w:szCs w:val="18"/>
              </w:rPr>
            </w:pPr>
            <w:r>
              <w:rPr>
                <w:rFonts w:ascii="Times New Roman"/>
                <w:sz w:val="18"/>
              </w:rPr>
              <w:t>8.44%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101" w:right="24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674" w:hRule="exact"/>
        </w:trPr>
        <w:tc>
          <w:tcPr>
            <w:tcW w:w="1635" w:type="dxa"/>
            <w:gridSpan w:val="2"/>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103"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）员工教育培训 平台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391.06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391.06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05" w:right="0"/>
              <w:jc w:val="left"/>
              <w:rPr>
                <w:rFonts w:ascii="Times New Roman" w:hAnsi="Times New Roman" w:cs="Times New Roman" w:eastAsia="Times New Roman" w:hint="default"/>
                <w:sz w:val="18"/>
                <w:szCs w:val="18"/>
              </w:rPr>
            </w:pPr>
            <w:r>
              <w:rPr>
                <w:rFonts w:ascii="Times New Roman"/>
                <w:sz w:val="18"/>
              </w:rPr>
              <w:t>37.35</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1" w:right="24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工程总承 包项目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18,600</w:t>
            </w:r>
          </w:p>
          <w:p>
            <w:pPr>
              <w:pStyle w:val="TableParagraph"/>
              <w:spacing w:line="240" w:lineRule="auto" w:before="105"/>
              <w:ind w:left="382" w:right="0"/>
              <w:jc w:val="left"/>
              <w:rPr>
                <w:rFonts w:ascii="Times New Roman" w:hAnsi="Times New Roman" w:cs="Times New Roman" w:eastAsia="Times New Roman" w:hint="default"/>
                <w:sz w:val="18"/>
                <w:szCs w:val="18"/>
              </w:rPr>
            </w:pPr>
            <w:r>
              <w:rPr>
                <w:rFonts w:ascii="Times New Roman"/>
                <w:sz w:val="18"/>
              </w:rPr>
              <w:t>.43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18,600</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.43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93.00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3,729.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3,729.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93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、偿还银行贷款 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2,376</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7"/>
              <w:jc w:val="left"/>
              <w:rPr>
                <w:rFonts w:ascii="宋体" w:hAnsi="宋体" w:cs="宋体" w:eastAsia="宋体" w:hint="default"/>
                <w:sz w:val="18"/>
                <w:szCs w:val="18"/>
              </w:rPr>
            </w:pPr>
            <w:r>
              <w:rPr>
                <w:rFonts w:ascii="宋体" w:hAnsi="宋体" w:cs="宋体" w:eastAsia="宋体" w:hint="default"/>
                <w:sz w:val="18"/>
                <w:szCs w:val="18"/>
              </w:rPr>
              <w:t>不适 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37,409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37,409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20,627</w:t>
            </w:r>
          </w:p>
          <w:p>
            <w:pPr>
              <w:pStyle w:val="TableParagraph"/>
              <w:spacing w:line="240" w:lineRule="auto" w:before="105"/>
              <w:ind w:left="382" w:right="0"/>
              <w:jc w:val="left"/>
              <w:rPr>
                <w:rFonts w:ascii="Times New Roman" w:hAnsi="Times New Roman" w:cs="Times New Roman" w:eastAsia="Times New Roman" w:hint="default"/>
                <w:sz w:val="18"/>
                <w:szCs w:val="18"/>
              </w:rPr>
            </w:pPr>
            <w:r>
              <w:rPr>
                <w:rFonts w:ascii="Times New Roman"/>
                <w:sz w:val="18"/>
              </w:rPr>
              <w:t>.41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23,003</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.41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3,729.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3,729.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93</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37,409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37,409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20,627</w:t>
            </w:r>
          </w:p>
          <w:p>
            <w:pPr>
              <w:pStyle w:val="TableParagraph"/>
              <w:spacing w:line="240" w:lineRule="auto" w:before="105"/>
              <w:ind w:left="382" w:right="0"/>
              <w:jc w:val="left"/>
              <w:rPr>
                <w:rFonts w:ascii="Times New Roman" w:hAnsi="Times New Roman" w:cs="Times New Roman" w:eastAsia="Times New Roman" w:hint="default"/>
                <w:sz w:val="18"/>
                <w:szCs w:val="18"/>
              </w:rPr>
            </w:pPr>
            <w:r>
              <w:rPr>
                <w:rFonts w:ascii="Times New Roman"/>
                <w:sz w:val="18"/>
              </w:rPr>
              <w:t>.41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23,003</w:t>
            </w:r>
          </w:p>
          <w:p>
            <w:pPr>
              <w:pStyle w:val="TableParagraph"/>
              <w:spacing w:line="240" w:lineRule="auto" w:before="105"/>
              <w:ind w:left="385" w:right="0"/>
              <w:jc w:val="left"/>
              <w:rPr>
                <w:rFonts w:ascii="Times New Roman" w:hAnsi="Times New Roman" w:cs="Times New Roman" w:eastAsia="Times New Roman" w:hint="default"/>
                <w:sz w:val="18"/>
                <w:szCs w:val="18"/>
              </w:rPr>
            </w:pPr>
            <w:r>
              <w:rPr>
                <w:rFonts w:ascii="Times New Roman"/>
                <w:sz w:val="18"/>
              </w:rPr>
              <w:t>.41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3,729.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93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3,729.</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93</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5906"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z w:val="18"/>
                <w:szCs w:val="18"/>
              </w:rPr>
              <w:t>未达到计划进度 或预计收益的情 </w:t>
            </w:r>
            <w:r>
              <w:rPr>
                <w:rFonts w:ascii="宋体" w:hAnsi="宋体" w:cs="宋体" w:eastAsia="宋体" w:hint="default"/>
                <w:spacing w:val="-3"/>
                <w:sz w:val="18"/>
                <w:szCs w:val="18"/>
              </w:rPr>
              <w:t>况和原因（分具体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24" w:lineRule="auto" w:before="51"/>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勘察能力提升、设计能力提升以及研发中心项目投入进度缓慢 </w:t>
            </w:r>
            <w:r>
              <w:rPr>
                <w:rFonts w:ascii="宋体" w:hAnsi="宋体" w:cs="宋体" w:eastAsia="宋体" w:hint="default"/>
                <w:spacing w:val="-3"/>
                <w:sz w:val="18"/>
                <w:szCs w:val="18"/>
              </w:rPr>
              <w:t>勘察能力提升、设计能力提升以及研发中心项目主要涉及工程数字化管理、海上风电勘察、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智能配电网及智能变电站等相关领域，涉及业内较为前沿的新技术。为提高募集资金使用</w:t>
            </w:r>
            <w:r>
              <w:rPr>
                <w:rFonts w:ascii="宋体" w:hAnsi="宋体" w:cs="宋体" w:eastAsia="宋体" w:hint="default"/>
                <w:sz w:val="18"/>
                <w:szCs w:val="18"/>
              </w:rPr>
              <w:t> 效率、降低投资风险，公司结合当前业务需要，主要依靠现有资源开展前期研发工作。同 时采取谨慎原则，优先对部分急需设备进行了采购，尚未进行大规模投入。</w:t>
            </w:r>
          </w:p>
          <w:p>
            <w:pPr>
              <w:pStyle w:val="TableParagraph"/>
              <w:spacing w:line="321" w:lineRule="auto" w:before="53"/>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企业信息化平台项目延期实施 </w:t>
            </w:r>
            <w:r>
              <w:rPr>
                <w:rFonts w:ascii="宋体" w:hAnsi="宋体" w:cs="宋体" w:eastAsia="宋体" w:hint="default"/>
                <w:spacing w:val="-1"/>
                <w:sz w:val="18"/>
                <w:szCs w:val="18"/>
              </w:rPr>
              <w:t>上市后，公司加快了集团化和国际化战略布局，不断拓展发展空间，并通过事业部改革等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方式，对公司组织构架和流程不断进行优化。同时公司紧跟企业云平台、大数据等新信息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技术发展趋势，力求将信息化平台建设作为全面提升公司运营能力的重要载体，对信息化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平台建设提出了更高的要求。公司在综合考虑业务流程、架构调整、未来发展战略以及信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息化平台应用场景的基础上，审慎实施该项目，导致项目进度较原计划慢。为确保项目实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施质量，企业信息化平台项目建设期延长至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3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员工教育培训平台项目延期实施</w:t>
            </w:r>
          </w:p>
          <w:p>
            <w:pPr>
              <w:pStyle w:val="TableParagraph"/>
              <w:spacing w:line="314" w:lineRule="auto" w:before="101"/>
              <w:ind w:left="103"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年，公司事业部建制改革，对组织架构及职责进行了调整，培训方向和重点也予以相</w:t>
            </w:r>
            <w:r>
              <w:rPr>
                <w:rFonts w:ascii="宋体" w:hAnsi="宋体" w:cs="宋体" w:eastAsia="宋体" w:hint="default"/>
                <w:sz w:val="18"/>
                <w:szCs w:val="18"/>
              </w:rPr>
              <w:t> </w:t>
            </w:r>
            <w:r>
              <w:rPr>
                <w:rFonts w:ascii="宋体" w:hAnsi="宋体" w:cs="宋体" w:eastAsia="宋体" w:hint="default"/>
                <w:spacing w:val="-1"/>
                <w:sz w:val="18"/>
                <w:szCs w:val="18"/>
              </w:rPr>
              <w:t>应调整，导致员工教育培训平台项目延后实施。此外，由于企业信息化平台项目建设与员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工教育培训平台项目建设之间存在一定的相关性，企业信息化平台项目的延后开展也导致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员工教育培训平台项目建设的延期。鉴于上述情况，员工教育培训平台项目建设期延长至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7"/>
              <w:ind w:left="103" w:right="81"/>
              <w:jc w:val="left"/>
              <w:rPr>
                <w:rFonts w:ascii="宋体" w:hAnsi="宋体" w:cs="宋体" w:eastAsia="宋体" w:hint="default"/>
                <w:sz w:val="18"/>
                <w:szCs w:val="18"/>
              </w:rPr>
            </w:pPr>
            <w:r>
              <w:rPr>
                <w:rFonts w:ascii="宋体" w:hAnsi="宋体" w:cs="宋体" w:eastAsia="宋体" w:hint="default"/>
                <w:sz w:val="18"/>
                <w:szCs w:val="18"/>
              </w:rPr>
              <w:t>超募资金的金额、 用途及使用进展</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1"/>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1"/>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27"/>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日，公司购买招商银行结构性存款金额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万元，其余尚未使用 的募集资金存放于募集资金专户中。</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Times New Roman" w:hAnsi="Times New Roman" w:cs="Times New Roman" w:eastAsia="Times New Roman" w:hint="default"/>
          <w:sz w:val="23"/>
          <w:szCs w:val="23"/>
        </w:rPr>
      </w:pPr>
    </w:p>
    <w:p>
      <w:pPr>
        <w:pStyle w:val="BodyText"/>
        <w:spacing w:line="319" w:lineRule="auto" w:before="44"/>
        <w:ind w:right="1122"/>
        <w:jc w:val="left"/>
      </w:pPr>
      <w:r>
        <w:rPr>
          <w:spacing w:val="-2"/>
        </w:rPr>
        <w:t>注：经公司第二届董事会第四次会议、第二届监事会第四次会议审议通过，企业信息化平台与员工教育培训平台项目建设期</w:t>
      </w:r>
      <w:r>
        <w:rPr>
          <w:spacing w:val="-66"/>
        </w:rPr>
        <w:t> </w:t>
      </w:r>
      <w:r>
        <w:rPr>
          <w:spacing w:val="-66"/>
        </w:rPr>
      </w:r>
      <w:r>
        <w:rPr/>
        <w:t>延长至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332"/>
        <w:jc w:val="left"/>
      </w:pPr>
      <w:r>
        <w:rPr/>
        <w:t>□ 适用 √ 不适用 公司报告期不存在募集资金变更项目情况。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412"/>
        <w:jc w:val="left"/>
      </w:pPr>
      <w:r>
        <w:rPr/>
        <w:t>□ 适用 √ 不适用 公司报告期未出售重大资产。</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850" w:footer="1267" w:top="1260" w:bottom="1460" w:left="980" w:right="0"/>
        </w:sectPr>
      </w:pPr>
    </w:p>
    <w:p>
      <w:pPr>
        <w:spacing w:line="240" w:lineRule="auto" w:before="5"/>
        <w:rPr>
          <w:rFonts w:ascii="宋体" w:hAnsi="宋体" w:cs="宋体" w:eastAsia="宋体" w:hint="default"/>
          <w:sz w:val="8"/>
          <w:szCs w:val="8"/>
        </w:rPr>
      </w:pPr>
    </w:p>
    <w:p>
      <w:pPr>
        <w:pStyle w:val="Heading2"/>
        <w:spacing w:line="240" w:lineRule="auto" w:before="26"/>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612"/>
        <w:jc w:val="left"/>
      </w:pPr>
      <w:r>
        <w:rPr/>
        <w:t>□ 适用 √ 不适用 公司报告期内无应当披露的重要控股参股公司信息。</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0" w:right="7805"/>
        <w:jc w:val="center"/>
        <w:rPr>
          <w:b w:val="0"/>
          <w:bCs w:val="0"/>
        </w:rPr>
      </w:pPr>
      <w:r>
        <w:rPr/>
        <w:t>（一）行业格局和发展趋势</w:t>
      </w:r>
      <w:r>
        <w:rPr>
          <w:b w:val="0"/>
          <w:bCs w:val="0"/>
        </w:rPr>
      </w:r>
    </w:p>
    <w:p>
      <w:pPr>
        <w:pStyle w:val="Heading3"/>
        <w:spacing w:line="240" w:lineRule="auto" w:before="157"/>
        <w:ind w:left="636"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国内电力行业总体市场环境</w:t>
      </w:r>
      <w:r>
        <w:rPr>
          <w:b w:val="0"/>
          <w:bCs w:val="0"/>
        </w:rPr>
      </w:r>
    </w:p>
    <w:p>
      <w:pPr>
        <w:pStyle w:val="Heading4"/>
        <w:spacing w:line="256" w:lineRule="auto" w:before="141"/>
        <w:ind w:right="0" w:firstLine="480"/>
        <w:jc w:val="left"/>
      </w:pPr>
      <w:r>
        <w:rPr>
          <w:rFonts w:ascii="Times New Roman" w:hAnsi="Times New Roman" w:cs="Times New Roman" w:eastAsia="Times New Roman" w:hint="default"/>
          <w:spacing w:val="-3"/>
          <w:w w:val="100"/>
        </w:rPr>
        <w:t>2016</w:t>
      </w:r>
      <w:r>
        <w:rPr>
          <w:spacing w:val="-3"/>
          <w:w w:val="100"/>
        </w:rPr>
        <w:t>年</w:t>
      </w:r>
      <w:r>
        <w:rPr>
          <w:rFonts w:ascii="Times New Roman" w:hAnsi="Times New Roman" w:cs="Times New Roman" w:eastAsia="Times New Roman" w:hint="default"/>
          <w:spacing w:val="-3"/>
          <w:w w:val="100"/>
        </w:rPr>
        <w:t>11</w:t>
      </w:r>
      <w:r>
        <w:rPr>
          <w:spacing w:val="-3"/>
          <w:w w:val="100"/>
        </w:rPr>
        <w:t>月，国家发改委、国家能源局联合发布《电力发展</w:t>
      </w:r>
      <w:r>
        <w:rPr>
          <w:rFonts w:ascii="Times New Roman" w:hAnsi="Times New Roman" w:cs="Times New Roman" w:eastAsia="Times New Roman" w:hint="default"/>
          <w:spacing w:val="-3"/>
          <w:w w:val="100"/>
        </w:rPr>
        <w:t>“</w:t>
      </w:r>
      <w:r>
        <w:rPr>
          <w:spacing w:val="-3"/>
          <w:w w:val="100"/>
        </w:rPr>
        <w:t>十三五</w:t>
      </w:r>
      <w:r>
        <w:rPr>
          <w:rFonts w:ascii="Times New Roman" w:hAnsi="Times New Roman" w:cs="Times New Roman" w:eastAsia="Times New Roman" w:hint="default"/>
          <w:spacing w:val="-3"/>
          <w:w w:val="100"/>
        </w:rPr>
        <w:t>”</w:t>
      </w:r>
      <w:r>
        <w:rPr>
          <w:spacing w:val="-3"/>
          <w:w w:val="100"/>
        </w:rPr>
        <w:t>规划（</w:t>
      </w:r>
      <w:r>
        <w:rPr>
          <w:rFonts w:ascii="Times New Roman" w:hAnsi="Times New Roman" w:cs="Times New Roman" w:eastAsia="Times New Roman" w:hint="default"/>
          <w:spacing w:val="-3"/>
          <w:w w:val="100"/>
        </w:rPr>
        <w:t>2016-2020</w:t>
      </w:r>
      <w:r>
        <w:rPr>
          <w:spacing w:val="-3"/>
          <w:w w:val="100"/>
        </w:rPr>
        <w:t>年）》中明确提</w:t>
      </w:r>
      <w:r>
        <w:rPr/>
        <w:t> </w:t>
      </w:r>
      <w:r>
        <w:rPr>
          <w:spacing w:val="-3"/>
        </w:rPr>
        <w:t>出</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期间电力发展应立足于电源结构清洁化、电力系统智能化、电力发展国际化及机制体制市场化。</w:t>
      </w:r>
    </w:p>
    <w:p>
      <w:pPr>
        <w:pStyle w:val="Heading4"/>
        <w:spacing w:line="256" w:lineRule="auto" w:before="125"/>
        <w:ind w:right="1129" w:firstLine="480"/>
        <w:jc w:val="both"/>
      </w:pPr>
      <w:r>
        <w:rPr>
          <w:spacing w:val="12"/>
        </w:rPr>
        <w:t>为保障全面建成小康社会的电力电量需求，</w:t>
      </w:r>
      <w:r>
        <w:rPr>
          <w:rFonts w:ascii="Times New Roman" w:hAnsi="Times New Roman" w:cs="Times New Roman" w:eastAsia="Times New Roman" w:hint="default"/>
          <w:spacing w:val="12"/>
        </w:rPr>
        <w:t>2020</w:t>
      </w:r>
      <w:r>
        <w:rPr>
          <w:spacing w:val="12"/>
        </w:rPr>
        <w:t>年全社会用电量</w:t>
      </w:r>
      <w:r>
        <w:rPr>
          <w:rFonts w:ascii="Times New Roman" w:hAnsi="Times New Roman" w:cs="Times New Roman" w:eastAsia="Times New Roman" w:hint="default"/>
          <w:spacing w:val="12"/>
        </w:rPr>
        <w:t>6.8-7.2</w:t>
      </w:r>
      <w:r>
        <w:rPr>
          <w:spacing w:val="12"/>
        </w:rPr>
        <w:t>万亿千瓦时，年均增长</w:t>
      </w:r>
      <w:r>
        <w:rPr/>
        <w:t> </w:t>
      </w:r>
      <w:r>
        <w:rPr>
          <w:rFonts w:ascii="Times New Roman" w:hAnsi="Times New Roman" w:cs="Times New Roman" w:eastAsia="Times New Roman" w:hint="default"/>
        </w:rPr>
        <w:t>3.6%-4.8%</w:t>
      </w:r>
      <w:r>
        <w:rPr/>
        <w:t>，全国发电装机容量</w:t>
      </w:r>
      <w:r>
        <w:rPr>
          <w:rFonts w:ascii="Times New Roman" w:hAnsi="Times New Roman" w:cs="Times New Roman" w:eastAsia="Times New Roman" w:hint="default"/>
        </w:rPr>
        <w:t>20</w:t>
      </w:r>
      <w:r>
        <w:rPr/>
        <w:t>亿千瓦，年均增长</w:t>
      </w:r>
      <w:r>
        <w:rPr>
          <w:rFonts w:ascii="Times New Roman" w:hAnsi="Times New Roman" w:cs="Times New Roman" w:eastAsia="Times New Roman" w:hint="default"/>
        </w:rPr>
        <w:t>5.5%</w:t>
      </w:r>
      <w:r>
        <w:rPr/>
        <w:t>。电力能源需求的增长将促进电力工程勘察设计</w:t>
      </w:r>
      <w:r>
        <w:rPr>
          <w:spacing w:val="-52"/>
        </w:rPr>
        <w:t> </w:t>
      </w:r>
      <w:r>
        <w:rPr>
          <w:spacing w:val="-52"/>
        </w:rPr>
      </w:r>
      <w:r>
        <w:rPr/>
        <w:t>行业的持续发展。</w:t>
      </w:r>
    </w:p>
    <w:p>
      <w:pPr>
        <w:pStyle w:val="Heading4"/>
        <w:spacing w:line="240" w:lineRule="auto" w:before="142"/>
        <w:ind w:left="874" w:right="0"/>
        <w:jc w:val="left"/>
      </w:pPr>
      <w:r>
        <w:rPr/>
        <w:t>国家十三五电力装机结构及发展趋势（单位：万千瓦）</w:t>
      </w:r>
    </w:p>
    <w:p>
      <w:pPr>
        <w:spacing w:line="240" w:lineRule="auto" w:before="1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082"/>
        <w:gridCol w:w="1613"/>
        <w:gridCol w:w="1610"/>
        <w:gridCol w:w="1609"/>
        <w:gridCol w:w="1610"/>
      </w:tblGrid>
      <w:tr>
        <w:trPr>
          <w:trHeight w:val="334" w:hRule="exact"/>
        </w:trPr>
        <w:tc>
          <w:tcPr>
            <w:tcW w:w="20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16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2016</w:t>
            </w:r>
          </w:p>
        </w:tc>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2017</w:t>
            </w:r>
          </w:p>
        </w:tc>
        <w:tc>
          <w:tcPr>
            <w:tcW w:w="16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617"/>
              <w:jc w:val="right"/>
              <w:rPr>
                <w:rFonts w:ascii="Times New Roman" w:hAnsi="Times New Roman" w:cs="Times New Roman" w:eastAsia="Times New Roman" w:hint="default"/>
                <w:sz w:val="18"/>
                <w:szCs w:val="18"/>
              </w:rPr>
            </w:pPr>
            <w:r>
              <w:rPr>
                <w:rFonts w:ascii="Times New Roman"/>
                <w:sz w:val="18"/>
              </w:rPr>
              <w:t>2018</w:t>
            </w:r>
          </w:p>
        </w:tc>
        <w:tc>
          <w:tcPr>
            <w:tcW w:w="16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0"/>
              <w:jc w:val="center"/>
              <w:rPr>
                <w:rFonts w:ascii="Times New Roman" w:hAnsi="Times New Roman" w:cs="Times New Roman" w:eastAsia="Times New Roman" w:hint="default"/>
                <w:sz w:val="18"/>
                <w:szCs w:val="18"/>
              </w:rPr>
            </w:pPr>
            <w:r>
              <w:rPr>
                <w:rFonts w:ascii="Times New Roman"/>
                <w:sz w:val="18"/>
              </w:rPr>
              <w:t>2020</w:t>
            </w:r>
          </w:p>
        </w:tc>
      </w:tr>
      <w:tr>
        <w:trPr>
          <w:trHeight w:val="347" w:hRule="exact"/>
        </w:trPr>
        <w:tc>
          <w:tcPr>
            <w:tcW w:w="20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水电</w:t>
            </w:r>
          </w:p>
        </w:tc>
        <w:tc>
          <w:tcPr>
            <w:tcW w:w="161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33211</w:t>
            </w:r>
          </w:p>
        </w:tc>
        <w:tc>
          <w:tcPr>
            <w:tcW w:w="16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34119</w:t>
            </w:r>
          </w:p>
        </w:tc>
        <w:tc>
          <w:tcPr>
            <w:tcW w:w="160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571"/>
              <w:jc w:val="right"/>
              <w:rPr>
                <w:rFonts w:ascii="Times New Roman" w:hAnsi="Times New Roman" w:cs="Times New Roman" w:eastAsia="Times New Roman" w:hint="default"/>
                <w:sz w:val="18"/>
                <w:szCs w:val="18"/>
              </w:rPr>
            </w:pPr>
            <w:r>
              <w:rPr>
                <w:rFonts w:ascii="Times New Roman"/>
                <w:sz w:val="18"/>
              </w:rPr>
              <w:t>35226</w:t>
            </w:r>
          </w:p>
        </w:tc>
        <w:tc>
          <w:tcPr>
            <w:tcW w:w="16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38000</w:t>
            </w:r>
          </w:p>
        </w:tc>
      </w:tr>
      <w:tr>
        <w:trPr>
          <w:trHeight w:val="347" w:hRule="exact"/>
        </w:trPr>
        <w:tc>
          <w:tcPr>
            <w:tcW w:w="20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火电</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105388</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110604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29"/>
              <w:jc w:val="right"/>
              <w:rPr>
                <w:rFonts w:ascii="Times New Roman" w:hAnsi="Times New Roman" w:cs="Times New Roman" w:eastAsia="Times New Roman" w:hint="default"/>
                <w:sz w:val="18"/>
                <w:szCs w:val="18"/>
              </w:rPr>
            </w:pPr>
            <w:r>
              <w:rPr>
                <w:rFonts w:ascii="Times New Roman"/>
                <w:spacing w:val="-2"/>
                <w:sz w:val="18"/>
              </w:rPr>
              <w:t>114367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121000</w:t>
            </w:r>
          </w:p>
        </w:tc>
      </w:tr>
      <w:tr>
        <w:trPr>
          <w:trHeight w:val="347" w:hRule="exact"/>
        </w:trPr>
        <w:tc>
          <w:tcPr>
            <w:tcW w:w="20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核电</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3364</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3582</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17"/>
              <w:jc w:val="right"/>
              <w:rPr>
                <w:rFonts w:ascii="Times New Roman" w:hAnsi="Times New Roman" w:cs="Times New Roman" w:eastAsia="Times New Roman" w:hint="default"/>
                <w:sz w:val="18"/>
                <w:szCs w:val="18"/>
              </w:rPr>
            </w:pPr>
            <w:r>
              <w:rPr>
                <w:rFonts w:ascii="Times New Roman"/>
                <w:sz w:val="18"/>
              </w:rPr>
              <w:t>4466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5800</w:t>
            </w:r>
          </w:p>
        </w:tc>
      </w:tr>
      <w:tr>
        <w:trPr>
          <w:trHeight w:val="347" w:hRule="exact"/>
        </w:trPr>
        <w:tc>
          <w:tcPr>
            <w:tcW w:w="20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风电</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14864</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16367</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71"/>
              <w:jc w:val="right"/>
              <w:rPr>
                <w:rFonts w:ascii="Times New Roman" w:hAnsi="Times New Roman" w:cs="Times New Roman" w:eastAsia="Times New Roman" w:hint="default"/>
                <w:sz w:val="18"/>
                <w:szCs w:val="18"/>
              </w:rPr>
            </w:pPr>
            <w:r>
              <w:rPr>
                <w:rFonts w:ascii="Times New Roman"/>
                <w:sz w:val="18"/>
              </w:rPr>
              <w:t>18426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21000</w:t>
            </w:r>
          </w:p>
        </w:tc>
      </w:tr>
      <w:tr>
        <w:trPr>
          <w:trHeight w:val="348" w:hRule="exact"/>
        </w:trPr>
        <w:tc>
          <w:tcPr>
            <w:tcW w:w="20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太阳能发电</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7742</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13025</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71"/>
              <w:jc w:val="right"/>
              <w:rPr>
                <w:rFonts w:ascii="Times New Roman" w:hAnsi="Times New Roman" w:cs="Times New Roman" w:eastAsia="Times New Roman" w:hint="default"/>
                <w:sz w:val="18"/>
                <w:szCs w:val="18"/>
              </w:rPr>
            </w:pPr>
            <w:r>
              <w:rPr>
                <w:rFonts w:ascii="Times New Roman"/>
                <w:sz w:val="18"/>
              </w:rPr>
              <w:t>17463</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11000</w:t>
            </w:r>
          </w:p>
        </w:tc>
      </w:tr>
      <w:tr>
        <w:trPr>
          <w:trHeight w:val="347" w:hRule="exact"/>
        </w:trPr>
        <w:tc>
          <w:tcPr>
            <w:tcW w:w="20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全口径容量</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164575</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177703</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27"/>
              <w:jc w:val="right"/>
              <w:rPr>
                <w:rFonts w:ascii="Times New Roman" w:hAnsi="Times New Roman" w:cs="Times New Roman" w:eastAsia="Times New Roman" w:hint="default"/>
                <w:sz w:val="18"/>
                <w:szCs w:val="18"/>
              </w:rPr>
            </w:pPr>
            <w:r>
              <w:rPr>
                <w:rFonts w:ascii="Times New Roman"/>
                <w:sz w:val="18"/>
              </w:rPr>
              <w:t>189967</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200000</w:t>
            </w:r>
          </w:p>
        </w:tc>
      </w:tr>
    </w:tbl>
    <w:p>
      <w:pPr>
        <w:spacing w:line="240" w:lineRule="auto" w:before="5"/>
        <w:rPr>
          <w:rFonts w:ascii="宋体" w:hAnsi="宋体" w:cs="宋体" w:eastAsia="宋体" w:hint="default"/>
          <w:sz w:val="5"/>
          <w:szCs w:val="5"/>
        </w:rPr>
      </w:pPr>
    </w:p>
    <w:p>
      <w:pPr>
        <w:pStyle w:val="Heading4"/>
        <w:spacing w:line="240" w:lineRule="auto" w:before="35"/>
        <w:ind w:right="0"/>
        <w:jc w:val="left"/>
      </w:pPr>
      <w:r>
        <w:rPr/>
        <w:t>数据来源：数据来自《电力发展</w:t>
      </w:r>
      <w:r>
        <w:rPr>
          <w:rFonts w:ascii="Times New Roman" w:hAnsi="Times New Roman" w:cs="Times New Roman" w:eastAsia="Times New Roman" w:hint="default"/>
          <w:spacing w:val="-1"/>
          <w:w w:val="100"/>
        </w:rPr>
        <w:t>“</w:t>
      </w:r>
      <w:r>
        <w:rPr>
          <w:spacing w:val="1"/>
        </w:rPr>
        <w:t>十</w:t>
      </w:r>
      <w:r>
        <w:rPr/>
        <w:t>三五</w:t>
      </w:r>
      <w:r>
        <w:rPr>
          <w:rFonts w:ascii="Times New Roman" w:hAnsi="Times New Roman" w:cs="Times New Roman" w:eastAsia="Times New Roman" w:hint="default"/>
          <w:w w:val="100"/>
        </w:rPr>
        <w:t>”</w:t>
      </w:r>
      <w:r>
        <w:rPr/>
        <w:t>规划（</w:t>
      </w:r>
      <w:r>
        <w:rPr>
          <w:rFonts w:ascii="Times New Roman" w:hAnsi="Times New Roman" w:cs="Times New Roman" w:eastAsia="Times New Roman" w:hint="default"/>
        </w:rPr>
        <w:t>201</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1"/>
        </w:rPr>
        <w:t>-</w:t>
      </w:r>
      <w:r>
        <w:rPr>
          <w:rFonts w:ascii="Times New Roman" w:hAnsi="Times New Roman" w:cs="Times New Roman" w:eastAsia="Times New Roman" w:hint="default"/>
        </w:rPr>
        <w:t>2020</w:t>
      </w:r>
      <w:r>
        <w:rPr/>
        <w:t>年</w:t>
      </w:r>
      <w:r>
        <w:rPr>
          <w:spacing w:val="-106"/>
        </w:rPr>
        <w:t>）</w:t>
      </w:r>
      <w:r>
        <w:rPr/>
        <w:t>》和全国电力工业统计数据。</w:t>
      </w:r>
    </w:p>
    <w:p>
      <w:pPr>
        <w:spacing w:line="357" w:lineRule="auto" w:before="141"/>
        <w:ind w:left="634" w:right="460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发电市场情况</w:t>
      </w:r>
      <w:r>
        <w:rPr>
          <w:rFonts w:ascii="宋体" w:hAnsi="宋体" w:cs="宋体" w:eastAsia="宋体" w:hint="default"/>
          <w:b/>
          <w:bCs/>
          <w:w w:val="99"/>
          <w:sz w:val="21"/>
          <w:szCs w:val="21"/>
        </w:rPr>
        <w:t> </w:t>
      </w:r>
      <w:r>
        <w:rPr>
          <w:rFonts w:ascii="宋体" w:hAnsi="宋体" w:cs="宋体" w:eastAsia="宋体" w:hint="default"/>
          <w:sz w:val="21"/>
          <w:szCs w:val="21"/>
        </w:rPr>
        <w:t>发电市场调整能源结构，朝着清洁、安全、高效的方向发展。</w:t>
      </w:r>
    </w:p>
    <w:p>
      <w:pPr>
        <w:pStyle w:val="Heading4"/>
        <w:spacing w:line="240" w:lineRule="auto" w:before="54"/>
        <w:ind w:left="634" w:right="0"/>
        <w:jc w:val="left"/>
      </w:pPr>
      <w:r>
        <w:rPr/>
        <w:t>（</w:t>
      </w:r>
      <w:r>
        <w:rPr>
          <w:rFonts w:ascii="Times New Roman" w:hAnsi="Times New Roman" w:cs="Times New Roman" w:eastAsia="Times New Roman" w:hint="default"/>
        </w:rPr>
        <w:t>1</w:t>
      </w:r>
      <w:r>
        <w:rPr/>
        <w:t>）清洁能源及新能源市场广阔</w:t>
      </w:r>
    </w:p>
    <w:p>
      <w:pPr>
        <w:pStyle w:val="Heading4"/>
        <w:spacing w:line="256" w:lineRule="auto" w:before="141"/>
        <w:ind w:right="1129" w:firstLine="480"/>
        <w:jc w:val="both"/>
      </w:pPr>
      <w:r>
        <w:rPr>
          <w:spacing w:val="2"/>
        </w:rPr>
        <w:t>为实现我国碳排放对外承诺目标，未来较长时间内清洁能源及新能源需要保持较快增长；</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期间，核电、风电、太阳能等非化石能源发电净增装机容量快速发展，其中，预期核电平均增速</w:t>
      </w:r>
      <w:r>
        <w:rPr>
          <w:rFonts w:ascii="Times New Roman" w:hAnsi="Times New Roman" w:cs="Times New Roman" w:eastAsia="Times New Roman" w:hint="default"/>
        </w:rPr>
        <w:t>16.5%</w:t>
      </w:r>
      <w:r>
        <w:rPr/>
        <w:t>，</w:t>
      </w:r>
      <w:r>
        <w:rPr>
          <w:spacing w:val="-43"/>
        </w:rPr>
        <w:t> </w:t>
      </w:r>
      <w:r>
        <w:rPr>
          <w:spacing w:val="-2"/>
        </w:rPr>
        <w:t>风电平均增速</w:t>
      </w:r>
      <w:r>
        <w:rPr>
          <w:rFonts w:ascii="Times New Roman" w:hAnsi="Times New Roman" w:cs="Times New Roman" w:eastAsia="Times New Roman" w:hint="default"/>
          <w:spacing w:val="-2"/>
        </w:rPr>
        <w:t>9.9%</w:t>
      </w:r>
      <w:r>
        <w:rPr>
          <w:spacing w:val="-2"/>
        </w:rPr>
        <w:t>，太阳能发电平均增速</w:t>
      </w:r>
      <w:r>
        <w:rPr>
          <w:rFonts w:ascii="Times New Roman" w:hAnsi="Times New Roman" w:cs="Times New Roman" w:eastAsia="Times New Roman" w:hint="default"/>
          <w:spacing w:val="-2"/>
        </w:rPr>
        <w:t>21.2%</w:t>
      </w:r>
      <w:r>
        <w:rPr>
          <w:spacing w:val="-2"/>
        </w:rPr>
        <w:t>；气电（属于清洁能源）平均增速</w:t>
      </w:r>
      <w:r>
        <w:rPr>
          <w:rFonts w:ascii="Times New Roman" w:hAnsi="Times New Roman" w:cs="Times New Roman" w:eastAsia="Times New Roman" w:hint="default"/>
          <w:spacing w:val="-2"/>
        </w:rPr>
        <w:t>10.8%</w:t>
      </w:r>
      <w:r>
        <w:rPr>
          <w:spacing w:val="-2"/>
        </w:rPr>
        <w:t>。清洁能源及新能</w:t>
      </w:r>
      <w:r>
        <w:rPr>
          <w:spacing w:val="-83"/>
        </w:rPr>
        <w:t> </w:t>
      </w:r>
      <w:r>
        <w:rPr>
          <w:spacing w:val="-83"/>
        </w:rPr>
      </w:r>
      <w:r>
        <w:rPr/>
        <w:t>源发电市场空间广阔。</w:t>
      </w:r>
    </w:p>
    <w:p>
      <w:pPr>
        <w:pStyle w:val="Heading4"/>
        <w:spacing w:line="256" w:lineRule="auto" w:before="142"/>
        <w:ind w:right="1131" w:firstLine="480"/>
        <w:jc w:val="both"/>
      </w:pPr>
      <w:r>
        <w:rPr>
          <w:spacing w:val="-2"/>
        </w:rPr>
        <w:t>公司具备新能源、清洁能源工程规划咨询、勘察设计及</w:t>
      </w:r>
      <w:r>
        <w:rPr>
          <w:rFonts w:ascii="Times New Roman" w:hAnsi="Times New Roman" w:cs="Times New Roman" w:eastAsia="Times New Roman" w:hint="default"/>
          <w:spacing w:val="-2"/>
        </w:rPr>
        <w:t>EPC</w:t>
      </w:r>
      <w:r>
        <w:rPr>
          <w:spacing w:val="-2"/>
        </w:rPr>
        <w:t>总承包全过程技术与管理服务的企业，为</w:t>
      </w:r>
      <w:r>
        <w:rPr/>
        <w:t> 新能源市场的开拓和服务奠定的良好的基础。</w:t>
      </w:r>
    </w:p>
    <w:p>
      <w:pPr>
        <w:pStyle w:val="Heading4"/>
        <w:spacing w:line="240" w:lineRule="auto" w:before="142"/>
        <w:ind w:left="634" w:right="0"/>
        <w:jc w:val="left"/>
      </w:pPr>
      <w:r>
        <w:rPr/>
        <w:t>（</w:t>
      </w:r>
      <w:r>
        <w:rPr>
          <w:rFonts w:ascii="Times New Roman" w:hAnsi="Times New Roman" w:cs="Times New Roman" w:eastAsia="Times New Roman" w:hint="default"/>
        </w:rPr>
        <w:t>2</w:t>
      </w:r>
      <w:r>
        <w:rPr/>
        <w:t>）海上风电发展迅猛</w:t>
      </w:r>
    </w:p>
    <w:p>
      <w:pPr>
        <w:pStyle w:val="Heading4"/>
        <w:spacing w:line="256" w:lineRule="auto" w:before="141"/>
        <w:ind w:right="1131" w:firstLine="480"/>
        <w:jc w:val="both"/>
      </w:pPr>
      <w:r>
        <w:rPr>
          <w:rFonts w:ascii="Times New Roman" w:hAnsi="Times New Roman" w:cs="Times New Roman" w:eastAsia="Times New Roman" w:hint="default"/>
          <w:spacing w:val="-2"/>
        </w:rPr>
        <w:t>2018</w:t>
      </w:r>
      <w:r>
        <w:rPr>
          <w:spacing w:val="-2"/>
        </w:rPr>
        <w:t>年国内海上风电进入大规模核准阶段。全国各省根据产业发展进展，开展规划动态调整和布局优</w:t>
      </w:r>
      <w:r>
        <w:rPr/>
        <w:t> 化，调整后海上风电规划总规模为</w:t>
      </w:r>
      <w:r>
        <w:rPr>
          <w:rFonts w:ascii="Times New Roman" w:hAnsi="Times New Roman" w:cs="Times New Roman" w:eastAsia="Times New Roman" w:hint="default"/>
        </w:rPr>
        <w:t>131570MW</w:t>
      </w:r>
      <w:r>
        <w:rPr/>
        <w:t>，新增规划容量为</w:t>
      </w:r>
      <w:r>
        <w:rPr>
          <w:rFonts w:ascii="Times New Roman" w:hAnsi="Times New Roman" w:cs="Times New Roman" w:eastAsia="Times New Roman" w:hint="default"/>
        </w:rPr>
        <w:t>59390</w:t>
      </w:r>
      <w:r>
        <w:rPr>
          <w:rFonts w:ascii="Times New Roman" w:hAnsi="Times New Roman" w:cs="Times New Roman" w:eastAsia="Times New Roman" w:hint="default"/>
          <w:spacing w:val="-12"/>
        </w:rPr>
        <w:t> </w:t>
      </w:r>
      <w:r>
        <w:rPr>
          <w:rFonts w:ascii="Times New Roman" w:hAnsi="Times New Roman" w:cs="Times New Roman" w:eastAsia="Times New Roman" w:hint="default"/>
        </w:rPr>
        <w:t>MW</w:t>
      </w:r>
      <w:r>
        <w:rPr/>
        <w:t>，增长幅度为</w:t>
      </w:r>
      <w:r>
        <w:rPr>
          <w:rFonts w:ascii="Times New Roman" w:hAnsi="Times New Roman" w:cs="Times New Roman" w:eastAsia="Times New Roman" w:hint="default"/>
        </w:rPr>
        <w:t>81.11%</w:t>
      </w:r>
      <w:r>
        <w:rPr/>
        <w:t>。</w:t>
      </w:r>
    </w:p>
    <w:p>
      <w:pPr>
        <w:spacing w:after="0" w:line="256" w:lineRule="auto"/>
        <w:jc w:val="both"/>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56" w:lineRule="auto" w:before="35"/>
        <w:ind w:right="1132" w:firstLine="480"/>
        <w:jc w:val="both"/>
      </w:pPr>
      <w:r>
        <w:rPr/>
        <w:t>截止到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月底，中国海上风电累计并网容量达到</w:t>
      </w:r>
      <w:r>
        <w:rPr>
          <w:rFonts w:ascii="Times New Roman" w:hAnsi="Times New Roman" w:cs="Times New Roman" w:eastAsia="Times New Roman" w:hint="default"/>
        </w:rPr>
        <w:t>3580MW</w:t>
      </w:r>
      <w:r>
        <w:rPr/>
        <w:t>，已核准项目容量达到</w:t>
      </w:r>
      <w:r>
        <w:rPr>
          <w:rFonts w:ascii="Times New Roman" w:hAnsi="Times New Roman" w:cs="Times New Roman" w:eastAsia="Times New Roman" w:hint="default"/>
        </w:rPr>
        <w:t>17100MW</w:t>
      </w:r>
      <w:r>
        <w:rPr/>
        <w:t>， 在建项目达到 </w:t>
      </w:r>
      <w:r>
        <w:rPr>
          <w:rFonts w:ascii="Times New Roman" w:hAnsi="Times New Roman" w:cs="Times New Roman" w:eastAsia="Times New Roman" w:hint="default"/>
        </w:rPr>
        <w:t>6000MW</w:t>
      </w:r>
      <w:r>
        <w:rPr>
          <w:rFonts w:ascii="Times New Roman" w:hAnsi="Times New Roman" w:cs="Times New Roman" w:eastAsia="Times New Roman" w:hint="default"/>
          <w:spacing w:val="49"/>
        </w:rPr>
        <w:t> </w:t>
      </w:r>
      <w:r>
        <w:rPr/>
        <w:t>，已并网海上风电容量仅次于英国、德国，居世界第三位。</w:t>
      </w:r>
    </w:p>
    <w:p>
      <w:pPr>
        <w:pStyle w:val="Heading4"/>
        <w:spacing w:line="256" w:lineRule="auto" w:before="125"/>
        <w:ind w:right="1133" w:firstLine="480"/>
        <w:jc w:val="both"/>
      </w:pPr>
      <w:r>
        <w:rPr>
          <w:spacing w:val="-2"/>
        </w:rPr>
        <w:t>到</w:t>
      </w:r>
      <w:r>
        <w:rPr>
          <w:rFonts w:ascii="Times New Roman" w:hAnsi="Times New Roman" w:cs="Times New Roman" w:eastAsia="Times New Roman" w:hint="default"/>
          <w:spacing w:val="-2"/>
        </w:rPr>
        <w:t>2020</w:t>
      </w:r>
      <w:r>
        <w:rPr>
          <w:spacing w:val="-2"/>
        </w:rPr>
        <w:t>年，江苏、浙江、福建、广东、海南、山东、上海、河北、辽宁等省市海上风电开工规模总计</w:t>
      </w:r>
      <w:r>
        <w:rPr/>
        <w:t> 将突破</w:t>
      </w:r>
      <w:r>
        <w:rPr>
          <w:rFonts w:ascii="Times New Roman" w:hAnsi="Times New Roman" w:cs="Times New Roman" w:eastAsia="Times New Roman" w:hint="default"/>
        </w:rPr>
        <w:t>78000</w:t>
      </w:r>
      <w:r>
        <w:rPr>
          <w:rFonts w:ascii="Times New Roman" w:hAnsi="Times New Roman" w:cs="Times New Roman" w:eastAsia="Times New Roman" w:hint="default"/>
          <w:spacing w:val="-1"/>
        </w:rPr>
        <w:t> </w:t>
      </w:r>
      <w:r>
        <w:rPr>
          <w:rFonts w:ascii="Times New Roman" w:hAnsi="Times New Roman" w:cs="Times New Roman" w:eastAsia="Times New Roman" w:hint="default"/>
        </w:rPr>
        <w:t>MW</w:t>
      </w:r>
      <w:r>
        <w:rPr/>
        <w:t>，总投资规模超过</w:t>
      </w:r>
      <w:r>
        <w:rPr>
          <w:rFonts w:ascii="Times New Roman" w:hAnsi="Times New Roman" w:cs="Times New Roman" w:eastAsia="Times New Roman" w:hint="default"/>
        </w:rPr>
        <w:t>1.56</w:t>
      </w:r>
      <w:r>
        <w:rPr/>
        <w:t>万亿，国内将迎来海上风电建设高峰，市场空间广阔。</w:t>
      </w:r>
    </w:p>
    <w:p>
      <w:pPr>
        <w:pStyle w:val="Heading4"/>
        <w:spacing w:line="273" w:lineRule="auto" w:before="125"/>
        <w:ind w:right="1131" w:firstLine="480"/>
        <w:jc w:val="both"/>
      </w:pPr>
      <w:r>
        <w:rPr>
          <w:spacing w:val="-2"/>
        </w:rPr>
        <w:t>公司抓住海上风电蓬勃发展的机会，积极开展海上风电关键技术研发，海上风电累计获得实用新型和</w:t>
      </w:r>
      <w:r>
        <w:rPr/>
        <w:t> 发明专利</w:t>
      </w:r>
      <w:r>
        <w:rPr>
          <w:rFonts w:ascii="Times New Roman" w:hAnsi="Times New Roman" w:cs="Times New Roman" w:eastAsia="Times New Roman" w:hint="default"/>
        </w:rPr>
        <w:t>25</w:t>
      </w:r>
      <w:r>
        <w:rPr/>
        <w:t>项，快速形成特色的、领先的海上风电核心技术，在国内海上风电设计舞台处于领先地位。</w:t>
      </w:r>
    </w:p>
    <w:p>
      <w:pPr>
        <w:pStyle w:val="Heading4"/>
        <w:spacing w:line="432" w:lineRule="exact" w:before="8"/>
        <w:ind w:left="634" w:right="1128"/>
        <w:jc w:val="left"/>
      </w:pPr>
      <w:r>
        <w:rPr/>
        <w:t>（</w:t>
      </w:r>
      <w:r>
        <w:rPr>
          <w:rFonts w:ascii="Times New Roman" w:hAnsi="Times New Roman" w:cs="Times New Roman" w:eastAsia="Times New Roman" w:hint="default"/>
        </w:rPr>
        <w:t>3</w:t>
      </w:r>
      <w:r>
        <w:rPr/>
        <w:t>）电力技改市场巨大 </w:t>
      </w:r>
      <w:r>
        <w:rPr>
          <w:spacing w:val="-1"/>
        </w:rPr>
        <w:t>到</w:t>
      </w:r>
      <w:r>
        <w:rPr>
          <w:rFonts w:ascii="Times New Roman" w:hAnsi="Times New Roman" w:cs="Times New Roman" w:eastAsia="Times New Roman" w:hint="default"/>
          <w:spacing w:val="-1"/>
        </w:rPr>
        <w:t>2020</w:t>
      </w:r>
      <w:r>
        <w:rPr>
          <w:spacing w:val="-1"/>
        </w:rPr>
        <w:t>年，现役燃煤发电机组改造后平均供电煤耗低于</w:t>
      </w:r>
      <w:r>
        <w:rPr>
          <w:rFonts w:ascii="Times New Roman" w:hAnsi="Times New Roman" w:cs="Times New Roman" w:eastAsia="Times New Roman" w:hint="default"/>
          <w:spacing w:val="-1"/>
        </w:rPr>
        <w:t>310</w:t>
      </w:r>
      <w:r>
        <w:rPr>
          <w:spacing w:val="-1"/>
        </w:rPr>
        <w:t>克</w:t>
      </w:r>
      <w:r>
        <w:rPr>
          <w:rFonts w:ascii="Times New Roman" w:hAnsi="Times New Roman" w:cs="Times New Roman" w:eastAsia="Times New Roman" w:hint="default"/>
          <w:spacing w:val="-1"/>
        </w:rPr>
        <w:t>/</w:t>
      </w:r>
      <w:r>
        <w:rPr>
          <w:spacing w:val="-1"/>
        </w:rPr>
        <w:t>千瓦时，其中现役</w:t>
      </w:r>
      <w:r>
        <w:rPr>
          <w:rFonts w:ascii="Times New Roman" w:hAnsi="Times New Roman" w:cs="Times New Roman" w:eastAsia="Times New Roman" w:hint="default"/>
          <w:spacing w:val="-1"/>
        </w:rPr>
        <w:t>60</w:t>
      </w:r>
      <w:r>
        <w:rPr>
          <w:spacing w:val="-1"/>
        </w:rPr>
        <w:t>万千瓦及以上机组</w:t>
      </w:r>
    </w:p>
    <w:p>
      <w:pPr>
        <w:pStyle w:val="Heading4"/>
        <w:spacing w:line="271" w:lineRule="exact"/>
        <w:ind w:right="0"/>
        <w:jc w:val="left"/>
      </w:pPr>
      <w:r>
        <w:rPr/>
        <w:t>（除空冷机组外）改造后平均供电煤耗低于</w:t>
      </w:r>
      <w:r>
        <w:rPr>
          <w:rFonts w:ascii="Times New Roman" w:hAnsi="Times New Roman" w:cs="Times New Roman" w:eastAsia="Times New Roman" w:hint="default"/>
        </w:rPr>
        <w:t>300</w:t>
      </w:r>
      <w:r>
        <w:rPr/>
        <w:t>克</w:t>
      </w:r>
      <w:r>
        <w:rPr>
          <w:rFonts w:ascii="Times New Roman" w:hAnsi="Times New Roman" w:cs="Times New Roman" w:eastAsia="Times New Roman" w:hint="default"/>
        </w:rPr>
        <w:t>/</w:t>
      </w:r>
      <w:r>
        <w:rPr/>
        <w:t>千瓦时。燃煤机组节能减排技改市场空间巨大。</w:t>
      </w:r>
    </w:p>
    <w:p>
      <w:pPr>
        <w:pStyle w:val="Heading4"/>
        <w:spacing w:line="273" w:lineRule="auto" w:before="141"/>
        <w:ind w:right="1050" w:firstLine="480"/>
        <w:jc w:val="both"/>
      </w:pPr>
      <w:r>
        <w:rPr/>
        <w:t>公司抓住火力发电企业为响应国家节能减排号召，急迫进行节能技术改造需求，成立技改服务中心， 推动技改业务的快速提升。</w:t>
      </w:r>
    </w:p>
    <w:p>
      <w:pPr>
        <w:spacing w:line="357" w:lineRule="auto" w:before="127"/>
        <w:ind w:left="634" w:right="271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电网市场情况</w:t>
      </w:r>
      <w:r>
        <w:rPr>
          <w:rFonts w:ascii="宋体" w:hAnsi="宋体" w:cs="宋体" w:eastAsia="宋体" w:hint="default"/>
          <w:b/>
          <w:bCs/>
          <w:w w:val="99"/>
          <w:sz w:val="21"/>
          <w:szCs w:val="21"/>
        </w:rPr>
        <w:t> </w:t>
      </w:r>
      <w:r>
        <w:rPr>
          <w:rFonts w:ascii="宋体" w:hAnsi="宋体" w:cs="宋体" w:eastAsia="宋体" w:hint="default"/>
          <w:sz w:val="21"/>
          <w:szCs w:val="21"/>
        </w:rPr>
        <w:t>电网以优化电网结构，提高系统安全水平，升级改造配电网，推进智能电网建设。</w:t>
      </w:r>
    </w:p>
    <w:p>
      <w:pPr>
        <w:pStyle w:val="Heading4"/>
        <w:spacing w:line="240" w:lineRule="auto" w:before="54"/>
        <w:ind w:left="634" w:right="0"/>
        <w:jc w:val="left"/>
      </w:pPr>
      <w:r>
        <w:rPr/>
        <w:t>（</w:t>
      </w:r>
      <w:r>
        <w:rPr>
          <w:rFonts w:ascii="Times New Roman" w:hAnsi="Times New Roman" w:cs="Times New Roman" w:eastAsia="Times New Roman" w:hint="default"/>
        </w:rPr>
        <w:t>1</w:t>
      </w:r>
      <w:r>
        <w:rPr/>
        <w:t>）特高压电网建设持续发展</w:t>
      </w:r>
    </w:p>
    <w:p>
      <w:pPr>
        <w:pStyle w:val="Heading4"/>
        <w:spacing w:line="264" w:lineRule="auto" w:before="141"/>
        <w:ind w:right="1131"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w:t>
      </w:r>
      <w:r>
        <w:rPr>
          <w:spacing w:val="-2"/>
        </w:rPr>
        <w:t>日，国家能源局发布《关于加快推进一批输变电重点工程规划建设工作的通知》，为加大</w:t>
      </w:r>
      <w:r>
        <w:rPr/>
        <w:t> </w:t>
      </w:r>
      <w:r>
        <w:rPr>
          <w:spacing w:val="-1"/>
        </w:rPr>
        <w:t>基础设施领域补短板力度，发挥重点电网工程在优化投资结构、清洁能源消纳、电力精准扶贫等方面的重</w:t>
      </w:r>
      <w:r>
        <w:rPr>
          <w:spacing w:val="-83"/>
        </w:rPr>
        <w:t> </w:t>
      </w:r>
      <w:r>
        <w:rPr>
          <w:spacing w:val="-83"/>
        </w:rPr>
      </w:r>
      <w:r>
        <w:rPr/>
        <w:t>要作用。</w:t>
      </w:r>
    </w:p>
    <w:p>
      <w:pPr>
        <w:pStyle w:val="Heading4"/>
        <w:spacing w:line="266" w:lineRule="auto" w:before="136"/>
        <w:ind w:right="1131"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日，国家电网公司宣布将积极引入保险、大型产业基金以及送受端地方政府所属投资平</w:t>
      </w:r>
      <w:r>
        <w:rPr/>
        <w:t> </w:t>
      </w:r>
      <w:r>
        <w:rPr>
          <w:spacing w:val="-1"/>
        </w:rPr>
        <w:t>台等社会资本参股，以合资组建项目公司方式投资运营新建特高压直流工程，共促电网发展，共享改革成</w:t>
      </w:r>
      <w:r>
        <w:rPr>
          <w:spacing w:val="-83"/>
        </w:rPr>
        <w:t> </w:t>
      </w:r>
      <w:r>
        <w:rPr>
          <w:spacing w:val="-83"/>
        </w:rPr>
      </w:r>
      <w:r>
        <w:rPr/>
        <w:t>果。在新政策的引导下和社会资本投资的推动下，国家特高压电网建设将持续快速发展。</w:t>
      </w:r>
    </w:p>
    <w:p>
      <w:pPr>
        <w:pStyle w:val="Heading4"/>
        <w:spacing w:line="240" w:lineRule="auto" w:before="134"/>
        <w:ind w:left="634" w:right="0"/>
        <w:jc w:val="left"/>
      </w:pPr>
      <w:r>
        <w:rPr/>
        <w:t>公司通过技术创新、服务升级等方式提升市场竞争力，提高公司在特高压市场的份额。</w:t>
      </w:r>
    </w:p>
    <w:p>
      <w:pPr>
        <w:pStyle w:val="Heading4"/>
        <w:spacing w:line="240" w:lineRule="auto" w:before="157"/>
        <w:ind w:left="634" w:right="0"/>
        <w:jc w:val="left"/>
      </w:pPr>
      <w:r>
        <w:rPr/>
        <w:t>（</w:t>
      </w:r>
      <w:r>
        <w:rPr>
          <w:rFonts w:ascii="Times New Roman" w:hAnsi="Times New Roman" w:cs="Times New Roman" w:eastAsia="Times New Roman" w:hint="default"/>
        </w:rPr>
        <w:t>2</w:t>
      </w:r>
      <w:r>
        <w:rPr/>
        <w:t>）配电网市场情况</w:t>
      </w:r>
    </w:p>
    <w:p>
      <w:pPr>
        <w:pStyle w:val="Heading4"/>
        <w:spacing w:line="256" w:lineRule="auto" w:before="141"/>
        <w:ind w:right="1130" w:firstLine="480"/>
        <w:jc w:val="both"/>
      </w:pPr>
      <w:r>
        <w:rPr/>
        <w:t>通过实施配电网建设改造行动计划，有效加大配电网资金投入。</w:t>
      </w:r>
      <w:r>
        <w:rPr>
          <w:rFonts w:ascii="Times New Roman" w:hAnsi="Times New Roman" w:cs="Times New Roman" w:eastAsia="Times New Roman" w:hint="default"/>
        </w:rPr>
        <w:t>2015-2020</w:t>
      </w:r>
      <w:r>
        <w:rPr/>
        <w:t>年，配电网建设改造投资 不低于</w:t>
      </w:r>
      <w:r>
        <w:rPr>
          <w:rFonts w:ascii="Times New Roman" w:hAnsi="Times New Roman" w:cs="Times New Roman" w:eastAsia="Times New Roman" w:hint="default"/>
        </w:rPr>
        <w:t>2</w:t>
      </w:r>
      <w:r>
        <w:rPr/>
        <w:t>万亿元，</w:t>
      </w:r>
      <w:r>
        <w:rPr>
          <w:spacing w:val="-52"/>
        </w:rPr>
        <w:t> </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期间累计投资不低于</w:t>
      </w:r>
      <w:r>
        <w:rPr>
          <w:rFonts w:ascii="Times New Roman" w:hAnsi="Times New Roman" w:cs="Times New Roman" w:eastAsia="Times New Roman" w:hint="default"/>
        </w:rPr>
        <w:t>1.7</w:t>
      </w:r>
      <w:r>
        <w:rPr/>
        <w:t>万亿元。预计到</w:t>
      </w:r>
      <w:r>
        <w:rPr>
          <w:rFonts w:ascii="Times New Roman" w:hAnsi="Times New Roman" w:cs="Times New Roman" w:eastAsia="Times New Roman" w:hint="default"/>
        </w:rPr>
        <w:t>2020</w:t>
      </w:r>
      <w:r>
        <w:rPr/>
        <w:t>年，高压配电网变电容量达到</w:t>
      </w:r>
      <w:r>
        <w:rPr>
          <w:rFonts w:ascii="Times New Roman" w:hAnsi="Times New Roman" w:cs="Times New Roman" w:eastAsia="Times New Roman" w:hint="default"/>
        </w:rPr>
        <w:t>21</w:t>
      </w:r>
      <w:r>
        <w:rPr/>
        <w:t>亿 千伏安、线路长度达到</w:t>
      </w:r>
      <w:r>
        <w:rPr>
          <w:rFonts w:ascii="Times New Roman" w:hAnsi="Times New Roman" w:cs="Times New Roman" w:eastAsia="Times New Roman" w:hint="default"/>
        </w:rPr>
        <w:t>101</w:t>
      </w:r>
      <w:r>
        <w:rPr/>
        <w:t>万公里，从投资规模到全新的建设要求，配电网业务的市场空间巨大。</w:t>
      </w:r>
    </w:p>
    <w:p>
      <w:pPr>
        <w:pStyle w:val="Heading4"/>
        <w:spacing w:line="240" w:lineRule="auto" w:before="125"/>
        <w:ind w:left="634" w:right="0"/>
        <w:jc w:val="left"/>
      </w:pPr>
      <w:r>
        <w:rPr/>
        <w:t>公司在依托技术优势特别是在高端配电网市场有独特的优势，有效提升配网业务量。</w:t>
      </w:r>
    </w:p>
    <w:p>
      <w:pPr>
        <w:spacing w:line="357" w:lineRule="auto" w:before="157"/>
        <w:ind w:left="634" w:right="112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综合能源服务市场情况</w:t>
      </w:r>
      <w:r>
        <w:rPr>
          <w:rFonts w:ascii="宋体" w:hAnsi="宋体" w:cs="宋体" w:eastAsia="宋体" w:hint="default"/>
          <w:b/>
          <w:bCs/>
          <w:w w:val="99"/>
          <w:sz w:val="21"/>
          <w:szCs w:val="21"/>
        </w:rPr>
        <w:t> </w:t>
      </w:r>
      <w:r>
        <w:rPr>
          <w:rFonts w:ascii="宋体" w:hAnsi="宋体" w:cs="宋体" w:eastAsia="宋体" w:hint="default"/>
          <w:spacing w:val="-2"/>
          <w:sz w:val="21"/>
          <w:szCs w:val="21"/>
        </w:rPr>
        <w:t>综合能源服务是围绕国家和政府的能源方针和政策，综合能源服务坚持以电为中心、多能互济，以推</w:t>
      </w:r>
    </w:p>
    <w:p>
      <w:pPr>
        <w:pStyle w:val="Heading4"/>
        <w:spacing w:line="209" w:lineRule="exact"/>
        <w:ind w:right="0"/>
        <w:jc w:val="left"/>
      </w:pPr>
      <w:r>
        <w:rPr/>
        <w:t>进能源互联网、智慧用能为发展方向，构建开放、合作、共赢的能源服务平台。未来电力行业的发展将以</w:t>
      </w:r>
    </w:p>
    <w:p>
      <w:pPr>
        <w:pStyle w:val="Heading4"/>
        <w:spacing w:line="273" w:lineRule="auto" w:before="37"/>
        <w:ind w:right="0"/>
        <w:jc w:val="left"/>
      </w:pPr>
      <w:r>
        <w:rPr>
          <w:spacing w:val="-1"/>
        </w:rPr>
        <w:t>“加快推进清洁低碳、安全高效的能源体系建设”为目标，通过综合能源系统，为用户供应综合能源产品</w:t>
      </w:r>
      <w:r>
        <w:rPr>
          <w:spacing w:val="-86"/>
        </w:rPr>
        <w:t> </w:t>
      </w:r>
      <w:r>
        <w:rPr>
          <w:spacing w:val="-86"/>
        </w:rPr>
      </w:r>
      <w:r>
        <w:rPr/>
        <w:t>和</w:t>
      </w:r>
      <w:r>
        <w:rPr>
          <w:rFonts w:ascii="Times New Roman" w:hAnsi="Times New Roman" w:cs="Times New Roman" w:eastAsia="Times New Roman" w:hint="default"/>
        </w:rPr>
        <w:t>/</w:t>
      </w:r>
      <w:r>
        <w:rPr/>
        <w:t>或提供能源应用相关的综合服务。</w:t>
      </w:r>
    </w:p>
    <w:p>
      <w:pPr>
        <w:pStyle w:val="Heading4"/>
        <w:spacing w:line="256" w:lineRule="auto" w:before="108"/>
        <w:ind w:right="1132"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日，国家电网有限公司发布了《推进综合能源服务业务发展</w:t>
      </w:r>
      <w:r>
        <w:rPr>
          <w:rFonts w:ascii="Times New Roman" w:hAnsi="Times New Roman" w:cs="Times New Roman" w:eastAsia="Times New Roman" w:hint="default"/>
          <w:spacing w:val="-2"/>
        </w:rPr>
        <w:t>2019-2020</w:t>
      </w:r>
      <w:r>
        <w:rPr>
          <w:spacing w:val="-2"/>
        </w:rPr>
        <w:t>年行动计划》，国</w:t>
      </w:r>
      <w:r>
        <w:rPr/>
        <w:t> 家电网未来两年将紧紧抓住新一轮能源技术革命、信息通讯技术革命和产业融合发展的新机遇。</w:t>
      </w:r>
    </w:p>
    <w:p>
      <w:pPr>
        <w:pStyle w:val="Heading4"/>
        <w:spacing w:line="256" w:lineRule="auto" w:before="143"/>
        <w:ind w:right="1050" w:firstLine="480"/>
        <w:jc w:val="both"/>
      </w:pPr>
      <w:r>
        <w:rPr/>
        <w:t>公司</w:t>
      </w:r>
      <w:r>
        <w:rPr>
          <w:rFonts w:ascii="Times New Roman" w:hAnsi="Times New Roman" w:cs="Times New Roman" w:eastAsia="Times New Roman" w:hint="default"/>
        </w:rPr>
        <w:t>2018</w:t>
      </w:r>
      <w:r>
        <w:rPr/>
        <w:t>年成立的智慧能源研发中心，针对综合能源服务广泛开展研究，将推动未来电力能源服务、 新技术快速发展，把握市场先机。</w:t>
      </w:r>
    </w:p>
    <w:p>
      <w:pPr>
        <w:pStyle w:val="Heading3"/>
        <w:spacing w:line="240" w:lineRule="auto" w:before="142"/>
        <w:ind w:left="636" w:right="0"/>
        <w:jc w:val="left"/>
        <w:rPr>
          <w:b w:val="0"/>
          <w:bCs w:val="0"/>
        </w:rPr>
      </w:pPr>
      <w:r>
        <w:rPr>
          <w:rFonts w:ascii="Times New Roman" w:hAnsi="Times New Roman" w:cs="Times New Roman" w:eastAsia="Times New Roman" w:hint="default"/>
        </w:rPr>
        <w:t>1.4</w:t>
      </w:r>
      <w:r>
        <w:rPr>
          <w:rFonts w:ascii="Times New Roman" w:hAnsi="Times New Roman" w:cs="Times New Roman" w:eastAsia="Times New Roman" w:hint="default"/>
          <w:spacing w:val="49"/>
        </w:rPr>
        <w:t> </w:t>
      </w:r>
      <w:r>
        <w:rPr/>
        <w:t>泛在电力物联网市场情况</w:t>
      </w:r>
      <w:r>
        <w:rPr>
          <w:b w:val="0"/>
          <w:bCs w:val="0"/>
        </w:rPr>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b/>
          <w:bCs/>
          <w:sz w:val="9"/>
          <w:szCs w:val="9"/>
        </w:rPr>
      </w:pPr>
    </w:p>
    <w:p>
      <w:pPr>
        <w:pStyle w:val="Heading4"/>
        <w:spacing w:line="266" w:lineRule="auto" w:before="35"/>
        <w:ind w:right="1028" w:firstLine="48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月，国家电网公司在《泛在电力物联网建设工作部署电视电话会议》上提出：泛在电力物联 网，就是围绕电力系统各环节，充分应用移动互联、人工智能等现代信息技术、先进通信技术，实现电力 </w:t>
      </w:r>
      <w:r>
        <w:rPr>
          <w:spacing w:val="-3"/>
        </w:rPr>
        <w:t>系统各环节万物互联、人机交互，具有状态全面感知、信息高效处理、应用便捷灵活特征的智慧服务系统，</w:t>
      </w:r>
      <w:r>
        <w:rPr>
          <w:spacing w:val="-96"/>
        </w:rPr>
        <w:t> </w:t>
      </w:r>
      <w:r>
        <w:rPr>
          <w:spacing w:val="-96"/>
        </w:rPr>
      </w:r>
      <w:r>
        <w:rPr/>
        <w:t>包含感知层、网络层、平台层、应用层四层结构。通过广泛应用大数据、云计算、物联网、移动互联、人</w:t>
      </w:r>
      <w:r>
        <w:rPr/>
        <w:t> </w:t>
      </w:r>
      <w:r>
        <w:rPr>
          <w:spacing w:val="-3"/>
        </w:rPr>
        <w:t>工智能、区块链、边缘计算等信息技术和智能技术，汇集各方面资源，为规划建设、生产运行、经营管理、</w:t>
      </w:r>
      <w:r>
        <w:rPr>
          <w:spacing w:val="-94"/>
        </w:rPr>
        <w:t> </w:t>
      </w:r>
      <w:r>
        <w:rPr>
          <w:spacing w:val="-94"/>
        </w:rPr>
      </w:r>
      <w:r>
        <w:rPr/>
        <w:t>综合服务、新业务新模式发展、企业生态环境构建等各方面，提供充足有效的信息和数据支撑。到</w:t>
      </w:r>
      <w:r>
        <w:rPr>
          <w:rFonts w:ascii="Times New Roman" w:hAnsi="Times New Roman" w:cs="Times New Roman" w:eastAsia="Times New Roman" w:hint="default"/>
        </w:rPr>
        <w:t>2021</w:t>
      </w:r>
      <w:r>
        <w:rPr/>
        <w:t>年 初步建成泛在电力物联网，基本实现业务协同和数据贯通，初步实现统一物联管理，各级智慧能源综合服 务平台具备基本功能，支撑电网业务与新兴业务发展。到</w:t>
      </w:r>
      <w:r>
        <w:rPr>
          <w:rFonts w:ascii="Times New Roman" w:hAnsi="Times New Roman" w:cs="Times New Roman" w:eastAsia="Times New Roman" w:hint="default"/>
        </w:rPr>
        <w:t>2024</w:t>
      </w:r>
      <w:r>
        <w:rPr/>
        <w:t>年建成泛在电力物联网，全面形成共建共治 共享的能源互联网生态圈。</w:t>
      </w:r>
      <w:r>
        <w:rPr>
          <w:rFonts w:ascii="Times New Roman" w:hAnsi="Times New Roman" w:cs="Times New Roman" w:eastAsia="Times New Roman" w:hint="default"/>
        </w:rPr>
        <w:t>2019</w:t>
      </w:r>
      <w:r>
        <w:rPr/>
        <w:t>年将成为电力物联网投资元年，预计未来三年，国家电网年均投资从</w:t>
      </w:r>
      <w:r>
        <w:rPr>
          <w:rFonts w:ascii="Times New Roman" w:hAnsi="Times New Roman" w:cs="Times New Roman" w:eastAsia="Times New Roman" w:hint="default"/>
        </w:rPr>
        <w:t>100</w:t>
      </w:r>
      <w:r>
        <w:rPr>
          <w:rFonts w:ascii="Times New Roman" w:hAnsi="Times New Roman" w:cs="Times New Roman" w:eastAsia="Times New Roman" w:hint="default"/>
          <w:spacing w:val="27"/>
        </w:rPr>
        <w:t> </w:t>
      </w:r>
      <w:r>
        <w:rPr/>
        <w:t>亿元上升到</w:t>
      </w:r>
      <w:r>
        <w:rPr>
          <w:rFonts w:ascii="Times New Roman" w:hAnsi="Times New Roman" w:cs="Times New Roman" w:eastAsia="Times New Roman" w:hint="default"/>
        </w:rPr>
        <w:t>400</w:t>
      </w:r>
      <w:r>
        <w:rPr/>
        <w:t>亿</w:t>
      </w:r>
      <w:r>
        <w:rPr>
          <w:rFonts w:ascii="Times New Roman" w:hAnsi="Times New Roman" w:cs="Times New Roman" w:eastAsia="Times New Roman" w:hint="default"/>
        </w:rPr>
        <w:t>-600</w:t>
      </w:r>
      <w:r>
        <w:rPr/>
        <w:t>亿元，将为电力全行业创造更大机遇。</w:t>
      </w:r>
    </w:p>
    <w:p>
      <w:pPr>
        <w:pStyle w:val="Heading4"/>
        <w:spacing w:line="273" w:lineRule="auto" w:before="115"/>
        <w:ind w:right="1130" w:firstLine="420"/>
        <w:jc w:val="both"/>
      </w:pPr>
      <w:r>
        <w:rPr>
          <w:spacing w:val="-1"/>
        </w:rPr>
        <w:t>公司作为电力能源技术服务商，将以三维数字化设计为基础，以智慧能源研发为平台，依托丰富的电</w:t>
      </w:r>
      <w:r>
        <w:rPr/>
        <w:t> </w:t>
      </w:r>
      <w:r>
        <w:rPr>
          <w:spacing w:val="-1"/>
        </w:rPr>
        <w:t>力行业专业技术积累，公司通过控股公司福建华超信息科技有限公司，介入国家电网公司全业务统一数据</w:t>
      </w:r>
      <w:r>
        <w:rPr>
          <w:spacing w:val="-81"/>
        </w:rPr>
        <w:t> </w:t>
      </w:r>
      <w:r>
        <w:rPr>
          <w:spacing w:val="-81"/>
        </w:rPr>
      </w:r>
      <w:r>
        <w:rPr>
          <w:spacing w:val="-1"/>
        </w:rPr>
        <w:t>中心的开发，利用信息化、大数据和云平台等技术手段，实现国家电网公司提出的能源流、业务流、数据</w:t>
      </w:r>
      <w:r>
        <w:rPr>
          <w:spacing w:val="-83"/>
        </w:rPr>
        <w:t> </w:t>
      </w:r>
      <w:r>
        <w:rPr>
          <w:spacing w:val="-83"/>
        </w:rPr>
      </w:r>
      <w:r>
        <w:rPr/>
        <w:t>流</w:t>
      </w:r>
      <w:r>
        <w:rPr>
          <w:rFonts w:ascii="Times New Roman" w:hAnsi="Times New Roman" w:cs="Times New Roman" w:eastAsia="Times New Roman" w:hint="default"/>
        </w:rPr>
        <w:t>“</w:t>
      </w:r>
      <w:r>
        <w:rPr/>
        <w:t>三流合一</w:t>
      </w:r>
      <w:r>
        <w:rPr>
          <w:rFonts w:ascii="Times New Roman" w:hAnsi="Times New Roman" w:cs="Times New Roman" w:eastAsia="Times New Roman" w:hint="default"/>
        </w:rPr>
        <w:t>”</w:t>
      </w:r>
      <w:r>
        <w:rPr/>
        <w:t>的战略目标。快速培育泛在电力物联网、信息化等新兴领域的商业机会。</w:t>
      </w:r>
    </w:p>
    <w:p>
      <w:pPr>
        <w:pStyle w:val="Heading3"/>
        <w:spacing w:line="240" w:lineRule="auto" w:before="108"/>
        <w:ind w:left="636" w:right="0"/>
        <w:jc w:val="left"/>
        <w:rPr>
          <w:b w:val="0"/>
          <w:bCs w:val="0"/>
        </w:rPr>
      </w:pPr>
      <w:r>
        <w:rPr>
          <w:rFonts w:ascii="Times New Roman" w:hAnsi="Times New Roman" w:cs="Times New Roman" w:eastAsia="Times New Roman" w:hint="default"/>
        </w:rPr>
        <w:t>1.5</w:t>
      </w:r>
      <w:r>
        <w:rPr>
          <w:rFonts w:ascii="Times New Roman" w:hAnsi="Times New Roman" w:cs="Times New Roman" w:eastAsia="Times New Roman" w:hint="default"/>
          <w:spacing w:val="50"/>
        </w:rPr>
        <w:t> </w:t>
      </w:r>
      <w:r>
        <w:rPr/>
        <w:t>工程总承包市场情况</w:t>
      </w:r>
      <w:r>
        <w:rPr>
          <w:b w:val="0"/>
          <w:bCs w:val="0"/>
        </w:rPr>
      </w:r>
    </w:p>
    <w:p>
      <w:pPr>
        <w:pStyle w:val="Heading4"/>
        <w:spacing w:line="256" w:lineRule="auto" w:before="141"/>
        <w:ind w:right="0" w:firstLine="48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日第十一届全国人民代表大会常务委员会第二十次会议审议通过的《中华人民共和国建 筑法》二十四条：提倡对建筑工程实行总承包，禁止将建筑工程肢解发包。</w:t>
      </w:r>
    </w:p>
    <w:p>
      <w:pPr>
        <w:pStyle w:val="Heading4"/>
        <w:spacing w:line="256" w:lineRule="auto" w:before="142"/>
        <w:ind w:right="0" w:firstLine="480"/>
        <w:jc w:val="left"/>
      </w:pPr>
      <w:r>
        <w:rPr>
          <w:rFonts w:ascii="Times New Roman" w:hAnsi="Times New Roman" w:cs="Times New Roman" w:eastAsia="Times New Roman" w:hint="default"/>
          <w:spacing w:val="-5"/>
        </w:rPr>
        <w:t>2017</w:t>
      </w:r>
      <w:r>
        <w:rPr>
          <w:spacing w:val="-5"/>
        </w:rPr>
        <w:t>年，《国务院办公厅关于促进建筑业持续健康发展的意见》（国办发</w:t>
      </w:r>
      <w:r>
        <w:rPr>
          <w:rFonts w:ascii="Times New Roman" w:hAnsi="Times New Roman" w:cs="Times New Roman" w:eastAsia="Times New Roman" w:hint="default"/>
          <w:spacing w:val="-5"/>
        </w:rPr>
        <w:t>[2017]19</w:t>
      </w:r>
      <w:r>
        <w:rPr>
          <w:spacing w:val="-5"/>
        </w:rPr>
        <w:t>号）文件明确提出：</w:t>
      </w:r>
      <w:r>
        <w:rPr/>
        <w:t> 加快推行工程总承包，培育全过程工程咨询。</w:t>
      </w:r>
    </w:p>
    <w:p>
      <w:pPr>
        <w:pStyle w:val="Heading4"/>
        <w:spacing w:line="266" w:lineRule="auto" w:before="142"/>
        <w:ind w:right="1023" w:firstLine="480"/>
        <w:jc w:val="left"/>
      </w:pPr>
      <w:r>
        <w:rPr>
          <w:rFonts w:ascii="Times New Roman" w:hAnsi="Times New Roman" w:cs="Times New Roman" w:eastAsia="Times New Roman" w:hint="default"/>
          <w:spacing w:val="-2"/>
        </w:rPr>
        <w:t>2016</w:t>
      </w:r>
      <w:r>
        <w:rPr>
          <w:spacing w:val="-2"/>
        </w:rPr>
        <w:t>年，国家发布了《关于进一步推进工程总承包发展的若干意见》，明确提出：大力推进工程总承</w:t>
      </w:r>
      <w:r>
        <w:rPr/>
        <w:t> </w:t>
      </w:r>
      <w:r>
        <w:rPr>
          <w:spacing w:val="-3"/>
        </w:rPr>
        <w:t>包，完善工程总承包管理制度，提升企业工程总承包能力和水平，加强推进工程总承包发展的组织和实施；</w:t>
      </w:r>
      <w:r>
        <w:rPr>
          <w:spacing w:val="-90"/>
        </w:rPr>
        <w:t> </w:t>
      </w:r>
      <w:r>
        <w:rPr>
          <w:spacing w:val="-90"/>
        </w:rPr>
      </w:r>
      <w:r>
        <w:rPr/>
        <w:t>促进企业做优做强，推动产业转型升级。</w:t>
      </w:r>
    </w:p>
    <w:p>
      <w:pPr>
        <w:pStyle w:val="Heading4"/>
        <w:spacing w:line="266" w:lineRule="auto" w:before="134"/>
        <w:ind w:right="1110" w:firstLine="480"/>
        <w:jc w:val="both"/>
      </w:pPr>
      <w:r>
        <w:rPr>
          <w:spacing w:val="-2"/>
        </w:rPr>
        <w:t>公司拥有工程设计（电力行业）甲级资质，具备承接大型电力建设工程</w:t>
      </w:r>
      <w:r>
        <w:rPr>
          <w:rFonts w:ascii="Times New Roman" w:hAnsi="Times New Roman" w:cs="Times New Roman" w:eastAsia="Times New Roman" w:hint="default"/>
          <w:spacing w:val="-2"/>
        </w:rPr>
        <w:t>EPC</w:t>
      </w:r>
      <w:r>
        <w:rPr>
          <w:spacing w:val="-2"/>
        </w:rPr>
        <w:t>总承包的能力和业绩。公</w:t>
      </w:r>
      <w:r>
        <w:rPr/>
        <w:t> 司以设计为主体的工程项目总承包能充分发挥设计企业在项目建设中的龙头作用，有助于全面发挥设计、 </w:t>
      </w:r>
      <w:r>
        <w:rPr>
          <w:spacing w:val="-1"/>
        </w:rPr>
        <w:t>采购和项目管理的能力和优势，保证设计与采购、施工的合理交叉和有机融合，实现进度、成本和质量等</w:t>
      </w:r>
      <w:r>
        <w:rPr>
          <w:spacing w:val="-86"/>
        </w:rPr>
        <w:t> </w:t>
      </w:r>
      <w:r>
        <w:rPr>
          <w:spacing w:val="-86"/>
        </w:rPr>
      </w:r>
      <w:r>
        <w:rPr/>
        <w:t>方面的精确控制，确保项目获得良好的投资效益，为承接电力工程</w:t>
      </w:r>
      <w:r>
        <w:rPr>
          <w:rFonts w:ascii="Times New Roman" w:hAnsi="Times New Roman" w:cs="Times New Roman" w:eastAsia="Times New Roman" w:hint="default"/>
        </w:rPr>
        <w:t>EPC</w:t>
      </w:r>
      <w:r>
        <w:rPr/>
        <w:t>总承包奠定了良好基础。</w:t>
      </w:r>
    </w:p>
    <w:p>
      <w:pPr>
        <w:spacing w:line="432" w:lineRule="exact" w:before="15"/>
        <w:ind w:left="574" w:right="0" w:firstLine="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海外电力行业市场总体环境</w:t>
      </w:r>
      <w:r>
        <w:rPr>
          <w:rFonts w:ascii="宋体" w:hAnsi="宋体" w:cs="宋体" w:eastAsia="宋体" w:hint="default"/>
          <w:b/>
          <w:bCs/>
          <w:w w:val="99"/>
          <w:sz w:val="21"/>
          <w:szCs w:val="21"/>
        </w:rPr>
        <w:t> </w:t>
      </w:r>
      <w:r>
        <w:rPr>
          <w:rFonts w:ascii="宋体" w:hAnsi="宋体" w:cs="宋体" w:eastAsia="宋体" w:hint="default"/>
          <w:spacing w:val="-4"/>
          <w:w w:val="100"/>
          <w:sz w:val="21"/>
          <w:szCs w:val="21"/>
        </w:rPr>
        <w:t>我国已将</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一带一路</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倡议内容列入《能源发展</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十三五</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规划》《电力发展</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十三五</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规划》和《可再生能</w:t>
      </w:r>
    </w:p>
    <w:p>
      <w:pPr>
        <w:pStyle w:val="Heading4"/>
        <w:spacing w:line="271" w:lineRule="exact"/>
        <w:ind w:right="0"/>
        <w:jc w:val="left"/>
      </w:pPr>
      <w:r>
        <w:rPr/>
        <w:t>源发展</w:t>
      </w:r>
      <w:r>
        <w:rPr>
          <w:rFonts w:ascii="Times New Roman" w:hAnsi="Times New Roman" w:cs="Times New Roman" w:eastAsia="Times New Roman" w:hint="default"/>
          <w:spacing w:val="-1"/>
          <w:w w:val="100"/>
        </w:rPr>
        <w:t>“</w:t>
      </w:r>
      <w:r>
        <w:rPr/>
        <w:t>十</w:t>
      </w:r>
      <w:r>
        <w:rPr>
          <w:spacing w:val="1"/>
        </w:rPr>
        <w:t>三</w:t>
      </w:r>
      <w:r>
        <w:rPr/>
        <w:t>五</w:t>
      </w:r>
      <w:r>
        <w:rPr>
          <w:rFonts w:ascii="Times New Roman" w:hAnsi="Times New Roman" w:cs="Times New Roman" w:eastAsia="Times New Roman" w:hint="default"/>
          <w:w w:val="100"/>
        </w:rPr>
        <w:t>”</w:t>
      </w:r>
      <w:r>
        <w:rPr/>
        <w:t>规划</w:t>
      </w:r>
      <w:r>
        <w:rPr>
          <w:spacing w:val="-105"/>
        </w:rPr>
        <w:t>》</w:t>
      </w:r>
      <w:r>
        <w:rPr>
          <w:spacing w:val="-21"/>
        </w:rPr>
        <w:t>，</w:t>
      </w:r>
      <w:r>
        <w:rPr>
          <w:spacing w:val="-2"/>
        </w:rPr>
        <w:t>鼓</w:t>
      </w:r>
      <w:r>
        <w:rPr/>
        <w:t>励中国企业充分发挥技术</w:t>
      </w:r>
      <w:r>
        <w:rPr>
          <w:spacing w:val="-21"/>
        </w:rPr>
        <w:t>、</w:t>
      </w:r>
      <w:r>
        <w:rPr/>
        <w:t>资金等优势</w:t>
      </w:r>
      <w:r>
        <w:rPr>
          <w:spacing w:val="-21"/>
        </w:rPr>
        <w:t>，</w:t>
      </w:r>
      <w:r>
        <w:rPr/>
        <w:t>在国家</w:t>
      </w:r>
      <w:r>
        <w:rPr>
          <w:rFonts w:ascii="Times New Roman" w:hAnsi="Times New Roman" w:cs="Times New Roman" w:eastAsia="Times New Roman" w:hint="default"/>
          <w:spacing w:val="-1"/>
          <w:w w:val="100"/>
        </w:rPr>
        <w:t>“</w:t>
      </w:r>
      <w:r>
        <w:rPr/>
        <w:t>一带一</w:t>
      </w:r>
      <w:r>
        <w:rPr>
          <w:spacing w:val="1"/>
        </w:rPr>
        <w:t>路</w:t>
      </w:r>
      <w:r>
        <w:rPr>
          <w:rFonts w:ascii="Times New Roman" w:hAnsi="Times New Roman" w:cs="Times New Roman" w:eastAsia="Times New Roman" w:hint="default"/>
          <w:w w:val="100"/>
        </w:rPr>
        <w:t>”</w:t>
      </w:r>
      <w:r>
        <w:rPr/>
        <w:t>的政策引导下</w:t>
      </w:r>
      <w:r>
        <w:rPr>
          <w:spacing w:val="-21"/>
        </w:rPr>
        <w:t>，</w:t>
      </w:r>
      <w:r>
        <w:rPr/>
        <w:t>积极</w:t>
      </w:r>
    </w:p>
    <w:p>
      <w:pPr>
        <w:pStyle w:val="Heading4"/>
        <w:spacing w:line="256" w:lineRule="auto" w:before="21"/>
        <w:ind w:right="1116"/>
        <w:jc w:val="left"/>
      </w:pPr>
      <w:r>
        <w:rPr/>
        <w:t>拓展海外市场。电力行业作为基础设施建设的重要组成，也积极响应国家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的倡议，努力推进电 力装备、技术、标准和工程服务国际合作。</w:t>
      </w:r>
    </w:p>
    <w:p>
      <w:pPr>
        <w:pStyle w:val="Heading4"/>
        <w:spacing w:line="256" w:lineRule="auto" w:before="142"/>
        <w:ind w:right="1024" w:firstLine="420"/>
        <w:jc w:val="left"/>
      </w:pPr>
      <w:r>
        <w:rPr/>
        <w:t>近年来，东南亚国家经济崛起，根据东盟十国最新公布的</w:t>
      </w:r>
      <w:r>
        <w:rPr>
          <w:rFonts w:ascii="Times New Roman" w:hAnsi="Times New Roman" w:cs="Times New Roman" w:eastAsia="Times New Roman" w:hint="default"/>
        </w:rPr>
        <w:t>2018</w:t>
      </w:r>
      <w:r>
        <w:rPr/>
        <w:t>年国家</w:t>
      </w:r>
      <w:r>
        <w:rPr>
          <w:rFonts w:ascii="Times New Roman" w:hAnsi="Times New Roman" w:cs="Times New Roman" w:eastAsia="Times New Roman" w:hint="default"/>
        </w:rPr>
        <w:t>GDP</w:t>
      </w:r>
      <w:r>
        <w:rPr/>
        <w:t>增速，柬埔寨为</w:t>
      </w:r>
      <w:r>
        <w:rPr>
          <w:rFonts w:ascii="Times New Roman" w:hAnsi="Times New Roman" w:cs="Times New Roman" w:eastAsia="Times New Roman" w:hint="default"/>
        </w:rPr>
        <w:t>7.3%</w:t>
      </w:r>
      <w:r>
        <w:rPr/>
        <w:t>，越南 </w:t>
      </w:r>
      <w:r>
        <w:rPr>
          <w:rFonts w:ascii="Times New Roman" w:hAnsi="Times New Roman" w:cs="Times New Roman" w:eastAsia="Times New Roman" w:hint="default"/>
        </w:rPr>
        <w:t>7.08%</w:t>
      </w:r>
      <w:r>
        <w:rPr/>
        <w:t>，缅甸</w:t>
      </w:r>
      <w:r>
        <w:rPr>
          <w:rFonts w:ascii="Times New Roman" w:hAnsi="Times New Roman" w:cs="Times New Roman" w:eastAsia="Times New Roman" w:hint="default"/>
        </w:rPr>
        <w:t>6.7%</w:t>
      </w:r>
      <w:r>
        <w:rPr/>
        <w:t>，老挝</w:t>
      </w:r>
      <w:r>
        <w:rPr>
          <w:rFonts w:ascii="Times New Roman" w:hAnsi="Times New Roman" w:cs="Times New Roman" w:eastAsia="Times New Roman" w:hint="default"/>
        </w:rPr>
        <w:t>6.5%</w:t>
      </w:r>
      <w:r>
        <w:rPr/>
        <w:t>，菲律宾</w:t>
      </w:r>
      <w:r>
        <w:rPr>
          <w:rFonts w:ascii="Times New Roman" w:hAnsi="Times New Roman" w:cs="Times New Roman" w:eastAsia="Times New Roman" w:hint="default"/>
        </w:rPr>
        <w:t>6.2%</w:t>
      </w:r>
      <w:r>
        <w:rPr/>
        <w:t>（信息来源：</w:t>
      </w:r>
      <w:r>
        <w:rPr>
          <w:rFonts w:ascii="Times New Roman" w:hAnsi="Times New Roman" w:cs="Times New Roman" w:eastAsia="Times New Roman" w:hint="default"/>
        </w:rPr>
        <w:t>IMF</w:t>
      </w:r>
      <w:r>
        <w:rPr/>
        <w:t>及外媒消息综合）</w:t>
      </w:r>
      <w:r>
        <w:rPr>
          <w:rFonts w:ascii="Times New Roman" w:hAnsi="Times New Roman" w:cs="Times New Roman" w:eastAsia="Times New Roman" w:hint="default"/>
        </w:rPr>
        <w:t>,</w:t>
      </w:r>
      <w:r>
        <w:rPr/>
        <w:t>巨大的经济增长，基础设</w:t>
      </w:r>
      <w:r>
        <w:rPr>
          <w:spacing w:val="-103"/>
        </w:rPr>
        <w:t> </w:t>
      </w:r>
      <w:r>
        <w:rPr>
          <w:spacing w:val="-103"/>
        </w:rPr>
      </w:r>
      <w:r>
        <w:rPr/>
        <w:t>施的相对薄弱，使得东南亚地区的能源缺口持续扩大，到</w:t>
      </w:r>
      <w:r>
        <w:rPr>
          <w:rFonts w:ascii="Times New Roman" w:hAnsi="Times New Roman" w:cs="Times New Roman" w:eastAsia="Times New Roman" w:hint="default"/>
        </w:rPr>
        <w:t>2035</w:t>
      </w:r>
      <w:r>
        <w:rPr>
          <w:rFonts w:ascii="Times New Roman" w:hAnsi="Times New Roman" w:cs="Times New Roman" w:eastAsia="Times New Roman" w:hint="default"/>
          <w:spacing w:val="50"/>
        </w:rPr>
        <w:t> </w:t>
      </w:r>
      <w:r>
        <w:rPr/>
        <w:t>年东南亚国家的能源需求将增长</w:t>
      </w:r>
      <w:r>
        <w:rPr>
          <w:rFonts w:ascii="Times New Roman" w:hAnsi="Times New Roman" w:cs="Times New Roman" w:eastAsia="Times New Roman" w:hint="default"/>
        </w:rPr>
        <w:t>80%</w:t>
      </w:r>
      <w:r>
        <w:rPr/>
        <w:t>以上， 相当于当前日本的能源消费总量，给能源行业特别是电力行业带来了不少市场机遇。</w:t>
      </w:r>
    </w:p>
    <w:p>
      <w:pPr>
        <w:pStyle w:val="Heading4"/>
        <w:spacing w:line="273" w:lineRule="auto" w:before="142"/>
        <w:ind w:right="1110" w:firstLine="420"/>
        <w:jc w:val="both"/>
      </w:pPr>
      <w:r>
        <w:rPr>
          <w:spacing w:val="-1"/>
        </w:rPr>
        <w:t>公司依托地处东南沿海福建的地域优势，以及东南亚地区华人华侨的巨大影响力，在海外市场拓展中</w:t>
      </w:r>
      <w:r>
        <w:rPr/>
        <w:t> </w:t>
      </w:r>
      <w:r>
        <w:rPr>
          <w:spacing w:val="-1"/>
        </w:rPr>
        <w:t>聚焦东南亚电力市场。新能源项目与输变电业务是公司的优势竞争业务，随着东南亚新能源项目的逐步兴</w:t>
      </w:r>
      <w:r>
        <w:rPr>
          <w:spacing w:val="-81"/>
        </w:rPr>
        <w:t> </w:t>
      </w:r>
      <w:r>
        <w:rPr>
          <w:spacing w:val="-81"/>
        </w:rPr>
      </w:r>
      <w:r>
        <w:rPr>
          <w:spacing w:val="-1"/>
        </w:rPr>
        <w:t>起发展，以及输变电建设的不断发展，公司也充分发挥自身的技术、人脉、机制等优势，重点关注和拓展</w:t>
      </w:r>
      <w:r>
        <w:rPr>
          <w:spacing w:val="-83"/>
        </w:rPr>
        <w:t> </w:t>
      </w:r>
      <w:r>
        <w:rPr>
          <w:spacing w:val="-83"/>
        </w:rPr>
      </w:r>
      <w:r>
        <w:rPr>
          <w:spacing w:val="-1"/>
        </w:rPr>
        <w:t>包括越南、菲律宾、柬埔寨、缅甸等目标市场。为了更好的拓展这些目标市场，公司一方面将在越南派驻</w:t>
      </w:r>
      <w:r>
        <w:rPr>
          <w:spacing w:val="-83"/>
        </w:rPr>
        <w:t> </w:t>
      </w:r>
      <w:r>
        <w:rPr>
          <w:spacing w:val="-83"/>
        </w:rPr>
      </w:r>
      <w:r>
        <w:rPr/>
        <w:t>长期驻点人员，通过深度介入项目前期开发，以合作开发、协助开发等方式开拓新能源业务市场；同时，</w:t>
      </w:r>
    </w:p>
    <w:p>
      <w:pPr>
        <w:spacing w:after="0" w:line="273" w:lineRule="auto"/>
        <w:jc w:val="both"/>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73" w:lineRule="auto" w:before="35"/>
        <w:ind w:right="0"/>
        <w:jc w:val="left"/>
      </w:pPr>
      <w:r>
        <w:rPr>
          <w:spacing w:val="-1"/>
        </w:rPr>
        <w:t>继续耕耘菲律宾市场，紧跟菲律宾电力与新能源政策导向，适时推进菲律宾输变电、风电、光伏、水电等</w:t>
      </w:r>
      <w:r>
        <w:rPr>
          <w:spacing w:val="-83"/>
        </w:rPr>
        <w:t> </w:t>
      </w:r>
      <w:r>
        <w:rPr>
          <w:spacing w:val="-83"/>
        </w:rPr>
      </w:r>
      <w:r>
        <w:rPr/>
        <w:t>项目开发工作，促进项目尽快落地。</w:t>
      </w:r>
    </w:p>
    <w:p>
      <w:pPr>
        <w:spacing w:line="357" w:lineRule="auto" w:before="127"/>
        <w:ind w:left="634" w:right="112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宋体" w:hAnsi="宋体" w:cs="宋体" w:eastAsia="宋体" w:hint="default"/>
          <w:b/>
          <w:bCs/>
          <w:sz w:val="21"/>
          <w:szCs w:val="21"/>
        </w:rPr>
        <w:t>电力工程勘察设计行业发展趋势</w:t>
      </w:r>
      <w:r>
        <w:rPr>
          <w:rFonts w:ascii="宋体" w:hAnsi="宋体" w:cs="宋体" w:eastAsia="宋体" w:hint="default"/>
          <w:b/>
          <w:bCs/>
          <w:w w:val="99"/>
          <w:sz w:val="21"/>
          <w:szCs w:val="21"/>
        </w:rPr>
        <w:t> </w:t>
      </w:r>
      <w:r>
        <w:rPr>
          <w:rFonts w:ascii="宋体" w:hAnsi="宋体" w:cs="宋体" w:eastAsia="宋体" w:hint="default"/>
          <w:spacing w:val="-2"/>
          <w:sz w:val="21"/>
          <w:szCs w:val="21"/>
        </w:rPr>
        <w:t>近几年，国家加快经济转型升级，宏观经济运行保持在合理区间，电力消费增速提高，电力供应能力</w:t>
      </w:r>
    </w:p>
    <w:p>
      <w:pPr>
        <w:pStyle w:val="Heading4"/>
        <w:spacing w:line="225" w:lineRule="exact"/>
        <w:ind w:left="0" w:right="978"/>
        <w:jc w:val="center"/>
      </w:pPr>
      <w:r>
        <w:rPr/>
        <w:t>持续增强，电力投资保持高水平，不断提升</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战略的广度和深度，持续扩大国际合作，促进电力工</w:t>
      </w:r>
    </w:p>
    <w:p>
      <w:pPr>
        <w:pStyle w:val="Heading4"/>
        <w:spacing w:line="240" w:lineRule="auto" w:before="21"/>
        <w:ind w:left="0" w:right="956"/>
        <w:jc w:val="center"/>
      </w:pPr>
      <w:r>
        <w:rPr/>
        <w:t>程勘察设计行业持续发展，行业新签合同、营业收入和境外收入等主要指标均实现增长，具体情况如下：</w:t>
      </w:r>
    </w:p>
    <w:p>
      <w:pPr>
        <w:pStyle w:val="Heading4"/>
        <w:spacing w:line="240" w:lineRule="auto" w:before="157"/>
        <w:ind w:left="634" w:right="0"/>
        <w:jc w:val="left"/>
      </w:pPr>
      <w:r>
        <w:rPr/>
        <w:t>（</w:t>
      </w:r>
      <w:r>
        <w:rPr>
          <w:rFonts w:ascii="Times New Roman" w:hAnsi="Times New Roman" w:cs="Times New Roman" w:eastAsia="Times New Roman" w:hint="default"/>
        </w:rPr>
        <w:t>1</w:t>
      </w:r>
      <w:r>
        <w:rPr/>
        <w:t>）新签合同情况</w:t>
      </w:r>
    </w:p>
    <w:p>
      <w:pPr>
        <w:pStyle w:val="Heading4"/>
        <w:spacing w:line="240" w:lineRule="auto" w:before="141"/>
        <w:ind w:left="634" w:right="0"/>
        <w:jc w:val="left"/>
      </w:pPr>
      <w:r>
        <w:rPr>
          <w:rFonts w:ascii="Times New Roman" w:hAnsi="Times New Roman" w:cs="Times New Roman" w:eastAsia="Times New Roman" w:hint="default"/>
        </w:rPr>
        <w:t>2017</w:t>
      </w:r>
      <w:r>
        <w:rPr/>
        <w:t>年行业新签合同总额</w:t>
      </w:r>
      <w:r>
        <w:rPr>
          <w:rFonts w:ascii="Times New Roman" w:hAnsi="Times New Roman" w:cs="Times New Roman" w:eastAsia="Times New Roman" w:hint="default"/>
        </w:rPr>
        <w:t>1627.03</w:t>
      </w:r>
      <w:r>
        <w:rPr/>
        <w:t>亿元，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-2017</w:t>
      </w:r>
      <w:r>
        <w:rPr/>
        <w:t>年行业新签合同平均增长速度达</w:t>
      </w:r>
      <w:r>
        <w:rPr>
          <w:rFonts w:ascii="Times New Roman" w:hAnsi="Times New Roman" w:cs="Times New Roman" w:eastAsia="Times New Roman" w:hint="default"/>
        </w:rPr>
        <w:t>15.45%</w:t>
      </w:r>
      <w:r>
        <w:rPr/>
        <w:t>。</w:t>
      </w:r>
    </w:p>
    <w:p>
      <w:pPr>
        <w:pStyle w:val="Heading4"/>
        <w:spacing w:line="240" w:lineRule="auto" w:before="141"/>
        <w:ind w:left="0" w:right="977"/>
        <w:jc w:val="cente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-2017</w:t>
      </w:r>
      <w:r>
        <w:rPr/>
        <w:t>年电力工程勘察设计行业新签合同总额情况</w:t>
      </w:r>
    </w:p>
    <w:p>
      <w:pPr>
        <w:pStyle w:val="Heading4"/>
        <w:spacing w:line="240" w:lineRule="auto" w:before="141"/>
        <w:ind w:left="6828" w:right="0"/>
        <w:jc w:val="left"/>
      </w:pPr>
      <w:r>
        <w:rPr/>
        <w:t>单位：亿元</w:t>
      </w:r>
    </w:p>
    <w:p>
      <w:pPr>
        <w:spacing w:line="240" w:lineRule="auto" w:before="2"/>
        <w:rPr>
          <w:rFonts w:ascii="宋体" w:hAnsi="宋体" w:cs="宋体" w:eastAsia="宋体" w:hint="default"/>
          <w:sz w:val="20"/>
          <w:szCs w:val="20"/>
        </w:rPr>
      </w:pPr>
    </w:p>
    <w:p>
      <w:pPr>
        <w:spacing w:line="3225" w:lineRule="exact"/>
        <w:ind w:left="2372"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545349" cy="2048255"/>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2" cstate="print"/>
                    <a:stretch>
                      <a:fillRect/>
                    </a:stretch>
                  </pic:blipFill>
                  <pic:spPr>
                    <a:xfrm>
                      <a:off x="0" y="0"/>
                      <a:ext cx="3545349" cy="2048255"/>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12"/>
        <w:rPr>
          <w:rFonts w:ascii="宋体" w:hAnsi="宋体" w:cs="宋体" w:eastAsia="宋体" w:hint="default"/>
          <w:sz w:val="16"/>
          <w:szCs w:val="16"/>
        </w:rPr>
      </w:pPr>
    </w:p>
    <w:p>
      <w:pPr>
        <w:pStyle w:val="Heading4"/>
        <w:spacing w:line="240" w:lineRule="auto"/>
        <w:ind w:left="740" w:right="0"/>
        <w:jc w:val="left"/>
      </w:pPr>
      <w:r>
        <w:rPr/>
        <w:t>数据来源：中国电力规划设计协会</w:t>
      </w:r>
    </w:p>
    <w:p>
      <w:pPr>
        <w:pStyle w:val="Heading4"/>
        <w:spacing w:line="240" w:lineRule="auto" w:before="157"/>
        <w:ind w:left="634" w:right="0"/>
        <w:jc w:val="left"/>
      </w:pPr>
      <w:r>
        <w:rPr/>
        <w:t>（</w:t>
      </w:r>
      <w:r>
        <w:rPr>
          <w:rFonts w:ascii="Times New Roman" w:hAnsi="Times New Roman" w:cs="Times New Roman" w:eastAsia="Times New Roman" w:hint="default"/>
        </w:rPr>
        <w:t>2</w:t>
      </w:r>
      <w:r>
        <w:rPr/>
        <w:t>）营业收入情况</w:t>
      </w:r>
    </w:p>
    <w:p>
      <w:pPr>
        <w:pStyle w:val="Heading4"/>
        <w:spacing w:line="256" w:lineRule="auto" w:before="141"/>
        <w:ind w:right="1130" w:firstLine="480"/>
        <w:jc w:val="both"/>
      </w:pPr>
      <w:r>
        <w:rPr>
          <w:rFonts w:ascii="Times New Roman" w:hAnsi="Times New Roman" w:cs="Times New Roman" w:eastAsia="Times New Roman" w:hint="default"/>
          <w:spacing w:val="-2"/>
        </w:rPr>
        <w:t>2017</w:t>
      </w:r>
      <w:r>
        <w:rPr>
          <w:spacing w:val="-2"/>
        </w:rPr>
        <w:t>年，行业实现营业收入</w:t>
      </w:r>
      <w:r>
        <w:rPr>
          <w:rFonts w:ascii="Times New Roman" w:hAnsi="Times New Roman" w:cs="Times New Roman" w:eastAsia="Times New Roman" w:hint="default"/>
          <w:spacing w:val="-2"/>
        </w:rPr>
        <w:t>855.88</w:t>
      </w:r>
      <w:r>
        <w:rPr>
          <w:spacing w:val="-2"/>
        </w:rPr>
        <w:t>亿元，较</w:t>
      </w:r>
      <w:r>
        <w:rPr>
          <w:rFonts w:ascii="Times New Roman" w:hAnsi="Times New Roman" w:cs="Times New Roman" w:eastAsia="Times New Roman" w:hint="default"/>
          <w:spacing w:val="-2"/>
        </w:rPr>
        <w:t>2016</w:t>
      </w:r>
      <w:r>
        <w:rPr>
          <w:spacing w:val="-2"/>
        </w:rPr>
        <w:t>年增长</w:t>
      </w:r>
      <w:r>
        <w:rPr>
          <w:rFonts w:ascii="Times New Roman" w:hAnsi="Times New Roman" w:cs="Times New Roman" w:eastAsia="Times New Roman" w:hint="default"/>
          <w:spacing w:val="-2"/>
        </w:rPr>
        <w:t>11.26%</w:t>
      </w:r>
      <w:r>
        <w:rPr>
          <w:spacing w:val="-2"/>
        </w:rPr>
        <w:t>。其中，工程总承包收入</w:t>
      </w:r>
      <w:r>
        <w:rPr>
          <w:rFonts w:ascii="Times New Roman" w:hAnsi="Times New Roman" w:cs="Times New Roman" w:eastAsia="Times New Roman" w:hint="default"/>
          <w:spacing w:val="-2"/>
        </w:rPr>
        <w:t>597.4</w:t>
      </w:r>
      <w:r>
        <w:rPr>
          <w:spacing w:val="-2"/>
        </w:rPr>
        <w:t>亿元，同</w:t>
      </w:r>
      <w:r>
        <w:rPr/>
        <w:t> 比增长</w:t>
      </w:r>
      <w:r>
        <w:rPr>
          <w:rFonts w:ascii="Times New Roman" w:hAnsi="Times New Roman" w:cs="Times New Roman" w:eastAsia="Times New Roman" w:hint="default"/>
        </w:rPr>
        <w:t>15.13%</w:t>
      </w:r>
      <w:r>
        <w:rPr/>
        <w:t>。勘察设计及规划咨询收入</w:t>
      </w:r>
      <w:r>
        <w:rPr>
          <w:rFonts w:ascii="Times New Roman" w:hAnsi="Times New Roman" w:cs="Times New Roman" w:eastAsia="Times New Roman" w:hint="default"/>
        </w:rPr>
        <w:t>258.48</w:t>
      </w:r>
      <w:r>
        <w:rPr/>
        <w:t>亿元，同比增长</w:t>
      </w:r>
      <w:r>
        <w:rPr>
          <w:rFonts w:ascii="Times New Roman" w:hAnsi="Times New Roman" w:cs="Times New Roman" w:eastAsia="Times New Roman" w:hint="default"/>
        </w:rPr>
        <w:t>3.24%</w:t>
      </w:r>
      <w:r>
        <w:rPr/>
        <w:t>。工程总承包收入占行业实现营业</w:t>
      </w:r>
      <w:r>
        <w:rPr>
          <w:spacing w:val="-17"/>
        </w:rPr>
        <w:t> </w:t>
      </w:r>
      <w:r>
        <w:rPr>
          <w:spacing w:val="-17"/>
        </w:rPr>
      </w:r>
      <w:r>
        <w:rPr/>
        <w:t>收入比例达</w:t>
      </w:r>
      <w:r>
        <w:rPr>
          <w:rFonts w:ascii="Times New Roman" w:hAnsi="Times New Roman" w:cs="Times New Roman" w:eastAsia="Times New Roman" w:hint="default"/>
        </w:rPr>
        <w:t>69.80%</w:t>
      </w:r>
      <w:r>
        <w:rPr/>
        <w:t>。</w:t>
      </w:r>
    </w:p>
    <w:p>
      <w:pPr>
        <w:pStyle w:val="Heading4"/>
        <w:spacing w:line="240" w:lineRule="auto" w:before="125"/>
        <w:ind w:left="2733" w:right="0"/>
        <w:jc w:val="left"/>
      </w:pPr>
      <w:r>
        <w:rPr>
          <w:rFonts w:ascii="Times New Roman" w:hAnsi="Times New Roman" w:cs="Times New Roman" w:eastAsia="Times New Roman" w:hint="default"/>
        </w:rPr>
        <w:t>2012-2017</w:t>
      </w:r>
      <w:r>
        <w:rPr/>
        <w:t>年电力工程勘察设计行业营业收入状况</w:t>
      </w:r>
    </w:p>
    <w:p>
      <w:pPr>
        <w:pStyle w:val="Heading4"/>
        <w:spacing w:line="240" w:lineRule="auto" w:before="141"/>
        <w:ind w:left="6754" w:right="0"/>
        <w:jc w:val="left"/>
      </w:pPr>
      <w:r>
        <w:rPr/>
        <w:t>单位：亿元</w:t>
      </w:r>
    </w:p>
    <w:p>
      <w:pPr>
        <w:spacing w:line="240" w:lineRule="auto" w:before="7"/>
        <w:rPr>
          <w:rFonts w:ascii="宋体" w:hAnsi="宋体" w:cs="宋体" w:eastAsia="宋体" w:hint="default"/>
          <w:sz w:val="14"/>
          <w:szCs w:val="14"/>
        </w:rPr>
      </w:pPr>
    </w:p>
    <w:p>
      <w:pPr>
        <w:spacing w:line="3061" w:lineRule="exact"/>
        <w:ind w:left="2375"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3543305" cy="1944243"/>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3" cstate="print"/>
                    <a:stretch>
                      <a:fillRect/>
                    </a:stretch>
                  </pic:blipFill>
                  <pic:spPr>
                    <a:xfrm>
                      <a:off x="0" y="0"/>
                      <a:ext cx="3543305" cy="1944243"/>
                    </a:xfrm>
                    <a:prstGeom prst="rect">
                      <a:avLst/>
                    </a:prstGeom>
                  </pic:spPr>
                </pic:pic>
              </a:graphicData>
            </a:graphic>
          </wp:inline>
        </w:drawing>
      </w:r>
      <w:r>
        <w:rPr>
          <w:rFonts w:ascii="宋体" w:hAnsi="宋体" w:cs="宋体" w:eastAsia="宋体" w:hint="default"/>
          <w:position w:val="-60"/>
          <w:sz w:val="20"/>
          <w:szCs w:val="20"/>
        </w:rPr>
      </w:r>
    </w:p>
    <w:p>
      <w:pPr>
        <w:pStyle w:val="Heading4"/>
        <w:spacing w:line="240" w:lineRule="auto" w:before="146"/>
        <w:ind w:left="634" w:right="0"/>
        <w:jc w:val="left"/>
      </w:pPr>
      <w:r>
        <w:rPr/>
        <w:t>数据来源：中国电力规划设计协会</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40" w:lineRule="auto" w:before="35"/>
        <w:ind w:left="634" w:right="0"/>
        <w:jc w:val="left"/>
      </w:pPr>
      <w:r>
        <w:rPr/>
        <w:t>（</w:t>
      </w:r>
      <w:r>
        <w:rPr>
          <w:rFonts w:ascii="Times New Roman" w:hAnsi="Times New Roman" w:cs="Times New Roman" w:eastAsia="Times New Roman" w:hint="default"/>
        </w:rPr>
        <w:t>3</w:t>
      </w:r>
      <w:r>
        <w:rPr/>
        <w:t>）境外收入状况</w:t>
      </w:r>
    </w:p>
    <w:p>
      <w:pPr>
        <w:pStyle w:val="Heading4"/>
        <w:spacing w:line="256" w:lineRule="auto" w:before="141"/>
        <w:ind w:right="0" w:firstLine="420"/>
        <w:jc w:val="left"/>
      </w:pPr>
      <w:r>
        <w:rPr>
          <w:rFonts w:ascii="Times New Roman" w:hAnsi="Times New Roman" w:cs="Times New Roman" w:eastAsia="Times New Roman" w:hint="default"/>
          <w:spacing w:val="-2"/>
        </w:rPr>
        <w:t>2017</w:t>
      </w:r>
      <w:r>
        <w:rPr>
          <w:spacing w:val="-2"/>
        </w:rPr>
        <w:t>年，行业境外收入</w:t>
      </w:r>
      <w:r>
        <w:rPr>
          <w:rFonts w:ascii="Times New Roman" w:hAnsi="Times New Roman" w:cs="Times New Roman" w:eastAsia="Times New Roman" w:hint="default"/>
          <w:spacing w:val="-2"/>
        </w:rPr>
        <w:t>123.61</w:t>
      </w:r>
      <w:r>
        <w:rPr>
          <w:spacing w:val="-2"/>
        </w:rPr>
        <w:t>亿元，较</w:t>
      </w:r>
      <w:r>
        <w:rPr>
          <w:rFonts w:ascii="Times New Roman" w:hAnsi="Times New Roman" w:cs="Times New Roman" w:eastAsia="Times New Roman" w:hint="default"/>
          <w:spacing w:val="-2"/>
        </w:rPr>
        <w:t>2016</w:t>
      </w:r>
      <w:r>
        <w:rPr>
          <w:spacing w:val="-2"/>
        </w:rPr>
        <w:t>年度增长</w:t>
      </w:r>
      <w:r>
        <w:rPr>
          <w:rFonts w:ascii="Times New Roman" w:hAnsi="Times New Roman" w:cs="Times New Roman" w:eastAsia="Times New Roman" w:hint="default"/>
          <w:spacing w:val="-2"/>
        </w:rPr>
        <w:t>87.75%</w:t>
      </w:r>
      <w:r>
        <w:rPr>
          <w:spacing w:val="-2"/>
        </w:rPr>
        <w:t>，增幅较大。行业境外收入占比</w:t>
      </w:r>
      <w:r>
        <w:rPr>
          <w:rFonts w:ascii="Times New Roman" w:hAnsi="Times New Roman" w:cs="Times New Roman" w:eastAsia="Times New Roman" w:hint="default"/>
          <w:spacing w:val="-2"/>
        </w:rPr>
        <w:t>15%</w:t>
      </w:r>
      <w:r>
        <w:rPr>
          <w:spacing w:val="-2"/>
        </w:rPr>
        <w:t>左右，</w:t>
      </w:r>
      <w:r>
        <w:rPr/>
        <w:t> 国内市场仍占主导地位。</w:t>
      </w:r>
    </w:p>
    <w:p>
      <w:pPr>
        <w:pStyle w:val="Heading4"/>
        <w:spacing w:line="240" w:lineRule="auto" w:before="143"/>
        <w:ind w:left="0" w:right="978"/>
        <w:jc w:val="center"/>
      </w:pPr>
      <w:r>
        <w:rPr>
          <w:rFonts w:ascii="Times New Roman" w:hAnsi="Times New Roman" w:cs="Times New Roman" w:eastAsia="Times New Roman" w:hint="default"/>
        </w:rPr>
        <w:t>2012-2017</w:t>
      </w:r>
      <w:r>
        <w:rPr/>
        <w:t>年电力工程勘察设计行业境外收入情况</w:t>
      </w:r>
    </w:p>
    <w:p>
      <w:pPr>
        <w:pStyle w:val="Heading4"/>
        <w:spacing w:line="240" w:lineRule="auto" w:before="141"/>
        <w:ind w:left="6754" w:right="0"/>
        <w:jc w:val="left"/>
      </w:pPr>
      <w:r>
        <w:rPr/>
        <w:t>单位：亿元</w:t>
      </w:r>
    </w:p>
    <w:p>
      <w:pPr>
        <w:spacing w:line="240" w:lineRule="auto" w:before="12"/>
        <w:rPr>
          <w:rFonts w:ascii="宋体" w:hAnsi="宋体" w:cs="宋体" w:eastAsia="宋体" w:hint="default"/>
          <w:sz w:val="15"/>
          <w:szCs w:val="15"/>
        </w:rPr>
      </w:pPr>
    </w:p>
    <w:p>
      <w:pPr>
        <w:spacing w:line="3001" w:lineRule="exact"/>
        <w:ind w:left="2372"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3517463" cy="1905761"/>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4" cstate="print"/>
                    <a:stretch>
                      <a:fillRect/>
                    </a:stretch>
                  </pic:blipFill>
                  <pic:spPr>
                    <a:xfrm>
                      <a:off x="0" y="0"/>
                      <a:ext cx="3517463" cy="1905761"/>
                    </a:xfrm>
                    <a:prstGeom prst="rect">
                      <a:avLst/>
                    </a:prstGeom>
                  </pic:spPr>
                </pic:pic>
              </a:graphicData>
            </a:graphic>
          </wp:inline>
        </w:drawing>
      </w:r>
      <w:r>
        <w:rPr>
          <w:rFonts w:ascii="宋体" w:hAnsi="宋体" w:cs="宋体" w:eastAsia="宋体" w:hint="default"/>
          <w:position w:val="-59"/>
          <w:sz w:val="20"/>
          <w:szCs w:val="20"/>
        </w:rPr>
      </w:r>
    </w:p>
    <w:p>
      <w:pPr>
        <w:pStyle w:val="Heading4"/>
        <w:spacing w:line="430" w:lineRule="atLeast" w:before="32"/>
        <w:ind w:left="634" w:right="1120"/>
        <w:jc w:val="left"/>
      </w:pPr>
      <w:r>
        <w:rPr/>
        <w:t>数据来源：中国电力规划设计协会 </w:t>
      </w:r>
      <w:r>
        <w:rPr>
          <w:spacing w:val="-2"/>
        </w:rPr>
        <w:t>从以上统计数据来看，国内电力勘察设计市场的体量近几年呈稳步增长的态势，合同额平均年增长率</w:t>
      </w:r>
    </w:p>
    <w:p>
      <w:pPr>
        <w:pStyle w:val="Heading4"/>
        <w:spacing w:line="264" w:lineRule="auto" w:before="37"/>
        <w:ind w:right="1130"/>
        <w:jc w:val="both"/>
      </w:pPr>
      <w:r>
        <w:rPr>
          <w:rFonts w:ascii="Times New Roman" w:hAnsi="Times New Roman" w:cs="Times New Roman" w:eastAsia="Times New Roman" w:hint="default"/>
        </w:rPr>
        <w:t>15.45%</w:t>
      </w:r>
      <w:r>
        <w:rPr/>
        <w:t>收入额平均年增长率</w:t>
      </w:r>
      <w:r>
        <w:rPr>
          <w:rFonts w:ascii="Times New Roman" w:hAnsi="Times New Roman" w:cs="Times New Roman" w:eastAsia="Times New Roman" w:hint="default"/>
        </w:rPr>
        <w:t>14.4%</w:t>
      </w:r>
      <w:r>
        <w:rPr/>
        <w:t>，预计未来几年仍将保持平稳增长的态势；随着</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战略的进一</w:t>
      </w:r>
      <w:r>
        <w:rPr>
          <w:spacing w:val="-43"/>
        </w:rPr>
        <w:t> </w:t>
      </w:r>
      <w:r>
        <w:rPr>
          <w:spacing w:val="-43"/>
        </w:rPr>
      </w:r>
      <w:r>
        <w:rPr>
          <w:spacing w:val="-1"/>
        </w:rPr>
        <w:t>步推动实施，中国的企业将更多地参与沿线国家的能源建设，未来海外市场的体量将继续保持高速增长的</w:t>
      </w:r>
      <w:r>
        <w:rPr>
          <w:spacing w:val="-80"/>
        </w:rPr>
        <w:t> </w:t>
      </w:r>
      <w:r>
        <w:rPr>
          <w:spacing w:val="-80"/>
        </w:rPr>
      </w:r>
      <w:r>
        <w:rPr/>
        <w:t>态势，境外收入在行业收入中的占比将大幅提高。</w:t>
      </w:r>
    </w:p>
    <w:p>
      <w:pPr>
        <w:pStyle w:val="Heading4"/>
        <w:spacing w:line="367" w:lineRule="auto" w:before="136"/>
        <w:ind w:left="634" w:right="1120" w:firstLine="2"/>
        <w:jc w:val="left"/>
      </w:pPr>
      <w:r>
        <w:rPr>
          <w:rFonts w:ascii="Times New Roman" w:hAnsi="Times New Roman" w:cs="Times New Roman" w:eastAsia="Times New Roman" w:hint="default"/>
          <w:b/>
          <w:bCs/>
        </w:rPr>
        <w:t>4. </w:t>
      </w:r>
      <w:r>
        <w:rPr>
          <w:rFonts w:ascii="宋体" w:hAnsi="宋体" w:cs="宋体" w:eastAsia="宋体" w:hint="default"/>
          <w:b/>
          <w:bCs/>
        </w:rPr>
        <w:t>电力工程勘察设计行业竞争格局</w:t>
      </w:r>
      <w:r>
        <w:rPr>
          <w:rFonts w:ascii="宋体" w:hAnsi="宋体" w:cs="宋体" w:eastAsia="宋体" w:hint="default"/>
          <w:b/>
          <w:bCs/>
          <w:w w:val="99"/>
        </w:rPr>
        <w:t> </w:t>
      </w:r>
      <w:r>
        <w:rPr/>
        <w:t>按照取得的业务资质划分，电力工程勘察设计行业市场主体主要分为下述三类： </w:t>
      </w:r>
      <w:r>
        <w:rPr>
          <w:spacing w:val="-2"/>
        </w:rPr>
        <w:t>第一类：拥有工程设计电力行业甲级及以上资质，可承担电力行业各种等级建设工程项目的勘察设计</w:t>
      </w:r>
    </w:p>
    <w:p>
      <w:pPr>
        <w:pStyle w:val="Heading4"/>
        <w:spacing w:line="217" w:lineRule="exact"/>
        <w:ind w:right="0"/>
        <w:jc w:val="both"/>
      </w:pPr>
      <w:r>
        <w:rPr/>
        <w:t>和</w:t>
      </w:r>
      <w:r>
        <w:rPr>
          <w:rFonts w:ascii="Times New Roman" w:hAnsi="Times New Roman" w:cs="Times New Roman" w:eastAsia="Times New Roman" w:hint="default"/>
        </w:rPr>
        <w:t>EPC</w:t>
      </w:r>
      <w:r>
        <w:rPr/>
        <w:t>工程总承包任务。该类企业主要由中国电力工程顾问集团公司所属的六大区域电力设计院及部分省</w:t>
      </w:r>
    </w:p>
    <w:p>
      <w:pPr>
        <w:pStyle w:val="Heading4"/>
        <w:spacing w:line="240" w:lineRule="auto" w:before="21"/>
        <w:ind w:left="634" w:right="0" w:hanging="480"/>
        <w:jc w:val="left"/>
      </w:pPr>
      <w:r>
        <w:rPr/>
        <w:t>级电力设计院组成，具有较强的专业技术水平和丰富的业务经验，设计能力强，在全国范围内开展业务。</w:t>
      </w:r>
    </w:p>
    <w:p>
      <w:pPr>
        <w:pStyle w:val="Heading4"/>
        <w:spacing w:line="273" w:lineRule="auto" w:before="157"/>
        <w:ind w:right="1120" w:firstLine="480"/>
        <w:jc w:val="left"/>
      </w:pPr>
      <w:r>
        <w:rPr>
          <w:spacing w:val="-2"/>
        </w:rPr>
        <w:t>第二类：拥有工程设计专业甲级资质，可承担资质范围内电力工程的设计任务。该类企业主要由小部</w:t>
      </w:r>
      <w:r>
        <w:rPr/>
        <w:t> 分省级电力设计院、较大型地市级设计院及少数民营设计院组成。</w:t>
      </w:r>
    </w:p>
    <w:p>
      <w:pPr>
        <w:pStyle w:val="Heading4"/>
        <w:spacing w:line="273" w:lineRule="auto" w:before="127"/>
        <w:ind w:right="1133" w:firstLine="480"/>
        <w:jc w:val="both"/>
      </w:pPr>
      <w:r>
        <w:rPr>
          <w:spacing w:val="-2"/>
        </w:rPr>
        <w:t>第三类：工程设计非甲级资质企业，可承担资质范围内电力工程（或电力专项工程）的设计任务，主</w:t>
      </w:r>
      <w:r>
        <w:rPr/>
        <w:t> </w:t>
      </w:r>
      <w:r>
        <w:rPr>
          <w:spacing w:val="-1"/>
        </w:rPr>
        <w:t>要由地市级设计院以及大部分民营设计院组成。这些企业一般规模较小、资质范围较窄、等级较低、地域</w:t>
      </w:r>
      <w:r>
        <w:rPr>
          <w:spacing w:val="-86"/>
        </w:rPr>
        <w:t> </w:t>
      </w:r>
      <w:r>
        <w:rPr>
          <w:spacing w:val="-86"/>
        </w:rPr>
      </w:r>
      <w:r>
        <w:rPr/>
        <w:t>性较强，通常在固定地域从事相对单一的业务。</w:t>
      </w:r>
    </w:p>
    <w:p>
      <w:pPr>
        <w:pStyle w:val="Heading3"/>
        <w:spacing w:line="256" w:lineRule="auto" w:before="127"/>
        <w:ind w:right="0" w:firstLine="482"/>
        <w:jc w:val="left"/>
        <w:rPr>
          <w:b w:val="0"/>
          <w:bCs w:val="0"/>
        </w:rPr>
      </w:pPr>
      <w:r>
        <w:rPr>
          <w:spacing w:val="2"/>
          <w:w w:val="95"/>
        </w:rPr>
        <w:t>上述第一类企业约</w:t>
      </w:r>
      <w:r>
        <w:rPr>
          <w:rFonts w:ascii="Times New Roman" w:hAnsi="Times New Roman" w:cs="Times New Roman" w:eastAsia="Times New Roman" w:hint="default"/>
          <w:spacing w:val="2"/>
          <w:w w:val="95"/>
        </w:rPr>
        <w:t>50</w:t>
      </w:r>
      <w:r>
        <w:rPr>
          <w:spacing w:val="2"/>
          <w:w w:val="95"/>
        </w:rPr>
        <w:t>家，在全国及各省的高端市场上竞争，第二类、第三类企业约千余家，在相对</w:t>
      </w:r>
      <w:r>
        <w:rPr>
          <w:w w:val="99"/>
        </w:rPr>
        <w:t> </w:t>
      </w:r>
      <w:r>
        <w:rPr/>
        <w:t>固定地域的中低端市场上竞争。公司拥有电力行业甲级资质，属于第一类企业。</w:t>
      </w:r>
      <w:r>
        <w:rPr>
          <w:b w:val="0"/>
          <w:bCs w:val="0"/>
        </w:rPr>
      </w:r>
    </w:p>
    <w:p>
      <w:pPr>
        <w:spacing w:line="432" w:lineRule="exact" w:before="42"/>
        <w:ind w:left="634" w:right="1125" w:hanging="480"/>
        <w:jc w:val="left"/>
        <w:rPr>
          <w:rFonts w:ascii="宋体" w:hAnsi="宋体" w:cs="宋体" w:eastAsia="宋体" w:hint="default"/>
          <w:sz w:val="21"/>
          <w:szCs w:val="21"/>
        </w:rPr>
      </w:pPr>
      <w:r>
        <w:rPr>
          <w:rFonts w:ascii="宋体" w:hAnsi="宋体" w:cs="宋体" w:eastAsia="宋体" w:hint="default"/>
          <w:b/>
          <w:bCs/>
          <w:sz w:val="21"/>
          <w:szCs w:val="21"/>
        </w:rPr>
        <w:t>（二）公司未来发展战略</w:t>
      </w:r>
      <w:r>
        <w:rPr>
          <w:rFonts w:ascii="宋体" w:hAnsi="宋体" w:cs="宋体" w:eastAsia="宋体" w:hint="default"/>
          <w:b/>
          <w:bCs/>
          <w:w w:val="99"/>
          <w:sz w:val="21"/>
          <w:szCs w:val="21"/>
        </w:rPr>
        <w:t> </w:t>
      </w:r>
      <w:r>
        <w:rPr>
          <w:rFonts w:ascii="宋体" w:hAnsi="宋体" w:cs="宋体" w:eastAsia="宋体" w:hint="default"/>
          <w:spacing w:val="-1"/>
          <w:sz w:val="21"/>
          <w:szCs w:val="21"/>
        </w:rPr>
        <w:t>公司将秉持</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让电力更清洁、更智慧</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的使命，追求</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客户为本、持续创新、追求卓越、和谐共赢</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的价</w:t>
      </w:r>
    </w:p>
    <w:p>
      <w:pPr>
        <w:pStyle w:val="Heading4"/>
        <w:spacing w:line="271" w:lineRule="exact"/>
        <w:ind w:right="0"/>
        <w:jc w:val="both"/>
      </w:pPr>
      <w:r>
        <w:rPr/>
        <w:t>值观，努力实现</w:t>
      </w:r>
      <w:r>
        <w:rPr>
          <w:rFonts w:ascii="Times New Roman" w:hAnsi="Times New Roman" w:cs="Times New Roman" w:eastAsia="Times New Roman" w:hint="default"/>
        </w:rPr>
        <w:t>“</w:t>
      </w:r>
      <w:r>
        <w:rPr/>
        <w:t>成为国际知名的电力能源技术服务商</w:t>
      </w:r>
      <w:r>
        <w:rPr>
          <w:rFonts w:ascii="Times New Roman" w:hAnsi="Times New Roman" w:cs="Times New Roman" w:eastAsia="Times New Roman" w:hint="default"/>
        </w:rPr>
        <w:t>”</w:t>
      </w:r>
      <w:r>
        <w:rPr/>
        <w:t>的愿景。</w:t>
      </w:r>
    </w:p>
    <w:p>
      <w:pPr>
        <w:pStyle w:val="Heading4"/>
        <w:spacing w:line="273" w:lineRule="auto" w:before="141"/>
        <w:ind w:right="0" w:firstLine="480"/>
        <w:jc w:val="left"/>
      </w:pPr>
      <w:r>
        <w:rPr/>
        <w:t>公司现阶段的总体战略是：建立比较完备的集团化管控体系，加快国际化战略和多元化战略的布局； 不断拓展电力能源高端技术服务新领域，做强做优海上风电、特高压输变电、智能配电网等勘察设计咨询 </w:t>
      </w:r>
      <w:r>
        <w:rPr>
          <w:spacing w:val="-1"/>
        </w:rPr>
        <w:t>核心业务，大力推进综合能源服务、智慧海上风电、泛在电力物联网、电力</w:t>
      </w:r>
      <w:r>
        <w:rPr>
          <w:rFonts w:ascii="Times New Roman" w:hAnsi="Times New Roman" w:cs="Times New Roman" w:eastAsia="Times New Roman" w:hint="default"/>
          <w:spacing w:val="-1"/>
        </w:rPr>
        <w:t>+IT</w:t>
      </w:r>
      <w:r>
        <w:rPr>
          <w:spacing w:val="-1"/>
        </w:rPr>
        <w:t>等相关业务，并取得成效；</w:t>
      </w:r>
    </w:p>
    <w:p>
      <w:pPr>
        <w:spacing w:after="0" w:line="273"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73" w:lineRule="auto" w:before="35"/>
        <w:ind w:right="1131"/>
        <w:jc w:val="both"/>
      </w:pPr>
      <w:r>
        <w:rPr>
          <w:spacing w:val="-1"/>
        </w:rPr>
        <w:t>在产业内进行横向整合和上下延伸，通过兼并收购等方式，布局整个产业链；公司的市场体量和盈利能力</w:t>
      </w:r>
      <w:r>
        <w:rPr>
          <w:spacing w:val="-83"/>
        </w:rPr>
        <w:t> </w:t>
      </w:r>
      <w:r>
        <w:rPr>
          <w:spacing w:val="-83"/>
        </w:rPr>
      </w:r>
      <w:r>
        <w:rPr>
          <w:spacing w:val="-1"/>
        </w:rPr>
        <w:t>大幅提高，在资本市场持续获得稳定的认可；组织架构和管理机制更加规范高效；人力资源配置合理，各</w:t>
      </w:r>
      <w:r>
        <w:rPr>
          <w:spacing w:val="-84"/>
        </w:rPr>
        <w:t> </w:t>
      </w:r>
      <w:r>
        <w:rPr>
          <w:spacing w:val="-84"/>
        </w:rPr>
      </w:r>
      <w:r>
        <w:rPr/>
        <w:t>领域业务型、管理型人才不断涌现，员工对企业的归属感显著增强。</w:t>
      </w:r>
    </w:p>
    <w:p>
      <w:pPr>
        <w:pStyle w:val="Heading3"/>
        <w:spacing w:line="240" w:lineRule="auto" w:before="127"/>
        <w:ind w:right="0"/>
        <w:jc w:val="both"/>
        <w:rPr>
          <w:b w:val="0"/>
          <w:bCs w:val="0"/>
        </w:rPr>
      </w:pPr>
      <w:r>
        <w:rPr/>
        <w:t>（三）</w:t>
      </w:r>
      <w:r>
        <w:rPr>
          <w:rFonts w:ascii="Times New Roman" w:hAnsi="Times New Roman" w:cs="Times New Roman" w:eastAsia="Times New Roman" w:hint="default"/>
        </w:rPr>
        <w:t>2019</w:t>
      </w:r>
      <w:r>
        <w:rPr/>
        <w:t>年经营计划</w:t>
      </w:r>
      <w:r>
        <w:rPr>
          <w:b w:val="0"/>
          <w:bCs w:val="0"/>
        </w:rPr>
      </w:r>
    </w:p>
    <w:p>
      <w:pPr>
        <w:pStyle w:val="Heading4"/>
        <w:spacing w:line="256" w:lineRule="auto" w:before="141"/>
        <w:ind w:right="1124" w:firstLine="480"/>
        <w:jc w:val="left"/>
      </w:pPr>
      <w:r>
        <w:rPr>
          <w:rFonts w:ascii="Times New Roman" w:hAnsi="Times New Roman" w:cs="Times New Roman" w:eastAsia="Times New Roman" w:hint="default"/>
          <w:spacing w:val="-2"/>
        </w:rPr>
        <w:t>2019</w:t>
      </w:r>
      <w:r>
        <w:rPr>
          <w:spacing w:val="-2"/>
        </w:rPr>
        <w:t>年，公司将紧紧围绕战略管理体系执行，努力推动全体投资者和公司利益最大化，确保主营业务</w:t>
      </w:r>
      <w:r>
        <w:rPr/>
        <w:t> 持续稳定发展，培育新的业务增长点。公司将重点围绕以下几个方面开展工作：</w:t>
      </w:r>
    </w:p>
    <w:p>
      <w:pPr>
        <w:spacing w:line="357" w:lineRule="auto" w:before="142"/>
        <w:ind w:left="634" w:right="112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宋体" w:hAnsi="宋体" w:cs="宋体" w:eastAsia="宋体" w:hint="default"/>
          <w:b/>
          <w:bCs/>
          <w:sz w:val="21"/>
          <w:szCs w:val="21"/>
        </w:rPr>
        <w:t>重视战略引领，修编企业发展战略</w:t>
      </w:r>
      <w:r>
        <w:rPr>
          <w:rFonts w:ascii="宋体" w:hAnsi="宋体" w:cs="宋体" w:eastAsia="宋体" w:hint="default"/>
          <w:b/>
          <w:bCs/>
          <w:w w:val="99"/>
          <w:sz w:val="21"/>
          <w:szCs w:val="21"/>
        </w:rPr>
        <w:t> </w:t>
      </w:r>
      <w:r>
        <w:rPr>
          <w:rFonts w:ascii="宋体" w:hAnsi="宋体" w:cs="宋体" w:eastAsia="宋体" w:hint="default"/>
          <w:spacing w:val="-2"/>
          <w:sz w:val="21"/>
          <w:szCs w:val="21"/>
        </w:rPr>
        <w:t>根据公司发展战略与阶段发展目标，公司将进一步完善战略布局，制定各子战略目标，包括业务发展</w:t>
      </w:r>
    </w:p>
    <w:p>
      <w:pPr>
        <w:pStyle w:val="Heading4"/>
        <w:spacing w:line="209" w:lineRule="exact"/>
        <w:ind w:right="0"/>
        <w:jc w:val="both"/>
      </w:pPr>
      <w:r>
        <w:rPr/>
        <w:t>战略、人力资源战略、投融资战略、科技创新战略和信息化战略等，发挥战略引领作用，切实推动发展战</w:t>
      </w:r>
    </w:p>
    <w:p>
      <w:pPr>
        <w:pStyle w:val="Heading4"/>
        <w:spacing w:line="273" w:lineRule="auto" w:before="37"/>
        <w:ind w:right="1133"/>
        <w:jc w:val="both"/>
      </w:pPr>
      <w:r>
        <w:rPr>
          <w:spacing w:val="-1"/>
        </w:rPr>
        <w:t>略的实施，将把更多人才、管理、资金等方面的资源配置给优秀的利润中心团队，努力实现主营业务的业</w:t>
      </w:r>
      <w:r>
        <w:rPr>
          <w:spacing w:val="-85"/>
        </w:rPr>
        <w:t> </w:t>
      </w:r>
      <w:r>
        <w:rPr>
          <w:spacing w:val="-85"/>
        </w:rPr>
      </w:r>
      <w:r>
        <w:rPr/>
        <w:t>绩逐年增长，新增业务取得较快发展，实现公司可持续性发展。</w:t>
      </w:r>
    </w:p>
    <w:p>
      <w:pPr>
        <w:spacing w:line="355" w:lineRule="auto" w:before="129"/>
        <w:ind w:left="634" w:right="112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优化区域布局，提高勘察设计业绩，拓展国际市场</w:t>
      </w:r>
      <w:r>
        <w:rPr>
          <w:rFonts w:ascii="宋体" w:hAnsi="宋体" w:cs="宋体" w:eastAsia="宋体" w:hint="default"/>
          <w:b/>
          <w:bCs/>
          <w:w w:val="99"/>
          <w:sz w:val="21"/>
          <w:szCs w:val="21"/>
        </w:rPr>
        <w:t> </w:t>
      </w:r>
      <w:r>
        <w:rPr>
          <w:rFonts w:ascii="宋体" w:hAnsi="宋体" w:cs="宋体" w:eastAsia="宋体" w:hint="default"/>
          <w:spacing w:val="-2"/>
          <w:sz w:val="21"/>
          <w:szCs w:val="21"/>
        </w:rPr>
        <w:t>做强做优传统业务。推进发电、输变电、配网、系统和勘测各市场板块的重点业务开发，加快核心技</w:t>
      </w:r>
    </w:p>
    <w:p>
      <w:pPr>
        <w:pStyle w:val="Heading4"/>
        <w:spacing w:line="211" w:lineRule="exact"/>
        <w:ind w:right="0"/>
        <w:jc w:val="both"/>
      </w:pPr>
      <w:r>
        <w:rPr/>
        <w:t>术研发和应用，积极培育新兴客户，同时通过兼并收购若干个优质电力勘察设计企业，优化区域布局，提</w:t>
      </w:r>
    </w:p>
    <w:p>
      <w:pPr>
        <w:pStyle w:val="Heading4"/>
        <w:spacing w:line="273" w:lineRule="auto" w:before="37"/>
        <w:ind w:right="1110"/>
        <w:jc w:val="both"/>
      </w:pPr>
      <w:r>
        <w:rPr>
          <w:spacing w:val="-1"/>
        </w:rPr>
        <w:t>高勘察设计市场规模。发电市场板块继续以清洁能源和新能源为主，重点拓展海上风电业务，通过技术创</w:t>
      </w:r>
      <w:r>
        <w:rPr>
          <w:spacing w:val="-82"/>
        </w:rPr>
        <w:t> </w:t>
      </w:r>
      <w:r>
        <w:rPr>
          <w:spacing w:val="-82"/>
        </w:rPr>
      </w:r>
      <w:r>
        <w:rPr>
          <w:spacing w:val="-1"/>
        </w:rPr>
        <w:t>新夯实海电技术，将海上风电打造为公司一张闪亮名片；输变电市场板块重点在特高压业务领域，通过技</w:t>
      </w:r>
      <w:r>
        <w:rPr>
          <w:spacing w:val="-83"/>
        </w:rPr>
        <w:t> </w:t>
      </w:r>
      <w:r>
        <w:rPr>
          <w:spacing w:val="-83"/>
        </w:rPr>
      </w:r>
      <w:r>
        <w:rPr/>
        <w:t>术创新、服务升级等方式提升市场竞争力；配网市场板块重点结合智能配电网、智能微电网、智能建筑、 </w:t>
      </w:r>
      <w:r>
        <w:rPr>
          <w:spacing w:val="-1"/>
        </w:rPr>
        <w:t>智慧社区、综合能源服务等新商务与技术模式，打造永福配电网高端业务品牌；系统市场板块重点提升系</w:t>
      </w:r>
      <w:r>
        <w:rPr>
          <w:spacing w:val="-83"/>
        </w:rPr>
        <w:t> </w:t>
      </w:r>
      <w:r>
        <w:rPr>
          <w:spacing w:val="-83"/>
        </w:rPr>
      </w:r>
      <w:r>
        <w:rPr/>
        <w:t>统规划、智慧能源、无线专网、系统二次集成等技术水平，推进智慧能源项目落地。</w:t>
      </w:r>
    </w:p>
    <w:p>
      <w:pPr>
        <w:pStyle w:val="Heading4"/>
        <w:spacing w:line="268" w:lineRule="auto" w:before="127"/>
        <w:ind w:right="0" w:firstLine="480"/>
        <w:jc w:val="left"/>
      </w:pPr>
      <w:r>
        <w:rPr>
          <w:spacing w:val="-5"/>
        </w:rPr>
        <w:t>加快国际市场的开拓。以菲律宾、越南市场为基点，依托公司技术、体制等优势，重点拓展包括越南、</w:t>
      </w:r>
      <w:r>
        <w:rPr/>
        <w:t> 菲律宾、柬埔寨、缅甸等东南亚目标市场，做强做大国际业务。</w:t>
      </w:r>
      <w:r>
        <w:rPr>
          <w:rFonts w:ascii="Times New Roman" w:hAnsi="Times New Roman" w:cs="Times New Roman" w:eastAsia="Times New Roman" w:hint="default"/>
        </w:rPr>
        <w:t>2019</w:t>
      </w:r>
      <w:r>
        <w:rPr/>
        <w:t>年，公司将加大国际业务市场拓展力 度，一方面在越南设立分支机构，派驻长期驻点人员，通过深度介入项目前期开发，以合作开发、协助开 发等方式开拓新能源业务市场；同时，继续耕耘菲律宾市场，紧跟菲律宾电力与新能源政策导向，适时推 进菲律宾输变电、风电、光伏、水电等项目开发工作，促进项目尽快落地。</w:t>
      </w:r>
    </w:p>
    <w:p>
      <w:pPr>
        <w:spacing w:line="357" w:lineRule="auto" w:before="132"/>
        <w:ind w:left="634" w:right="103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宋体" w:hAnsi="宋体" w:cs="宋体" w:eastAsia="宋体" w:hint="default"/>
          <w:b/>
          <w:bCs/>
          <w:sz w:val="21"/>
          <w:szCs w:val="21"/>
        </w:rPr>
        <w:t>延伸产业链，拓展运维市场</w:t>
      </w:r>
      <w:r>
        <w:rPr>
          <w:rFonts w:ascii="宋体" w:hAnsi="宋体" w:cs="宋体" w:eastAsia="宋体" w:hint="default"/>
          <w:b/>
          <w:bCs/>
          <w:w w:val="99"/>
          <w:sz w:val="21"/>
          <w:szCs w:val="21"/>
        </w:rPr>
        <w:t> </w:t>
      </w:r>
      <w:r>
        <w:rPr>
          <w:rFonts w:ascii="宋体" w:hAnsi="宋体" w:cs="宋体" w:eastAsia="宋体" w:hint="default"/>
          <w:sz w:val="21"/>
          <w:szCs w:val="21"/>
        </w:rPr>
        <w:t>电力运行维护技术服务市场体量大，公司凭借电力行业的专业技术优势，介入定期运维、远程监控、</w:t>
      </w:r>
    </w:p>
    <w:p>
      <w:pPr>
        <w:pStyle w:val="Heading4"/>
        <w:spacing w:line="209" w:lineRule="exact"/>
        <w:ind w:right="0"/>
        <w:jc w:val="both"/>
      </w:pPr>
      <w:r>
        <w:rPr/>
        <w:t>技术支持、升级改造等服务，延伸产业链。公司已介入海上风电运维服务；同时拟在越南组建新能源运维</w:t>
      </w:r>
    </w:p>
    <w:p>
      <w:pPr>
        <w:pStyle w:val="Heading4"/>
        <w:spacing w:line="273" w:lineRule="auto" w:before="37"/>
        <w:ind w:right="1131"/>
        <w:jc w:val="both"/>
      </w:pPr>
      <w:r>
        <w:rPr>
          <w:spacing w:val="-1"/>
        </w:rPr>
        <w:t>队伍，通过先进的技术和经验丰富的团队为新能源电站提供全面系统的运维服务，在海外运维市场占据一</w:t>
      </w:r>
      <w:r>
        <w:rPr>
          <w:spacing w:val="-81"/>
        </w:rPr>
        <w:t> </w:t>
      </w:r>
      <w:r>
        <w:rPr>
          <w:spacing w:val="-81"/>
        </w:rPr>
      </w:r>
      <w:r>
        <w:rPr/>
        <w:t>席之地。</w:t>
      </w:r>
    </w:p>
    <w:p>
      <w:pPr>
        <w:spacing w:line="357" w:lineRule="auto" w:before="127"/>
        <w:ind w:left="634" w:right="112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 </w:t>
      </w:r>
      <w:r>
        <w:rPr>
          <w:rFonts w:ascii="宋体" w:hAnsi="宋体" w:cs="宋体" w:eastAsia="宋体" w:hint="default"/>
          <w:b/>
          <w:bCs/>
          <w:sz w:val="21"/>
          <w:szCs w:val="21"/>
        </w:rPr>
        <w:t>大力推进“电力</w:t>
      </w:r>
      <w:r>
        <w:rPr>
          <w:rFonts w:ascii="Times New Roman" w:hAnsi="Times New Roman" w:cs="Times New Roman" w:eastAsia="Times New Roman" w:hint="default"/>
          <w:b/>
          <w:bCs/>
          <w:sz w:val="21"/>
          <w:szCs w:val="21"/>
        </w:rPr>
        <w:t>+IT</w:t>
      </w:r>
      <w:r>
        <w:rPr>
          <w:rFonts w:ascii="宋体" w:hAnsi="宋体" w:cs="宋体" w:eastAsia="宋体" w:hint="default"/>
          <w:b/>
          <w:bCs/>
          <w:sz w:val="21"/>
          <w:szCs w:val="21"/>
        </w:rPr>
        <w:t>”战略实施</w:t>
      </w:r>
      <w:r>
        <w:rPr>
          <w:rFonts w:ascii="宋体" w:hAnsi="宋体" w:cs="宋体" w:eastAsia="宋体" w:hint="default"/>
          <w:b/>
          <w:bCs/>
          <w:w w:val="99"/>
          <w:sz w:val="21"/>
          <w:szCs w:val="21"/>
        </w:rPr>
        <w:t> </w:t>
      </w:r>
      <w:r>
        <w:rPr>
          <w:rFonts w:ascii="宋体" w:hAnsi="宋体" w:cs="宋体" w:eastAsia="宋体" w:hint="default"/>
          <w:spacing w:val="-2"/>
          <w:sz w:val="21"/>
          <w:szCs w:val="21"/>
        </w:rPr>
        <w:t>持续加大数字化技术研发投入，推动电力数字化、网络化、智能化三个层次的信息化。通过“产学研</w:t>
      </w:r>
    </w:p>
    <w:p>
      <w:pPr>
        <w:pStyle w:val="Heading4"/>
        <w:spacing w:line="209" w:lineRule="exact"/>
        <w:ind w:right="0"/>
        <w:jc w:val="both"/>
      </w:pPr>
      <w:r>
        <w:rPr/>
        <w:t>用”结合，快速实现数字化设计企业级实施，同步研究数字化产品在施工阶段、运维阶段的应用场景，形</w:t>
      </w:r>
    </w:p>
    <w:p>
      <w:pPr>
        <w:pStyle w:val="Heading4"/>
        <w:spacing w:line="273" w:lineRule="auto" w:before="37"/>
        <w:ind w:right="1133"/>
        <w:jc w:val="both"/>
      </w:pPr>
      <w:r>
        <w:rPr>
          <w:spacing w:val="-1"/>
        </w:rPr>
        <w:t>成示范应用成果。公司凭借丰富的电力行业经验积累，融合控股公司、合资公司在信息化、大数据和云平</w:t>
      </w:r>
      <w:r>
        <w:rPr>
          <w:spacing w:val="-86"/>
        </w:rPr>
        <w:t> </w:t>
      </w:r>
      <w:r>
        <w:rPr>
          <w:spacing w:val="-86"/>
        </w:rPr>
      </w:r>
      <w:r>
        <w:rPr>
          <w:spacing w:val="-1"/>
        </w:rPr>
        <w:t>台等方面的技术，以科技创新部、信息技术部为平台，在电力无线专网、物联网终端接入网顶层设计等方</w:t>
      </w:r>
      <w:r>
        <w:rPr>
          <w:spacing w:val="-86"/>
        </w:rPr>
        <w:t> </w:t>
      </w:r>
      <w:r>
        <w:rPr>
          <w:spacing w:val="-86"/>
        </w:rPr>
      </w:r>
      <w:r>
        <w:rPr/>
        <w:t>面开展研发工作，培育泛在电力物联网、信息化等新兴领域的商业机会。</w:t>
      </w:r>
    </w:p>
    <w:p>
      <w:pPr>
        <w:spacing w:line="357" w:lineRule="auto" w:before="128"/>
        <w:ind w:left="63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 </w:t>
      </w:r>
      <w:r>
        <w:rPr>
          <w:rFonts w:ascii="宋体" w:hAnsi="宋体" w:cs="宋体" w:eastAsia="宋体" w:hint="default"/>
          <w:b/>
          <w:bCs/>
          <w:sz w:val="21"/>
          <w:szCs w:val="21"/>
        </w:rPr>
        <w:t>提升创新研发能力，增强核心竞争力</w:t>
      </w:r>
      <w:r>
        <w:rPr>
          <w:rFonts w:ascii="宋体" w:hAnsi="宋体" w:cs="宋体" w:eastAsia="宋体" w:hint="default"/>
          <w:b/>
          <w:bCs/>
          <w:w w:val="99"/>
          <w:sz w:val="21"/>
          <w:szCs w:val="21"/>
        </w:rPr>
        <w:t> </w:t>
      </w:r>
      <w:r>
        <w:rPr>
          <w:rFonts w:ascii="宋体" w:hAnsi="宋体" w:cs="宋体" w:eastAsia="宋体" w:hint="default"/>
          <w:spacing w:val="-5"/>
          <w:sz w:val="21"/>
          <w:szCs w:val="21"/>
        </w:rPr>
        <w:t>作为国家高新技术企业，公司高度重视技术创新和研发投入，公司始终坚持以科技创新提升技术实力，</w:t>
      </w:r>
    </w:p>
    <w:p>
      <w:pPr>
        <w:pStyle w:val="Heading4"/>
        <w:spacing w:line="225" w:lineRule="exact"/>
        <w:ind w:right="0"/>
        <w:jc w:val="both"/>
      </w:pPr>
      <w:r>
        <w:rPr>
          <w:spacing w:val="2"/>
        </w:rPr>
        <w:t>以科</w:t>
      </w:r>
      <w:r>
        <w:rPr>
          <w:spacing w:val="1"/>
        </w:rPr>
        <w:t>技</w:t>
      </w:r>
      <w:r>
        <w:rPr>
          <w:spacing w:val="2"/>
        </w:rPr>
        <w:t>进</w:t>
      </w:r>
      <w:r>
        <w:rPr>
          <w:spacing w:val="1"/>
        </w:rPr>
        <w:t>步</w:t>
      </w:r>
      <w:r>
        <w:rPr>
          <w:spacing w:val="2"/>
        </w:rPr>
        <w:t>引领</w:t>
      </w:r>
      <w:r>
        <w:rPr>
          <w:spacing w:val="1"/>
        </w:rPr>
        <w:t>公</w:t>
      </w:r>
      <w:r>
        <w:rPr>
          <w:spacing w:val="2"/>
        </w:rPr>
        <w:t>司</w:t>
      </w:r>
      <w:r>
        <w:rPr>
          <w:spacing w:val="1"/>
        </w:rPr>
        <w:t>发</w:t>
      </w:r>
      <w:r>
        <w:rPr>
          <w:spacing w:val="2"/>
        </w:rPr>
        <w:t>展</w:t>
      </w:r>
      <w:r>
        <w:rPr>
          <w:spacing w:val="5"/>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9</w:t>
      </w:r>
      <w:r>
        <w:rPr>
          <w:spacing w:val="1"/>
        </w:rPr>
        <w:t>年</w:t>
      </w:r>
      <w:r>
        <w:rPr>
          <w:spacing w:val="2"/>
        </w:rPr>
        <w:t>，公</w:t>
      </w:r>
      <w:r>
        <w:rPr>
          <w:spacing w:val="1"/>
        </w:rPr>
        <w:t>司</w:t>
      </w:r>
      <w:r>
        <w:rPr>
          <w:spacing w:val="2"/>
        </w:rPr>
        <w:t>将</w:t>
      </w:r>
      <w:r>
        <w:rPr>
          <w:spacing w:val="1"/>
        </w:rPr>
        <w:t>制</w:t>
      </w:r>
      <w:r>
        <w:rPr>
          <w:spacing w:val="2"/>
        </w:rPr>
        <w:t>定《</w:t>
      </w:r>
      <w:r>
        <w:rPr>
          <w:spacing w:val="1"/>
        </w:rPr>
        <w:t>三</w:t>
      </w:r>
      <w:r>
        <w:rPr>
          <w:spacing w:val="2"/>
        </w:rPr>
        <w:t>年</w:t>
      </w:r>
      <w:r>
        <w:rPr>
          <w:spacing w:val="1"/>
        </w:rPr>
        <w:t>科</w:t>
      </w:r>
      <w:r>
        <w:rPr>
          <w:spacing w:val="2"/>
        </w:rPr>
        <w:t>技发</w:t>
      </w:r>
      <w:r>
        <w:rPr>
          <w:spacing w:val="1"/>
        </w:rPr>
        <w:t>展</w:t>
      </w:r>
      <w:r>
        <w:rPr>
          <w:spacing w:val="2"/>
        </w:rPr>
        <w:t>规划</w:t>
      </w:r>
      <w:r>
        <w:rPr>
          <w:spacing w:val="-105"/>
        </w:rPr>
        <w:t>》</w:t>
      </w:r>
      <w:r>
        <w:rPr>
          <w:spacing w:val="2"/>
        </w:rPr>
        <w:t>，根</w:t>
      </w:r>
      <w:r>
        <w:rPr>
          <w:spacing w:val="1"/>
        </w:rPr>
        <w:t>据</w:t>
      </w:r>
      <w:r>
        <w:rPr>
          <w:spacing w:val="2"/>
        </w:rPr>
        <w:t>公</w:t>
      </w:r>
      <w:r>
        <w:rPr>
          <w:spacing w:val="1"/>
        </w:rPr>
        <w:t>司</w:t>
      </w:r>
      <w:r>
        <w:rPr>
          <w:spacing w:val="2"/>
        </w:rPr>
        <w:t>的战</w:t>
      </w:r>
      <w:r>
        <w:rPr>
          <w:spacing w:val="1"/>
        </w:rPr>
        <w:t>略</w:t>
      </w:r>
      <w:r>
        <w:rPr>
          <w:spacing w:val="2"/>
        </w:rPr>
        <w:t>发</w:t>
      </w:r>
      <w:r>
        <w:rPr>
          <w:spacing w:val="1"/>
        </w:rPr>
        <w:t>展</w:t>
      </w:r>
      <w:r>
        <w:rPr>
          <w:spacing w:val="2"/>
        </w:rPr>
        <w:t>要求</w:t>
      </w:r>
      <w:r>
        <w:rPr>
          <w:spacing w:val="1"/>
        </w:rPr>
        <w:t>，</w:t>
      </w:r>
      <w:r>
        <w:rPr>
          <w:spacing w:val="2"/>
        </w:rPr>
        <w:t>前</w:t>
      </w:r>
      <w:r>
        <w:rPr/>
        <w:t>瞻</w:t>
      </w:r>
    </w:p>
    <w:p>
      <w:pPr>
        <w:pStyle w:val="Heading4"/>
        <w:spacing w:line="240" w:lineRule="auto" w:before="21"/>
        <w:ind w:right="0"/>
        <w:jc w:val="both"/>
      </w:pPr>
      <w:r>
        <w:rPr/>
        <w:t>性、系统性的组织科技创新工作，通过技术创新驱动公司可持续、高质量的发展；公司将加强对事业部和</w:t>
      </w:r>
    </w:p>
    <w:p>
      <w:pPr>
        <w:spacing w:after="0" w:line="240" w:lineRule="auto"/>
        <w:jc w:val="both"/>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40" w:lineRule="auto" w:before="35"/>
        <w:ind w:right="0"/>
        <w:jc w:val="both"/>
      </w:pPr>
      <w:r>
        <w:rPr/>
        <w:t>研发部门的绩效考核，建立更有效的科研创新激励机制，激发公司各级人员的创新意识和创新活力。</w:t>
      </w:r>
    </w:p>
    <w:p>
      <w:pPr>
        <w:pStyle w:val="Heading4"/>
        <w:spacing w:line="273" w:lineRule="auto" w:before="157"/>
        <w:ind w:right="1032" w:firstLine="480"/>
        <w:jc w:val="left"/>
      </w:pPr>
      <w:r>
        <w:rPr/>
        <w:t>通过发挥博士后创新实践基地的导向作用，以项目合作、校企联合课题研究等方式发展“产学研用” 渠道，做到研以致用；紧盯电力行业前沿技术，对泛在物联网、智慧海上风电、综合能源、高端配网、能 源大数据等新技术进行研究和创新，掌握电力能源新技术、新模式和新业态，增强核心竞争力。</w:t>
      </w:r>
    </w:p>
    <w:p>
      <w:pPr>
        <w:pStyle w:val="Heading3"/>
        <w:spacing w:line="240" w:lineRule="auto" w:before="128"/>
        <w:ind w:left="636" w:right="0"/>
        <w:jc w:val="left"/>
        <w:rPr>
          <w:b w:val="0"/>
          <w:bCs w:val="0"/>
        </w:rPr>
      </w:pPr>
      <w:r>
        <w:rPr>
          <w:rFonts w:ascii="Times New Roman" w:hAnsi="Times New Roman" w:cs="Times New Roman" w:eastAsia="Times New Roman" w:hint="default"/>
        </w:rPr>
        <w:t>6.</w:t>
      </w:r>
      <w:r>
        <w:rPr>
          <w:rFonts w:ascii="Times New Roman" w:hAnsi="Times New Roman" w:cs="Times New Roman" w:eastAsia="Times New Roman" w:hint="default"/>
          <w:spacing w:val="49"/>
        </w:rPr>
        <w:t> </w:t>
      </w:r>
      <w:r>
        <w:rPr/>
        <w:t>提升管理效能，建立高效的管理体系</w:t>
      </w:r>
      <w:r>
        <w:rPr>
          <w:b w:val="0"/>
          <w:bCs w:val="0"/>
        </w:rPr>
      </w:r>
    </w:p>
    <w:p>
      <w:pPr>
        <w:pStyle w:val="Heading4"/>
        <w:spacing w:line="240" w:lineRule="auto" w:before="141"/>
        <w:ind w:left="634" w:right="0"/>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t>年，进一步修订完善公司绩效管理体系，更大程度激发全员市场意识，推动市场</w:t>
      </w:r>
      <w:r>
        <w:rPr>
          <w:rFonts w:ascii="Times New Roman" w:hAnsi="Times New Roman" w:cs="Times New Roman" w:eastAsia="Times New Roman" w:hint="default"/>
        </w:rPr>
        <w:t>--</w:t>
      </w:r>
      <w:r>
        <w:rPr/>
        <w:t>经营和设计</w:t>
      </w:r>
      <w:r>
        <w:rPr>
          <w:rFonts w:ascii="Times New Roman" w:hAnsi="Times New Roman" w:cs="Times New Roman" w:eastAsia="Times New Roman" w:hint="default"/>
        </w:rPr>
        <w:t>—</w:t>
      </w:r>
    </w:p>
    <w:p>
      <w:pPr>
        <w:pStyle w:val="Heading4"/>
        <w:spacing w:line="240" w:lineRule="auto" w:before="21"/>
        <w:ind w:right="0"/>
        <w:jc w:val="both"/>
      </w:pPr>
      <w:r>
        <w:rPr/>
        <w:t>总包两个一体化管理模式的顺利实施，实现降本增效，提升公司管理效能。</w:t>
      </w:r>
    </w:p>
    <w:p>
      <w:pPr>
        <w:pStyle w:val="Heading4"/>
        <w:spacing w:line="268" w:lineRule="auto" w:before="157"/>
        <w:ind w:right="1111" w:firstLine="480"/>
        <w:jc w:val="both"/>
      </w:pPr>
      <w:r>
        <w:rPr>
          <w:spacing w:val="-2"/>
        </w:rPr>
        <w:t>公司重视利用信息化推动公司管理水平提升。</w:t>
      </w:r>
      <w:r>
        <w:rPr>
          <w:rFonts w:ascii="Times New Roman" w:hAnsi="Times New Roman" w:cs="Times New Roman" w:eastAsia="Times New Roman" w:hint="default"/>
          <w:spacing w:val="-2"/>
        </w:rPr>
        <w:t>2019</w:t>
      </w:r>
      <w:r>
        <w:rPr>
          <w:spacing w:val="-2"/>
        </w:rPr>
        <w:t>年，公司将继续全方位推进信息化建设，从关注应</w:t>
      </w:r>
      <w:r>
        <w:rPr/>
        <w:t> 用转向关注数据，建立以成本为核心、资产为纽带、项目为管理主线，贯穿工程建设和工程全生命周期， </w:t>
      </w:r>
      <w:r>
        <w:rPr>
          <w:spacing w:val="-1"/>
        </w:rPr>
        <w:t>与所有业务流程、工程数字化信息化高度融合，协同设计与知识管理相互集成的信息化系统。通过企业多</w:t>
      </w:r>
      <w:r>
        <w:rPr>
          <w:spacing w:val="-83"/>
        </w:rPr>
        <w:t> </w:t>
      </w:r>
      <w:r>
        <w:rPr>
          <w:spacing w:val="-83"/>
        </w:rPr>
      </w:r>
      <w:r>
        <w:rPr>
          <w:spacing w:val="-1"/>
        </w:rPr>
        <w:t>应用平台集成，打破各业务系统边界，实现无边界信息流转。集市场、经营、项目、财务、人力等关键信</w:t>
      </w:r>
      <w:r>
        <w:rPr>
          <w:spacing w:val="-85"/>
        </w:rPr>
        <w:t> </w:t>
      </w:r>
      <w:r>
        <w:rPr>
          <w:spacing w:val="-85"/>
        </w:rPr>
      </w:r>
      <w:r>
        <w:rPr/>
        <w:t>息为一体，辅助公司领导决策，有效提升公司的工作效率与管理水平。</w:t>
      </w:r>
    </w:p>
    <w:p>
      <w:pPr>
        <w:spacing w:line="432" w:lineRule="exact" w:before="31"/>
        <w:ind w:left="634" w:right="112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 </w:t>
      </w:r>
      <w:r>
        <w:rPr>
          <w:rFonts w:ascii="宋体" w:hAnsi="宋体" w:cs="宋体" w:eastAsia="宋体" w:hint="default"/>
          <w:b/>
          <w:bCs/>
          <w:sz w:val="21"/>
          <w:szCs w:val="21"/>
        </w:rPr>
        <w:t>打造高素质队伍，提升公司业务水平</w:t>
      </w:r>
      <w:r>
        <w:rPr>
          <w:rFonts w:ascii="宋体" w:hAnsi="宋体" w:cs="宋体" w:eastAsia="宋体" w:hint="default"/>
          <w:b/>
          <w:bCs/>
          <w:w w:val="99"/>
          <w:sz w:val="21"/>
          <w:szCs w:val="21"/>
        </w:rPr>
        <w:t> </w:t>
      </w:r>
      <w:r>
        <w:rPr>
          <w:rFonts w:ascii="宋体" w:hAnsi="宋体" w:cs="宋体" w:eastAsia="宋体" w:hint="default"/>
          <w:spacing w:val="-2"/>
          <w:sz w:val="21"/>
          <w:szCs w:val="21"/>
        </w:rPr>
        <w:t>公司业务水平的提升离不开高素质的业务队伍，特别是关键岗位人才，</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年，公司将在这些关键岗</w:t>
      </w:r>
    </w:p>
    <w:p>
      <w:pPr>
        <w:pStyle w:val="Heading4"/>
        <w:spacing w:line="255" w:lineRule="exact"/>
        <w:ind w:right="0"/>
        <w:jc w:val="both"/>
      </w:pPr>
      <w:r>
        <w:rPr/>
        <w:t>位人才的培养、引进、提升等工作上，采取以下几个方面的措施，切实提升公司的业务水平。一方面充分</w:t>
      </w:r>
    </w:p>
    <w:p>
      <w:pPr>
        <w:pStyle w:val="Heading4"/>
        <w:spacing w:line="273" w:lineRule="auto" w:before="37"/>
        <w:ind w:right="1133"/>
        <w:jc w:val="both"/>
      </w:pPr>
      <w:r>
        <w:rPr>
          <w:spacing w:val="-1"/>
        </w:rPr>
        <w:t>发挥公司品牌效应，加大引进力度，提高引进人才工作的效率，针对公司急需的关键岗位人才，研究制定</w:t>
      </w:r>
      <w:r>
        <w:rPr>
          <w:spacing w:val="-86"/>
        </w:rPr>
        <w:t> </w:t>
      </w:r>
      <w:r>
        <w:rPr>
          <w:spacing w:val="-86"/>
        </w:rPr>
      </w:r>
      <w:r>
        <w:rPr>
          <w:spacing w:val="-1"/>
        </w:rPr>
        <w:t>能吸引人才的保障措施、激励措施；另一方面建立员工优选机制，全面专注于人才队伍“领导力”和专业</w:t>
      </w:r>
      <w:r>
        <w:rPr>
          <w:spacing w:val="-83"/>
        </w:rPr>
        <w:t> </w:t>
      </w:r>
      <w:r>
        <w:rPr>
          <w:spacing w:val="-83"/>
        </w:rPr>
      </w:r>
      <w:r>
        <w:rPr>
          <w:spacing w:val="-1"/>
        </w:rPr>
        <w:t>技能的提升，通过岗位轮换、导师制、课题研究、专业课程开发、外出调研、加强培训等多种形式，有计</w:t>
      </w:r>
      <w:r>
        <w:rPr>
          <w:spacing w:val="-85"/>
        </w:rPr>
        <w:t> </w:t>
      </w:r>
      <w:r>
        <w:rPr>
          <w:spacing w:val="-85"/>
        </w:rPr>
      </w:r>
      <w:r>
        <w:rPr>
          <w:spacing w:val="-1"/>
        </w:rPr>
        <w:t>划、有步骤地安排优秀员工到重点工程、关键岗位砥砺品质、锤炼作风、增长才干，在实战中提升员工队</w:t>
      </w:r>
      <w:r>
        <w:rPr>
          <w:spacing w:val="-83"/>
        </w:rPr>
        <w:t> </w:t>
      </w:r>
      <w:r>
        <w:rPr>
          <w:spacing w:val="-83"/>
        </w:rPr>
      </w:r>
      <w:r>
        <w:rPr/>
        <w:t>伍的综合素质。</w:t>
      </w:r>
    </w:p>
    <w:p>
      <w:pPr>
        <w:spacing w:line="357" w:lineRule="auto" w:before="128"/>
        <w:ind w:left="634" w:right="112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 </w:t>
      </w:r>
      <w:r>
        <w:rPr>
          <w:rFonts w:ascii="宋体" w:hAnsi="宋体" w:cs="宋体" w:eastAsia="宋体" w:hint="default"/>
          <w:b/>
          <w:bCs/>
          <w:sz w:val="21"/>
          <w:szCs w:val="21"/>
        </w:rPr>
        <w:t>运用资本平台的优势，实现外延式扩张</w:t>
      </w:r>
      <w:r>
        <w:rPr>
          <w:rFonts w:ascii="宋体" w:hAnsi="宋体" w:cs="宋体" w:eastAsia="宋体" w:hint="default"/>
          <w:b/>
          <w:bCs/>
          <w:w w:val="99"/>
          <w:sz w:val="21"/>
          <w:szCs w:val="21"/>
        </w:rPr>
        <w:t> </w:t>
      </w:r>
      <w:r>
        <w:rPr>
          <w:rFonts w:ascii="宋体" w:hAnsi="宋体" w:cs="宋体" w:eastAsia="宋体" w:hint="default"/>
          <w:spacing w:val="-2"/>
          <w:sz w:val="21"/>
          <w:szCs w:val="21"/>
        </w:rPr>
        <w:t>公司根据发展战略，围绕自身核心业务，公司将继续充分利用自身优势和资本市场平台，在时机成熟</w:t>
      </w:r>
    </w:p>
    <w:p>
      <w:pPr>
        <w:pStyle w:val="Heading4"/>
        <w:spacing w:line="209" w:lineRule="exact"/>
        <w:ind w:right="0"/>
        <w:jc w:val="both"/>
      </w:pPr>
      <w:r>
        <w:rPr>
          <w:spacing w:val="-3"/>
        </w:rPr>
        <w:t>的前提下，在产业内进行横向整合和上下游产业链延伸，采用兼并收购等多种方式扩张，并有效整合资源、</w:t>
      </w:r>
    </w:p>
    <w:p>
      <w:pPr>
        <w:pStyle w:val="Heading4"/>
        <w:spacing w:line="240" w:lineRule="auto" w:before="37"/>
        <w:ind w:right="0"/>
        <w:jc w:val="both"/>
      </w:pPr>
      <w:r>
        <w:rPr/>
        <w:t>提高运营效率，增强企业核心竞争力，提高公司的盈利水平。</w:t>
      </w:r>
    </w:p>
    <w:p>
      <w:pPr>
        <w:spacing w:line="357" w:lineRule="auto" w:before="157"/>
        <w:ind w:left="634" w:right="112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 </w:t>
      </w:r>
      <w:r>
        <w:rPr>
          <w:rFonts w:ascii="宋体" w:hAnsi="宋体" w:cs="宋体" w:eastAsia="宋体" w:hint="default"/>
          <w:b/>
          <w:bCs/>
          <w:sz w:val="21"/>
          <w:szCs w:val="21"/>
        </w:rPr>
        <w:t>重视信息披露，进一步做好投资者关系管理工作</w:t>
      </w:r>
      <w:r>
        <w:rPr>
          <w:rFonts w:ascii="宋体" w:hAnsi="宋体" w:cs="宋体" w:eastAsia="宋体" w:hint="default"/>
          <w:b/>
          <w:bCs/>
          <w:w w:val="99"/>
          <w:sz w:val="21"/>
          <w:szCs w:val="21"/>
        </w:rPr>
        <w:t> </w:t>
      </w:r>
      <w:r>
        <w:rPr>
          <w:rFonts w:ascii="宋体" w:hAnsi="宋体" w:cs="宋体" w:eastAsia="宋体" w:hint="default"/>
          <w:spacing w:val="-2"/>
          <w:sz w:val="21"/>
          <w:szCs w:val="21"/>
        </w:rPr>
        <w:t>公司将继续秉承开放的沟通机制，进一步维护好投资者关系，持续认真做好信息披露工作，充分保障</w:t>
      </w:r>
    </w:p>
    <w:p>
      <w:pPr>
        <w:pStyle w:val="Heading4"/>
        <w:spacing w:line="209" w:lineRule="exact"/>
        <w:ind w:right="0"/>
        <w:jc w:val="both"/>
      </w:pPr>
      <w:r>
        <w:rPr/>
        <w:t>投资者的知情权，帮助投资者把握公司总体情况，了解公司经营思路和发展战略，提升投资者对公司经营</w:t>
      </w:r>
    </w:p>
    <w:p>
      <w:pPr>
        <w:pStyle w:val="Heading4"/>
        <w:spacing w:line="240" w:lineRule="auto" w:before="37"/>
        <w:ind w:right="0"/>
        <w:jc w:val="both"/>
      </w:pPr>
      <w:r>
        <w:rPr/>
        <w:t>发展的参与感和认同感，塑造良好的资本市场品牌形象。</w:t>
      </w:r>
    </w:p>
    <w:p>
      <w:pPr>
        <w:pStyle w:val="Heading4"/>
        <w:spacing w:line="256" w:lineRule="auto" w:before="157"/>
        <w:ind w:right="1130" w:firstLine="480"/>
        <w:jc w:val="both"/>
      </w:pPr>
      <w:r>
        <w:rPr>
          <w:rFonts w:ascii="Times New Roman" w:hAnsi="Times New Roman" w:cs="Times New Roman" w:eastAsia="Times New Roman" w:hint="default"/>
          <w:spacing w:val="-2"/>
        </w:rPr>
        <w:t>2019</w:t>
      </w:r>
      <w:r>
        <w:rPr>
          <w:spacing w:val="-2"/>
        </w:rPr>
        <w:t>年，公司做好发展战略落实，抓好募投项目的实施，加强技术研发投入，加大市场开拓力度，强</w:t>
      </w:r>
      <w:r>
        <w:rPr/>
        <w:t> </w:t>
      </w:r>
      <w:r>
        <w:rPr>
          <w:spacing w:val="-2"/>
        </w:rPr>
        <w:t>化人力资源建设，进一步提高公司的经济效益和业绩规模。</w:t>
      </w:r>
      <w:r>
        <w:rPr>
          <w:rFonts w:ascii="Times New Roman" w:hAnsi="Times New Roman" w:cs="Times New Roman" w:eastAsia="Times New Roman" w:hint="default"/>
          <w:spacing w:val="-2"/>
        </w:rPr>
        <w:t>2019</w:t>
      </w:r>
      <w:r>
        <w:rPr>
          <w:spacing w:val="-2"/>
        </w:rPr>
        <w:t>年力争实现：营业收入</w:t>
      </w:r>
      <w:r>
        <w:rPr>
          <w:rFonts w:ascii="Times New Roman" w:hAnsi="Times New Roman" w:cs="Times New Roman" w:eastAsia="Times New Roman" w:hint="default"/>
          <w:spacing w:val="-2"/>
        </w:rPr>
        <w:t>110,000</w:t>
      </w:r>
      <w:r>
        <w:rPr>
          <w:spacing w:val="-2"/>
        </w:rPr>
        <w:t>万元，归属</w:t>
      </w:r>
      <w:r>
        <w:rPr>
          <w:spacing w:val="-77"/>
        </w:rPr>
        <w:t> </w:t>
      </w:r>
      <w:r>
        <w:rPr>
          <w:spacing w:val="-77"/>
        </w:rPr>
      </w:r>
      <w:r>
        <w:rPr/>
        <w:t>于上市公司股东的净利润</w:t>
      </w:r>
      <w:r>
        <w:rPr>
          <w:rFonts w:ascii="Times New Roman" w:hAnsi="Times New Roman" w:cs="Times New Roman" w:eastAsia="Times New Roman" w:hint="default"/>
        </w:rPr>
        <w:t>9,000</w:t>
      </w:r>
      <w:r>
        <w:rPr/>
        <w:t>万元。</w:t>
      </w:r>
    </w:p>
    <w:p>
      <w:pPr>
        <w:pStyle w:val="Heading4"/>
        <w:spacing w:line="256" w:lineRule="auto" w:before="125"/>
        <w:ind w:right="1131" w:firstLine="480"/>
        <w:jc w:val="both"/>
      </w:pPr>
      <w:r>
        <w:rPr>
          <w:spacing w:val="-2"/>
        </w:rPr>
        <w:t>（上述计划并不代表公司对</w:t>
      </w:r>
      <w:r>
        <w:rPr>
          <w:rFonts w:ascii="Times New Roman" w:hAnsi="Times New Roman" w:cs="Times New Roman" w:eastAsia="Times New Roman" w:hint="default"/>
          <w:spacing w:val="-2"/>
        </w:rPr>
        <w:t>2019</w:t>
      </w:r>
      <w:r>
        <w:rPr>
          <w:spacing w:val="-2"/>
        </w:rPr>
        <w:t>年度的盈利预测，不构成公司对投资者的实质承诺，请投资者注意投</w:t>
      </w:r>
      <w:r>
        <w:rPr/>
        <w:t> </w:t>
      </w:r>
      <w:r>
        <w:rPr>
          <w:spacing w:val="-21"/>
        </w:rPr>
        <w:t>资风险。）</w:t>
      </w:r>
    </w:p>
    <w:p>
      <w:pPr>
        <w:pStyle w:val="Heading3"/>
        <w:spacing w:line="240" w:lineRule="auto" w:before="142"/>
        <w:ind w:right="0"/>
        <w:jc w:val="both"/>
        <w:rPr>
          <w:b w:val="0"/>
          <w:bCs w:val="0"/>
        </w:rPr>
      </w:pPr>
      <w:r>
        <w:rPr/>
        <w:t>（四）可能面对的风险及应对措施</w:t>
      </w:r>
      <w:r>
        <w:rPr>
          <w:b w:val="0"/>
          <w:bCs w:val="0"/>
        </w:rPr>
      </w:r>
    </w:p>
    <w:p>
      <w:pPr>
        <w:spacing w:line="357" w:lineRule="auto" w:before="157"/>
        <w:ind w:left="634" w:right="103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宋体" w:hAnsi="宋体" w:cs="宋体" w:eastAsia="宋体" w:hint="default"/>
          <w:b/>
          <w:bCs/>
          <w:sz w:val="21"/>
          <w:szCs w:val="21"/>
        </w:rPr>
        <w:t>电力行业政策风险</w:t>
      </w:r>
      <w:r>
        <w:rPr>
          <w:rFonts w:ascii="宋体" w:hAnsi="宋体" w:cs="宋体" w:eastAsia="宋体" w:hint="default"/>
          <w:b/>
          <w:bCs/>
          <w:w w:val="99"/>
          <w:sz w:val="21"/>
          <w:szCs w:val="21"/>
        </w:rPr>
        <w:t> </w:t>
      </w:r>
      <w:r>
        <w:rPr>
          <w:rFonts w:ascii="宋体" w:hAnsi="宋体" w:cs="宋体" w:eastAsia="宋体" w:hint="default"/>
          <w:sz w:val="21"/>
          <w:szCs w:val="21"/>
        </w:rPr>
        <w:t>公司所服务的电力行业的发展主要依赖于国家宏观经济形势、相关政策及相应的电力行业投资规模。</w:t>
      </w:r>
    </w:p>
    <w:p>
      <w:pPr>
        <w:pStyle w:val="Heading4"/>
        <w:spacing w:line="209" w:lineRule="exact"/>
        <w:ind w:right="0"/>
        <w:jc w:val="both"/>
      </w:pPr>
      <w:r>
        <w:rPr/>
        <w:t>因此，在国民经济发展的不同时期，国家经济政策、行业政策的变化以及电力行业投资规模的波动将对公</w:t>
      </w:r>
    </w:p>
    <w:p>
      <w:pPr>
        <w:pStyle w:val="Heading4"/>
        <w:spacing w:line="240" w:lineRule="auto" w:before="37"/>
        <w:ind w:right="0"/>
        <w:jc w:val="both"/>
      </w:pPr>
      <w:r>
        <w:rPr/>
        <w:t>司的发展造成一定影响。</w:t>
      </w:r>
    </w:p>
    <w:p>
      <w:pPr>
        <w:spacing w:after="0" w:line="240" w:lineRule="auto"/>
        <w:jc w:val="both"/>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66" w:lineRule="auto" w:before="35"/>
        <w:ind w:right="1131" w:firstLine="480"/>
        <w:jc w:val="both"/>
      </w:pPr>
      <w:r>
        <w:rPr>
          <w:spacing w:val="-2"/>
        </w:rPr>
        <w:t>风险应对措施：公司紧跟国家和地方能源投资政策以及行业发展趋势，在稳定发展高压、特高压业务</w:t>
      </w:r>
      <w:r>
        <w:rPr/>
        <w:t> 的基础上，重点发展智能配电网、清洁能源和新能源发电业务，快速发展</w:t>
      </w:r>
      <w:r>
        <w:rPr>
          <w:rFonts w:ascii="Times New Roman" w:hAnsi="Times New Roman" w:cs="Times New Roman" w:eastAsia="Times New Roman" w:hint="default"/>
        </w:rPr>
        <w:t>EPC</w:t>
      </w:r>
      <w:r>
        <w:rPr/>
        <w:t>工程总承包业务；通过优化</w:t>
      </w:r>
      <w:r>
        <w:rPr>
          <w:spacing w:val="-96"/>
        </w:rPr>
        <w:t> </w:t>
      </w:r>
      <w:r>
        <w:rPr>
          <w:spacing w:val="-96"/>
        </w:rPr>
      </w:r>
      <w:r>
        <w:rPr>
          <w:spacing w:val="-1"/>
        </w:rPr>
        <w:t>组织架构和加大创新研发投入，提升运营效率和核心竞争力，确保主营业务稳定增长，并不断培育新的业</w:t>
      </w:r>
      <w:r>
        <w:rPr>
          <w:spacing w:val="-83"/>
        </w:rPr>
        <w:t> </w:t>
      </w:r>
      <w:r>
        <w:rPr>
          <w:spacing w:val="-83"/>
        </w:rPr>
      </w:r>
      <w:r>
        <w:rPr/>
        <w:t>务增长点。</w:t>
      </w:r>
    </w:p>
    <w:p>
      <w:pPr>
        <w:spacing w:line="357" w:lineRule="auto" w:before="134"/>
        <w:ind w:left="634" w:right="1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新增固定资产折旧及无形资产摊销造成未来盈利下滑的风险</w:t>
      </w:r>
      <w:r>
        <w:rPr>
          <w:rFonts w:ascii="宋体" w:hAnsi="宋体" w:cs="宋体" w:eastAsia="宋体" w:hint="default"/>
          <w:b/>
          <w:bCs/>
          <w:w w:val="99"/>
          <w:sz w:val="21"/>
          <w:szCs w:val="21"/>
        </w:rPr>
        <w:t> </w:t>
      </w:r>
      <w:r>
        <w:rPr>
          <w:rFonts w:ascii="宋体" w:hAnsi="宋体" w:cs="宋体" w:eastAsia="宋体" w:hint="default"/>
          <w:spacing w:val="-2"/>
          <w:sz w:val="21"/>
          <w:szCs w:val="21"/>
        </w:rPr>
        <w:t>本次募集资金投资项目实施后，发行人资产规模将有较大幅度增加，固定资产折旧及无形资产摊销也</w:t>
      </w:r>
    </w:p>
    <w:p>
      <w:pPr>
        <w:pStyle w:val="Heading4"/>
        <w:spacing w:line="209" w:lineRule="exact"/>
        <w:ind w:right="0"/>
        <w:jc w:val="left"/>
      </w:pPr>
      <w:r>
        <w:rPr/>
        <w:t>将相应增加。项目达产后公司业务规模将不断上升，新增营业收入可覆盖新增固定资产折旧及无形资产摊</w:t>
      </w:r>
    </w:p>
    <w:p>
      <w:pPr>
        <w:pStyle w:val="Heading4"/>
        <w:spacing w:line="273" w:lineRule="auto" w:before="37"/>
        <w:ind w:right="1092"/>
        <w:jc w:val="left"/>
      </w:pPr>
      <w:r>
        <w:rPr/>
        <w:t>销等支出，公司营业利润不会因此而下降。如果市场环境发生重大变化或无法预知的重大不利情况出现， 募集资金项目预期收益短期不能实现，则公司存在因固定资产的大量增加而导致利润下滑的风险。</w:t>
      </w:r>
    </w:p>
    <w:p>
      <w:pPr>
        <w:pStyle w:val="Heading4"/>
        <w:spacing w:line="273" w:lineRule="auto" w:before="127"/>
        <w:ind w:right="1131" w:firstLine="480"/>
        <w:jc w:val="both"/>
      </w:pPr>
      <w:r>
        <w:rPr>
          <w:spacing w:val="-2"/>
        </w:rPr>
        <w:t>风险应对措施：公司围绕发展战略有序推进各项工作，加快新设备、新技术研究和应用，持续提升研</w:t>
      </w:r>
      <w:r>
        <w:rPr/>
        <w:t> </w:t>
      </w:r>
      <w:r>
        <w:rPr>
          <w:spacing w:val="-1"/>
        </w:rPr>
        <w:t>发创新能力，进一步提升公司核心竞争力，确保主营业务稳定增长，降低新增固定资产折旧及无形资产摊</w:t>
      </w:r>
      <w:r>
        <w:rPr>
          <w:spacing w:val="-83"/>
        </w:rPr>
        <w:t> </w:t>
      </w:r>
      <w:r>
        <w:rPr>
          <w:spacing w:val="-83"/>
        </w:rPr>
      </w:r>
      <w:r>
        <w:rPr/>
        <w:t>销影响未来盈利的风险。</w:t>
      </w:r>
    </w:p>
    <w:p>
      <w:pPr>
        <w:spacing w:line="357" w:lineRule="auto" w:before="127"/>
        <w:ind w:left="634" w:right="1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宋体" w:hAnsi="宋体" w:cs="宋体" w:eastAsia="宋体" w:hint="default"/>
          <w:b/>
          <w:bCs/>
          <w:sz w:val="21"/>
          <w:szCs w:val="21"/>
        </w:rPr>
        <w:t>应收账款管理风险</w:t>
      </w:r>
      <w:r>
        <w:rPr>
          <w:rFonts w:ascii="宋体" w:hAnsi="宋体" w:cs="宋体" w:eastAsia="宋体" w:hint="default"/>
          <w:b/>
          <w:bCs/>
          <w:w w:val="99"/>
          <w:sz w:val="21"/>
          <w:szCs w:val="21"/>
        </w:rPr>
        <w:t> </w:t>
      </w:r>
      <w:r>
        <w:rPr>
          <w:rFonts w:ascii="宋体" w:hAnsi="宋体" w:cs="宋体" w:eastAsia="宋体" w:hint="default"/>
          <w:spacing w:val="-2"/>
          <w:sz w:val="21"/>
          <w:szCs w:val="21"/>
        </w:rPr>
        <w:t>随着公司业务规模扩大，应收账款余额也呈上升趋势。尽管公司主要客户为资信良好的大中型国有企</w:t>
      </w:r>
    </w:p>
    <w:p>
      <w:pPr>
        <w:pStyle w:val="Heading4"/>
        <w:spacing w:line="209" w:lineRule="exact"/>
        <w:ind w:right="0"/>
        <w:jc w:val="left"/>
      </w:pPr>
      <w:r>
        <w:rPr/>
        <w:t>业，应收账款发生坏账的可能性较小，但如果客户出现财务状况恶化或无法按期付款的情况，将会使公司</w:t>
      </w:r>
    </w:p>
    <w:p>
      <w:pPr>
        <w:pStyle w:val="Heading4"/>
        <w:spacing w:line="240" w:lineRule="auto" w:before="37"/>
        <w:ind w:right="0"/>
        <w:jc w:val="left"/>
      </w:pPr>
      <w:r>
        <w:rPr/>
        <w:t>存在应收账款回收风险。</w:t>
      </w:r>
    </w:p>
    <w:p>
      <w:pPr>
        <w:pStyle w:val="Heading4"/>
        <w:spacing w:line="273" w:lineRule="auto" w:before="157"/>
        <w:ind w:right="1132" w:firstLine="480"/>
        <w:jc w:val="both"/>
      </w:pPr>
      <w:r>
        <w:rPr>
          <w:spacing w:val="-2"/>
        </w:rPr>
        <w:t>风险应对措施：公司将落实应收账款管理的长效机制，提高应收账款管理水平，加大应收账款催款力</w:t>
      </w:r>
      <w:r>
        <w:rPr/>
        <w:t> 度，通过生产和市场一体化管理，促进更快回收应收账款，有效降低应收账款管理风险。</w:t>
      </w:r>
    </w:p>
    <w:p>
      <w:pPr>
        <w:pStyle w:val="Heading4"/>
        <w:spacing w:line="357" w:lineRule="auto" w:before="127"/>
        <w:ind w:left="634" w:right="1032"/>
        <w:jc w:val="left"/>
      </w:pPr>
      <w:r>
        <w:rPr>
          <w:rFonts w:ascii="Times New Roman" w:hAnsi="Times New Roman" w:cs="Times New Roman" w:eastAsia="Times New Roman" w:hint="default"/>
          <w:b/>
          <w:bCs/>
        </w:rPr>
        <w:t>4. </w:t>
      </w:r>
      <w:r>
        <w:rPr>
          <w:rFonts w:ascii="宋体" w:hAnsi="宋体" w:cs="宋体" w:eastAsia="宋体" w:hint="default"/>
          <w:b/>
          <w:bCs/>
        </w:rPr>
        <w:t>项目管理风险</w:t>
      </w:r>
      <w:r>
        <w:rPr>
          <w:rFonts w:ascii="宋体" w:hAnsi="宋体" w:cs="宋体" w:eastAsia="宋体" w:hint="default"/>
          <w:b/>
          <w:bCs/>
          <w:w w:val="99"/>
        </w:rPr>
        <w:t> </w:t>
      </w:r>
      <w:r>
        <w:rPr/>
        <w:t>总承包项目管理涉及的企业、部门和人员众多，容易受到各种不确定的外部因素影响，执行过程中，</w:t>
      </w:r>
    </w:p>
    <w:p>
      <w:pPr>
        <w:pStyle w:val="Heading4"/>
        <w:spacing w:line="209" w:lineRule="exact"/>
        <w:ind w:right="0"/>
        <w:jc w:val="left"/>
      </w:pPr>
      <w:r>
        <w:rPr>
          <w:spacing w:val="-3"/>
        </w:rPr>
        <w:t>若发生项目工期延长、分包单位质量管控不到位、工程进度款到位不及时等情况，可能导致项目管理风险。</w:t>
      </w:r>
    </w:p>
    <w:p>
      <w:pPr>
        <w:pStyle w:val="Heading4"/>
        <w:spacing w:line="273" w:lineRule="auto" w:before="157"/>
        <w:ind w:right="1023" w:firstLine="480"/>
        <w:jc w:val="left"/>
      </w:pPr>
      <w:r>
        <w:rPr>
          <w:spacing w:val="-2"/>
        </w:rPr>
        <w:t>风险应对措施：公司继续完善科学的工程总承包管理制度体系，强化供应商管理，全面提高项目管理</w:t>
      </w:r>
      <w:r>
        <w:rPr/>
        <w:t> </w:t>
      </w:r>
      <w:r>
        <w:rPr>
          <w:spacing w:val="-3"/>
        </w:rPr>
        <w:t>水平，持续提升管理人员现场管理能力，在项目实施全过程加强安全、质量和进度的日常管理和风险管控，</w:t>
      </w:r>
      <w:r>
        <w:rPr>
          <w:spacing w:val="-90"/>
        </w:rPr>
        <w:t> </w:t>
      </w:r>
      <w:r>
        <w:rPr>
          <w:spacing w:val="-90"/>
        </w:rPr>
      </w:r>
      <w:r>
        <w:rPr/>
        <w:t>有效控制项目各类管理风险。</w:t>
      </w:r>
    </w:p>
    <w:p>
      <w:pPr>
        <w:spacing w:line="357" w:lineRule="auto" w:before="127"/>
        <w:ind w:left="63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 </w:t>
      </w:r>
      <w:r>
        <w:rPr>
          <w:rFonts w:ascii="宋体" w:hAnsi="宋体" w:cs="宋体" w:eastAsia="宋体" w:hint="default"/>
          <w:b/>
          <w:bCs/>
          <w:sz w:val="21"/>
          <w:szCs w:val="21"/>
        </w:rPr>
        <w:t>海外项目执行风险</w:t>
      </w:r>
      <w:r>
        <w:rPr>
          <w:rFonts w:ascii="宋体" w:hAnsi="宋体" w:cs="宋体" w:eastAsia="宋体" w:hint="default"/>
          <w:b/>
          <w:bCs/>
          <w:w w:val="99"/>
          <w:sz w:val="21"/>
          <w:szCs w:val="21"/>
        </w:rPr>
        <w:t> </w:t>
      </w:r>
      <w:r>
        <w:rPr>
          <w:rFonts w:ascii="宋体" w:hAnsi="宋体" w:cs="宋体" w:eastAsia="宋体" w:hint="default"/>
          <w:spacing w:val="-5"/>
          <w:sz w:val="21"/>
          <w:szCs w:val="21"/>
        </w:rPr>
        <w:t>海外项目执行受当地的社会安全、产业政策、商业环境、法律法规、标准规范、国际商务等影响很大，</w:t>
      </w:r>
    </w:p>
    <w:p>
      <w:pPr>
        <w:pStyle w:val="Heading4"/>
        <w:spacing w:line="209" w:lineRule="exact"/>
        <w:ind w:right="0"/>
        <w:jc w:val="left"/>
      </w:pPr>
      <w:r>
        <w:rPr/>
        <w:t>执行过程中，若由于当地要求变化或国内与海外商贸环境变化，而公司无法满足当地的要求，可能使公司</w:t>
      </w:r>
    </w:p>
    <w:p>
      <w:pPr>
        <w:pStyle w:val="Heading4"/>
        <w:spacing w:line="240" w:lineRule="auto" w:before="37"/>
        <w:ind w:right="0"/>
        <w:jc w:val="left"/>
      </w:pPr>
      <w:r>
        <w:rPr/>
        <w:t>海外项目执行存在风险。</w:t>
      </w:r>
    </w:p>
    <w:p>
      <w:pPr>
        <w:pStyle w:val="Heading4"/>
        <w:spacing w:line="273" w:lineRule="auto" w:before="157"/>
        <w:ind w:right="1131" w:firstLine="480"/>
        <w:jc w:val="both"/>
      </w:pPr>
      <w:r>
        <w:rPr>
          <w:spacing w:val="-2"/>
        </w:rPr>
        <w:t>风险应对措施：完善公司海外项目的各项管理制度，密切关注项目所在国的政治、经济和社会环境变</w:t>
      </w:r>
      <w:r>
        <w:rPr/>
        <w:t> </w:t>
      </w:r>
      <w:r>
        <w:rPr>
          <w:spacing w:val="-1"/>
        </w:rPr>
        <w:t>化；继续加大海外执行能力建设，全面提升商务、技术、管理等能力，逐步完善海外风险管控体系，提高</w:t>
      </w:r>
      <w:r>
        <w:rPr>
          <w:spacing w:val="-83"/>
        </w:rPr>
        <w:t> </w:t>
      </w:r>
      <w:r>
        <w:rPr>
          <w:spacing w:val="-83"/>
        </w:rPr>
      </w:r>
      <w:r>
        <w:rPr/>
        <w:t>抵御风险能力。</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003"/>
        <w:gridCol w:w="3212"/>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5"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0"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2" w:right="0"/>
              <w:jc w:val="left"/>
              <w:rPr>
                <w:rFonts w:ascii="宋体" w:hAnsi="宋体" w:cs="宋体" w:eastAsia="宋体" w:hint="default"/>
                <w:sz w:val="18"/>
                <w:szCs w:val="18"/>
              </w:rPr>
            </w:pPr>
            <w:r>
              <w:rPr>
                <w:rFonts w:ascii="宋体" w:hAnsi="宋体" w:cs="宋体" w:eastAsia="宋体" w:hint="default"/>
                <w:sz w:val="18"/>
                <w:szCs w:val="18"/>
              </w:rPr>
              <w:t>详见深圳证券交易所网站互动易平台</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003"/>
        <w:gridCol w:w="3212"/>
      </w:tblGrid>
      <w:tr>
        <w:trPr>
          <w:trHeight w:val="986"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http://www.cninfo.com.cn/new/index</w:t>
              </w:r>
            </w:hyperlink>
            <w:r>
              <w:rPr>
                <w:rFonts w:ascii="宋体" w:hAnsi="宋体" w:cs="宋体" w:eastAsia="宋体" w:hint="default"/>
                <w:sz w:val="18"/>
                <w:szCs w:val="18"/>
              </w:rPr>
              <w:t>）</w:t>
            </w:r>
          </w:p>
          <w:p>
            <w:pPr>
              <w:pStyle w:val="TableParagraph"/>
              <w:spacing w:line="302" w:lineRule="auto" w:before="63"/>
              <w:ind w:left="102" w:right="173"/>
              <w:jc w:val="left"/>
              <w:rPr>
                <w:rFonts w:ascii="宋体" w:hAnsi="宋体" w:cs="宋体" w:eastAsia="宋体" w:hint="default"/>
                <w:sz w:val="18"/>
                <w:szCs w:val="18"/>
              </w:rPr>
            </w:pPr>
            <w:r>
              <w:rPr>
                <w:rFonts w:ascii="宋体" w:hAnsi="宋体" w:cs="宋体" w:eastAsia="宋体" w:hint="default"/>
                <w:sz w:val="18"/>
                <w:szCs w:val="18"/>
              </w:rPr>
              <w:t>《永福股份：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 关系活动记录表》</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详见深圳证券交易所网站互动易平台</w:t>
            </w:r>
          </w:p>
          <w:p>
            <w:pPr>
              <w:pStyle w:val="TableParagraph"/>
              <w:spacing w:line="240" w:lineRule="auto" w:before="75"/>
              <w:ind w:left="102" w:right="0"/>
              <w:jc w:val="left"/>
              <w:rPr>
                <w:rFonts w:ascii="宋体" w:hAnsi="宋体" w:cs="宋体" w:eastAsia="宋体" w:hint="default"/>
                <w:sz w:val="18"/>
                <w:szCs w:val="18"/>
              </w:rPr>
            </w:pPr>
            <w:r>
              <w:rPr>
                <w:rFonts w:ascii="宋体" w:hAnsi="宋体" w:cs="宋体" w:eastAsia="宋体" w:hint="default"/>
                <w:sz w:val="18"/>
                <w:szCs w:val="18"/>
              </w:rPr>
              <w:t>（</w:t>
            </w:r>
            <w:hyperlink r:id="rId15">
              <w:r>
                <w:rPr>
                  <w:rFonts w:ascii="Times New Roman" w:hAnsi="Times New Roman" w:cs="Times New Roman" w:eastAsia="Times New Roman" w:hint="default"/>
                  <w:sz w:val="18"/>
                  <w:szCs w:val="18"/>
                </w:rPr>
                <w:t>http://www.cninfo.com.cn/new/index</w:t>
              </w:r>
            </w:hyperlink>
            <w:r>
              <w:rPr>
                <w:rFonts w:ascii="宋体" w:hAnsi="宋体" w:cs="宋体" w:eastAsia="宋体" w:hint="default"/>
                <w:sz w:val="18"/>
                <w:szCs w:val="18"/>
              </w:rPr>
              <w:t>）</w:t>
            </w:r>
          </w:p>
          <w:p>
            <w:pPr>
              <w:pStyle w:val="TableParagraph"/>
              <w:spacing w:line="302" w:lineRule="auto" w:before="63"/>
              <w:ind w:left="102" w:right="173"/>
              <w:jc w:val="left"/>
              <w:rPr>
                <w:rFonts w:ascii="宋体" w:hAnsi="宋体" w:cs="宋体" w:eastAsia="宋体" w:hint="default"/>
                <w:sz w:val="18"/>
                <w:szCs w:val="18"/>
              </w:rPr>
            </w:pPr>
            <w:r>
              <w:rPr>
                <w:rFonts w:ascii="宋体" w:hAnsi="宋体" w:cs="宋体" w:eastAsia="宋体" w:hint="default"/>
                <w:sz w:val="18"/>
                <w:szCs w:val="18"/>
              </w:rPr>
              <w:t>《永福股份：</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 关系活动记录表》</w:t>
            </w:r>
          </w:p>
        </w:tc>
      </w:tr>
    </w:tbl>
    <w:p>
      <w:pPr>
        <w:spacing w:after="0" w:line="302"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1"/>
        <w:ind w:right="978"/>
        <w:jc w:val="center"/>
        <w:rPr>
          <w:b w:val="0"/>
          <w:bCs w:val="0"/>
        </w:rPr>
      </w:pPr>
      <w:bookmarkStart w:name="第五节 重要事项" w:id="61"/>
      <w:bookmarkEnd w:id="61"/>
      <w:r>
        <w:rPr>
          <w:b w:val="0"/>
          <w:bCs w:val="0"/>
        </w:rPr>
      </w:r>
      <w:bookmarkStart w:name="_bookmark4"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t>√ 适用 □ 不适用</w:t>
      </w:r>
    </w:p>
    <w:p>
      <w:pPr>
        <w:pStyle w:val="BodyText"/>
        <w:spacing w:line="316" w:lineRule="auto" w:before="125"/>
        <w:ind w:right="0"/>
        <w:jc w:val="left"/>
      </w:pPr>
      <w:r>
        <w:rPr>
          <w:spacing w:val="-2"/>
        </w:rPr>
        <w:t>公司严格执行《公司章程》中的利润分配政策，分红比例明确清晰，相关的决策程序和机制完备，相关的议案经董事会、监</w:t>
      </w:r>
      <w:r>
        <w:rPr>
          <w:spacing w:val="-67"/>
        </w:rPr>
        <w:t> </w:t>
      </w:r>
      <w:r>
        <w:rPr>
          <w:spacing w:val="-67"/>
        </w:rPr>
      </w:r>
      <w:r>
        <w:rPr/>
        <w:t>事会审议通过后提交股东大会审议，且独立董事发表了独立意见。</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60" w:lineRule="auto" w:before="116"/>
        <w:ind w:right="4272"/>
        <w:jc w:val="left"/>
      </w:pPr>
      <w:r>
        <w:rPr/>
        <w:t>√ 是 □ 否 □ 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8"/>
        <w:gridCol w:w="5851"/>
      </w:tblGrid>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140,080,000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14,008,000.00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pacing w:val="-10"/>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14,008,000.00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204,811,771.94</w:t>
            </w:r>
          </w:p>
        </w:tc>
      </w:tr>
      <w:tr>
        <w:trPr>
          <w:trHeight w:val="714"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 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经立信会计师事务所（特殊普通合伙）审计，</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年度合并报表归属于上市公司股东的净利润为人民币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73,533,333.39</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9"/>
        <w:rPr>
          <w:rFonts w:ascii="宋体" w:hAnsi="宋体" w:cs="宋体" w:eastAsia="宋体" w:hint="default"/>
          <w:sz w:val="13"/>
          <w:szCs w:val="13"/>
        </w:rPr>
      </w:pPr>
    </w:p>
    <w:p>
      <w:pPr>
        <w:spacing w:line="3563" w:lineRule="exact"/>
        <w:ind w:left="154" w:right="0" w:firstLine="0"/>
        <w:rPr>
          <w:rFonts w:ascii="宋体" w:hAnsi="宋体" w:cs="宋体" w:eastAsia="宋体" w:hint="default"/>
          <w:sz w:val="20"/>
          <w:szCs w:val="20"/>
        </w:rPr>
      </w:pPr>
      <w:r>
        <w:rPr>
          <w:rFonts w:ascii="宋体" w:hAnsi="宋体" w:cs="宋体" w:eastAsia="宋体" w:hint="default"/>
          <w:position w:val="-70"/>
          <w:sz w:val="20"/>
          <w:szCs w:val="20"/>
        </w:rPr>
        <w:pict>
          <v:shape style="width:478.45pt;height:178.2pt;mso-position-horizontal-relative:char;mso-position-vertical-relative:line" type="#_x0000_t202" filled="false" stroked="true" strokeweight=".48004pt" strokecolor="#000000">
            <w10:anchorlock/>
            <v:textbox inset="0,0,0,0">
              <w:txbxContent>
                <w:p>
                  <w:pPr>
                    <w:pStyle w:val="BodyText"/>
                    <w:spacing w:line="240" w:lineRule="auto" w:before="10"/>
                    <w:ind w:left="103" w:right="0"/>
                    <w:jc w:val="left"/>
                  </w:pPr>
                  <w:r>
                    <w:rPr>
                      <w:spacing w:val="-3"/>
                    </w:rPr>
                    <w:t>元，其中，母公司实现净利润为人民币 </w:t>
                  </w:r>
                  <w:r>
                    <w:rPr>
                      <w:rFonts w:ascii="Times New Roman" w:hAnsi="Times New Roman" w:cs="Times New Roman" w:eastAsia="Times New Roman" w:hint="default"/>
                    </w:rPr>
                    <w:t>69,693,905.54</w:t>
                  </w:r>
                  <w:r>
                    <w:rPr>
                      <w:rFonts w:ascii="Times New Roman" w:hAnsi="Times New Roman" w:cs="Times New Roman" w:eastAsia="Times New Roman" w:hint="default"/>
                      <w:spacing w:val="-16"/>
                    </w:rPr>
                    <w:t> </w:t>
                  </w:r>
                  <w:r>
                    <w:rPr>
                      <w:spacing w:val="-4"/>
                    </w:rPr>
                    <w:t>元。根据《公司法》及《公司章程》规定，以母公司净利润为基数，</w:t>
                  </w:r>
                </w:p>
                <w:p>
                  <w:pPr>
                    <w:pStyle w:val="BodyText"/>
                    <w:spacing w:line="240" w:lineRule="auto" w:before="63"/>
                    <w:ind w:left="103" w:right="0"/>
                    <w:jc w:val="left"/>
                  </w:pPr>
                  <w:r>
                    <w:rPr/>
                    <w:t>提取</w:t>
                  </w:r>
                  <w:r>
                    <w:rPr>
                      <w:spacing w:val="-46"/>
                    </w:rPr>
                    <w:t> </w:t>
                  </w:r>
                  <w:r>
                    <w:rPr>
                      <w:rFonts w:ascii="Times New Roman" w:hAnsi="Times New Roman" w:cs="Times New Roman" w:eastAsia="Times New Roman" w:hint="default"/>
                    </w:rPr>
                    <w:t>10%</w:t>
                  </w:r>
                  <w:r>
                    <w:rPr/>
                    <w:t>法定盈余公积为人民币</w:t>
                  </w:r>
                  <w:r>
                    <w:rPr>
                      <w:spacing w:val="-46"/>
                    </w:rPr>
                    <w:t> </w:t>
                  </w:r>
                  <w:r>
                    <w:rPr>
                      <w:rFonts w:ascii="Times New Roman" w:hAnsi="Times New Roman" w:cs="Times New Roman" w:eastAsia="Times New Roman" w:hint="default"/>
                    </w:rPr>
                    <w:t>6,969,390</w:t>
                  </w:r>
                  <w:r>
                    <w:rPr>
                      <w:rFonts w:ascii="Times New Roman" w:hAnsi="Times New Roman" w:cs="Times New Roman" w:eastAsia="Times New Roman" w:hint="default"/>
                      <w:spacing w:val="-1"/>
                    </w:rPr>
                    <w:t>.</w:t>
                  </w:r>
                  <w:r>
                    <w:rPr>
                      <w:rFonts w:ascii="Times New Roman" w:hAnsi="Times New Roman" w:cs="Times New Roman" w:eastAsia="Times New Roman" w:hint="default"/>
                    </w:rPr>
                    <w:t>55</w:t>
                  </w:r>
                  <w:r>
                    <w:rPr>
                      <w:rFonts w:ascii="Times New Roman" w:hAnsi="Times New Roman" w:cs="Times New Roman" w:eastAsia="Times New Roman" w:hint="default"/>
                      <w:spacing w:val="-1"/>
                    </w:rPr>
                    <w:t> </w:t>
                  </w:r>
                  <w:r>
                    <w:rPr/>
                    <w:t>元</w:t>
                  </w:r>
                  <w:r>
                    <w:rPr>
                      <w:spacing w:val="-90"/>
                    </w:rPr>
                    <w:t>，</w:t>
                  </w:r>
                  <w:r>
                    <w:rPr/>
                    <w:t>，母公司当年实现的可供分配利润为人民币</w:t>
                  </w:r>
                  <w:r>
                    <w:rPr>
                      <w:spacing w:val="-45"/>
                    </w:rPr>
                    <w:t> </w:t>
                  </w:r>
                  <w:r>
                    <w:rPr>
                      <w:rFonts w:ascii="Times New Roman" w:hAnsi="Times New Roman" w:cs="Times New Roman" w:eastAsia="Times New Roman" w:hint="default"/>
                    </w:rPr>
                    <w:t>62,724,</w:t>
                  </w:r>
                  <w:r>
                    <w:rPr>
                      <w:rFonts w:ascii="Times New Roman" w:hAnsi="Times New Roman" w:cs="Times New Roman" w:eastAsia="Times New Roman" w:hint="default"/>
                      <w:spacing w:val="-2"/>
                    </w:rPr>
                    <w:t>5</w:t>
                  </w:r>
                  <w:r>
                    <w:rPr>
                      <w:rFonts w:ascii="Times New Roman" w:hAnsi="Times New Roman" w:cs="Times New Roman" w:eastAsia="Times New Roman" w:hint="default"/>
                    </w:rPr>
                    <w:t>14.99 </w:t>
                  </w:r>
                  <w:r>
                    <w:rPr/>
                    <w:t>元，减去支</w:t>
                  </w:r>
                </w:p>
                <w:p>
                  <w:pPr>
                    <w:pStyle w:val="BodyText"/>
                    <w:spacing w:line="240" w:lineRule="auto" w:before="63"/>
                    <w:ind w:left="103" w:right="0"/>
                    <w:jc w:val="left"/>
                  </w:pPr>
                  <w:r>
                    <w:rPr/>
                    <w:t>付上年度应付现金股利</w:t>
                  </w:r>
                  <w:r>
                    <w:rPr>
                      <w:spacing w:val="-47"/>
                    </w:rPr>
                    <w:t> </w:t>
                  </w:r>
                  <w:r>
                    <w:rPr>
                      <w:rFonts w:ascii="Times New Roman" w:hAnsi="Times New Roman" w:cs="Times New Roman" w:eastAsia="Times New Roman" w:hint="default"/>
                    </w:rPr>
                    <w:t>14,008,000.00</w:t>
                  </w:r>
                  <w:r>
                    <w:rPr>
                      <w:rFonts w:ascii="Times New Roman" w:hAnsi="Times New Roman" w:cs="Times New Roman" w:eastAsia="Times New Roman" w:hint="default"/>
                      <w:spacing w:val="-1"/>
                    </w:rPr>
                    <w:t> </w:t>
                  </w:r>
                  <w:r>
                    <w:rPr/>
                    <w:t>元，加上以前年度未分配利润人民币</w:t>
                  </w:r>
                  <w:r>
                    <w:rPr>
                      <w:spacing w:val="-47"/>
                    </w:rPr>
                    <w:t> </w:t>
                  </w:r>
                  <w:r>
                    <w:rPr>
                      <w:rFonts w:ascii="Times New Roman" w:hAnsi="Times New Roman" w:cs="Times New Roman" w:eastAsia="Times New Roman" w:hint="default"/>
                    </w:rPr>
                    <w:t>156,095,256.95</w:t>
                  </w:r>
                  <w:r>
                    <w:rPr>
                      <w:rFonts w:ascii="Times New Roman" w:hAnsi="Times New Roman" w:cs="Times New Roman" w:eastAsia="Times New Roman" w:hint="default"/>
                      <w:spacing w:val="-1"/>
                    </w:rPr>
                    <w:t> </w:t>
                  </w:r>
                  <w:r>
                    <w:rPr/>
                    <w:t>元，截止</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63"/>
                    <w:ind w:left="103" w:right="0"/>
                    <w:jc w:val="left"/>
                  </w:pPr>
                  <w:r>
                    <w:rPr/>
                    <w:t>母公司可供分配利润为人民币</w:t>
                  </w:r>
                  <w:r>
                    <w:rPr>
                      <w:spacing w:val="-49"/>
                    </w:rPr>
                    <w:t> </w:t>
                  </w:r>
                  <w:r>
                    <w:rPr>
                      <w:rFonts w:ascii="Times New Roman" w:hAnsi="Times New Roman" w:cs="Times New Roman" w:eastAsia="Times New Roman" w:hint="default"/>
                    </w:rPr>
                    <w:t>204,811,771.94</w:t>
                  </w:r>
                  <w:r>
                    <w:rPr>
                      <w:rFonts w:ascii="Times New Roman" w:hAnsi="Times New Roman" w:cs="Times New Roman" w:eastAsia="Times New Roman" w:hint="default"/>
                      <w:spacing w:val="-4"/>
                    </w:rPr>
                    <w:t> </w:t>
                  </w:r>
                  <w:r>
                    <w:rPr/>
                    <w:t>元。合并报表当年实现的可供分配利润为人民币</w:t>
                  </w:r>
                  <w:r>
                    <w:rPr>
                      <w:spacing w:val="-49"/>
                    </w:rPr>
                    <w:t> </w:t>
                  </w:r>
                  <w:r>
                    <w:rPr>
                      <w:rFonts w:ascii="Times New Roman" w:hAnsi="Times New Roman" w:cs="Times New Roman" w:eastAsia="Times New Roman" w:hint="default"/>
                    </w:rPr>
                    <w:t>66,563,942.84</w:t>
                  </w:r>
                  <w:r>
                    <w:rPr>
                      <w:rFonts w:ascii="Times New Roman" w:hAnsi="Times New Roman" w:cs="Times New Roman" w:eastAsia="Times New Roman" w:hint="default"/>
                      <w:spacing w:val="-4"/>
                    </w:rPr>
                    <w:t> </w:t>
                  </w:r>
                  <w:r>
                    <w:rPr/>
                    <w:t>元，减去支</w:t>
                  </w:r>
                </w:p>
                <w:p>
                  <w:pPr>
                    <w:pStyle w:val="BodyText"/>
                    <w:spacing w:line="240" w:lineRule="auto" w:before="63"/>
                    <w:ind w:left="103" w:right="0"/>
                    <w:jc w:val="left"/>
                  </w:pPr>
                  <w:r>
                    <w:rPr/>
                    <w:t>付上年度应付现金股利</w:t>
                  </w:r>
                  <w:r>
                    <w:rPr>
                      <w:spacing w:val="-47"/>
                    </w:rPr>
                    <w:t> </w:t>
                  </w:r>
                  <w:r>
                    <w:rPr>
                      <w:rFonts w:ascii="Times New Roman" w:hAnsi="Times New Roman" w:cs="Times New Roman" w:eastAsia="Times New Roman" w:hint="default"/>
                    </w:rPr>
                    <w:t>14,008,000.00</w:t>
                  </w:r>
                  <w:r>
                    <w:rPr>
                      <w:rFonts w:ascii="Times New Roman" w:hAnsi="Times New Roman" w:cs="Times New Roman" w:eastAsia="Times New Roman" w:hint="default"/>
                      <w:spacing w:val="-1"/>
                    </w:rPr>
                    <w:t> </w:t>
                  </w:r>
                  <w:r>
                    <w:rPr/>
                    <w:t>元，加上以前年度未分配利润</w:t>
                  </w:r>
                  <w:r>
                    <w:rPr>
                      <w:spacing w:val="-47"/>
                    </w:rPr>
                    <w:t> </w:t>
                  </w:r>
                  <w:r>
                    <w:rPr>
                      <w:rFonts w:ascii="Times New Roman" w:hAnsi="Times New Roman" w:cs="Times New Roman" w:eastAsia="Times New Roman" w:hint="default"/>
                    </w:rPr>
                    <w:t>204,369,501.28</w:t>
                  </w:r>
                  <w:r>
                    <w:rPr>
                      <w:rFonts w:ascii="Times New Roman" w:hAnsi="Times New Roman" w:cs="Times New Roman" w:eastAsia="Times New Roman" w:hint="default"/>
                      <w:spacing w:val="-1"/>
                    </w:rPr>
                    <w:t> </w:t>
                  </w:r>
                  <w:r>
                    <w:rPr/>
                    <w:t>元，截止</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可供分配</w:t>
                  </w:r>
                </w:p>
                <w:p>
                  <w:pPr>
                    <w:pStyle w:val="BodyText"/>
                    <w:spacing w:line="328" w:lineRule="auto" w:before="64"/>
                    <w:ind w:left="103" w:right="103"/>
                    <w:jc w:val="left"/>
                  </w:pPr>
                  <w:r>
                    <w:rPr/>
                    <w:t>利润为人民币</w:t>
                  </w:r>
                  <w:r>
                    <w:rPr>
                      <w:spacing w:val="-46"/>
                    </w:rPr>
                    <w:t> </w:t>
                  </w:r>
                  <w:r>
                    <w:rPr>
                      <w:rFonts w:ascii="Times New Roman" w:hAnsi="Times New Roman" w:cs="Times New Roman" w:eastAsia="Times New Roman" w:hint="default"/>
                    </w:rPr>
                    <w:t>256,925,444.12 </w:t>
                  </w:r>
                  <w:r>
                    <w:rPr/>
                    <w:t>元。 </w:t>
                  </w:r>
                  <w:r>
                    <w:rPr>
                      <w:spacing w:val="-1"/>
                    </w:rPr>
                    <w:t>根据证监会鼓励上市公司现金分红，给予投资者稳定、合理回报的指导意见，并在符合利润分配原则，保证公司正常经</w:t>
                  </w:r>
                  <w:r>
                    <w:rPr>
                      <w:spacing w:val="-50"/>
                    </w:rPr>
                    <w:t> </w:t>
                  </w:r>
                  <w:r>
                    <w:rPr>
                      <w:spacing w:val="-50"/>
                    </w:rPr>
                  </w:r>
                  <w:r>
                    <w:rPr/>
                    <w:t>营和长远发展的前提下，公司根据《公司法》和《公司章程》的相关规定，拟定 </w:t>
                  </w:r>
                  <w:r>
                    <w:rPr>
                      <w:rFonts w:ascii="Times New Roman" w:hAnsi="Times New Roman" w:cs="Times New Roman" w:eastAsia="Times New Roman" w:hint="default"/>
                    </w:rPr>
                    <w:t>2018  </w:t>
                  </w:r>
                  <w:r>
                    <w:rPr/>
                    <w:t>年利润分配方案如下：</w:t>
                  </w:r>
                </w:p>
                <w:p>
                  <w:pPr>
                    <w:pStyle w:val="BodyText"/>
                    <w:spacing w:line="240" w:lineRule="auto" w:before="27"/>
                    <w:ind w:left="103" w:right="0"/>
                    <w:jc w:val="left"/>
                  </w:pPr>
                  <w:r>
                    <w:rPr/>
                    <w:t>以截止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日公司总股本 </w:t>
                  </w:r>
                  <w:r>
                    <w:rPr>
                      <w:rFonts w:ascii="Times New Roman" w:hAnsi="Times New Roman" w:cs="Times New Roman" w:eastAsia="Times New Roman" w:hint="default"/>
                    </w:rPr>
                    <w:t>140,080,000 </w:t>
                  </w:r>
                  <w:r>
                    <w:rPr/>
                    <w:t>股为基数，向全体股东每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1.00 </w:t>
                  </w:r>
                  <w:r>
                    <w:rPr>
                      <w:rFonts w:ascii="Times New Roman" w:hAnsi="Times New Roman" w:cs="Times New Roman" w:eastAsia="Times New Roman" w:hint="default"/>
                      <w:spacing w:val="40"/>
                    </w:rPr>
                    <w:t> </w:t>
                  </w:r>
                  <w:r>
                    <w:rPr/>
                    <w:t>元人民币（含</w:t>
                  </w:r>
                </w:p>
                <w:p>
                  <w:pPr>
                    <w:pStyle w:val="BodyText"/>
                    <w:spacing w:line="302" w:lineRule="auto" w:before="63"/>
                    <w:ind w:left="103" w:right="146"/>
                    <w:jc w:val="left"/>
                  </w:pPr>
                  <w:r>
                    <w:rPr>
                      <w:spacing w:val="-6"/>
                    </w:rPr>
                    <w:t>税），合计派发现金股利为人民币</w:t>
                  </w:r>
                  <w:r>
                    <w:rPr>
                      <w:spacing w:val="-47"/>
                    </w:rPr>
                    <w:t> </w:t>
                  </w:r>
                  <w:r>
                    <w:rPr>
                      <w:rFonts w:ascii="Times New Roman" w:hAnsi="Times New Roman" w:cs="Times New Roman" w:eastAsia="Times New Roman" w:hint="default"/>
                    </w:rPr>
                    <w:t>14,008,000.00</w:t>
                  </w:r>
                  <w:r>
                    <w:rPr>
                      <w:rFonts w:ascii="Times New Roman" w:hAnsi="Times New Roman" w:cs="Times New Roman" w:eastAsia="Times New Roman" w:hint="default"/>
                      <w:spacing w:val="-1"/>
                    </w:rPr>
                    <w:t> </w:t>
                  </w:r>
                  <w:r>
                    <w:rPr>
                      <w:spacing w:val="-13"/>
                    </w:rPr>
                    <w:t>元（含税），送</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0"/>
                    </w:rPr>
                    <w:t> </w:t>
                  </w:r>
                  <w:r>
                    <w:rPr/>
                    <w:t>股，以资本公积金向全体股东每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股。剩余 未分配利润结转以后年度。</w:t>
                  </w:r>
                </w:p>
              </w:txbxContent>
            </v:textbox>
          </v:shape>
        </w:pict>
      </w:r>
      <w:r>
        <w:rPr>
          <w:rFonts w:ascii="宋体" w:hAnsi="宋体" w:cs="宋体" w:eastAsia="宋体" w:hint="default"/>
          <w:position w:val="-70"/>
          <w:sz w:val="20"/>
          <w:szCs w:val="20"/>
        </w:rPr>
      </w:r>
    </w:p>
    <w:p>
      <w:pPr>
        <w:pStyle w:val="BodyText"/>
        <w:spacing w:line="240" w:lineRule="auto" w:before="56"/>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12"/>
        <w:rPr>
          <w:rFonts w:ascii="宋体" w:hAnsi="宋体" w:cs="宋体" w:eastAsia="宋体" w:hint="default"/>
          <w:sz w:val="13"/>
          <w:szCs w:val="13"/>
        </w:rPr>
      </w:pPr>
    </w:p>
    <w:p>
      <w:pPr>
        <w:pStyle w:val="BodyText"/>
        <w:spacing w:line="300" w:lineRule="auto"/>
        <w:ind w:right="0" w:firstLine="360"/>
        <w:jc w:val="left"/>
      </w:pPr>
      <w:r>
        <w:rPr>
          <w:rFonts w:ascii="Times New Roman" w:hAnsi="Times New Roman" w:cs="Times New Roman" w:eastAsia="Times New Roman" w:hint="default"/>
          <w:spacing w:val="-2"/>
        </w:rPr>
        <w:t>2016</w:t>
      </w:r>
      <w:r>
        <w:rPr>
          <w:spacing w:val="-2"/>
        </w:rPr>
        <w:t>年度利润分配及资本公积转增股本预案：</w:t>
      </w:r>
      <w:r>
        <w:rPr>
          <w:rFonts w:ascii="Times New Roman" w:hAnsi="Times New Roman" w:cs="Times New Roman" w:eastAsia="Times New Roman" w:hint="default"/>
          <w:spacing w:val="-2"/>
        </w:rPr>
        <w:t>2016</w:t>
      </w:r>
      <w:r>
        <w:rPr>
          <w:spacing w:val="-2"/>
        </w:rPr>
        <w:t>年度不派发现金股利，股票股利，不进行资本公积转增股本。未分配</w:t>
      </w:r>
      <w:r>
        <w:rPr/>
        <w:t> 利润结转至下年度。</w:t>
      </w:r>
    </w:p>
    <w:p>
      <w:pPr>
        <w:pStyle w:val="BodyText"/>
        <w:spacing w:line="240" w:lineRule="auto" w:before="151"/>
        <w:ind w:left="514" w:right="0"/>
        <w:jc w:val="left"/>
      </w:pPr>
      <w:r>
        <w:rPr>
          <w:rFonts w:ascii="Times New Roman" w:hAnsi="Times New Roman" w:cs="Times New Roman" w:eastAsia="Times New Roman" w:hint="default"/>
        </w:rPr>
        <w:t>2017</w:t>
      </w:r>
      <w:r>
        <w:rPr/>
        <w:t>年度利润分配及资本公积转增股本预案：以截止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6"/>
        </w:rPr>
        <w:t> </w:t>
      </w:r>
      <w:r>
        <w:rPr/>
        <w:t>日公司总股本</w:t>
      </w:r>
      <w:r>
        <w:rPr>
          <w:rFonts w:ascii="Times New Roman" w:hAnsi="Times New Roman" w:cs="Times New Roman" w:eastAsia="Times New Roman" w:hint="default"/>
        </w:rPr>
        <w:t>140,080,000</w:t>
      </w:r>
      <w:r>
        <w:rPr/>
        <w:t>股为基数，向全体股</w:t>
      </w:r>
    </w:p>
    <w:p>
      <w:pPr>
        <w:pStyle w:val="BodyText"/>
        <w:spacing w:line="300" w:lineRule="auto" w:before="63"/>
        <w:ind w:right="1126"/>
        <w:jc w:val="left"/>
      </w:pPr>
      <w:r>
        <w:rPr/>
        <w:t>东每 </w:t>
      </w:r>
      <w:r>
        <w:rPr>
          <w:rFonts w:ascii="Times New Roman" w:hAnsi="Times New Roman" w:cs="Times New Roman" w:eastAsia="Times New Roman" w:hint="default"/>
        </w:rPr>
        <w:t>10</w:t>
      </w:r>
      <w:r>
        <w:rPr>
          <w:rFonts w:ascii="Times New Roman" w:hAnsi="Times New Roman" w:cs="Times New Roman" w:eastAsia="Times New Roman" w:hint="default"/>
          <w:spacing w:val="44"/>
        </w:rPr>
        <w:t> </w:t>
      </w:r>
      <w:r>
        <w:rPr>
          <w:spacing w:val="-3"/>
        </w:rPr>
        <w:t>股派发现金股利</w:t>
      </w:r>
      <w:r>
        <w:rPr>
          <w:rFonts w:ascii="Times New Roman" w:hAnsi="Times New Roman" w:cs="Times New Roman" w:eastAsia="Times New Roman" w:hint="default"/>
          <w:spacing w:val="-3"/>
        </w:rPr>
        <w:t>1.00</w:t>
      </w:r>
      <w:r>
        <w:rPr>
          <w:spacing w:val="-3"/>
        </w:rPr>
        <w:t>元人民币（含税），合计派发现金股利为人民币</w:t>
      </w:r>
      <w:r>
        <w:rPr>
          <w:rFonts w:ascii="Times New Roman" w:hAnsi="Times New Roman" w:cs="Times New Roman" w:eastAsia="Times New Roman" w:hint="default"/>
          <w:spacing w:val="-3"/>
        </w:rPr>
        <w:t>14,008,000.00</w:t>
      </w:r>
      <w:r>
        <w:rPr>
          <w:spacing w:val="-3"/>
        </w:rPr>
        <w:t>元（含税），送</w:t>
      </w:r>
      <w:r>
        <w:rPr>
          <w:rFonts w:ascii="Times New Roman" w:hAnsi="Times New Roman" w:cs="Times New Roman" w:eastAsia="Times New Roman" w:hint="default"/>
          <w:spacing w:val="-3"/>
        </w:rPr>
        <w:t>0</w:t>
      </w:r>
      <w:r>
        <w:rPr>
          <w:spacing w:val="-3"/>
        </w:rPr>
        <w:t>股转增</w:t>
      </w:r>
      <w:r>
        <w:rPr>
          <w:rFonts w:ascii="Times New Roman" w:hAnsi="Times New Roman" w:cs="Times New Roman" w:eastAsia="Times New Roman" w:hint="default"/>
          <w:spacing w:val="-3"/>
        </w:rPr>
        <w:t>0</w:t>
      </w:r>
      <w:r>
        <w:rPr>
          <w:spacing w:val="-3"/>
        </w:rPr>
        <w:t>股。剩余</w:t>
      </w:r>
      <w:r>
        <w:rPr/>
        <w:t> 未分配利润结转以后年度。</w:t>
      </w:r>
    </w:p>
    <w:p>
      <w:pPr>
        <w:pStyle w:val="BodyText"/>
        <w:spacing w:line="240" w:lineRule="auto" w:before="151"/>
        <w:ind w:left="514" w:right="0"/>
        <w:jc w:val="left"/>
      </w:pPr>
      <w:r>
        <w:rPr>
          <w:rFonts w:ascii="Times New Roman" w:hAnsi="Times New Roman" w:cs="Times New Roman" w:eastAsia="Times New Roman" w:hint="default"/>
        </w:rPr>
        <w:t>2018</w:t>
      </w:r>
      <w:r>
        <w:rPr/>
        <w:t>年度利润分配及资本公积转增股本预案：以截止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6"/>
        </w:rPr>
        <w:t> </w:t>
      </w:r>
      <w:r>
        <w:rPr/>
        <w:t>日公司总股本</w:t>
      </w:r>
      <w:r>
        <w:rPr>
          <w:rFonts w:ascii="Times New Roman" w:hAnsi="Times New Roman" w:cs="Times New Roman" w:eastAsia="Times New Roman" w:hint="default"/>
        </w:rPr>
        <w:t>140,080,000</w:t>
      </w:r>
      <w:r>
        <w:rPr/>
        <w:t>股为基数，向全体股</w:t>
      </w:r>
    </w:p>
    <w:p>
      <w:pPr>
        <w:pStyle w:val="BodyText"/>
        <w:spacing w:line="300" w:lineRule="auto" w:before="63"/>
        <w:ind w:right="1126"/>
        <w:jc w:val="left"/>
      </w:pPr>
      <w:r>
        <w:rPr/>
        <w:t>东每 </w:t>
      </w:r>
      <w:r>
        <w:rPr>
          <w:rFonts w:ascii="Times New Roman" w:hAnsi="Times New Roman" w:cs="Times New Roman" w:eastAsia="Times New Roman" w:hint="default"/>
        </w:rPr>
        <w:t>10</w:t>
      </w:r>
      <w:r>
        <w:rPr>
          <w:rFonts w:ascii="Times New Roman" w:hAnsi="Times New Roman" w:cs="Times New Roman" w:eastAsia="Times New Roman" w:hint="default"/>
          <w:spacing w:val="44"/>
        </w:rPr>
        <w:t> </w:t>
      </w:r>
      <w:r>
        <w:rPr>
          <w:spacing w:val="-3"/>
        </w:rPr>
        <w:t>股派发现金股利</w:t>
      </w:r>
      <w:r>
        <w:rPr>
          <w:rFonts w:ascii="Times New Roman" w:hAnsi="Times New Roman" w:cs="Times New Roman" w:eastAsia="Times New Roman" w:hint="default"/>
          <w:spacing w:val="-3"/>
        </w:rPr>
        <w:t>1.00</w:t>
      </w:r>
      <w:r>
        <w:rPr>
          <w:spacing w:val="-3"/>
        </w:rPr>
        <w:t>元人民币（含税），合计派发现金股利为人民币</w:t>
      </w:r>
      <w:r>
        <w:rPr>
          <w:rFonts w:ascii="Times New Roman" w:hAnsi="Times New Roman" w:cs="Times New Roman" w:eastAsia="Times New Roman" w:hint="default"/>
          <w:spacing w:val="-3"/>
        </w:rPr>
        <w:t>14,008,000.00</w:t>
      </w:r>
      <w:r>
        <w:rPr>
          <w:spacing w:val="-3"/>
        </w:rPr>
        <w:t>元（含税），送</w:t>
      </w:r>
      <w:r>
        <w:rPr>
          <w:rFonts w:ascii="Times New Roman" w:hAnsi="Times New Roman" w:cs="Times New Roman" w:eastAsia="Times New Roman" w:hint="default"/>
          <w:spacing w:val="-3"/>
        </w:rPr>
        <w:t>0</w:t>
      </w:r>
      <w:r>
        <w:rPr>
          <w:spacing w:val="-3"/>
        </w:rPr>
        <w:t>股转增</w:t>
      </w:r>
      <w:r>
        <w:rPr>
          <w:rFonts w:ascii="Times New Roman" w:hAnsi="Times New Roman" w:cs="Times New Roman" w:eastAsia="Times New Roman" w:hint="default"/>
          <w:spacing w:val="-3"/>
        </w:rPr>
        <w:t>3</w:t>
      </w:r>
      <w:r>
        <w:rPr>
          <w:spacing w:val="-3"/>
        </w:rPr>
        <w:t>股。剩余</w:t>
      </w:r>
      <w:r>
        <w:rPr/>
        <w:t> 未分配利润结转以后年度。</w:t>
      </w:r>
    </w:p>
    <w:p>
      <w:pPr>
        <w:spacing w:line="240" w:lineRule="auto" w:before="4"/>
        <w:rPr>
          <w:rFonts w:ascii="宋体" w:hAnsi="宋体" w:cs="宋体" w:eastAsia="宋体" w:hint="default"/>
          <w:sz w:val="8"/>
          <w:szCs w:val="8"/>
        </w:rPr>
      </w:pPr>
    </w:p>
    <w:p>
      <w:pPr>
        <w:pStyle w:val="BodyText"/>
        <w:spacing w:line="240" w:lineRule="auto" w:before="44"/>
        <w:ind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2586"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41" w:right="140"/>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42" w:right="143"/>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43" w:right="143"/>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142" w:right="140"/>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2"/>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42" w:right="143"/>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140"/>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73,533,333.3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19.01%</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76,966,118.4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18.20%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73,299,462.9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t>□ 适用 √ 不适用</w:t>
      </w:r>
    </w:p>
    <w:p>
      <w:pPr>
        <w:spacing w:after="0" w:line="240" w:lineRule="auto"/>
        <w:jc w:val="left"/>
        <w:sectPr>
          <w:pgSz w:w="11910" w:h="16840"/>
          <w:pgMar w:header="850" w:footer="1267" w:top="1260" w:bottom="1460" w:left="980" w:right="0"/>
        </w:sectPr>
      </w:pPr>
    </w:p>
    <w:p>
      <w:pPr>
        <w:spacing w:line="240" w:lineRule="auto" w:before="5"/>
        <w:rPr>
          <w:rFonts w:ascii="宋体" w:hAnsi="宋体" w:cs="宋体" w:eastAsia="宋体" w:hint="default"/>
          <w:sz w:val="8"/>
          <w:szCs w:val="8"/>
        </w:rPr>
      </w:pPr>
    </w:p>
    <w:p>
      <w:pPr>
        <w:pStyle w:val="Heading2"/>
        <w:spacing w:line="240" w:lineRule="auto" w:before="26"/>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01"/>
        <w:gridCol w:w="1276"/>
        <w:gridCol w:w="661"/>
        <w:gridCol w:w="4302"/>
        <w:gridCol w:w="649"/>
        <w:gridCol w:w="1014"/>
        <w:gridCol w:w="666"/>
      </w:tblGrid>
      <w:tr>
        <w:trPr>
          <w:trHeight w:val="714" w:hRule="exact"/>
        </w:trPr>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6" w:right="143"/>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0" w:right="137"/>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6" w:right="149"/>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1650" w:hRule="exact"/>
        </w:trPr>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r>
      <w:tr>
        <w:trPr>
          <w:trHeight w:val="6017" w:hRule="exact"/>
        </w:trPr>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1"/>
              <w:ind w:left="103" w:right="166"/>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pacing w:val="-4"/>
                <w:sz w:val="18"/>
                <w:szCs w:val="18"/>
              </w:rPr>
              <w:t>林一文、季征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南、王劲军、 </w:t>
            </w:r>
            <w:r>
              <w:rPr>
                <w:rFonts w:ascii="宋体" w:hAnsi="宋体" w:cs="宋体" w:eastAsia="宋体" w:hint="default"/>
                <w:spacing w:val="-4"/>
                <w:sz w:val="18"/>
                <w:szCs w:val="18"/>
              </w:rPr>
              <w:t>宋发兴、钱有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武、刘勇、卓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秀者、</w:t>
            </w:r>
            <w:r>
              <w:rPr>
                <w:rFonts w:ascii="宋体" w:hAnsi="宋体" w:cs="宋体" w:eastAsia="宋体" w:hint="default"/>
                <w:spacing w:val="-22"/>
                <w:sz w:val="18"/>
                <w:szCs w:val="18"/>
              </w:rPr>
              <w:t> </w:t>
            </w:r>
            <w:r>
              <w:rPr>
                <w:rFonts w:ascii="宋体" w:hAnsi="宋体" w:cs="宋体" w:eastAsia="宋体" w:hint="default"/>
                <w:sz w:val="18"/>
                <w:szCs w:val="18"/>
              </w:rPr>
              <w:t>陈强、</w:t>
            </w:r>
            <w:r>
              <w:rPr>
                <w:rFonts w:ascii="宋体" w:hAnsi="宋体" w:cs="宋体" w:eastAsia="宋体" w:hint="default"/>
                <w:sz w:val="18"/>
                <w:szCs w:val="18"/>
              </w:rPr>
              <w:t> </w:t>
            </w:r>
            <w:r>
              <w:rPr>
                <w:rFonts w:ascii="宋体" w:hAnsi="宋体" w:cs="宋体" w:eastAsia="宋体" w:hint="default"/>
                <w:spacing w:val="-4"/>
                <w:sz w:val="18"/>
                <w:szCs w:val="18"/>
              </w:rPr>
              <w:t>卢庆议、张善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传、罗志青、 </w:t>
            </w:r>
            <w:r>
              <w:rPr>
                <w:rFonts w:ascii="宋体" w:hAnsi="宋体" w:cs="宋体" w:eastAsia="宋体" w:hint="default"/>
                <w:spacing w:val="-4"/>
                <w:sz w:val="18"/>
                <w:szCs w:val="18"/>
              </w:rPr>
              <w:t>郭泗煊、王建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明、李庆先</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03" w:right="186"/>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4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）自发行人股票上市之日起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个月内，不转让或</w:t>
            </w:r>
            <w:r>
              <w:rPr>
                <w:rFonts w:ascii="宋体" w:hAnsi="宋体" w:cs="宋体" w:eastAsia="宋体" w:hint="default"/>
                <w:sz w:val="18"/>
                <w:szCs w:val="18"/>
              </w:rPr>
              <w:t> 者委托他人管理已经直接和间接持有的发行人公开 </w:t>
            </w:r>
            <w:r>
              <w:rPr>
                <w:rFonts w:ascii="宋体" w:hAnsi="宋体" w:cs="宋体" w:eastAsia="宋体" w:hint="default"/>
                <w:spacing w:val="-3"/>
                <w:sz w:val="18"/>
                <w:szCs w:val="18"/>
              </w:rPr>
              <w:t>发行股票前已发行的股份，也不由发行人收购该部分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股份；（</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）本人在担任公司董事、监事、高级管理人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员期间，将向公司申报所直接或间接持有的公司股份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及其变动情况，在任职期每年转让的股份不超过所直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接或间接持有的公司股份总数的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；离职后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宋体" w:hAnsi="宋体" w:cs="宋体" w:eastAsia="宋体" w:hint="default"/>
                <w:spacing w:val="-88"/>
                <w:sz w:val="18"/>
                <w:szCs w:val="18"/>
              </w:rPr>
              <w:t> </w:t>
            </w:r>
            <w:r>
              <w:rPr>
                <w:rFonts w:ascii="宋体" w:hAnsi="宋体" w:cs="宋体" w:eastAsia="宋体" w:hint="default"/>
                <w:spacing w:val="-7"/>
                <w:sz w:val="18"/>
                <w:szCs w:val="18"/>
              </w:rPr>
              <w:t>内，不转让直接或间接持有的公司股份；（</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）本人在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首次公开发行股票上市之日起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个月内申报离职的，</w:t>
            </w:r>
          </w:p>
          <w:p>
            <w:pPr>
              <w:pStyle w:val="TableParagraph"/>
              <w:spacing w:line="309" w:lineRule="auto" w:before="5"/>
              <w:ind w:left="103" w:right="103"/>
              <w:jc w:val="both"/>
              <w:rPr>
                <w:rFonts w:ascii="宋体" w:hAnsi="宋体" w:cs="宋体" w:eastAsia="宋体" w:hint="default"/>
                <w:sz w:val="18"/>
                <w:szCs w:val="18"/>
              </w:rPr>
            </w:pPr>
            <w:r>
              <w:rPr>
                <w:rFonts w:ascii="宋体" w:hAnsi="宋体" w:cs="宋体" w:eastAsia="宋体" w:hint="default"/>
                <w:sz w:val="18"/>
                <w:szCs w:val="18"/>
              </w:rPr>
              <w:t>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个月内不得转让本人直接或间 </w:t>
            </w:r>
            <w:r>
              <w:rPr>
                <w:rFonts w:ascii="宋体" w:hAnsi="宋体" w:cs="宋体" w:eastAsia="宋体" w:hint="default"/>
                <w:spacing w:val="-3"/>
                <w:sz w:val="18"/>
                <w:szCs w:val="18"/>
              </w:rPr>
              <w:t>接持有的公司股份；本人在首次公开发行股票上市之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日起第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个月之间申报离职的，自申报</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个月内不得转让本人直接或间接持有</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的公司股份</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28"/>
                <w:sz w:val="18"/>
                <w:szCs w:val="18"/>
              </w:rPr>
              <w:t>）</w:t>
            </w:r>
            <w:r>
              <w:rPr>
                <w:rFonts w:ascii="宋体" w:hAnsi="宋体" w:cs="宋体" w:eastAsia="宋体" w:hint="default"/>
                <w:sz w:val="18"/>
                <w:szCs w:val="18"/>
              </w:rPr>
              <w:t>所持股票在锁定期满后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年内减持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3"/>
                <w:sz w:val="18"/>
                <w:szCs w:val="18"/>
              </w:rPr>
              <w:t>的，减持价格不低于发行价；发行人上市后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个交易日的收盘价均低于发行</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4"/>
                <w:sz w:val="18"/>
                <w:szCs w:val="18"/>
              </w:rPr>
              <w:t>价，或者上市后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个月期末收盘价低于发行价，持有</w:t>
            </w:r>
          </w:p>
          <w:p>
            <w:pPr>
              <w:pStyle w:val="TableParagraph"/>
              <w:spacing w:line="302"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发行人股票的锁定期限自动延长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17"/>
                <w:sz w:val="18"/>
                <w:szCs w:val="18"/>
              </w:rPr>
              <w:t>个月；（</w:t>
            </w:r>
            <w:r>
              <w:rPr>
                <w:rFonts w:ascii="Times New Roman" w:hAnsi="Times New Roman" w:cs="Times New Roman" w:eastAsia="Times New Roman" w:hint="default"/>
                <w:spacing w:val="-17"/>
                <w:sz w:val="18"/>
                <w:szCs w:val="18"/>
              </w:rPr>
              <w:t>5</w:t>
            </w:r>
            <w:r>
              <w:rPr>
                <w:rFonts w:ascii="宋体" w:hAnsi="宋体" w:cs="宋体" w:eastAsia="宋体" w:hint="default"/>
                <w:spacing w:val="-17"/>
                <w:sz w:val="18"/>
                <w:szCs w:val="18"/>
              </w:rPr>
              <w:t>）本人不</w:t>
            </w:r>
            <w:r>
              <w:rPr>
                <w:rFonts w:ascii="宋体" w:hAnsi="宋体" w:cs="宋体" w:eastAsia="宋体" w:hint="default"/>
                <w:sz w:val="18"/>
                <w:szCs w:val="18"/>
              </w:rPr>
              <w:t> 会因职务变更、离职等原因而拒绝履行上述承诺。</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101" w:right="192"/>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2588"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02"/>
              <w:jc w:val="left"/>
              <w:rPr>
                <w:rFonts w:ascii="宋体" w:hAnsi="宋体" w:cs="宋体" w:eastAsia="宋体" w:hint="default"/>
                <w:sz w:val="18"/>
                <w:szCs w:val="18"/>
              </w:rPr>
            </w:pPr>
            <w:r>
              <w:rPr>
                <w:rFonts w:ascii="宋体" w:hAnsi="宋体" w:cs="宋体" w:eastAsia="宋体" w:hint="default"/>
                <w:sz w:val="18"/>
                <w:szCs w:val="18"/>
              </w:rPr>
              <w:t>福州博宏投 资管理有限 </w:t>
            </w:r>
            <w:r>
              <w:rPr>
                <w:rFonts w:ascii="宋体" w:hAnsi="宋体" w:cs="宋体" w:eastAsia="宋体" w:hint="default"/>
                <w:spacing w:val="-4"/>
                <w:sz w:val="18"/>
                <w:szCs w:val="18"/>
              </w:rPr>
              <w:t>公司、福州永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福恒诚投资 管理股份有 </w:t>
            </w:r>
            <w:r>
              <w:rPr>
                <w:rFonts w:ascii="宋体" w:hAnsi="宋体" w:cs="宋体" w:eastAsia="宋体" w:hint="default"/>
                <w:spacing w:val="-4"/>
                <w:sz w:val="18"/>
                <w:szCs w:val="18"/>
              </w:rPr>
              <w:t>限公司、福建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省永福博发 投资股份有</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103" w:right="186"/>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）自发行人股票上市之日起</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个月内，不转让或</w:t>
            </w:r>
            <w:r>
              <w:rPr>
                <w:rFonts w:ascii="宋体" w:hAnsi="宋体" w:cs="宋体" w:eastAsia="宋体" w:hint="default"/>
                <w:sz w:val="18"/>
                <w:szCs w:val="18"/>
              </w:rPr>
              <w:t> 者委托他人管理已经直接和间接持有的发行人公开 </w:t>
            </w:r>
            <w:r>
              <w:rPr>
                <w:rFonts w:ascii="宋体" w:hAnsi="宋体" w:cs="宋体" w:eastAsia="宋体" w:hint="default"/>
                <w:spacing w:val="-3"/>
                <w:sz w:val="18"/>
                <w:szCs w:val="18"/>
              </w:rPr>
              <w:t>发行股票前已发行的股份，也不由发行人收购该部分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9"/>
                <w:sz w:val="18"/>
                <w:szCs w:val="18"/>
              </w:rPr>
              <w:t>股份；（</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）所持股票在锁定期满后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年内减持的，减</w:t>
            </w:r>
          </w:p>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pacing w:val="-4"/>
                <w:sz w:val="18"/>
                <w:szCs w:val="18"/>
              </w:rPr>
              <w:t>持价格不低于发行价；发行人上市后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个月内如公司</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个交易日的收盘价均低于发行价，或者</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个月期末收盘价低于发行价，持有发行人股</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票的锁定期限自动延长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101" w:right="192"/>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50" w:footer="1267" w:top="1260" w:bottom="150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001"/>
        <w:gridCol w:w="1276"/>
        <w:gridCol w:w="661"/>
        <w:gridCol w:w="4302"/>
        <w:gridCol w:w="649"/>
        <w:gridCol w:w="1014"/>
        <w:gridCol w:w="668"/>
      </w:tblGrid>
      <w:tr>
        <w:trPr>
          <w:trHeight w:val="362" w:hRule="exact"/>
        </w:trPr>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001"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福建省平潭 卓成股权投 资合伙企业</w:t>
            </w:r>
          </w:p>
          <w:p>
            <w:pPr>
              <w:pStyle w:val="TableParagraph"/>
              <w:spacing w:line="314" w:lineRule="auto" w:before="19"/>
              <w:ind w:left="103" w:right="80"/>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3"/>
                <w:sz w:val="18"/>
                <w:szCs w:val="18"/>
              </w:rPr>
              <w:t>伙）、中国</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比</w:t>
            </w:r>
            <w:r>
              <w:rPr>
                <w:rFonts w:ascii="宋体" w:hAnsi="宋体" w:cs="宋体" w:eastAsia="宋体" w:hint="default"/>
                <w:sz w:val="18"/>
                <w:szCs w:val="18"/>
              </w:rPr>
              <w:t> 利时直接股 权投资基金、 青岛汉缆股 份有限公司、 </w:t>
            </w:r>
            <w:r>
              <w:rPr>
                <w:rFonts w:ascii="宋体" w:hAnsi="宋体" w:cs="宋体" w:eastAsia="宋体" w:hint="default"/>
                <w:spacing w:val="-4"/>
                <w:sz w:val="18"/>
                <w:szCs w:val="18"/>
              </w:rPr>
              <w:t>林文丹、林华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明</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03" w:right="186"/>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9"/>
              <w:ind w:left="103" w:right="103"/>
              <w:jc w:val="left"/>
              <w:rPr>
                <w:rFonts w:ascii="宋体" w:hAnsi="宋体" w:cs="宋体" w:eastAsia="宋体" w:hint="default"/>
                <w:sz w:val="18"/>
                <w:szCs w:val="18"/>
              </w:rPr>
            </w:pPr>
            <w:r>
              <w:rPr>
                <w:rFonts w:ascii="宋体" w:hAnsi="宋体" w:cs="宋体" w:eastAsia="宋体" w:hint="default"/>
                <w:sz w:val="18"/>
                <w:szCs w:val="18"/>
              </w:rPr>
              <w:t>自发行人首次公开发行股票之日起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 让或者委托他人管理已经直接和间接持有的发行人 </w:t>
            </w:r>
            <w:r>
              <w:rPr>
                <w:rFonts w:ascii="宋体" w:hAnsi="宋体" w:cs="宋体" w:eastAsia="宋体" w:hint="default"/>
                <w:spacing w:val="-3"/>
                <w:sz w:val="18"/>
                <w:szCs w:val="18"/>
              </w:rPr>
              <w:t>公开发行股票前已发行的股份，也不由发行人收购该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部分股份。</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101" w:right="194"/>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1650" w:hRule="exact"/>
        </w:trPr>
        <w:tc>
          <w:tcPr>
            <w:tcW w:w="1001"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0"/>
              <w:jc w:val="both"/>
              <w:rPr>
                <w:rFonts w:ascii="宋体" w:hAnsi="宋体" w:cs="宋体" w:eastAsia="宋体" w:hint="default"/>
                <w:sz w:val="18"/>
                <w:szCs w:val="18"/>
              </w:rPr>
            </w:pPr>
            <w:r>
              <w:rPr>
                <w:rFonts w:ascii="宋体" w:hAnsi="宋体" w:cs="宋体" w:eastAsia="宋体" w:hint="default"/>
                <w:sz w:val="18"/>
                <w:szCs w:val="18"/>
              </w:rPr>
              <w:t>宁波梅山保 税港区领慧 投资合伙企 业（有限合 伙）</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86"/>
              <w:jc w:val="both"/>
              <w:rPr>
                <w:rFonts w:ascii="宋体" w:hAnsi="宋体" w:cs="宋体" w:eastAsia="宋体" w:hint="default"/>
                <w:sz w:val="18"/>
                <w:szCs w:val="18"/>
              </w:rPr>
            </w:pPr>
            <w:r>
              <w:rPr>
                <w:rFonts w:ascii="宋体" w:hAnsi="宋体" w:cs="宋体" w:eastAsia="宋体" w:hint="default"/>
                <w:sz w:val="18"/>
                <w:szCs w:val="18"/>
              </w:rPr>
              <w:t>股份 限售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7" w:lineRule="auto"/>
              <w:ind w:left="103" w:right="46"/>
              <w:jc w:val="left"/>
              <w:rPr>
                <w:rFonts w:ascii="宋体" w:hAnsi="宋体" w:cs="宋体" w:eastAsia="宋体" w:hint="default"/>
                <w:sz w:val="18"/>
                <w:szCs w:val="18"/>
              </w:rPr>
            </w:pPr>
            <w:r>
              <w:rPr>
                <w:rFonts w:ascii="宋体" w:hAnsi="宋体" w:cs="宋体" w:eastAsia="宋体" w:hint="default"/>
                <w:sz w:val="18"/>
                <w:szCs w:val="18"/>
              </w:rPr>
              <w:t>其持有发行人的股份自其完成工商登记之日（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日）起三十六个月内，不转让或者委托他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人管理已经直接或者间接持有的发行人公开发行股 票前已发行的股份，也不由发行人收购该部分股份。</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94"/>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8203"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80"/>
              <w:jc w:val="left"/>
              <w:rPr>
                <w:rFonts w:ascii="宋体" w:hAnsi="宋体" w:cs="宋体" w:eastAsia="宋体" w:hint="default"/>
                <w:sz w:val="18"/>
                <w:szCs w:val="18"/>
              </w:rPr>
            </w:pPr>
            <w:r>
              <w:rPr>
                <w:rFonts w:ascii="宋体" w:hAnsi="宋体" w:cs="宋体" w:eastAsia="宋体" w:hint="default"/>
                <w:spacing w:val="-4"/>
                <w:sz w:val="18"/>
                <w:szCs w:val="18"/>
              </w:rPr>
              <w:t>林一文、季征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南、王劲军、 </w:t>
            </w:r>
            <w:r>
              <w:rPr>
                <w:rFonts w:ascii="宋体" w:hAnsi="宋体" w:cs="宋体" w:eastAsia="宋体" w:hint="default"/>
                <w:spacing w:val="-4"/>
                <w:sz w:val="18"/>
                <w:szCs w:val="18"/>
              </w:rPr>
              <w:t>宋发兴、钱有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武、卓秀者、 陈强、卢庆 </w:t>
            </w:r>
            <w:r>
              <w:rPr>
                <w:rFonts w:ascii="宋体" w:hAnsi="宋体" w:cs="宋体" w:eastAsia="宋体" w:hint="default"/>
                <w:spacing w:val="-4"/>
                <w:sz w:val="18"/>
                <w:szCs w:val="18"/>
              </w:rPr>
              <w:t>议、福州博宏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投资管理有 </w:t>
            </w:r>
            <w:r>
              <w:rPr>
                <w:rFonts w:ascii="宋体" w:hAnsi="宋体" w:cs="宋体" w:eastAsia="宋体" w:hint="default"/>
                <w:spacing w:val="-4"/>
                <w:sz w:val="18"/>
                <w:szCs w:val="18"/>
              </w:rPr>
              <w:t>限公司、福州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永福恒诚投 资管理股份 </w:t>
            </w:r>
            <w:r>
              <w:rPr>
                <w:rFonts w:ascii="宋体" w:hAnsi="宋体" w:cs="宋体" w:eastAsia="宋体" w:hint="default"/>
                <w:spacing w:val="-4"/>
                <w:sz w:val="18"/>
                <w:szCs w:val="18"/>
              </w:rPr>
              <w:t>有限公司、福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建省永福博 发投资股份 有限公司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3" w:right="186"/>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控股股东自锁定期满之日起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年内减持股份的具体</w:t>
            </w:r>
          </w:p>
          <w:p>
            <w:pPr>
              <w:pStyle w:val="TableParagraph"/>
              <w:spacing w:line="307" w:lineRule="auto" w:before="61"/>
              <w:ind w:left="103" w:right="102"/>
              <w:jc w:val="left"/>
              <w:rPr>
                <w:rFonts w:ascii="宋体" w:hAnsi="宋体" w:cs="宋体" w:eastAsia="宋体" w:hint="default"/>
                <w:sz w:val="18"/>
                <w:szCs w:val="18"/>
              </w:rPr>
            </w:pPr>
            <w:r>
              <w:rPr>
                <w:rFonts w:ascii="宋体" w:hAnsi="宋体" w:cs="宋体" w:eastAsia="宋体" w:hint="default"/>
                <w:spacing w:val="-7"/>
                <w:sz w:val="18"/>
                <w:szCs w:val="18"/>
              </w:rPr>
              <w:t>安排如下：（</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）减持数量：承诺人在锁定期满后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3"/>
                <w:sz w:val="18"/>
                <w:szCs w:val="18"/>
              </w:rPr>
              <w:t>内拟进行股份减持，合计减持股份数量不超过发行人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股份总数的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年内若拟进行股份减 </w:t>
            </w:r>
            <w:r>
              <w:rPr>
                <w:rFonts w:ascii="宋体" w:hAnsi="宋体" w:cs="宋体" w:eastAsia="宋体" w:hint="default"/>
                <w:spacing w:val="-3"/>
                <w:sz w:val="18"/>
                <w:szCs w:val="18"/>
              </w:rPr>
              <w:t>持，将在减持前按照证券交易所规则及时、准确、完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整地履行信息披露义务。承诺人若预计未来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通过证券交易系统出售直接或者间接持有的发行人 股份可能达到或超过发行人股份总数的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的，应当 在首次出售</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个交易日前刊登股份减持计划公告，在</w:t>
            </w:r>
          </w:p>
          <w:p>
            <w:pPr>
              <w:pStyle w:val="TableParagraph"/>
              <w:spacing w:line="309" w:lineRule="auto" w:before="7"/>
              <w:ind w:left="103" w:right="101"/>
              <w:jc w:val="left"/>
              <w:rPr>
                <w:rFonts w:ascii="宋体" w:hAnsi="宋体" w:cs="宋体" w:eastAsia="宋体" w:hint="default"/>
                <w:sz w:val="18"/>
                <w:szCs w:val="18"/>
              </w:rPr>
            </w:pPr>
            <w:r>
              <w:rPr>
                <w:rFonts w:ascii="宋体" w:hAnsi="宋体" w:cs="宋体" w:eastAsia="宋体" w:hint="default"/>
                <w:sz w:val="18"/>
                <w:szCs w:val="18"/>
              </w:rPr>
              <w:t>减持计划实施完成或者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个月期限届满后拟继续出 </w:t>
            </w:r>
            <w:r>
              <w:rPr>
                <w:rFonts w:ascii="宋体" w:hAnsi="宋体" w:cs="宋体" w:eastAsia="宋体" w:hint="default"/>
                <w:spacing w:val="-3"/>
                <w:sz w:val="18"/>
                <w:szCs w:val="18"/>
              </w:rPr>
              <w:t>售股份的，应当予以重新计算。承诺人如未按前述规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定刊登股份减持计划公告的，则任意连续</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个月内通</w:t>
            </w:r>
            <w:r>
              <w:rPr>
                <w:rFonts w:ascii="宋体" w:hAnsi="宋体" w:cs="宋体" w:eastAsia="宋体" w:hint="default"/>
                <w:spacing w:val="-88"/>
                <w:sz w:val="18"/>
                <w:szCs w:val="18"/>
              </w:rPr>
              <w:t> </w:t>
            </w:r>
            <w:r>
              <w:rPr>
                <w:rFonts w:ascii="宋体" w:hAnsi="宋体" w:cs="宋体" w:eastAsia="宋体" w:hint="default"/>
                <w:sz w:val="18"/>
                <w:szCs w:val="18"/>
              </w:rPr>
              <w:t>过证券交易系统出售发行人股份不得达到或超过发 行人股份总数的</w:t>
            </w:r>
            <w:r>
              <w:rPr>
                <w:rFonts w:ascii="宋体" w:hAnsi="宋体" w:cs="宋体" w:eastAsia="宋体" w:hint="default"/>
                <w:spacing w:val="-40"/>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）减持方式：通过证券交易</w:t>
            </w:r>
            <w:r>
              <w:rPr>
                <w:rFonts w:ascii="宋体" w:hAnsi="宋体" w:cs="宋体" w:eastAsia="宋体" w:hint="default"/>
                <w:spacing w:val="-85"/>
                <w:sz w:val="18"/>
                <w:szCs w:val="18"/>
              </w:rPr>
              <w:t> </w:t>
            </w:r>
            <w:r>
              <w:rPr>
                <w:rFonts w:ascii="宋体" w:hAnsi="宋体" w:cs="宋体" w:eastAsia="宋体" w:hint="default"/>
                <w:spacing w:val="-3"/>
                <w:sz w:val="18"/>
                <w:szCs w:val="18"/>
              </w:rPr>
              <w:t>所集中竞价交易系统、大宗交易系统进行，或通过协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议转让进行，但如果承诺人预计未来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个月内公开出 售解除限售存量股份的数量合计超过公司股份总数 </w:t>
            </w:r>
            <w:r>
              <w:rPr>
                <w:rFonts w:ascii="Times New Roman" w:hAnsi="Times New Roman" w:cs="Times New Roman" w:eastAsia="Times New Roman" w:hint="default"/>
                <w:sz w:val="18"/>
                <w:szCs w:val="18"/>
              </w:rPr>
              <w:t>1%</w:t>
            </w:r>
            <w:r>
              <w:rPr>
                <w:rFonts w:ascii="宋体" w:hAnsi="宋体" w:cs="宋体" w:eastAsia="宋体" w:hint="default"/>
                <w:sz w:val="18"/>
                <w:szCs w:val="18"/>
              </w:rPr>
              <w:t>的，将不通过证券交易所集中竞价交易系统转让 </w:t>
            </w:r>
            <w:r>
              <w:rPr>
                <w:rFonts w:ascii="宋体" w:hAnsi="宋体" w:cs="宋体" w:eastAsia="宋体" w:hint="default"/>
                <w:spacing w:val="-5"/>
                <w:sz w:val="18"/>
                <w:szCs w:val="18"/>
              </w:rPr>
              <w:t>所持股份；（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）减持价格：所持股票在锁定期满后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年内减持的，减持价格不低于发行价；发行人上市后</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个月内如发行人股票连续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6"/>
                <w:sz w:val="18"/>
                <w:szCs w:val="18"/>
              </w:rPr>
              <w:t>低于发行价，或者上市后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个月期末收盘价低于发行</w:t>
            </w:r>
          </w:p>
          <w:p>
            <w:pPr>
              <w:pStyle w:val="TableParagraph"/>
              <w:spacing w:line="300" w:lineRule="auto" w:before="63"/>
              <w:ind w:left="103" w:right="101"/>
              <w:jc w:val="both"/>
              <w:rPr>
                <w:rFonts w:ascii="宋体" w:hAnsi="宋体" w:cs="宋体" w:eastAsia="宋体" w:hint="default"/>
                <w:sz w:val="18"/>
                <w:szCs w:val="18"/>
              </w:rPr>
            </w:pPr>
            <w:r>
              <w:rPr>
                <w:rFonts w:ascii="宋体" w:hAnsi="宋体" w:cs="宋体" w:eastAsia="宋体" w:hint="default"/>
                <w:spacing w:val="-3"/>
                <w:sz w:val="18"/>
                <w:szCs w:val="18"/>
              </w:rPr>
              <w:t>价，承诺人持有发行人股票的锁定期限自动延长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7"/>
                <w:sz w:val="18"/>
                <w:szCs w:val="18"/>
              </w:rPr>
              <w:t>月。（</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）减持期限：减持股份行为的期限为减持计划</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公告后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个月内，减持期限届满后，若拟继续减持股</w:t>
            </w:r>
            <w:r>
              <w:rPr>
                <w:rFonts w:ascii="宋体" w:hAnsi="宋体" w:cs="宋体" w:eastAsia="宋体" w:hint="default"/>
                <w:sz w:val="18"/>
                <w:szCs w:val="18"/>
              </w:rPr>
              <w:t> 份，则需按照上述安排再次履行减持公告。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101" w:right="194"/>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6" w:lineRule="auto"/>
        <w:jc w:val="both"/>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001"/>
        <w:gridCol w:w="1276"/>
        <w:gridCol w:w="661"/>
        <w:gridCol w:w="4302"/>
        <w:gridCol w:w="649"/>
        <w:gridCol w:w="1014"/>
        <w:gridCol w:w="668"/>
      </w:tblGrid>
      <w:tr>
        <w:trPr>
          <w:trHeight w:val="3834" w:hRule="exact"/>
        </w:trPr>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60"/>
              <w:jc w:val="both"/>
              <w:rPr>
                <w:rFonts w:ascii="宋体" w:hAnsi="宋体" w:cs="宋体" w:eastAsia="宋体" w:hint="default"/>
                <w:sz w:val="18"/>
                <w:szCs w:val="18"/>
              </w:rPr>
            </w:pPr>
            <w:r>
              <w:rPr>
                <w:rFonts w:ascii="宋体" w:hAnsi="宋体" w:cs="宋体" w:eastAsia="宋体" w:hint="default"/>
                <w:sz w:val="18"/>
                <w:szCs w:val="18"/>
              </w:rPr>
              <w:t>福建省平潭 卓成股权投 资合伙企业</w:t>
            </w:r>
          </w:p>
          <w:p>
            <w:pPr>
              <w:pStyle w:val="TableParagraph"/>
              <w:spacing w:line="312" w:lineRule="auto" w:before="17"/>
              <w:ind w:left="103" w:right="110"/>
              <w:jc w:val="left"/>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13"/>
                <w:sz w:val="18"/>
                <w:szCs w:val="18"/>
              </w:rPr>
              <w:t>伙）、中国</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比</w:t>
            </w:r>
            <w:r>
              <w:rPr>
                <w:rFonts w:ascii="宋体" w:hAnsi="宋体" w:cs="宋体" w:eastAsia="宋体" w:hint="default"/>
                <w:sz w:val="18"/>
                <w:szCs w:val="18"/>
              </w:rPr>
              <w:t> 利时直接股 权投资基金</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103" w:right="186"/>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）减持数量：本机构在锁定期满后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年内拟进行 </w:t>
            </w:r>
            <w:r>
              <w:rPr>
                <w:rFonts w:ascii="宋体" w:hAnsi="宋体" w:cs="宋体" w:eastAsia="宋体" w:hint="default"/>
                <w:spacing w:val="-3"/>
                <w:sz w:val="18"/>
                <w:szCs w:val="18"/>
              </w:rPr>
              <w:t>股份减持，减持股份数量不超过其所持发行人股份总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；锁定期后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年内若拟进行股份减持，将 </w:t>
            </w:r>
            <w:r>
              <w:rPr>
                <w:rFonts w:ascii="宋体" w:hAnsi="宋体" w:cs="宋体" w:eastAsia="宋体" w:hint="default"/>
                <w:spacing w:val="-3"/>
                <w:sz w:val="18"/>
                <w:szCs w:val="18"/>
              </w:rPr>
              <w:t>在减持前按照证券交易所规则及时、准确、完整的履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行信息披露义务；（</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）减持方式：通过证券交易所集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中竞价交易系统、大宗交易系统进行，或通过协议转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让进行，但如果本机构预计未来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个月内公开出售解</w:t>
            </w:r>
          </w:p>
          <w:p>
            <w:pPr>
              <w:pStyle w:val="TableParagraph"/>
              <w:spacing w:line="304" w:lineRule="auto" w:before="5"/>
              <w:ind w:left="103" w:right="101"/>
              <w:jc w:val="both"/>
              <w:rPr>
                <w:rFonts w:ascii="宋体" w:hAnsi="宋体" w:cs="宋体" w:eastAsia="宋体" w:hint="default"/>
                <w:sz w:val="18"/>
                <w:szCs w:val="18"/>
              </w:rPr>
            </w:pPr>
            <w:r>
              <w:rPr>
                <w:rFonts w:ascii="宋体" w:hAnsi="宋体" w:cs="宋体" w:eastAsia="宋体" w:hint="default"/>
                <w:sz w:val="18"/>
                <w:szCs w:val="18"/>
              </w:rPr>
              <w:t>除限售存量股份的数量合计超过发行人股份总数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的，将不通过证券交易所集中竞价交易系统转让所持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股份；（</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）减持期限：减持股份行为的期限为减持计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划公告后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个月内，减持期限届满后，若拟继续减持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股份，则需按照上述安排再次履行减持公告。</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101" w:right="194"/>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6018" w:hRule="exact"/>
        </w:trPr>
        <w:tc>
          <w:tcPr>
            <w:tcW w:w="1001"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80"/>
              <w:jc w:val="left"/>
              <w:rPr>
                <w:rFonts w:ascii="宋体" w:hAnsi="宋体" w:cs="宋体" w:eastAsia="宋体" w:hint="default"/>
                <w:sz w:val="18"/>
                <w:szCs w:val="18"/>
              </w:rPr>
            </w:pPr>
            <w:r>
              <w:rPr>
                <w:rFonts w:ascii="宋体" w:hAnsi="宋体" w:cs="宋体" w:eastAsia="宋体" w:hint="default"/>
                <w:spacing w:val="-4"/>
                <w:sz w:val="18"/>
                <w:szCs w:val="18"/>
              </w:rPr>
              <w:t>林一文、季征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南、王劲军、 </w:t>
            </w:r>
            <w:r>
              <w:rPr>
                <w:rFonts w:ascii="宋体" w:hAnsi="宋体" w:cs="宋体" w:eastAsia="宋体" w:hint="default"/>
                <w:spacing w:val="-4"/>
                <w:sz w:val="18"/>
                <w:szCs w:val="18"/>
              </w:rPr>
              <w:t>宋发兴、钱有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武、卓秀者、 陈强、卢庆 </w:t>
            </w:r>
            <w:r>
              <w:rPr>
                <w:rFonts w:ascii="宋体" w:hAnsi="宋体" w:cs="宋体" w:eastAsia="宋体" w:hint="default"/>
                <w:spacing w:val="-4"/>
                <w:sz w:val="18"/>
                <w:szCs w:val="18"/>
              </w:rPr>
              <w:t>议、福州博宏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投资管理有 </w:t>
            </w:r>
            <w:r>
              <w:rPr>
                <w:rFonts w:ascii="宋体" w:hAnsi="宋体" w:cs="宋体" w:eastAsia="宋体" w:hint="default"/>
                <w:spacing w:val="-4"/>
                <w:sz w:val="18"/>
                <w:szCs w:val="18"/>
              </w:rPr>
              <w:t>限公司、福州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永福恒诚投 资管理股份 </w:t>
            </w:r>
            <w:r>
              <w:rPr>
                <w:rFonts w:ascii="宋体" w:hAnsi="宋体" w:cs="宋体" w:eastAsia="宋体" w:hint="default"/>
                <w:spacing w:val="-4"/>
                <w:sz w:val="18"/>
                <w:szCs w:val="18"/>
              </w:rPr>
              <w:t>有限公司、福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建省永福博 发投资股份 有限公司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186"/>
              <w:jc w:val="left"/>
              <w:rPr>
                <w:rFonts w:ascii="宋体" w:hAnsi="宋体" w:cs="宋体" w:eastAsia="宋体" w:hint="default"/>
                <w:sz w:val="18"/>
                <w:szCs w:val="18"/>
              </w:rPr>
            </w:pPr>
            <w:r>
              <w:rPr>
                <w:rFonts w:ascii="宋体" w:hAnsi="宋体" w:cs="宋体" w:eastAsia="宋体" w:hint="default"/>
                <w:sz w:val="18"/>
                <w:szCs w:val="18"/>
              </w:rPr>
              <w:t>关于 同业 竞 争、 关联 交 易、 资金 占用 方面 的承 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46"/>
              <w:jc w:val="left"/>
              <w:rPr>
                <w:rFonts w:ascii="宋体" w:hAnsi="宋体" w:cs="宋体" w:eastAsia="宋体" w:hint="default"/>
                <w:sz w:val="18"/>
                <w:szCs w:val="18"/>
              </w:rPr>
            </w:pPr>
            <w:r>
              <w:rPr>
                <w:rFonts w:ascii="宋体" w:hAnsi="宋体" w:cs="宋体" w:eastAsia="宋体" w:hint="default"/>
                <w:spacing w:val="-3"/>
                <w:sz w:val="18"/>
                <w:szCs w:val="18"/>
              </w:rPr>
              <w:t>截至本承诺函出具之日，本公司及本人在中国境内外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未直接或间接从事或参与任何在商业上对发行人构 </w:t>
            </w:r>
            <w:r>
              <w:rPr>
                <w:rFonts w:ascii="宋体" w:hAnsi="宋体" w:cs="宋体" w:eastAsia="宋体" w:hint="default"/>
                <w:spacing w:val="-3"/>
                <w:sz w:val="18"/>
                <w:szCs w:val="18"/>
              </w:rPr>
              <w:t>成竞争的业务或活动；本公司及本人将来也不在中国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境内外以任何方式（包括但不限于单独经营、通过合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资经营或拥有另外一公司或企业的股权或其它权益） 直接或间接从事或参与任何在商业上对发行人构成 竞争的业务及活动；若发行人今后从事新的业务领 </w:t>
            </w:r>
            <w:r>
              <w:rPr>
                <w:rFonts w:ascii="宋体" w:hAnsi="宋体" w:cs="宋体" w:eastAsia="宋体" w:hint="default"/>
                <w:spacing w:val="-3"/>
                <w:sz w:val="18"/>
                <w:szCs w:val="18"/>
              </w:rPr>
              <w:t>域，则本公司及本人控制的其他企业将不在中国境内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外以控股方式或参股但拥有实质控制权的方式从事 </w:t>
            </w:r>
            <w:r>
              <w:rPr>
                <w:rFonts w:ascii="宋体" w:hAnsi="宋体" w:cs="宋体" w:eastAsia="宋体" w:hint="default"/>
                <w:spacing w:val="-3"/>
                <w:sz w:val="18"/>
                <w:szCs w:val="18"/>
              </w:rPr>
              <w:t>与发行人新的业务领域有竞争的业务或活动，包括在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中国境内外投资、收购、兼并与发行人今后从事的新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业务有直接竞争的公司或者其他企业；如从任何地方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获得的商业机会与发行人经营的业务有竞争或可能 </w:t>
            </w:r>
            <w:r>
              <w:rPr>
                <w:rFonts w:ascii="宋体" w:hAnsi="宋体" w:cs="宋体" w:eastAsia="宋体" w:hint="default"/>
                <w:spacing w:val="-3"/>
                <w:sz w:val="18"/>
                <w:szCs w:val="18"/>
              </w:rPr>
              <w:t>形成竞争，则本公司及本人将立即通知发行人，并将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该商业机会让与发行人；在本公司及本人作为发行人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的控股股东、实际控制人期间，以及在担任发行人董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事、监事或高级管理人员期间及辞去上述职务后六个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月内，本承诺为有效之承诺，本公司及本人愿意承担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违反上述承诺而给发行人造成的全部损失。</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101" w:right="194"/>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834"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80"/>
              <w:jc w:val="left"/>
              <w:rPr>
                <w:rFonts w:ascii="宋体" w:hAnsi="宋体" w:cs="宋体" w:eastAsia="宋体" w:hint="default"/>
                <w:sz w:val="18"/>
                <w:szCs w:val="18"/>
              </w:rPr>
            </w:pPr>
            <w:r>
              <w:rPr>
                <w:rFonts w:ascii="宋体" w:hAnsi="宋体" w:cs="宋体" w:eastAsia="宋体" w:hint="default"/>
                <w:spacing w:val="-4"/>
                <w:sz w:val="18"/>
                <w:szCs w:val="18"/>
              </w:rPr>
              <w:t>林一文、季征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南、王劲军、 </w:t>
            </w:r>
            <w:r>
              <w:rPr>
                <w:rFonts w:ascii="宋体" w:hAnsi="宋体" w:cs="宋体" w:eastAsia="宋体" w:hint="default"/>
                <w:spacing w:val="-4"/>
                <w:sz w:val="18"/>
                <w:szCs w:val="18"/>
              </w:rPr>
              <w:t>宋发兴、钱有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武、卓秀者、 陈强、卢庆 </w:t>
            </w:r>
            <w:r>
              <w:rPr>
                <w:rFonts w:ascii="宋体" w:hAnsi="宋体" w:cs="宋体" w:eastAsia="宋体" w:hint="default"/>
                <w:spacing w:val="-4"/>
                <w:sz w:val="18"/>
                <w:szCs w:val="18"/>
              </w:rPr>
              <w:t>议、福州博宏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投资管理有 </w:t>
            </w:r>
            <w:r>
              <w:rPr>
                <w:rFonts w:ascii="宋体" w:hAnsi="宋体" w:cs="宋体" w:eastAsia="宋体" w:hint="default"/>
                <w:spacing w:val="-4"/>
                <w:sz w:val="18"/>
                <w:szCs w:val="18"/>
              </w:rPr>
              <w:t>限公司、福州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永福恒诚投 资管理股份 </w:t>
            </w:r>
            <w:r>
              <w:rPr>
                <w:rFonts w:ascii="宋体" w:hAnsi="宋体" w:cs="宋体" w:eastAsia="宋体" w:hint="default"/>
                <w:spacing w:val="-4"/>
                <w:sz w:val="18"/>
                <w:szCs w:val="18"/>
              </w:rPr>
              <w:t>有限公司、福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建省永福博</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86"/>
              <w:jc w:val="left"/>
              <w:rPr>
                <w:rFonts w:ascii="宋体" w:hAnsi="宋体" w:cs="宋体" w:eastAsia="宋体" w:hint="default"/>
                <w:sz w:val="18"/>
                <w:szCs w:val="18"/>
              </w:rPr>
            </w:pPr>
            <w:r>
              <w:rPr>
                <w:rFonts w:ascii="宋体" w:hAnsi="宋体" w:cs="宋体" w:eastAsia="宋体" w:hint="default"/>
                <w:sz w:val="18"/>
                <w:szCs w:val="18"/>
              </w:rPr>
              <w:t>关于 同业 竞 争、 关联 交 易、 资金 占用 方面 的承 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71"/>
              <w:ind w:left="103" w:right="101"/>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承诺人所控制的公司、分公 </w:t>
            </w:r>
            <w:r>
              <w:rPr>
                <w:rFonts w:ascii="宋体" w:hAnsi="宋体" w:cs="宋体" w:eastAsia="宋体" w:hint="default"/>
                <w:spacing w:val="-3"/>
                <w:sz w:val="18"/>
                <w:szCs w:val="18"/>
              </w:rPr>
              <w:t>司、合营或联营公司及其他任何类型的企业现有及将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来与福建永福电力设计股份有限公司发生的关联交 </w:t>
            </w:r>
            <w:r>
              <w:rPr>
                <w:rFonts w:ascii="宋体" w:hAnsi="宋体" w:cs="宋体" w:eastAsia="宋体" w:hint="default"/>
                <w:spacing w:val="-3"/>
                <w:sz w:val="18"/>
                <w:szCs w:val="18"/>
              </w:rPr>
              <w:t>易是公允的，是按照正常商业行为准则进行的。本公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承诺人保证将继续规范并逐步减少与福建永福电 </w:t>
            </w:r>
            <w:r>
              <w:rPr>
                <w:rFonts w:ascii="宋体" w:hAnsi="宋体" w:cs="宋体" w:eastAsia="宋体" w:hint="default"/>
                <w:spacing w:val="-3"/>
                <w:sz w:val="18"/>
                <w:szCs w:val="18"/>
              </w:rPr>
              <w:t>力设计股份有限公司及其子公司、分公司、合营或联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营公司发生关联交易。本公司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承诺人保证本公司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 诺人及本公司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承诺人所控制的公司、分公司、合营 或联营公司及其他任何类型的企业不以垄断采购和 销售业务渠道等方式干预福建永福电力设计股份有 </w:t>
            </w:r>
            <w:r>
              <w:rPr>
                <w:rFonts w:ascii="宋体" w:hAnsi="宋体" w:cs="宋体" w:eastAsia="宋体" w:hint="default"/>
                <w:spacing w:val="-3"/>
                <w:sz w:val="18"/>
                <w:szCs w:val="18"/>
              </w:rPr>
              <w:t>限公司的经营，损害其利益。关联交易活动应遵循商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业原则，关联交易的价格原则上应不偏离市场独立第</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101" w:right="194"/>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001"/>
        <w:gridCol w:w="1276"/>
        <w:gridCol w:w="661"/>
        <w:gridCol w:w="4302"/>
        <w:gridCol w:w="649"/>
        <w:gridCol w:w="1014"/>
        <w:gridCol w:w="668"/>
      </w:tblGrid>
      <w:tr>
        <w:trPr>
          <w:trHeight w:val="1923" w:hRule="exact"/>
        </w:trPr>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103" w:right="260"/>
              <w:jc w:val="left"/>
              <w:rPr>
                <w:rFonts w:ascii="宋体" w:hAnsi="宋体" w:cs="宋体" w:eastAsia="宋体" w:hint="default"/>
                <w:sz w:val="18"/>
                <w:szCs w:val="18"/>
              </w:rPr>
            </w:pPr>
            <w:r>
              <w:rPr>
                <w:rFonts w:ascii="宋体" w:hAnsi="宋体" w:cs="宋体" w:eastAsia="宋体" w:hint="default"/>
                <w:sz w:val="18"/>
                <w:szCs w:val="18"/>
              </w:rPr>
              <w:t>发投资股份 有限公司</w:t>
            </w: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1"/>
              <w:ind w:left="103" w:right="13"/>
              <w:jc w:val="left"/>
              <w:rPr>
                <w:rFonts w:ascii="宋体" w:hAnsi="宋体" w:cs="宋体" w:eastAsia="宋体" w:hint="default"/>
                <w:sz w:val="18"/>
                <w:szCs w:val="18"/>
              </w:rPr>
            </w:pPr>
            <w:r>
              <w:rPr>
                <w:rFonts w:ascii="宋体" w:hAnsi="宋体" w:cs="宋体" w:eastAsia="宋体" w:hint="default"/>
                <w:spacing w:val="-3"/>
                <w:sz w:val="18"/>
                <w:szCs w:val="18"/>
              </w:rPr>
              <w:t>三方的价格或收费的标准。作为福建永福电力设计股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份有限公司的控股股东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承诺人 </w:t>
            </w:r>
            <w:r>
              <w:rPr>
                <w:rFonts w:ascii="宋体" w:hAnsi="宋体" w:cs="宋体" w:eastAsia="宋体" w:hint="default"/>
                <w:spacing w:val="-3"/>
                <w:sz w:val="18"/>
                <w:szCs w:val="18"/>
              </w:rPr>
              <w:t>保证将按照法律法规和《福建永福电力设计股份有限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公司章程》的规定，在审议涉及本公司的关联交易时，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切实遵守福建永福电力设计股份有限公司董事会、股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东大会上进行关联交易表决时的回避程序。</w:t>
            </w: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103" w:right="102"/>
              <w:jc w:val="left"/>
              <w:rPr>
                <w:rFonts w:ascii="宋体" w:hAnsi="宋体" w:cs="宋体" w:eastAsia="宋体" w:hint="default"/>
                <w:sz w:val="18"/>
                <w:szCs w:val="18"/>
              </w:rPr>
            </w:pPr>
            <w:r>
              <w:rPr>
                <w:rFonts w:ascii="宋体" w:hAnsi="宋体" w:cs="宋体" w:eastAsia="宋体" w:hint="default"/>
                <w:sz w:val="18"/>
                <w:szCs w:val="18"/>
              </w:rPr>
              <w:t>福州博宏投 资管理有限 </w:t>
            </w:r>
            <w:r>
              <w:rPr>
                <w:rFonts w:ascii="宋体" w:hAnsi="宋体" w:cs="宋体" w:eastAsia="宋体" w:hint="default"/>
                <w:spacing w:val="-4"/>
                <w:sz w:val="18"/>
                <w:szCs w:val="18"/>
              </w:rPr>
              <w:t>公司、福州永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福恒诚投资 管理股份有 </w:t>
            </w:r>
            <w:r>
              <w:rPr>
                <w:rFonts w:ascii="宋体" w:hAnsi="宋体" w:cs="宋体" w:eastAsia="宋体" w:hint="default"/>
                <w:spacing w:val="-4"/>
                <w:sz w:val="18"/>
                <w:szCs w:val="18"/>
              </w:rPr>
              <w:t>限公司、福建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省永福博发 投资股份有 限公司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Times New Roman"/>
                <w:sz w:val="18"/>
              </w:rPr>
              <w:t>IPO</w:t>
            </w:r>
          </w:p>
          <w:p>
            <w:pPr>
              <w:pStyle w:val="TableParagraph"/>
              <w:spacing w:line="319" w:lineRule="auto" w:before="65"/>
              <w:ind w:left="103" w:right="186"/>
              <w:jc w:val="both"/>
              <w:rPr>
                <w:rFonts w:ascii="宋体" w:hAnsi="宋体" w:cs="宋体" w:eastAsia="宋体" w:hint="default"/>
                <w:sz w:val="18"/>
                <w:szCs w:val="18"/>
              </w:rPr>
            </w:pPr>
            <w:r>
              <w:rPr>
                <w:rFonts w:ascii="宋体" w:hAnsi="宋体" w:cs="宋体" w:eastAsia="宋体" w:hint="default"/>
                <w:sz w:val="18"/>
                <w:szCs w:val="18"/>
              </w:rPr>
              <w:t>稳定 股价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62"/>
              <w:ind w:left="103" w:right="13"/>
              <w:jc w:val="left"/>
              <w:rPr>
                <w:rFonts w:ascii="宋体" w:hAnsi="宋体" w:cs="宋体" w:eastAsia="宋体" w:hint="default"/>
                <w:sz w:val="18"/>
                <w:szCs w:val="18"/>
              </w:rPr>
            </w:pPr>
            <w:r>
              <w:rPr>
                <w:rFonts w:ascii="宋体" w:hAnsi="宋体" w:cs="宋体" w:eastAsia="宋体" w:hint="default"/>
                <w:sz w:val="18"/>
                <w:szCs w:val="18"/>
              </w:rPr>
              <w:t>（一）启动股价稳定措施的具体条件</w:t>
            </w:r>
            <w:r>
              <w:rPr>
                <w:rFonts w:ascii="Times New Roman" w:hAnsi="Times New Roman" w:cs="Times New Roman" w:eastAsia="Times New Roman" w:hint="default"/>
                <w:sz w:val="18"/>
                <w:szCs w:val="18"/>
              </w:rPr>
              <w:t>:</w:t>
            </w:r>
            <w:r>
              <w:rPr>
                <w:rFonts w:ascii="宋体" w:hAnsi="宋体" w:cs="宋体" w:eastAsia="宋体" w:hint="default"/>
                <w:sz w:val="18"/>
                <w:szCs w:val="18"/>
              </w:rPr>
              <w:t>公司在首次公 </w:t>
            </w:r>
            <w:r>
              <w:rPr>
                <w:rFonts w:ascii="宋体" w:hAnsi="宋体" w:cs="宋体" w:eastAsia="宋体" w:hint="default"/>
                <w:spacing w:val="-3"/>
                <w:sz w:val="18"/>
                <w:szCs w:val="18"/>
              </w:rPr>
              <w:t>开发行股票并在创业板上市后三年内，公司股票连续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个交易日的收盘价（如果因派发现金红利、送股、 </w:t>
            </w:r>
            <w:r>
              <w:rPr>
                <w:rFonts w:ascii="宋体" w:hAnsi="宋体" w:cs="宋体" w:eastAsia="宋体" w:hint="default"/>
                <w:spacing w:val="-3"/>
                <w:sz w:val="18"/>
                <w:szCs w:val="18"/>
              </w:rPr>
              <w:t>转增股本、增发新股等原因进行除权、除息的，须按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照证券交易所的有关规定作调整）均低于公司上一个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会计年度经审计的每股净资产（每股净资产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 务报表中归属于母公司普通股股东权益合计数÷年 </w:t>
            </w:r>
            <w:r>
              <w:rPr>
                <w:rFonts w:ascii="宋体" w:hAnsi="宋体" w:cs="宋体" w:eastAsia="宋体" w:hint="default"/>
                <w:spacing w:val="-10"/>
                <w:sz w:val="18"/>
                <w:szCs w:val="18"/>
              </w:rPr>
              <w:t>末公司股份总数）时（即“启动条件”），将启动稳定</w:t>
            </w:r>
            <w:r>
              <w:rPr>
                <w:rFonts w:ascii="宋体" w:hAnsi="宋体" w:cs="宋体" w:eastAsia="宋体" w:hint="default"/>
                <w:sz w:val="18"/>
                <w:szCs w:val="18"/>
              </w:rPr>
              <w:t> </w:t>
            </w:r>
            <w:r>
              <w:rPr>
                <w:rFonts w:ascii="宋体" w:hAnsi="宋体" w:cs="宋体" w:eastAsia="宋体" w:hint="default"/>
                <w:spacing w:val="-5"/>
                <w:sz w:val="18"/>
                <w:szCs w:val="18"/>
              </w:rPr>
              <w:t>股价措施。（二）稳定股价的具体措施</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在启动股价稳</w:t>
            </w:r>
            <w:r>
              <w:rPr>
                <w:rFonts w:ascii="宋体" w:hAnsi="宋体" w:cs="宋体" w:eastAsia="宋体" w:hint="default"/>
                <w:spacing w:val="-78"/>
                <w:sz w:val="18"/>
                <w:szCs w:val="18"/>
              </w:rPr>
              <w:t> </w:t>
            </w:r>
            <w:r>
              <w:rPr>
                <w:rFonts w:ascii="宋体" w:hAnsi="宋体" w:cs="宋体" w:eastAsia="宋体" w:hint="default"/>
                <w:spacing w:val="-4"/>
                <w:sz w:val="18"/>
                <w:szCs w:val="18"/>
              </w:rPr>
              <w:t>定措施的前提条件满足时，公司将在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个交易日内根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据当时有效的法律法规和本预案，与控股股东、董事、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高级管理人员协商一致，提出稳定公司股价的具体方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案，履行相应的审批程序和信息披露义务。（三）控</w:t>
            </w:r>
            <w:r>
              <w:rPr>
                <w:rFonts w:ascii="宋体" w:hAnsi="宋体" w:cs="宋体" w:eastAsia="宋体" w:hint="default"/>
                <w:sz w:val="18"/>
                <w:szCs w:val="18"/>
              </w:rPr>
              <w:t> 股股东的稳定股价的承诺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在启动条件满足时，在符 </w:t>
            </w:r>
            <w:r>
              <w:rPr>
                <w:rFonts w:ascii="宋体" w:hAnsi="宋体" w:cs="宋体" w:eastAsia="宋体" w:hint="default"/>
                <w:spacing w:val="-10"/>
                <w:sz w:val="18"/>
                <w:szCs w:val="18"/>
              </w:rPr>
              <w:t>合《证券法》、《上市公司收购管理办法》及证券交易</w:t>
            </w:r>
            <w:r>
              <w:rPr>
                <w:rFonts w:ascii="宋体" w:hAnsi="宋体" w:cs="宋体" w:eastAsia="宋体" w:hint="default"/>
                <w:sz w:val="18"/>
                <w:szCs w:val="18"/>
              </w:rPr>
              <w:t> 所等法律法规及相关规范性文件规定且不会导致公 </w:t>
            </w:r>
            <w:r>
              <w:rPr>
                <w:rFonts w:ascii="宋体" w:hAnsi="宋体" w:cs="宋体" w:eastAsia="宋体" w:hint="default"/>
                <w:spacing w:val="-3"/>
                <w:sz w:val="18"/>
                <w:szCs w:val="18"/>
              </w:rPr>
              <w:t>司股权分布不符合上市条件的前提下，公司控股股东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福州博宏投资管理有限公司、福州永福恒诚投资管理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股份有限公司和福建省永福博发投资股份有限公司 承诺采取以下增持公司股份的稳定股价的具体措施。 </w:t>
            </w:r>
            <w:r>
              <w:rPr>
                <w:rFonts w:ascii="宋体" w:hAnsi="宋体" w:cs="宋体" w:eastAsia="宋体" w:hint="default"/>
                <w:spacing w:val="-3"/>
                <w:sz w:val="18"/>
                <w:szCs w:val="18"/>
              </w:rPr>
              <w:t>公司控股股东如需以增持公司股份方式稳定股价，则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公司控股股东应在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个交易日内，提出增持公司股份</w:t>
            </w:r>
            <w:r>
              <w:rPr>
                <w:rFonts w:ascii="宋体" w:hAnsi="宋体" w:cs="宋体" w:eastAsia="宋体" w:hint="default"/>
                <w:sz w:val="18"/>
                <w:szCs w:val="18"/>
              </w:rPr>
              <w:t> </w:t>
            </w:r>
            <w:r>
              <w:rPr>
                <w:rFonts w:ascii="宋体" w:hAnsi="宋体" w:cs="宋体" w:eastAsia="宋体" w:hint="default"/>
                <w:spacing w:val="-3"/>
                <w:sz w:val="18"/>
                <w:szCs w:val="18"/>
              </w:rPr>
              <w:t>的方案（包括拟增持公司股份的数量、价格区间、时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间等），并依法履行证券监督管理部门、证券交易所</w:t>
            </w:r>
            <w:r>
              <w:rPr>
                <w:rFonts w:ascii="宋体" w:hAnsi="宋体" w:cs="宋体" w:eastAsia="宋体" w:hint="default"/>
                <w:sz w:val="18"/>
                <w:szCs w:val="18"/>
              </w:rPr>
              <w:t> </w:t>
            </w:r>
            <w:r>
              <w:rPr>
                <w:rFonts w:ascii="宋体" w:hAnsi="宋体" w:cs="宋体" w:eastAsia="宋体" w:hint="default"/>
                <w:spacing w:val="-5"/>
                <w:sz w:val="18"/>
                <w:szCs w:val="18"/>
              </w:rPr>
              <w:t>等主管部门的审批手续（如需），在获得批准后的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个交易日内通知公司，公司应按照相关规定披露公司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控股股东增持公司股份的计划。在公司披露公司控股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股东增持公司股份计划的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个交易日后，公司控股股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东开始实施增持公司股份的计划。公司控股股东增持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公司股份的价格不高于公司上一会计年度经审计的 </w:t>
            </w:r>
            <w:r>
              <w:rPr>
                <w:rFonts w:ascii="宋体" w:hAnsi="宋体" w:cs="宋体" w:eastAsia="宋体" w:hint="default"/>
                <w:spacing w:val="-3"/>
                <w:sz w:val="18"/>
                <w:szCs w:val="18"/>
              </w:rPr>
              <w:t>每股净资产。但如果控股股东增持方案实施前，发行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人股价连续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个交易日收盘价均超过发行人上一期 </w:t>
            </w:r>
            <w:r>
              <w:rPr>
                <w:rFonts w:ascii="宋体" w:hAnsi="宋体" w:cs="宋体" w:eastAsia="宋体" w:hint="default"/>
                <w:spacing w:val="-3"/>
                <w:sz w:val="18"/>
                <w:szCs w:val="18"/>
              </w:rPr>
              <w:t>经审计的每股净资产，公司控股股东可不再增持公司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股份。公司控股股东增持公司股份后，公司的股权分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布应当符合上市条件。如果某一会计年度内公司股价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多次触发上述需采取股价稳定措施条件的，公司控股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股东将继续按照上述稳定股价预案执行，但应遵守以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下原则：①单次用于稳定股价的增持股份的资金金额</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0"/>
              <w:ind w:left="101" w:right="194"/>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50" w:footer="1267" w:top="1260" w:bottom="1560" w:left="980" w:right="0"/>
        </w:sectPr>
      </w:pPr>
    </w:p>
    <w:p>
      <w:pPr>
        <w:spacing w:line="240" w:lineRule="auto" w:before="2"/>
        <w:rPr>
          <w:rFonts w:ascii="Times New Roman" w:hAnsi="Times New Roman" w:cs="Times New Roman" w:eastAsia="Times New Roman"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001"/>
        <w:gridCol w:w="1276"/>
        <w:gridCol w:w="661"/>
        <w:gridCol w:w="4302"/>
        <w:gridCol w:w="649"/>
        <w:gridCol w:w="1014"/>
        <w:gridCol w:w="668"/>
      </w:tblGrid>
      <w:tr>
        <w:trPr>
          <w:trHeight w:val="3795" w:hRule="exact"/>
        </w:trPr>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1"/>
              <w:ind w:left="103" w:right="46"/>
              <w:jc w:val="left"/>
              <w:rPr>
                <w:rFonts w:ascii="宋体" w:hAnsi="宋体" w:cs="宋体" w:eastAsia="宋体" w:hint="default"/>
                <w:sz w:val="18"/>
                <w:szCs w:val="18"/>
              </w:rPr>
            </w:pPr>
            <w:r>
              <w:rPr>
                <w:rFonts w:ascii="宋体" w:hAnsi="宋体" w:cs="宋体" w:eastAsia="宋体" w:hint="default"/>
                <w:sz w:val="18"/>
                <w:szCs w:val="18"/>
              </w:rPr>
              <w:t>不低于公司控股股东自公司上市后累计从公司处所 获得现金分红金额的</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；②单一会计年度公司控股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股东用于稳定股价的增持股份的资金金额不超过公 司控股股东自公司上市后累计从公司处所获得现金 分红金额的</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；③超过上述标准的，有关稳定股价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措施在当年年度不再继续实施；但如下一年度继续出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现需启动稳定股价措施的情形时，公司控股股东将继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续按照上述原则执行稳定股价预案；下一年度触发股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价稳定措施时，以前年度已经用于稳定股价的增持资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金额不再计入累计现金分红金额。④公司控股股东用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于稳定股价的增持资金总额累计不超过公司控股股 东自公司上市后累计从公司处所获得现金分红总额。</w:t>
            </w: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103" w:right="260"/>
              <w:jc w:val="both"/>
              <w:rPr>
                <w:rFonts w:ascii="宋体" w:hAnsi="宋体" w:cs="宋体" w:eastAsia="宋体" w:hint="default"/>
                <w:sz w:val="18"/>
                <w:szCs w:val="18"/>
              </w:rPr>
            </w:pPr>
            <w:r>
              <w:rPr>
                <w:rFonts w:ascii="宋体" w:hAnsi="宋体" w:cs="宋体" w:eastAsia="宋体" w:hint="default"/>
                <w:sz w:val="18"/>
                <w:szCs w:val="18"/>
              </w:rPr>
              <w:t>福建永福电 力设计股份 有限公司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Times New Roman"/>
                <w:sz w:val="18"/>
              </w:rPr>
              <w:t>IPO</w:t>
            </w:r>
          </w:p>
          <w:p>
            <w:pPr>
              <w:pStyle w:val="TableParagraph"/>
              <w:spacing w:line="319" w:lineRule="auto" w:before="65"/>
              <w:ind w:left="103" w:right="186"/>
              <w:jc w:val="both"/>
              <w:rPr>
                <w:rFonts w:ascii="宋体" w:hAnsi="宋体" w:cs="宋体" w:eastAsia="宋体" w:hint="default"/>
                <w:sz w:val="18"/>
                <w:szCs w:val="18"/>
              </w:rPr>
            </w:pPr>
            <w:r>
              <w:rPr>
                <w:rFonts w:ascii="宋体" w:hAnsi="宋体" w:cs="宋体" w:eastAsia="宋体" w:hint="default"/>
                <w:sz w:val="18"/>
                <w:szCs w:val="18"/>
              </w:rPr>
              <w:t>稳定 股价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62"/>
              <w:ind w:left="103" w:right="46"/>
              <w:jc w:val="left"/>
              <w:rPr>
                <w:rFonts w:ascii="宋体" w:hAnsi="宋体" w:cs="宋体" w:eastAsia="宋体" w:hint="default"/>
                <w:sz w:val="18"/>
                <w:szCs w:val="18"/>
              </w:rPr>
            </w:pPr>
            <w:r>
              <w:rPr>
                <w:rFonts w:ascii="宋体" w:hAnsi="宋体" w:cs="宋体" w:eastAsia="宋体" w:hint="default"/>
                <w:spacing w:val="-3"/>
                <w:sz w:val="18"/>
                <w:szCs w:val="18"/>
              </w:rPr>
              <w:t>在启动股价稳定措施的前提条件满足时，在符合《证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0"/>
                <w:sz w:val="18"/>
                <w:szCs w:val="18"/>
              </w:rPr>
              <w:t>券法》、《上市公司收购管理办法》及证券交易所等法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律法规及相关规范性文件规定且不会导致发行人股 </w:t>
            </w:r>
            <w:r>
              <w:rPr>
                <w:rFonts w:ascii="宋体" w:hAnsi="宋体" w:cs="宋体" w:eastAsia="宋体" w:hint="default"/>
                <w:spacing w:val="-3"/>
                <w:sz w:val="18"/>
                <w:szCs w:val="18"/>
              </w:rPr>
              <w:t>权分布不符合上市条件的前提下，发行人承诺采取以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下稳定股价的具体措施。</w:t>
            </w:r>
            <w:r>
              <w:rPr>
                <w:rFonts w:ascii="Times New Roman" w:hAnsi="Times New Roman" w:cs="Times New Roman" w:eastAsia="Times New Roman" w:hint="default"/>
                <w:sz w:val="18"/>
                <w:szCs w:val="18"/>
              </w:rPr>
              <w:t>1</w:t>
            </w:r>
            <w:r>
              <w:rPr>
                <w:rFonts w:ascii="宋体" w:hAnsi="宋体" w:cs="宋体" w:eastAsia="宋体" w:hint="default"/>
                <w:sz w:val="18"/>
                <w:szCs w:val="18"/>
              </w:rPr>
              <w:t>、实施利润分配或资本公 积转增股本</w:t>
            </w:r>
            <w:r>
              <w:rPr>
                <w:rFonts w:ascii="Times New Roman" w:hAnsi="Times New Roman" w:cs="Times New Roman" w:eastAsia="Times New Roman" w:hint="default"/>
                <w:sz w:val="18"/>
                <w:szCs w:val="18"/>
              </w:rPr>
              <w:t>:</w:t>
            </w:r>
            <w:r>
              <w:rPr>
                <w:rFonts w:ascii="宋体" w:hAnsi="宋体" w:cs="宋体" w:eastAsia="宋体" w:hint="default"/>
                <w:sz w:val="18"/>
                <w:szCs w:val="18"/>
              </w:rPr>
              <w:t>若公司决定通过利润分配或资本公积转 增股本稳定公司股价，公司董事会将根据法律法规、</w:t>
            </w:r>
          </w:p>
          <w:p>
            <w:pPr>
              <w:pStyle w:val="TableParagraph"/>
              <w:spacing w:line="314" w:lineRule="auto" w:before="22"/>
              <w:ind w:left="103" w:right="46"/>
              <w:jc w:val="left"/>
              <w:rPr>
                <w:rFonts w:ascii="宋体" w:hAnsi="宋体" w:cs="宋体" w:eastAsia="宋体" w:hint="default"/>
                <w:sz w:val="18"/>
                <w:szCs w:val="18"/>
              </w:rPr>
            </w:pPr>
            <w:r>
              <w:rPr>
                <w:rFonts w:ascii="宋体" w:hAnsi="宋体" w:cs="宋体" w:eastAsia="宋体" w:hint="default"/>
                <w:spacing w:val="-3"/>
                <w:sz w:val="18"/>
                <w:szCs w:val="18"/>
              </w:rPr>
              <w:t>《公司章程》的规定，在保证公司经营资金需求的前</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提下，提议公司实施积极的利润分配方案或者资本公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积转增股本方案。若公司决定实施利润分配或资本公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积转增股本，公司将在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个交易日内召开董事会，讨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论利润分配方案或资本公积转增股本方案，并提交股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东大会审议。在股东大会审议通过利润分配方案或资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本公积转增股本方案后的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个月内，实施完毕。公司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利润分配或资本公积转增股本应符合相关法律法规、 公司章程的规定。</w:t>
            </w:r>
            <w:r>
              <w:rPr>
                <w:rFonts w:ascii="Times New Roman" w:hAnsi="Times New Roman" w:cs="Times New Roman" w:eastAsia="Times New Roman" w:hint="default"/>
                <w:sz w:val="18"/>
                <w:szCs w:val="18"/>
              </w:rPr>
              <w:t>2</w:t>
            </w:r>
            <w:r>
              <w:rPr>
                <w:rFonts w:ascii="宋体" w:hAnsi="宋体" w:cs="宋体" w:eastAsia="宋体" w:hint="default"/>
                <w:sz w:val="18"/>
                <w:szCs w:val="18"/>
              </w:rPr>
              <w:t>、回购股份</w:t>
            </w:r>
            <w:r>
              <w:rPr>
                <w:rFonts w:ascii="Times New Roman" w:hAnsi="Times New Roman" w:cs="Times New Roman" w:eastAsia="Times New Roman" w:hint="default"/>
                <w:sz w:val="18"/>
                <w:szCs w:val="18"/>
              </w:rPr>
              <w:t>:</w:t>
            </w:r>
            <w:r>
              <w:rPr>
                <w:rFonts w:ascii="宋体" w:hAnsi="宋体" w:cs="宋体" w:eastAsia="宋体" w:hint="default"/>
                <w:sz w:val="18"/>
                <w:szCs w:val="18"/>
              </w:rPr>
              <w:t>在启动股价稳定措施 </w:t>
            </w:r>
            <w:r>
              <w:rPr>
                <w:rFonts w:ascii="宋体" w:hAnsi="宋体" w:cs="宋体" w:eastAsia="宋体" w:hint="default"/>
                <w:spacing w:val="-3"/>
                <w:sz w:val="18"/>
                <w:szCs w:val="18"/>
              </w:rPr>
              <w:t>的前提条件满足时，若公司拟按照法律、法规及规范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性文件认可的方式向社会公众股东回购股份方式稳 </w:t>
            </w:r>
            <w:r>
              <w:rPr>
                <w:rFonts w:ascii="宋体" w:hAnsi="宋体" w:cs="宋体" w:eastAsia="宋体" w:hint="default"/>
                <w:spacing w:val="-4"/>
                <w:sz w:val="18"/>
                <w:szCs w:val="18"/>
              </w:rPr>
              <w:t>定股价，公司应在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个交易日内召开董事会，讨论公 </w:t>
            </w:r>
            <w:r>
              <w:rPr>
                <w:rFonts w:ascii="宋体" w:hAnsi="宋体" w:cs="宋体" w:eastAsia="宋体" w:hint="default"/>
                <w:spacing w:val="-3"/>
                <w:sz w:val="18"/>
                <w:szCs w:val="18"/>
              </w:rPr>
              <w:t>司向社会公众股东回购公司股份的方案，并提交股东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大会审议。在股东大会审议通过股份回购方案后，公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司依法通知债权人，并向证券监督管理部门、证券交</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易所等主管部门报送相关材料，办理审批或备案手 续。在完成必须的审批、备案、信息披露等程序后， </w:t>
            </w:r>
            <w:r>
              <w:rPr>
                <w:rFonts w:ascii="宋体" w:hAnsi="宋体" w:cs="宋体" w:eastAsia="宋体" w:hint="default"/>
                <w:spacing w:val="-3"/>
                <w:sz w:val="18"/>
                <w:szCs w:val="18"/>
              </w:rPr>
              <w:t>公司方可实施相应的股份回购方案。公司回购股份的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资金为自有资金，回购股份的价格不超过上一个会计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年度经审计的每股净资产，回购股份的方式为以集中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竞价交易方式、要约方式或证券监督管理部门认可的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其他方式向社会公众股东回购股份。但如果股份回购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方案实施前，公司股价连续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个交易日收盘价均超 </w:t>
            </w:r>
            <w:r>
              <w:rPr>
                <w:rFonts w:ascii="宋体" w:hAnsi="宋体" w:cs="宋体" w:eastAsia="宋体" w:hint="default"/>
                <w:spacing w:val="-3"/>
                <w:sz w:val="18"/>
                <w:szCs w:val="18"/>
              </w:rPr>
              <w:t>过公司上一期经审计的每股净资产，公司可不再向社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会公众股东回购股份。回购股份后，公司的股权分布</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9" w:lineRule="auto"/>
              <w:ind w:left="101" w:right="194"/>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50" w:footer="1267" w:top="1260" w:bottom="1560" w:left="980" w:right="0"/>
        </w:sectPr>
      </w:pPr>
    </w:p>
    <w:p>
      <w:pPr>
        <w:spacing w:line="240" w:lineRule="auto" w:before="2"/>
        <w:rPr>
          <w:rFonts w:ascii="Times New Roman" w:hAnsi="Times New Roman" w:cs="Times New Roman" w:eastAsia="Times New Roman"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001"/>
        <w:gridCol w:w="1276"/>
        <w:gridCol w:w="661"/>
        <w:gridCol w:w="4302"/>
        <w:gridCol w:w="649"/>
        <w:gridCol w:w="1014"/>
        <w:gridCol w:w="666"/>
      </w:tblGrid>
      <w:tr>
        <w:trPr>
          <w:trHeight w:val="4419" w:hRule="exact"/>
        </w:trPr>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1"/>
              <w:ind w:left="103" w:right="101"/>
              <w:jc w:val="left"/>
              <w:rPr>
                <w:rFonts w:ascii="宋体" w:hAnsi="宋体" w:cs="宋体" w:eastAsia="宋体" w:hint="default"/>
                <w:sz w:val="18"/>
                <w:szCs w:val="18"/>
              </w:rPr>
            </w:pPr>
            <w:r>
              <w:rPr>
                <w:rFonts w:ascii="宋体" w:hAnsi="宋体" w:cs="宋体" w:eastAsia="宋体" w:hint="default"/>
                <w:spacing w:val="-3"/>
                <w:sz w:val="18"/>
                <w:szCs w:val="18"/>
              </w:rPr>
              <w:t>应当符合上市条件。公司向社会公众股东回购公司股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0"/>
                <w:sz w:val="18"/>
                <w:szCs w:val="18"/>
              </w:rPr>
              <w:t>份应符合《公司法》、《证券法》等法律、法规、规范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性文件的规定。如果某一会计年度内，公司股价多次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触发上述需采取股价稳定措施条件的，公司将继续按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照上述稳定股价预案执行，但应遵守以下原则：①单</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次用于回购股份的资金金额不超过上一会计年度归 属于母公司股东净利润的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；②单一会计年度用以</w:t>
            </w:r>
            <w:r>
              <w:rPr>
                <w:rFonts w:ascii="宋体" w:hAnsi="宋体" w:cs="宋体" w:eastAsia="宋体" w:hint="default"/>
                <w:sz w:val="18"/>
                <w:szCs w:val="18"/>
              </w:rPr>
              <w:t> 稳定股价的回购资金总额不超过上一会计年度归属 于母公司股东净利润的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；③超过上述标准的，有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关稳定股价措施在当年年度不再继续实施；但如下一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年度继续出现需启动稳定股价措施的情形时，公司将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继续按照上述原则执行稳定股价预案；④公司用于回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购股份的资金总额累计不超过公司首次公开发行新 股所募集资金的总额。</w:t>
            </w: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r>
      <w:tr>
        <w:trPr>
          <w:trHeight w:val="9411"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pacing w:val="-4"/>
                <w:sz w:val="18"/>
                <w:szCs w:val="18"/>
              </w:rPr>
              <w:t>林一文、季征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 、王劲</w:t>
            </w:r>
          </w:p>
          <w:p>
            <w:pPr>
              <w:pStyle w:val="TableParagraph"/>
              <w:spacing w:line="319" w:lineRule="auto" w:before="19"/>
              <w:ind w:left="103" w:right="12"/>
              <w:jc w:val="left"/>
              <w:rPr>
                <w:rFonts w:ascii="宋体" w:hAnsi="宋体" w:cs="宋体" w:eastAsia="宋体" w:hint="default"/>
                <w:sz w:val="18"/>
                <w:szCs w:val="18"/>
              </w:rPr>
            </w:pPr>
            <w:r>
              <w:rPr>
                <w:rFonts w:ascii="宋体" w:hAnsi="宋体" w:cs="宋体" w:eastAsia="宋体" w:hint="default"/>
                <w:sz w:val="18"/>
                <w:szCs w:val="18"/>
              </w:rPr>
              <w:t>军</w:t>
            </w:r>
            <w:r>
              <w:rPr>
                <w:rFonts w:ascii="宋体" w:hAnsi="宋体" w:cs="宋体" w:eastAsia="宋体" w:hint="default"/>
                <w:spacing w:val="2"/>
                <w:sz w:val="18"/>
                <w:szCs w:val="18"/>
              </w:rPr>
              <w:t> </w:t>
            </w:r>
            <w:r>
              <w:rPr>
                <w:rFonts w:ascii="宋体" w:hAnsi="宋体" w:cs="宋体" w:eastAsia="宋体" w:hint="default"/>
                <w:spacing w:val="-5"/>
                <w:sz w:val="18"/>
                <w:szCs w:val="18"/>
              </w:rPr>
              <w:t>、钱有武、</w:t>
            </w:r>
            <w:r>
              <w:rPr>
                <w:rFonts w:ascii="宋体" w:hAnsi="宋体" w:cs="宋体" w:eastAsia="宋体" w:hint="default"/>
                <w:sz w:val="18"/>
                <w:szCs w:val="18"/>
              </w:rPr>
              <w:t> 刘勇 、宋发 </w:t>
            </w:r>
            <w:r>
              <w:rPr>
                <w:rFonts w:ascii="宋体" w:hAnsi="宋体" w:cs="宋体" w:eastAsia="宋体" w:hint="default"/>
                <w:spacing w:val="-5"/>
                <w:sz w:val="18"/>
                <w:szCs w:val="18"/>
              </w:rPr>
              <w:t>兴、卓秀者</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宋体" w:hAnsi="宋体" w:cs="宋体" w:eastAsia="宋体" w:hint="default"/>
                <w:sz w:val="18"/>
                <w:szCs w:val="18"/>
              </w:rPr>
              <w:t> 陈强 、卢庆 议、张善传、 罗志青</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Times New Roman"/>
                <w:sz w:val="18"/>
              </w:rPr>
              <w:t>IPO</w:t>
            </w:r>
          </w:p>
          <w:p>
            <w:pPr>
              <w:pStyle w:val="TableParagraph"/>
              <w:spacing w:line="319" w:lineRule="auto" w:before="65"/>
              <w:ind w:left="103" w:right="186"/>
              <w:jc w:val="both"/>
              <w:rPr>
                <w:rFonts w:ascii="宋体" w:hAnsi="宋体" w:cs="宋体" w:eastAsia="宋体" w:hint="default"/>
                <w:sz w:val="18"/>
                <w:szCs w:val="18"/>
              </w:rPr>
            </w:pPr>
            <w:r>
              <w:rPr>
                <w:rFonts w:ascii="宋体" w:hAnsi="宋体" w:cs="宋体" w:eastAsia="宋体" w:hint="default"/>
                <w:sz w:val="18"/>
                <w:szCs w:val="18"/>
              </w:rPr>
              <w:t>稳定 股价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103" w:right="13"/>
              <w:jc w:val="left"/>
              <w:rPr>
                <w:rFonts w:ascii="宋体" w:hAnsi="宋体" w:cs="宋体" w:eastAsia="宋体" w:hint="default"/>
                <w:sz w:val="18"/>
                <w:szCs w:val="18"/>
              </w:rPr>
            </w:pPr>
            <w:r>
              <w:rPr>
                <w:rFonts w:ascii="宋体" w:hAnsi="宋体" w:cs="宋体" w:eastAsia="宋体" w:hint="default"/>
                <w:spacing w:val="-3"/>
                <w:sz w:val="18"/>
                <w:szCs w:val="18"/>
              </w:rPr>
              <w:t>在启动股价稳定措施的前提条件满足时，在符合《证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0"/>
                <w:sz w:val="18"/>
                <w:szCs w:val="18"/>
              </w:rPr>
              <w:t>券法》、《上市公司收购管理办法》及证券交易所等法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律法规及相关规范性文件规定且不会导致公司股权 </w:t>
            </w:r>
            <w:r>
              <w:rPr>
                <w:rFonts w:ascii="宋体" w:hAnsi="宋体" w:cs="宋体" w:eastAsia="宋体" w:hint="default"/>
                <w:spacing w:val="-3"/>
                <w:sz w:val="18"/>
                <w:szCs w:val="18"/>
              </w:rPr>
              <w:t>分布不符合上市条件的前提下，董事（不包括独立董</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事、不在公司领薪董事）、高级管理人员承诺采取以</w:t>
            </w:r>
            <w:r>
              <w:rPr>
                <w:rFonts w:ascii="宋体" w:hAnsi="宋体" w:cs="宋体" w:eastAsia="宋体" w:hint="default"/>
                <w:sz w:val="18"/>
                <w:szCs w:val="18"/>
              </w:rPr>
              <w:t> </w:t>
            </w:r>
            <w:r>
              <w:rPr>
                <w:rFonts w:ascii="宋体" w:hAnsi="宋体" w:cs="宋体" w:eastAsia="宋体" w:hint="default"/>
                <w:spacing w:val="-3"/>
                <w:sz w:val="18"/>
                <w:szCs w:val="18"/>
              </w:rPr>
              <w:t>下稳定股价的具体措施。董事（不包括独立董事、不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在公司领薪董事）、高级管理人员应在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提出买入公司股份的方案（包括拟增持公司股份的数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量、价格区间、时间等），公司按照相关规定披露其</w:t>
            </w:r>
            <w:r>
              <w:rPr>
                <w:rFonts w:ascii="宋体" w:hAnsi="宋体" w:cs="宋体" w:eastAsia="宋体" w:hint="default"/>
                <w:sz w:val="18"/>
                <w:szCs w:val="18"/>
              </w:rPr>
              <w:t> </w:t>
            </w:r>
            <w:r>
              <w:rPr>
                <w:rFonts w:ascii="宋体" w:hAnsi="宋体" w:cs="宋体" w:eastAsia="宋体" w:hint="default"/>
                <w:spacing w:val="-3"/>
                <w:sz w:val="18"/>
                <w:szCs w:val="18"/>
              </w:rPr>
              <w:t>买入公司股份的方案。董事（不包括独立董事、不在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公司领薪董事）、高级管理人员买入公司股份应符合</w:t>
            </w:r>
            <w:r>
              <w:rPr>
                <w:rFonts w:ascii="宋体" w:hAnsi="宋体" w:cs="宋体" w:eastAsia="宋体" w:hint="default"/>
                <w:sz w:val="18"/>
                <w:szCs w:val="18"/>
              </w:rPr>
              <w:t> </w:t>
            </w:r>
            <w:r>
              <w:rPr>
                <w:rFonts w:ascii="宋体" w:hAnsi="宋体" w:cs="宋体" w:eastAsia="宋体" w:hint="default"/>
                <w:spacing w:val="-3"/>
                <w:sz w:val="18"/>
                <w:szCs w:val="18"/>
              </w:rPr>
              <w:t>相关法律、法规及规范性文件的规定，如果需要履行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证券监督管理部门、证券交易所、证券登记管理部门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审批的，应履行相应的审批手续。董事（不包括独立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董事、不在公司领薪董事）、高级管理人员的买入价</w:t>
            </w:r>
            <w:r>
              <w:rPr>
                <w:rFonts w:ascii="宋体" w:hAnsi="宋体" w:cs="宋体" w:eastAsia="宋体" w:hint="default"/>
                <w:sz w:val="18"/>
                <w:szCs w:val="18"/>
              </w:rPr>
              <w:t> </w:t>
            </w:r>
            <w:r>
              <w:rPr>
                <w:rFonts w:ascii="宋体" w:hAnsi="宋体" w:cs="宋体" w:eastAsia="宋体" w:hint="default"/>
                <w:spacing w:val="-3"/>
                <w:sz w:val="18"/>
                <w:szCs w:val="18"/>
              </w:rPr>
              <w:t>格不高于公司上一会计年度经审计的每股净资产。但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如果董事（不包括独立董事、不在公司领薪董事）、</w:t>
            </w:r>
            <w:r>
              <w:rPr>
                <w:rFonts w:ascii="宋体" w:hAnsi="宋体" w:cs="宋体" w:eastAsia="宋体" w:hint="default"/>
                <w:sz w:val="18"/>
                <w:szCs w:val="18"/>
              </w:rPr>
              <w:t> 高级管理人员增持方案实施前，公司股价连续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交易日收盘价均超过公司上一期经审计的每股净资 </w:t>
            </w:r>
            <w:r>
              <w:rPr>
                <w:rFonts w:ascii="宋体" w:hAnsi="宋体" w:cs="宋体" w:eastAsia="宋体" w:hint="default"/>
                <w:spacing w:val="-7"/>
                <w:sz w:val="18"/>
                <w:szCs w:val="18"/>
              </w:rPr>
              <w:t>产值，董事（不包括独立董事、不在公司领薪董事）、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高级管理人员可不再实施该方案。如果某一会计年度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内公司股价多次触发上述需采取股价稳定措施条件 </w:t>
            </w:r>
            <w:r>
              <w:rPr>
                <w:rFonts w:ascii="宋体" w:hAnsi="宋体" w:cs="宋体" w:eastAsia="宋体" w:hint="default"/>
                <w:spacing w:val="-3"/>
                <w:sz w:val="18"/>
                <w:szCs w:val="18"/>
              </w:rPr>
              <w:t>的，其将继续按照上述稳定股价预案执行，但应遵守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以下原则：①单次用于稳定股价而购买股份的资金金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额不低于其在担任董事或高级管理人员职务期间上 一会计年度从公司处领取的税后薪酬及津贴累计金 额的</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；②单一会计年度其用于稳定股价而购买股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份的资金金额不超过其在担任董事或高级管理人员 职务期间上一会计年度从公司领取的税后薪酬及津 贴累计金额的</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50%</w:t>
            </w:r>
            <w:r>
              <w:rPr>
                <w:rFonts w:ascii="宋体" w:hAnsi="宋体" w:cs="宋体" w:eastAsia="宋体" w:hint="default"/>
                <w:spacing w:val="-4"/>
                <w:sz w:val="18"/>
                <w:szCs w:val="18"/>
              </w:rPr>
              <w:t>；③超过上述标准的，有关稳定股</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101" w:right="192"/>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50" w:footer="1267" w:top="1260" w:bottom="15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001"/>
        <w:gridCol w:w="1276"/>
        <w:gridCol w:w="661"/>
        <w:gridCol w:w="4302"/>
        <w:gridCol w:w="649"/>
        <w:gridCol w:w="1014"/>
        <w:gridCol w:w="666"/>
      </w:tblGrid>
      <w:tr>
        <w:trPr>
          <w:trHeight w:val="1611" w:hRule="exact"/>
        </w:trPr>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3"/>
              <w:jc w:val="left"/>
              <w:rPr>
                <w:rFonts w:ascii="宋体" w:hAnsi="宋体" w:cs="宋体" w:eastAsia="宋体" w:hint="default"/>
                <w:sz w:val="18"/>
                <w:szCs w:val="18"/>
              </w:rPr>
            </w:pPr>
            <w:r>
              <w:rPr>
                <w:rFonts w:ascii="宋体" w:hAnsi="宋体" w:cs="宋体" w:eastAsia="宋体" w:hint="default"/>
                <w:spacing w:val="-3"/>
                <w:sz w:val="18"/>
                <w:szCs w:val="18"/>
              </w:rPr>
              <w:t>价措施在当年年度不再继续实施；但如下一年度继续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出现需启动稳定股价措施的情形时，其将继续按照上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述原则执行稳定股价预案；④其用于稳定股价而购买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股份的资金总额累计不超过其自公司上市后累计从 公司处领取的税后薪酬及津贴总额。</w:t>
            </w: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01"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0"/>
              <w:jc w:val="both"/>
              <w:rPr>
                <w:rFonts w:ascii="宋体" w:hAnsi="宋体" w:cs="宋体" w:eastAsia="宋体" w:hint="default"/>
                <w:sz w:val="18"/>
                <w:szCs w:val="18"/>
              </w:rPr>
            </w:pPr>
            <w:r>
              <w:rPr>
                <w:rFonts w:ascii="宋体" w:hAnsi="宋体" w:cs="宋体" w:eastAsia="宋体" w:hint="default"/>
                <w:spacing w:val="-4"/>
                <w:sz w:val="18"/>
                <w:szCs w:val="18"/>
              </w:rPr>
              <w:t>林一文、季征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南、王劲军、 </w:t>
            </w:r>
            <w:r>
              <w:rPr>
                <w:rFonts w:ascii="宋体" w:hAnsi="宋体" w:cs="宋体" w:eastAsia="宋体" w:hint="default"/>
                <w:spacing w:val="-4"/>
                <w:sz w:val="18"/>
                <w:szCs w:val="18"/>
              </w:rPr>
              <w:t>宋发兴、钱有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武、卓秀者、 </w:t>
            </w:r>
            <w:r>
              <w:rPr>
                <w:rFonts w:ascii="宋体" w:hAnsi="宋体" w:cs="宋体" w:eastAsia="宋体" w:hint="default"/>
                <w:spacing w:val="-4"/>
                <w:sz w:val="18"/>
                <w:szCs w:val="18"/>
              </w:rPr>
              <w:t>陈强、卢庆议</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Times New Roman"/>
                <w:sz w:val="18"/>
              </w:rPr>
              <w:t>IPO</w:t>
            </w:r>
          </w:p>
          <w:p>
            <w:pPr>
              <w:pStyle w:val="TableParagraph"/>
              <w:spacing w:line="319" w:lineRule="auto" w:before="64"/>
              <w:ind w:left="103" w:right="186"/>
              <w:jc w:val="both"/>
              <w:rPr>
                <w:rFonts w:ascii="宋体" w:hAnsi="宋体" w:cs="宋体" w:eastAsia="宋体" w:hint="default"/>
                <w:sz w:val="18"/>
                <w:szCs w:val="18"/>
              </w:rPr>
            </w:pPr>
            <w:r>
              <w:rPr>
                <w:rFonts w:ascii="宋体" w:hAnsi="宋体" w:cs="宋体" w:eastAsia="宋体" w:hint="default"/>
                <w:sz w:val="18"/>
                <w:szCs w:val="18"/>
              </w:rPr>
              <w:t>稳定 股价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pacing w:val="-3"/>
                <w:sz w:val="18"/>
                <w:szCs w:val="18"/>
              </w:rPr>
              <w:t>当公司控股股东福州博宏投资管理有限公司、福州永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福恒诚投资管理股份有限公司和福建省永福博发投 资股份有限公司触发实施公司股价稳定措施的义务 </w:t>
            </w:r>
            <w:r>
              <w:rPr>
                <w:rFonts w:ascii="宋体" w:hAnsi="宋体" w:cs="宋体" w:eastAsia="宋体" w:hint="default"/>
                <w:spacing w:val="-3"/>
                <w:sz w:val="18"/>
                <w:szCs w:val="18"/>
              </w:rPr>
              <w:t>时，将无条件促使前述三家公司实施相应的公司股价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稳定措施。</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92"/>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4458" w:hRule="exact"/>
        </w:trPr>
        <w:tc>
          <w:tcPr>
            <w:tcW w:w="1001"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2"/>
              <w:jc w:val="left"/>
              <w:rPr>
                <w:rFonts w:ascii="宋体" w:hAnsi="宋体" w:cs="宋体" w:eastAsia="宋体" w:hint="default"/>
                <w:sz w:val="18"/>
                <w:szCs w:val="18"/>
              </w:rPr>
            </w:pPr>
            <w:r>
              <w:rPr>
                <w:rFonts w:ascii="宋体" w:hAnsi="宋体" w:cs="宋体" w:eastAsia="宋体" w:hint="default"/>
                <w:spacing w:val="-4"/>
                <w:sz w:val="18"/>
                <w:szCs w:val="18"/>
              </w:rPr>
              <w:t>林一文、季征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  、王劲</w:t>
            </w:r>
          </w:p>
          <w:p>
            <w:pPr>
              <w:pStyle w:val="TableParagraph"/>
              <w:spacing w:line="316" w:lineRule="auto" w:before="19"/>
              <w:ind w:left="103" w:right="12"/>
              <w:jc w:val="left"/>
              <w:rPr>
                <w:rFonts w:ascii="宋体" w:hAnsi="宋体" w:cs="宋体" w:eastAsia="宋体" w:hint="default"/>
                <w:sz w:val="18"/>
                <w:szCs w:val="18"/>
              </w:rPr>
            </w:pPr>
            <w:r>
              <w:rPr>
                <w:rFonts w:ascii="宋体" w:hAnsi="宋体" w:cs="宋体" w:eastAsia="宋体" w:hint="default"/>
                <w:sz w:val="18"/>
                <w:szCs w:val="18"/>
              </w:rPr>
              <w:t>军</w:t>
            </w:r>
            <w:r>
              <w:rPr>
                <w:rFonts w:ascii="宋体" w:hAnsi="宋体" w:cs="宋体" w:eastAsia="宋体" w:hint="default"/>
                <w:spacing w:val="2"/>
                <w:sz w:val="18"/>
                <w:szCs w:val="18"/>
              </w:rPr>
              <w:t> </w:t>
            </w:r>
            <w:r>
              <w:rPr>
                <w:rFonts w:ascii="宋体" w:hAnsi="宋体" w:cs="宋体" w:eastAsia="宋体" w:hint="default"/>
                <w:spacing w:val="-5"/>
                <w:sz w:val="18"/>
                <w:szCs w:val="18"/>
              </w:rPr>
              <w:t>、钱有武、</w:t>
            </w:r>
            <w:r>
              <w:rPr>
                <w:rFonts w:ascii="宋体" w:hAnsi="宋体" w:cs="宋体" w:eastAsia="宋体" w:hint="default"/>
                <w:sz w:val="18"/>
                <w:szCs w:val="18"/>
              </w:rPr>
              <w:t> 刘勇、宋发</w:t>
            </w:r>
          </w:p>
          <w:p>
            <w:pPr>
              <w:pStyle w:val="TableParagraph"/>
              <w:spacing w:line="316" w:lineRule="auto" w:before="19"/>
              <w:ind w:left="103" w:right="350"/>
              <w:jc w:val="left"/>
              <w:rPr>
                <w:rFonts w:ascii="宋体" w:hAnsi="宋体" w:cs="宋体" w:eastAsia="宋体" w:hint="default"/>
                <w:sz w:val="18"/>
                <w:szCs w:val="18"/>
              </w:rPr>
            </w:pPr>
            <w:r>
              <w:rPr>
                <w:rFonts w:ascii="宋体" w:hAnsi="宋体" w:cs="宋体" w:eastAsia="宋体" w:hint="default"/>
                <w:sz w:val="18"/>
                <w:szCs w:val="18"/>
              </w:rPr>
              <w:t>兴 、卓秀 者  、陈</w:t>
            </w:r>
          </w:p>
          <w:p>
            <w:pPr>
              <w:pStyle w:val="TableParagraph"/>
              <w:spacing w:line="316" w:lineRule="auto" w:before="19"/>
              <w:ind w:left="103" w:right="260"/>
              <w:jc w:val="left"/>
              <w:rPr>
                <w:rFonts w:ascii="宋体" w:hAnsi="宋体" w:cs="宋体" w:eastAsia="宋体" w:hint="default"/>
                <w:sz w:val="18"/>
                <w:szCs w:val="18"/>
              </w:rPr>
            </w:pPr>
            <w:r>
              <w:rPr>
                <w:rFonts w:ascii="宋体" w:hAnsi="宋体" w:cs="宋体" w:eastAsia="宋体" w:hint="default"/>
                <w:sz w:val="18"/>
                <w:szCs w:val="18"/>
              </w:rPr>
              <w:t>强 、卢庆 议  、张善</w:t>
            </w:r>
          </w:p>
          <w:p>
            <w:pPr>
              <w:pStyle w:val="TableParagraph"/>
              <w:spacing w:line="319" w:lineRule="auto" w:before="19"/>
              <w:ind w:left="103" w:right="80"/>
              <w:jc w:val="left"/>
              <w:rPr>
                <w:rFonts w:ascii="宋体" w:hAnsi="宋体" w:cs="宋体" w:eastAsia="宋体" w:hint="default"/>
                <w:sz w:val="18"/>
                <w:szCs w:val="18"/>
              </w:rPr>
            </w:pPr>
            <w:r>
              <w:rPr>
                <w:rFonts w:ascii="宋体" w:hAnsi="宋体" w:cs="宋体" w:eastAsia="宋体" w:hint="default"/>
                <w:sz w:val="18"/>
                <w:szCs w:val="18"/>
              </w:rPr>
              <w:t>传、罗志青、 李卫国、林 雁、胡继荣、 陈冲</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3" w:right="18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首次公开发行摊薄即期回报采取填补措施的承诺：</w:t>
            </w:r>
          </w:p>
          <w:p>
            <w:pPr>
              <w:pStyle w:val="TableParagraph"/>
              <w:spacing w:line="307" w:lineRule="auto" w:before="75"/>
              <w:ind w:left="103" w:right="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）不得无偿或以不公平条件向其他单位或者个人 </w:t>
            </w:r>
            <w:r>
              <w:rPr>
                <w:rFonts w:ascii="宋体" w:hAnsi="宋体" w:cs="宋体" w:eastAsia="宋体" w:hint="default"/>
                <w:spacing w:val="-8"/>
                <w:sz w:val="18"/>
                <w:szCs w:val="18"/>
              </w:rPr>
              <w:t>输送利益，也不采用其他方式损害公司利益；（</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）对</w:t>
            </w:r>
            <w:r>
              <w:rPr>
                <w:rFonts w:ascii="宋体" w:hAnsi="宋体" w:cs="宋体" w:eastAsia="宋体" w:hint="default"/>
                <w:spacing w:val="-67"/>
                <w:sz w:val="18"/>
                <w:szCs w:val="18"/>
              </w:rPr>
              <w:t> </w:t>
            </w:r>
            <w:r>
              <w:rPr>
                <w:rFonts w:ascii="宋体" w:hAnsi="宋体" w:cs="宋体" w:eastAsia="宋体" w:hint="default"/>
                <w:spacing w:val="-4"/>
                <w:sz w:val="18"/>
                <w:szCs w:val="18"/>
              </w:rPr>
              <w:t>董事和高级管理人员的职务消费行为进行约束；（</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宋体" w:hAnsi="宋体" w:cs="宋体" w:eastAsia="宋体" w:hint="default"/>
                <w:spacing w:val="-84"/>
                <w:sz w:val="18"/>
                <w:szCs w:val="18"/>
              </w:rPr>
              <w:t> </w:t>
            </w:r>
            <w:r>
              <w:rPr>
                <w:rFonts w:ascii="宋体" w:hAnsi="宋体" w:cs="宋体" w:eastAsia="宋体" w:hint="default"/>
                <w:spacing w:val="-3"/>
                <w:sz w:val="18"/>
                <w:szCs w:val="18"/>
              </w:rPr>
              <w:t>不动用公司资产从事与履行职责无关的投资、消费活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动；（</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）由董事会或薪酬与绩效考核委员会制订的薪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酬制度与公司填补回报措施的执行情况相挂钩；（</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宋体" w:hAnsi="宋体" w:cs="宋体" w:eastAsia="宋体" w:hint="default"/>
                <w:spacing w:val="-84"/>
                <w:sz w:val="18"/>
                <w:szCs w:val="18"/>
              </w:rPr>
              <w:t> </w:t>
            </w:r>
            <w:r>
              <w:rPr>
                <w:rFonts w:ascii="宋体" w:hAnsi="宋体" w:cs="宋体" w:eastAsia="宋体" w:hint="default"/>
                <w:sz w:val="18"/>
                <w:szCs w:val="18"/>
              </w:rPr>
              <w:t>未来拟公布的公司股权激励的行权条件与公司填补 </w:t>
            </w:r>
            <w:r>
              <w:rPr>
                <w:rFonts w:ascii="宋体" w:hAnsi="宋体" w:cs="宋体" w:eastAsia="宋体" w:hint="default"/>
                <w:spacing w:val="-7"/>
                <w:sz w:val="18"/>
                <w:szCs w:val="18"/>
              </w:rPr>
              <w:t>回报措施的执行情况相挂钩；（</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）如上述承诺与中国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证监会关于填补回报措施及其承诺的明确规定不符 </w:t>
            </w:r>
            <w:r>
              <w:rPr>
                <w:rFonts w:ascii="宋体" w:hAnsi="宋体" w:cs="宋体" w:eastAsia="宋体" w:hint="default"/>
                <w:spacing w:val="-3"/>
                <w:sz w:val="18"/>
                <w:szCs w:val="18"/>
              </w:rPr>
              <w:t>或未能满足相关规定的，其将根据中国证监会最新规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定及监管要求进行相应调整；（</w:t>
            </w: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）若违反或拒不履行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上述承诺，其愿意根据中国证监会和证券交易所等监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管机构的有关规定和规则承担相应责任。</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1" w:right="192"/>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1962" w:hRule="exact"/>
        </w:trPr>
        <w:tc>
          <w:tcPr>
            <w:tcW w:w="1001"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60"/>
              <w:jc w:val="both"/>
              <w:rPr>
                <w:rFonts w:ascii="宋体" w:hAnsi="宋体" w:cs="宋体" w:eastAsia="宋体" w:hint="default"/>
                <w:sz w:val="18"/>
                <w:szCs w:val="18"/>
              </w:rPr>
            </w:pPr>
            <w:r>
              <w:rPr>
                <w:rFonts w:ascii="宋体" w:hAnsi="宋体" w:cs="宋体" w:eastAsia="宋体" w:hint="default"/>
                <w:sz w:val="18"/>
                <w:szCs w:val="18"/>
              </w:rPr>
              <w:t>福建永福电 力设计股份 有限公司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8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
              <w:jc w:val="left"/>
              <w:rPr>
                <w:rFonts w:ascii="宋体" w:hAnsi="宋体" w:cs="宋体" w:eastAsia="宋体" w:hint="default"/>
                <w:sz w:val="18"/>
                <w:szCs w:val="18"/>
              </w:rPr>
            </w:pPr>
            <w:r>
              <w:rPr>
                <w:rFonts w:ascii="宋体" w:hAnsi="宋体" w:cs="宋体" w:eastAsia="宋体" w:hint="default"/>
                <w:spacing w:val="-3"/>
                <w:sz w:val="18"/>
                <w:szCs w:val="18"/>
              </w:rPr>
              <w:t>利润分配政策的承诺：公司股票在深圳证券交易所创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业板上市后，本公司将严格履行《公司章程（草案）》</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中披露的利润分配政策。有关利润分配政策参见招股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说明书“第九节财务会计信息与管理层分析”之“十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七、发行人的股利分配情况和发行前后股利分配政 策”的具体内容。</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1" w:right="192"/>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4107"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福建永福电 力设计股份 </w:t>
            </w:r>
            <w:r>
              <w:rPr>
                <w:rFonts w:ascii="宋体" w:hAnsi="宋体" w:cs="宋体" w:eastAsia="宋体" w:hint="default"/>
                <w:spacing w:val="-4"/>
                <w:sz w:val="18"/>
                <w:szCs w:val="18"/>
              </w:rPr>
              <w:t>有限公司、福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州博宏投资 管理有限公 </w:t>
            </w:r>
            <w:r>
              <w:rPr>
                <w:rFonts w:ascii="宋体" w:hAnsi="宋体" w:cs="宋体" w:eastAsia="宋体" w:hint="default"/>
                <w:spacing w:val="-4"/>
                <w:sz w:val="18"/>
                <w:szCs w:val="18"/>
              </w:rPr>
              <w:t>司、福州永福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恒诚投资管 理股份有限 </w:t>
            </w:r>
            <w:r>
              <w:rPr>
                <w:rFonts w:ascii="宋体" w:hAnsi="宋体" w:cs="宋体" w:eastAsia="宋体" w:hint="default"/>
                <w:spacing w:val="-4"/>
                <w:sz w:val="18"/>
                <w:szCs w:val="18"/>
              </w:rPr>
              <w:t>公司、福建省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永福博发投 资股份有限 </w:t>
            </w:r>
            <w:r>
              <w:rPr>
                <w:rFonts w:ascii="宋体" w:hAnsi="宋体" w:cs="宋体" w:eastAsia="宋体" w:hint="default"/>
                <w:spacing w:val="-4"/>
                <w:sz w:val="18"/>
                <w:szCs w:val="18"/>
              </w:rPr>
              <w:t>公司、福建省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平潭卓成股</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103" w:right="18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
              <w:jc w:val="left"/>
              <w:rPr>
                <w:rFonts w:ascii="宋体" w:hAnsi="宋体" w:cs="宋体" w:eastAsia="宋体" w:hint="default"/>
                <w:sz w:val="18"/>
                <w:szCs w:val="18"/>
              </w:rPr>
            </w:pPr>
            <w:r>
              <w:rPr>
                <w:rFonts w:ascii="宋体" w:hAnsi="宋体" w:cs="宋体" w:eastAsia="宋体" w:hint="default"/>
                <w:spacing w:val="-3"/>
                <w:sz w:val="18"/>
                <w:szCs w:val="18"/>
              </w:rPr>
              <w:t>关于限售安排、自愿锁定股份、延长锁定期限以及相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关股东持股及减持意向承诺的约束措施：若未履行限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售安排、自愿锁定股份、延长锁定期限以及相关股东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持股及减持意向的承诺或法律法规及证券交易所相 </w:t>
            </w:r>
            <w:r>
              <w:rPr>
                <w:rFonts w:ascii="宋体" w:hAnsi="宋体" w:cs="宋体" w:eastAsia="宋体" w:hint="default"/>
                <w:spacing w:val="-7"/>
                <w:sz w:val="18"/>
                <w:szCs w:val="18"/>
              </w:rPr>
              <w:t>关性规定减持公司股份，公司实际控制人、控股股东、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其他股东以及公司董事、监事、高级管理人员等承诺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人，将在发行人股东大会及中国证监会指定报刊上公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开说明未履行的具体原因并向股东和社会公众投资 </w:t>
            </w:r>
            <w:r>
              <w:rPr>
                <w:rFonts w:ascii="宋体" w:hAnsi="宋体" w:cs="宋体" w:eastAsia="宋体" w:hint="default"/>
                <w:spacing w:val="-3"/>
                <w:sz w:val="18"/>
                <w:szCs w:val="18"/>
              </w:rPr>
              <w:t>者道歉，并将在符合法律、法规及规范性文件规定的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情况下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个交易日内回购违规卖出的股票，且自回</w:t>
            </w:r>
          </w:p>
          <w:p>
            <w:pPr>
              <w:pStyle w:val="TableParagraph"/>
              <w:spacing w:line="300" w:lineRule="auto"/>
              <w:ind w:left="103" w:right="102"/>
              <w:jc w:val="both"/>
              <w:rPr>
                <w:rFonts w:ascii="宋体" w:hAnsi="宋体" w:cs="宋体" w:eastAsia="宋体" w:hint="default"/>
                <w:sz w:val="18"/>
                <w:szCs w:val="18"/>
              </w:rPr>
            </w:pPr>
            <w:r>
              <w:rPr>
                <w:rFonts w:ascii="宋体" w:hAnsi="宋体" w:cs="宋体" w:eastAsia="宋体" w:hint="default"/>
                <w:sz w:val="18"/>
                <w:szCs w:val="18"/>
              </w:rPr>
              <w:t>购完成之日起自动延长持有全部股份的锁定期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月；如果因未履行承诺事项而获得收入的</w:t>
            </w:r>
            <w:r>
              <w:rPr>
                <w:rFonts w:ascii="Times New Roman" w:hAnsi="Times New Roman" w:cs="Times New Roman" w:eastAsia="Times New Roman" w:hint="default"/>
                <w:sz w:val="18"/>
                <w:szCs w:val="18"/>
              </w:rPr>
              <w:t>,</w:t>
            </w:r>
            <w:r>
              <w:rPr>
                <w:rFonts w:ascii="宋体" w:hAnsi="宋体" w:cs="宋体" w:eastAsia="宋体" w:hint="default"/>
                <w:sz w:val="18"/>
                <w:szCs w:val="18"/>
              </w:rPr>
              <w:t>所得的收 </w:t>
            </w:r>
            <w:r>
              <w:rPr>
                <w:rFonts w:ascii="宋体" w:hAnsi="宋体" w:cs="宋体" w:eastAsia="宋体" w:hint="default"/>
                <w:spacing w:val="-4"/>
                <w:sz w:val="18"/>
                <w:szCs w:val="18"/>
              </w:rPr>
              <w:t>入归发行人所有，其将在获得收入的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日内将前述收</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101" w:right="192"/>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001"/>
        <w:gridCol w:w="1276"/>
        <w:gridCol w:w="661"/>
        <w:gridCol w:w="4302"/>
        <w:gridCol w:w="649"/>
        <w:gridCol w:w="1014"/>
        <w:gridCol w:w="666"/>
      </w:tblGrid>
      <w:tr>
        <w:trPr>
          <w:trHeight w:val="7227" w:hRule="exact"/>
        </w:trPr>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2"/>
              <w:jc w:val="left"/>
              <w:rPr>
                <w:rFonts w:ascii="宋体" w:hAnsi="宋体" w:cs="宋体" w:eastAsia="宋体" w:hint="default"/>
                <w:sz w:val="18"/>
                <w:szCs w:val="18"/>
              </w:rPr>
            </w:pPr>
            <w:r>
              <w:rPr>
                <w:rFonts w:ascii="宋体" w:hAnsi="宋体" w:cs="宋体" w:eastAsia="宋体" w:hint="default"/>
                <w:sz w:val="18"/>
                <w:szCs w:val="18"/>
              </w:rPr>
              <w:t>权投资合伙 </w:t>
            </w:r>
            <w:r>
              <w:rPr>
                <w:rFonts w:ascii="宋体" w:hAnsi="宋体" w:cs="宋体" w:eastAsia="宋体" w:hint="default"/>
                <w:spacing w:val="-4"/>
                <w:sz w:val="18"/>
                <w:szCs w:val="18"/>
              </w:rPr>
              <w:t>企业（有限合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sz w:val="18"/>
                <w:szCs w:val="18"/>
              </w:rPr>
              <w:t>伙）、中国</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比</w:t>
            </w:r>
            <w:r>
              <w:rPr>
                <w:rFonts w:ascii="宋体" w:hAnsi="宋体" w:cs="宋体" w:eastAsia="宋体" w:hint="default"/>
                <w:sz w:val="18"/>
                <w:szCs w:val="18"/>
              </w:rPr>
              <w:t> 利时直接股 权投资基金、 青岛汉缆股 份有限公司、 </w:t>
            </w:r>
            <w:r>
              <w:rPr>
                <w:rFonts w:ascii="宋体" w:hAnsi="宋体" w:cs="宋体" w:eastAsia="宋体" w:hint="default"/>
                <w:spacing w:val="-4"/>
                <w:sz w:val="18"/>
                <w:szCs w:val="18"/>
              </w:rPr>
              <w:t>林文丹、林华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明、宁波梅山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保税港区领 慧投资合伙 </w:t>
            </w:r>
            <w:r>
              <w:rPr>
                <w:rFonts w:ascii="宋体" w:hAnsi="宋体" w:cs="宋体" w:eastAsia="宋体" w:hint="default"/>
                <w:spacing w:val="-4"/>
                <w:sz w:val="18"/>
                <w:szCs w:val="18"/>
              </w:rPr>
              <w:t>企业（有限合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6"/>
                <w:sz w:val="18"/>
                <w:szCs w:val="18"/>
              </w:rPr>
              <w:t>伙）、林一文、</w:t>
            </w:r>
            <w:r>
              <w:rPr>
                <w:rFonts w:ascii="宋体" w:hAnsi="宋体" w:cs="宋体" w:eastAsia="宋体" w:hint="default"/>
                <w:sz w:val="18"/>
                <w:szCs w:val="18"/>
              </w:rPr>
              <w:t> 季征南 </w:t>
            </w:r>
            <w:r>
              <w:rPr>
                <w:rFonts w:ascii="宋体" w:hAnsi="宋体" w:cs="宋体" w:eastAsia="宋体" w:hint="default"/>
                <w:spacing w:val="-22"/>
                <w:sz w:val="18"/>
                <w:szCs w:val="18"/>
              </w:rPr>
              <w:t>、王</w:t>
            </w:r>
            <w:r>
              <w:rPr>
                <w:rFonts w:ascii="宋体" w:hAnsi="宋体" w:cs="宋体" w:eastAsia="宋体" w:hint="default"/>
                <w:spacing w:val="-22"/>
                <w:sz w:val="18"/>
                <w:szCs w:val="18"/>
              </w:rPr>
              <w:t> </w:t>
            </w:r>
            <w:r>
              <w:rPr>
                <w:rFonts w:ascii="宋体" w:hAnsi="宋体" w:cs="宋体" w:eastAsia="宋体" w:hint="default"/>
                <w:sz w:val="18"/>
                <w:szCs w:val="18"/>
              </w:rPr>
              <w:t>劲军 、钱有</w:t>
            </w:r>
            <w:r>
              <w:rPr>
                <w:rFonts w:ascii="宋体" w:hAnsi="宋体" w:cs="宋体" w:eastAsia="宋体" w:hint="default"/>
                <w:sz w:val="18"/>
                <w:szCs w:val="18"/>
              </w:rPr>
              <w:t> 武、刘勇 、 宋发兴 、卓 秀者  、陈</w:t>
            </w:r>
          </w:p>
          <w:p>
            <w:pPr>
              <w:pStyle w:val="TableParagraph"/>
              <w:spacing w:line="316" w:lineRule="auto" w:before="19"/>
              <w:ind w:left="103" w:right="260"/>
              <w:jc w:val="left"/>
              <w:rPr>
                <w:rFonts w:ascii="宋体" w:hAnsi="宋体" w:cs="宋体" w:eastAsia="宋体" w:hint="default"/>
                <w:sz w:val="18"/>
                <w:szCs w:val="18"/>
              </w:rPr>
            </w:pPr>
            <w:r>
              <w:rPr>
                <w:rFonts w:ascii="宋体" w:hAnsi="宋体" w:cs="宋体" w:eastAsia="宋体" w:hint="default"/>
                <w:sz w:val="18"/>
                <w:szCs w:val="18"/>
              </w:rPr>
              <w:t>强 、卢庆 议  、张善</w:t>
            </w:r>
          </w:p>
          <w:p>
            <w:pPr>
              <w:pStyle w:val="TableParagraph"/>
              <w:spacing w:line="319" w:lineRule="auto" w:before="19"/>
              <w:ind w:left="103" w:right="12"/>
              <w:jc w:val="left"/>
              <w:rPr>
                <w:rFonts w:ascii="宋体" w:hAnsi="宋体" w:cs="宋体" w:eastAsia="宋体" w:hint="default"/>
                <w:sz w:val="18"/>
                <w:szCs w:val="18"/>
              </w:rPr>
            </w:pPr>
            <w:r>
              <w:rPr>
                <w:rFonts w:ascii="宋体" w:hAnsi="宋体" w:cs="宋体" w:eastAsia="宋体" w:hint="default"/>
                <w:sz w:val="18"/>
                <w:szCs w:val="18"/>
              </w:rPr>
              <w:t>传</w:t>
            </w:r>
            <w:r>
              <w:rPr>
                <w:rFonts w:ascii="宋体" w:hAnsi="宋体" w:cs="宋体" w:eastAsia="宋体" w:hint="default"/>
                <w:spacing w:val="2"/>
                <w:sz w:val="18"/>
                <w:szCs w:val="18"/>
              </w:rPr>
              <w:t> </w:t>
            </w:r>
            <w:r>
              <w:rPr>
                <w:rFonts w:ascii="宋体" w:hAnsi="宋体" w:cs="宋体" w:eastAsia="宋体" w:hint="default"/>
                <w:spacing w:val="-5"/>
                <w:sz w:val="18"/>
                <w:szCs w:val="18"/>
              </w:rPr>
              <w:t>、罗志青、</w:t>
            </w:r>
            <w:r>
              <w:rPr>
                <w:rFonts w:ascii="宋体" w:hAnsi="宋体" w:cs="宋体" w:eastAsia="宋体" w:hint="default"/>
                <w:sz w:val="18"/>
                <w:szCs w:val="18"/>
              </w:rPr>
              <w:t> 郭泗煊 、王 </w:t>
            </w:r>
            <w:r>
              <w:rPr>
                <w:rFonts w:ascii="宋体" w:hAnsi="宋体" w:cs="宋体" w:eastAsia="宋体" w:hint="default"/>
                <w:spacing w:val="-4"/>
                <w:sz w:val="18"/>
                <w:szCs w:val="18"/>
              </w:rPr>
              <w:t>建明、李庆先</w:t>
            </w: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2"/>
              <w:jc w:val="both"/>
              <w:rPr>
                <w:rFonts w:ascii="宋体" w:hAnsi="宋体" w:cs="宋体" w:eastAsia="宋体" w:hint="default"/>
                <w:sz w:val="18"/>
                <w:szCs w:val="18"/>
              </w:rPr>
            </w:pPr>
            <w:r>
              <w:rPr>
                <w:rFonts w:ascii="宋体" w:hAnsi="宋体" w:cs="宋体" w:eastAsia="宋体" w:hint="default"/>
                <w:spacing w:val="-3"/>
                <w:sz w:val="18"/>
                <w:szCs w:val="18"/>
              </w:rPr>
              <w:t>入支付给发行人指定账户；如果因未履行承诺事项给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发行人或者其他投资者造成损失的，其将向发行人或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者其他投资者依法承担赔偿责任。</w:t>
            </w: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001"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福州博宏投 资管理有限 </w:t>
            </w:r>
            <w:r>
              <w:rPr>
                <w:rFonts w:ascii="宋体" w:hAnsi="宋体" w:cs="宋体" w:eastAsia="宋体" w:hint="default"/>
                <w:spacing w:val="-4"/>
                <w:sz w:val="18"/>
                <w:szCs w:val="18"/>
              </w:rPr>
              <w:t>公司、福州永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福恒诚投资 管理股份有 </w:t>
            </w:r>
            <w:r>
              <w:rPr>
                <w:rFonts w:ascii="宋体" w:hAnsi="宋体" w:cs="宋体" w:eastAsia="宋体" w:hint="default"/>
                <w:spacing w:val="-4"/>
                <w:sz w:val="18"/>
                <w:szCs w:val="18"/>
              </w:rPr>
              <w:t>限公司、福建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省永福博发 投资股份有 限公司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3" w:right="18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3"/>
              <w:jc w:val="left"/>
              <w:rPr>
                <w:rFonts w:ascii="宋体" w:hAnsi="宋体" w:cs="宋体" w:eastAsia="宋体" w:hint="default"/>
                <w:sz w:val="18"/>
                <w:szCs w:val="18"/>
              </w:rPr>
            </w:pPr>
            <w:r>
              <w:rPr>
                <w:rFonts w:ascii="宋体" w:hAnsi="宋体" w:cs="宋体" w:eastAsia="宋体" w:hint="default"/>
                <w:spacing w:val="-3"/>
                <w:sz w:val="18"/>
                <w:szCs w:val="18"/>
              </w:rPr>
              <w:t>关于稳定股价承诺的约束措施：在启动股价稳定措施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的前提条件满足时，如发行人控股股东未按照股价稳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定具体方案实施增持股份措施，本公司承诺接受以下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约束措施：发行人控股股东将在发行人股东大会及中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国证监会指定报刊上公开说明未采取上述稳定股价 措施的具体原因并向发行人股东和社会公众投资者 </w:t>
            </w:r>
            <w:r>
              <w:rPr>
                <w:rFonts w:ascii="宋体" w:hAnsi="宋体" w:cs="宋体" w:eastAsia="宋体" w:hint="default"/>
                <w:spacing w:val="-3"/>
                <w:sz w:val="18"/>
                <w:szCs w:val="18"/>
              </w:rPr>
              <w:t>道歉。如果发行人控股股东未采取上述稳定股价的具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体措施的，则发行人控股股东持有的发行人股份将不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得转让，直至按本承诺的规定采取相应的稳定股价措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施并实施完毕。</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1" w:right="192"/>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171"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103" w:right="260"/>
              <w:jc w:val="both"/>
              <w:rPr>
                <w:rFonts w:ascii="宋体" w:hAnsi="宋体" w:cs="宋体" w:eastAsia="宋体" w:hint="default"/>
                <w:sz w:val="18"/>
                <w:szCs w:val="18"/>
              </w:rPr>
            </w:pPr>
            <w:r>
              <w:rPr>
                <w:rFonts w:ascii="宋体" w:hAnsi="宋体" w:cs="宋体" w:eastAsia="宋体" w:hint="default"/>
                <w:sz w:val="18"/>
                <w:szCs w:val="18"/>
              </w:rPr>
              <w:t>福建永福电 力设计股份 有限公司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103" w:right="18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对发行人未履行承诺的约束措施：在启动股价稳定措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施的前提条件满足时，如公司未按照股价稳定具体方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案实施回购、利润分配或资本公积转增股本措施，公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司承诺接受以下约束措施：公司将在股东大会及中国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证监会指定报刊上公开说明未采取稳定股价措施的 </w:t>
            </w:r>
            <w:r>
              <w:rPr>
                <w:rFonts w:ascii="宋体" w:hAnsi="宋体" w:cs="宋体" w:eastAsia="宋体" w:hint="default"/>
                <w:spacing w:val="-3"/>
                <w:sz w:val="18"/>
                <w:szCs w:val="18"/>
              </w:rPr>
              <w:t>具体原因并向公司股东和社会公众投资者道歉，并依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法承担相应法律责任；公司将立即停止制定或实施现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金分红计划、停止发放公司董事、监事和高级管理人</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员的薪酬、津贴，直至本公司履行相关承诺；本公司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将在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个工作日内自动冻结相当于上一个会计年度</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101" w:right="192"/>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001"/>
        <w:gridCol w:w="1276"/>
        <w:gridCol w:w="661"/>
        <w:gridCol w:w="4302"/>
        <w:gridCol w:w="649"/>
        <w:gridCol w:w="1014"/>
        <w:gridCol w:w="668"/>
      </w:tblGrid>
      <w:tr>
        <w:trPr>
          <w:trHeight w:val="674" w:hRule="exact"/>
        </w:trPr>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经审计的归属于母公司股东净利润的</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20%</w:t>
            </w:r>
            <w:r>
              <w:rPr>
                <w:rFonts w:ascii="宋体" w:hAnsi="宋体" w:cs="宋体" w:eastAsia="宋体" w:hint="default"/>
                <w:spacing w:val="-9"/>
                <w:sz w:val="18"/>
                <w:szCs w:val="18"/>
              </w:rPr>
              <w:t>，以用于本</w:t>
            </w:r>
            <w:r>
              <w:rPr>
                <w:rFonts w:ascii="宋体" w:hAnsi="宋体" w:cs="宋体" w:eastAsia="宋体" w:hint="default"/>
                <w:sz w:val="18"/>
                <w:szCs w:val="18"/>
              </w:rPr>
              <w:t> 公司履行稳定股价的承诺。</w:t>
            </w: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001"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2"/>
              <w:jc w:val="left"/>
              <w:rPr>
                <w:rFonts w:ascii="宋体" w:hAnsi="宋体" w:cs="宋体" w:eastAsia="宋体" w:hint="default"/>
                <w:sz w:val="18"/>
                <w:szCs w:val="18"/>
              </w:rPr>
            </w:pPr>
            <w:r>
              <w:rPr>
                <w:rFonts w:ascii="宋体" w:hAnsi="宋体" w:cs="宋体" w:eastAsia="宋体" w:hint="default"/>
                <w:spacing w:val="-4"/>
                <w:sz w:val="18"/>
                <w:szCs w:val="18"/>
              </w:rPr>
              <w:t>林一文、季征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w:t>
            </w:r>
            <w:r>
              <w:rPr>
                <w:rFonts w:ascii="宋体" w:hAnsi="宋体" w:cs="宋体" w:eastAsia="宋体" w:hint="default"/>
                <w:spacing w:val="2"/>
                <w:sz w:val="18"/>
                <w:szCs w:val="18"/>
              </w:rPr>
              <w:t> </w:t>
            </w:r>
            <w:r>
              <w:rPr>
                <w:rFonts w:ascii="宋体" w:hAnsi="宋体" w:cs="宋体" w:eastAsia="宋体" w:hint="default"/>
                <w:spacing w:val="-5"/>
                <w:sz w:val="18"/>
                <w:szCs w:val="18"/>
              </w:rPr>
              <w:t>、王劲军、</w:t>
            </w:r>
            <w:r>
              <w:rPr>
                <w:rFonts w:ascii="宋体" w:hAnsi="宋体" w:cs="宋体" w:eastAsia="宋体" w:hint="default"/>
                <w:sz w:val="18"/>
                <w:szCs w:val="18"/>
              </w:rPr>
              <w:t> 钱有武、刘</w:t>
            </w:r>
          </w:p>
          <w:p>
            <w:pPr>
              <w:pStyle w:val="TableParagraph"/>
              <w:spacing w:line="316" w:lineRule="auto" w:before="19"/>
              <w:ind w:left="103" w:right="350"/>
              <w:jc w:val="both"/>
              <w:rPr>
                <w:rFonts w:ascii="宋体" w:hAnsi="宋体" w:cs="宋体" w:eastAsia="宋体" w:hint="default"/>
                <w:sz w:val="18"/>
                <w:szCs w:val="18"/>
              </w:rPr>
            </w:pPr>
            <w:r>
              <w:rPr>
                <w:rFonts w:ascii="宋体" w:hAnsi="宋体" w:cs="宋体" w:eastAsia="宋体" w:hint="default"/>
                <w:sz w:val="18"/>
                <w:szCs w:val="18"/>
              </w:rPr>
              <w:t>勇 、宋发 兴 、卓秀 者  、陈</w:t>
            </w:r>
          </w:p>
          <w:p>
            <w:pPr>
              <w:pStyle w:val="TableParagraph"/>
              <w:spacing w:line="319" w:lineRule="auto" w:before="19"/>
              <w:ind w:left="103" w:right="170"/>
              <w:jc w:val="both"/>
              <w:rPr>
                <w:rFonts w:ascii="宋体" w:hAnsi="宋体" w:cs="宋体" w:eastAsia="宋体" w:hint="default"/>
                <w:sz w:val="18"/>
                <w:szCs w:val="18"/>
              </w:rPr>
            </w:pPr>
            <w:r>
              <w:rPr>
                <w:rFonts w:ascii="宋体" w:hAnsi="宋体" w:cs="宋体" w:eastAsia="宋体" w:hint="default"/>
                <w:sz w:val="18"/>
                <w:szCs w:val="18"/>
              </w:rPr>
              <w:t>强  、卢庆 议  、张善 传 、罗志青</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103" w:right="18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关于稳定股价承诺的约束措施：在启动股价稳定措施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的前提条件满足时，如本人未按照股价稳定具体方案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实施增持股份措施，本人承诺接受以下约束措施：本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人将在公司股东大会及中国证监会指定报刊上公开 说明未采取上述稳定股价措施的具体原因并向公司 </w:t>
            </w:r>
            <w:r>
              <w:rPr>
                <w:rFonts w:ascii="宋体" w:hAnsi="宋体" w:cs="宋体" w:eastAsia="宋体" w:hint="default"/>
                <w:spacing w:val="-3"/>
                <w:sz w:val="18"/>
                <w:szCs w:val="18"/>
              </w:rPr>
              <w:t>股东和社会公众投资者道歉，并依法承担相应法律责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任；如果本人未采取上述稳定股价的具体措施的，将</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在前述事项发生之日起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个工作日内停止在公司领 </w:t>
            </w:r>
            <w:r>
              <w:rPr>
                <w:rFonts w:ascii="宋体" w:hAnsi="宋体" w:cs="宋体" w:eastAsia="宋体" w:hint="default"/>
                <w:spacing w:val="-3"/>
                <w:sz w:val="18"/>
                <w:szCs w:val="18"/>
              </w:rPr>
              <w:t>取薪酬，同时本人持有的公司股份不得转让，直至其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按本承诺的规定采取相应的股价稳定措施并实施完 毕。</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01" w:right="194"/>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1650" w:hRule="exact"/>
        </w:trPr>
        <w:tc>
          <w:tcPr>
            <w:tcW w:w="1001"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60"/>
              <w:jc w:val="both"/>
              <w:rPr>
                <w:rFonts w:ascii="宋体" w:hAnsi="宋体" w:cs="宋体" w:eastAsia="宋体" w:hint="default"/>
                <w:sz w:val="18"/>
                <w:szCs w:val="18"/>
              </w:rPr>
            </w:pPr>
            <w:r>
              <w:rPr>
                <w:rFonts w:ascii="宋体" w:hAnsi="宋体" w:cs="宋体" w:eastAsia="宋体" w:hint="default"/>
                <w:sz w:val="18"/>
                <w:szCs w:val="18"/>
              </w:rPr>
              <w:t>福建永福电 力设计股份 有限公司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18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46"/>
              <w:jc w:val="left"/>
              <w:rPr>
                <w:rFonts w:ascii="宋体" w:hAnsi="宋体" w:cs="宋体" w:eastAsia="宋体" w:hint="default"/>
                <w:sz w:val="18"/>
                <w:szCs w:val="18"/>
              </w:rPr>
            </w:pPr>
            <w:r>
              <w:rPr>
                <w:rFonts w:ascii="宋体" w:hAnsi="宋体" w:cs="宋体" w:eastAsia="宋体" w:hint="default"/>
                <w:spacing w:val="-3"/>
                <w:sz w:val="18"/>
                <w:szCs w:val="18"/>
              </w:rPr>
              <w:t>关于利润分配承诺的约束措施：本公司若违反相关承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诺，将在股东大会及中国证监会指定报刊上公开说明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未履行的具体原因并向股东和社会公众投资者道歉； 如果因未履行相关公开承诺事项给投资者造成损失 的，将依法向投资者赔偿相关损失。</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94"/>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3210" w:hRule="exact"/>
        </w:trPr>
        <w:tc>
          <w:tcPr>
            <w:tcW w:w="1001"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60"/>
              <w:jc w:val="both"/>
              <w:rPr>
                <w:rFonts w:ascii="宋体" w:hAnsi="宋体" w:cs="宋体" w:eastAsia="宋体" w:hint="default"/>
                <w:sz w:val="18"/>
                <w:szCs w:val="18"/>
              </w:rPr>
            </w:pPr>
            <w:r>
              <w:rPr>
                <w:rFonts w:ascii="宋体" w:hAnsi="宋体" w:cs="宋体" w:eastAsia="宋体" w:hint="default"/>
                <w:sz w:val="18"/>
                <w:szCs w:val="18"/>
              </w:rPr>
              <w:t>福建永福电 力设计股份 有限公司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03" w:right="18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2"/>
              <w:jc w:val="left"/>
              <w:rPr>
                <w:rFonts w:ascii="宋体" w:hAnsi="宋体" w:cs="宋体" w:eastAsia="宋体" w:hint="default"/>
                <w:sz w:val="18"/>
                <w:szCs w:val="18"/>
              </w:rPr>
            </w:pPr>
            <w:r>
              <w:rPr>
                <w:rFonts w:ascii="宋体" w:hAnsi="宋体" w:cs="宋体" w:eastAsia="宋体" w:hint="default"/>
                <w:spacing w:val="-3"/>
                <w:sz w:val="18"/>
                <w:szCs w:val="18"/>
              </w:rPr>
              <w:t>对相关责任主体的其他约束措施：对发行人未能履行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承诺的约束措施：发行人已就公司首次公开发行股票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并在创业板上市出具系列承诺，已经出具的承诺对公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司具有不可撤销的约束力，公司将严格按照承诺要求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履行相应义务，若公司怠于履行相应承诺而给相关权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利方造成损失的，公司将：（</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）及时、充分披露承诺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0"/>
                <w:sz w:val="18"/>
                <w:szCs w:val="18"/>
              </w:rPr>
              <w:t>未能履行、无法履行或无法按期履行的具体原因；（</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宋体" w:hAnsi="宋体" w:cs="宋体" w:eastAsia="宋体" w:hint="default"/>
                <w:spacing w:val="-78"/>
                <w:sz w:val="18"/>
                <w:szCs w:val="18"/>
              </w:rPr>
              <w:t> </w:t>
            </w:r>
            <w:r>
              <w:rPr>
                <w:rFonts w:ascii="宋体" w:hAnsi="宋体" w:cs="宋体" w:eastAsia="宋体" w:hint="default"/>
                <w:spacing w:val="-3"/>
                <w:sz w:val="18"/>
                <w:szCs w:val="18"/>
              </w:rPr>
              <w:t>自愿接受社会和监管部门的监督，及时改正并继续履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行有关公开承诺；（</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）因违反承诺给投资者造成损失</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的，依法对投资者进行赔偿。</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1" w:right="194"/>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4731"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103" w:right="80"/>
              <w:jc w:val="both"/>
              <w:rPr>
                <w:rFonts w:ascii="宋体" w:hAnsi="宋体" w:cs="宋体" w:eastAsia="宋体" w:hint="default"/>
                <w:sz w:val="18"/>
                <w:szCs w:val="18"/>
              </w:rPr>
            </w:pPr>
            <w:r>
              <w:rPr>
                <w:rFonts w:ascii="宋体" w:hAnsi="宋体" w:cs="宋体" w:eastAsia="宋体" w:hint="default"/>
                <w:spacing w:val="-4"/>
                <w:sz w:val="18"/>
                <w:szCs w:val="18"/>
              </w:rPr>
              <w:t>林一文、季征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南、王劲军、 </w:t>
            </w:r>
            <w:r>
              <w:rPr>
                <w:rFonts w:ascii="宋体" w:hAnsi="宋体" w:cs="宋体" w:eastAsia="宋体" w:hint="default"/>
                <w:spacing w:val="-4"/>
                <w:sz w:val="18"/>
                <w:szCs w:val="18"/>
              </w:rPr>
              <w:t>宋发兴、钱有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武、卓秀者、 </w:t>
            </w:r>
            <w:r>
              <w:rPr>
                <w:rFonts w:ascii="宋体" w:hAnsi="宋体" w:cs="宋体" w:eastAsia="宋体" w:hint="default"/>
                <w:spacing w:val="-4"/>
                <w:sz w:val="18"/>
                <w:szCs w:val="18"/>
              </w:rPr>
              <w:t>陈强、卢庆议</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3" w:right="18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46"/>
              <w:jc w:val="left"/>
              <w:rPr>
                <w:rFonts w:ascii="宋体" w:hAnsi="宋体" w:cs="宋体" w:eastAsia="宋体" w:hint="default"/>
                <w:sz w:val="18"/>
                <w:szCs w:val="18"/>
              </w:rPr>
            </w:pPr>
            <w:r>
              <w:rPr>
                <w:rFonts w:ascii="宋体" w:hAnsi="宋体" w:cs="宋体" w:eastAsia="宋体" w:hint="default"/>
                <w:spacing w:val="-3"/>
                <w:sz w:val="18"/>
                <w:szCs w:val="18"/>
              </w:rPr>
              <w:t>对相关责任主体的其他约束措施：对实际控制人未能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履行承诺的约束措施：发行人实际控制人林一文、季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征南、王劲军、宋发兴、钱有武、卓秀者、陈强、卢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庆议已就公司首次公开发行股票并在创业板上市出 </w:t>
            </w:r>
            <w:r>
              <w:rPr>
                <w:rFonts w:ascii="宋体" w:hAnsi="宋体" w:cs="宋体" w:eastAsia="宋体" w:hint="default"/>
                <w:spacing w:val="-3"/>
                <w:sz w:val="18"/>
                <w:szCs w:val="18"/>
              </w:rPr>
              <w:t>具系列承诺，已经出具的承诺对本人具有不可撤销的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约束力，本人将严格按照承诺要求履行相应义务，若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本人怠于履行相应承诺而给相关权利方造成损失的， </w:t>
            </w:r>
            <w:r>
              <w:rPr>
                <w:rFonts w:ascii="宋体" w:hAnsi="宋体" w:cs="宋体" w:eastAsia="宋体" w:hint="default"/>
                <w:spacing w:val="-7"/>
                <w:sz w:val="18"/>
                <w:szCs w:val="18"/>
              </w:rPr>
              <w:t>本人将：（</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）通过公司及时、充分披露其承诺未能履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7"/>
                <w:sz w:val="18"/>
                <w:szCs w:val="18"/>
              </w:rPr>
              <w:t>行、无法履行或无法按期履行的具体原因；（</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）自愿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接受社会和监管部门的监督，及时改正并继续履行有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关公开承诺；（</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）因违反承诺给公司或投资者造成损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7"/>
                <w:sz w:val="18"/>
                <w:szCs w:val="18"/>
              </w:rPr>
              <w:t>失的，依法对公司或投资者进行赔偿；（</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）因违反承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诺所产生的收益全部归公司所有，公司有权暂扣其应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得的现金分红和应从公司领取的薪酬，同时不得转让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其直接及间接持有的公司股份，直至其将违规收益足</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101" w:right="194"/>
              <w:jc w:val="both"/>
              <w:rPr>
                <w:rFonts w:ascii="宋体" w:hAnsi="宋体" w:cs="宋体" w:eastAsia="宋体" w:hint="default"/>
                <w:sz w:val="18"/>
                <w:szCs w:val="18"/>
              </w:rPr>
            </w:pPr>
            <w:r>
              <w:rPr>
                <w:rFonts w:ascii="宋体" w:hAnsi="宋体" w:cs="宋体" w:eastAsia="宋体" w:hint="default"/>
                <w:sz w:val="18"/>
                <w:szCs w:val="18"/>
              </w:rPr>
              <w:t>正常 履行 中</w:t>
            </w:r>
          </w:p>
        </w:tc>
      </w:tr>
    </w:tbl>
    <w:p>
      <w:pPr>
        <w:spacing w:after="0" w:line="319" w:lineRule="auto"/>
        <w:jc w:val="both"/>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001"/>
        <w:gridCol w:w="1276"/>
        <w:gridCol w:w="661"/>
        <w:gridCol w:w="4302"/>
        <w:gridCol w:w="649"/>
        <w:gridCol w:w="1014"/>
        <w:gridCol w:w="666"/>
      </w:tblGrid>
      <w:tr>
        <w:trPr>
          <w:trHeight w:val="362" w:hRule="exact"/>
        </w:trPr>
        <w:tc>
          <w:tcPr>
            <w:tcW w:w="1001"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额交付公司为止。</w:t>
            </w: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001"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z w:val="18"/>
                <w:szCs w:val="18"/>
              </w:rPr>
              <w:t>福州博宏投 资管理有限 </w:t>
            </w:r>
            <w:r>
              <w:rPr>
                <w:rFonts w:ascii="宋体" w:hAnsi="宋体" w:cs="宋体" w:eastAsia="宋体" w:hint="default"/>
                <w:spacing w:val="-4"/>
                <w:sz w:val="18"/>
                <w:szCs w:val="18"/>
              </w:rPr>
              <w:t>公司、福州永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福恒诚投资 管理股份有 </w:t>
            </w:r>
            <w:r>
              <w:rPr>
                <w:rFonts w:ascii="宋体" w:hAnsi="宋体" w:cs="宋体" w:eastAsia="宋体" w:hint="default"/>
                <w:spacing w:val="-4"/>
                <w:sz w:val="18"/>
                <w:szCs w:val="18"/>
              </w:rPr>
              <w:t>限公司、福建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省永福博发 投资股份有 限公司</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8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46"/>
              <w:jc w:val="left"/>
              <w:rPr>
                <w:rFonts w:ascii="宋体" w:hAnsi="宋体" w:cs="宋体" w:eastAsia="宋体" w:hint="default"/>
                <w:sz w:val="18"/>
                <w:szCs w:val="18"/>
              </w:rPr>
            </w:pPr>
            <w:r>
              <w:rPr>
                <w:rFonts w:ascii="宋体" w:hAnsi="宋体" w:cs="宋体" w:eastAsia="宋体" w:hint="default"/>
                <w:spacing w:val="-3"/>
                <w:sz w:val="18"/>
                <w:szCs w:val="18"/>
              </w:rPr>
              <w:t>对相关责任主体的其他约束措施：对控股股东未能履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行承诺的约束措施：发行人控股股东福州博宏投资管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理有限公司、福州永福恒诚投资管理股份有限公司和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福建省永福博发投资股份有限公司已就发行人首次 </w:t>
            </w:r>
            <w:r>
              <w:rPr>
                <w:rFonts w:ascii="宋体" w:hAnsi="宋体" w:cs="宋体" w:eastAsia="宋体" w:hint="default"/>
                <w:spacing w:val="-3"/>
                <w:sz w:val="18"/>
                <w:szCs w:val="18"/>
              </w:rPr>
              <w:t>公开发行股票并在创业板上市出具系列承诺，已经出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具的承诺对发行人控股股东具有不可撤销的约束力， 发行人控股股东将严格按照承诺要求履行相应义务， 若发行人控股股东怠于履行相应承诺而给相关权利 </w:t>
            </w:r>
            <w:r>
              <w:rPr>
                <w:rFonts w:ascii="宋体" w:hAnsi="宋体" w:cs="宋体" w:eastAsia="宋体" w:hint="default"/>
                <w:spacing w:val="-7"/>
                <w:sz w:val="18"/>
                <w:szCs w:val="18"/>
              </w:rPr>
              <w:t>方造成损失的，公司将：（</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）通过发行人及时、充分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披露其承诺未能履行、无法履行或无法按期履行的具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体原因；（</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）自愿接受社会和监管部门的监督，及时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7"/>
                <w:sz w:val="18"/>
                <w:szCs w:val="18"/>
              </w:rPr>
              <w:t>改正并继续履行有关公开承诺；（</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）因违反承诺给发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行人或投资者造成损失的，依法对发行人或投资者进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行赔偿；（</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）因违反承诺所产生的收益全部归发行人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所有，发行人有权暂扣其应得的现金分红，同时不得</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转让其直接及间接持有的发行人股份，直至其将违规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收益足额交付发行人为止。</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1" w:right="192"/>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5706" w:hRule="exact"/>
        </w:trPr>
        <w:tc>
          <w:tcPr>
            <w:tcW w:w="1001"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pacing w:val="-4"/>
                <w:sz w:val="18"/>
                <w:szCs w:val="18"/>
              </w:rPr>
              <w:t>林一文、季征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南  、王劲</w:t>
            </w:r>
          </w:p>
          <w:p>
            <w:pPr>
              <w:pStyle w:val="TableParagraph"/>
              <w:spacing w:line="316" w:lineRule="auto" w:before="19"/>
              <w:ind w:left="103" w:right="12"/>
              <w:jc w:val="left"/>
              <w:rPr>
                <w:rFonts w:ascii="宋体" w:hAnsi="宋体" w:cs="宋体" w:eastAsia="宋体" w:hint="default"/>
                <w:sz w:val="18"/>
                <w:szCs w:val="18"/>
              </w:rPr>
            </w:pPr>
            <w:r>
              <w:rPr>
                <w:rFonts w:ascii="宋体" w:hAnsi="宋体" w:cs="宋体" w:eastAsia="宋体" w:hint="default"/>
                <w:sz w:val="18"/>
                <w:szCs w:val="18"/>
              </w:rPr>
              <w:t>军</w:t>
            </w:r>
            <w:r>
              <w:rPr>
                <w:rFonts w:ascii="宋体" w:hAnsi="宋体" w:cs="宋体" w:eastAsia="宋体" w:hint="default"/>
                <w:spacing w:val="2"/>
                <w:sz w:val="18"/>
                <w:szCs w:val="18"/>
              </w:rPr>
              <w:t> </w:t>
            </w:r>
            <w:r>
              <w:rPr>
                <w:rFonts w:ascii="宋体" w:hAnsi="宋体" w:cs="宋体" w:eastAsia="宋体" w:hint="default"/>
                <w:spacing w:val="-5"/>
                <w:sz w:val="18"/>
                <w:szCs w:val="18"/>
              </w:rPr>
              <w:t>、钱有武、</w:t>
            </w:r>
            <w:r>
              <w:rPr>
                <w:rFonts w:ascii="宋体" w:hAnsi="宋体" w:cs="宋体" w:eastAsia="宋体" w:hint="default"/>
                <w:sz w:val="18"/>
                <w:szCs w:val="18"/>
              </w:rPr>
              <w:t> 刘勇 、宋发 兴、卓秀</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者  、陈</w:t>
            </w:r>
          </w:p>
          <w:p>
            <w:pPr>
              <w:pStyle w:val="TableParagraph"/>
              <w:spacing w:line="316" w:lineRule="auto" w:before="76"/>
              <w:ind w:left="103" w:right="260"/>
              <w:jc w:val="both"/>
              <w:rPr>
                <w:rFonts w:ascii="宋体" w:hAnsi="宋体" w:cs="宋体" w:eastAsia="宋体" w:hint="default"/>
                <w:sz w:val="18"/>
                <w:szCs w:val="18"/>
              </w:rPr>
            </w:pPr>
            <w:r>
              <w:rPr>
                <w:rFonts w:ascii="宋体" w:hAnsi="宋体" w:cs="宋体" w:eastAsia="宋体" w:hint="default"/>
                <w:sz w:val="18"/>
                <w:szCs w:val="18"/>
              </w:rPr>
              <w:t>强 、卢庆 议 、张善 传 、罗志</w:t>
            </w:r>
          </w:p>
          <w:p>
            <w:pPr>
              <w:pStyle w:val="TableParagraph"/>
              <w:spacing w:line="319" w:lineRule="auto" w:before="19"/>
              <w:ind w:left="103" w:right="12"/>
              <w:jc w:val="left"/>
              <w:rPr>
                <w:rFonts w:ascii="宋体" w:hAnsi="宋体" w:cs="宋体" w:eastAsia="宋体" w:hint="default"/>
                <w:sz w:val="18"/>
                <w:szCs w:val="18"/>
              </w:rPr>
            </w:pPr>
            <w:r>
              <w:rPr>
                <w:rFonts w:ascii="宋体" w:hAnsi="宋体" w:cs="宋体" w:eastAsia="宋体" w:hint="default"/>
                <w:sz w:val="18"/>
                <w:szCs w:val="18"/>
              </w:rPr>
              <w:t>青</w:t>
            </w:r>
            <w:r>
              <w:rPr>
                <w:rFonts w:ascii="宋体" w:hAnsi="宋体" w:cs="宋体" w:eastAsia="宋体" w:hint="default"/>
                <w:spacing w:val="2"/>
                <w:sz w:val="18"/>
                <w:szCs w:val="18"/>
              </w:rPr>
              <w:t> </w:t>
            </w:r>
            <w:r>
              <w:rPr>
                <w:rFonts w:ascii="宋体" w:hAnsi="宋体" w:cs="宋体" w:eastAsia="宋体" w:hint="default"/>
                <w:spacing w:val="-5"/>
                <w:sz w:val="18"/>
                <w:szCs w:val="18"/>
              </w:rPr>
              <w:t>、郭泗煊、</w:t>
            </w:r>
            <w:r>
              <w:rPr>
                <w:rFonts w:ascii="宋体" w:hAnsi="宋体" w:cs="宋体" w:eastAsia="宋体" w:hint="default"/>
                <w:sz w:val="18"/>
                <w:szCs w:val="18"/>
              </w:rPr>
              <w:t> 王建明 、李 庆先 </w:t>
            </w:r>
            <w:r>
              <w:rPr>
                <w:rFonts w:ascii="宋体" w:hAnsi="宋体" w:cs="宋体" w:eastAsia="宋体" w:hint="default"/>
                <w:spacing w:val="1"/>
                <w:sz w:val="18"/>
                <w:szCs w:val="18"/>
              </w:rPr>
              <w:t> </w:t>
            </w:r>
            <w:r>
              <w:rPr>
                <w:rFonts w:ascii="宋体" w:hAnsi="宋体" w:cs="宋体" w:eastAsia="宋体" w:hint="default"/>
                <w:spacing w:val="-8"/>
                <w:sz w:val="18"/>
                <w:szCs w:val="18"/>
              </w:rPr>
              <w:t>、李卫</w:t>
            </w:r>
            <w:r>
              <w:rPr>
                <w:rFonts w:ascii="宋体" w:hAnsi="宋体" w:cs="宋体" w:eastAsia="宋体" w:hint="default"/>
                <w:sz w:val="18"/>
                <w:szCs w:val="18"/>
              </w:rPr>
              <w:t> 国 、 林雁、 </w:t>
            </w:r>
            <w:r>
              <w:rPr>
                <w:rFonts w:ascii="宋体" w:hAnsi="宋体" w:cs="宋体" w:eastAsia="宋体" w:hint="default"/>
                <w:spacing w:val="-4"/>
                <w:sz w:val="18"/>
                <w:szCs w:val="18"/>
              </w:rPr>
              <w:t>胡继荣、陈冲</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103" w:right="186"/>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46"/>
              <w:jc w:val="left"/>
              <w:rPr>
                <w:rFonts w:ascii="宋体" w:hAnsi="宋体" w:cs="宋体" w:eastAsia="宋体" w:hint="default"/>
                <w:sz w:val="18"/>
                <w:szCs w:val="18"/>
              </w:rPr>
            </w:pPr>
            <w:r>
              <w:rPr>
                <w:rFonts w:ascii="宋体" w:hAnsi="宋体" w:cs="宋体" w:eastAsia="宋体" w:hint="default"/>
                <w:spacing w:val="-3"/>
                <w:sz w:val="18"/>
                <w:szCs w:val="18"/>
              </w:rPr>
              <w:t>对相关责任主体的其他约束措施：对董事、监事、高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级管理人员未能履行承诺时的约束措施：发行人董 </w:t>
            </w:r>
            <w:r>
              <w:rPr>
                <w:rFonts w:ascii="宋体" w:hAnsi="宋体" w:cs="宋体" w:eastAsia="宋体" w:hint="default"/>
                <w:spacing w:val="-3"/>
                <w:sz w:val="18"/>
                <w:szCs w:val="18"/>
              </w:rPr>
              <w:t>事、监事、高级管理人员已就公司首次公开发行股票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并在创业板上市出具系列承诺，已经出具的承诺对本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人具有不可撤销的约束力，本人将严格按照承诺要求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履行相应义务，若本人怠于履行相应承诺而给相关权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利方造成损失的，本人将：（</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）通过公司及时、充分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披露其承诺未能履行、无法履行或无法按期履行的具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体原因；（</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）自愿接受社会和监管部门的监督，及时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7"/>
                <w:sz w:val="18"/>
                <w:szCs w:val="18"/>
              </w:rPr>
              <w:t>改正并继续履行有关公开承诺；（</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）因违反承诺给公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司或投资者造成损失的，依法对公司或投资者进行赔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偿；（</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）因违反承诺所产生的收益全部归公司所有，</w:t>
            </w:r>
            <w:r>
              <w:rPr>
                <w:rFonts w:ascii="宋体" w:hAnsi="宋体" w:cs="宋体" w:eastAsia="宋体" w:hint="default"/>
                <w:spacing w:val="-84"/>
                <w:sz w:val="18"/>
                <w:szCs w:val="18"/>
              </w:rPr>
              <w:t> </w:t>
            </w:r>
            <w:r>
              <w:rPr>
                <w:rFonts w:ascii="宋体" w:hAnsi="宋体" w:cs="宋体" w:eastAsia="宋体" w:hint="default"/>
                <w:sz w:val="18"/>
                <w:szCs w:val="18"/>
              </w:rPr>
              <w:t>公司有权暂扣其应得的现金分红和应从公司领取的 薪酬，同时不得转让其直接及间接持有的公司股份， </w:t>
            </w:r>
            <w:r>
              <w:rPr>
                <w:rFonts w:ascii="宋体" w:hAnsi="宋体" w:cs="宋体" w:eastAsia="宋体" w:hint="default"/>
                <w:spacing w:val="-7"/>
                <w:sz w:val="18"/>
                <w:szCs w:val="18"/>
              </w:rPr>
              <w:t>直至其将违规收益足额交付公司为止；（</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）违反承诺</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情节严重的，公司控股股东或董事会、监事会、半数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以上的独立董事有权提请股东大会同意更换相关董 事、监事，公司董事会有权解聘相关高级管理人员。</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1" w:right="192"/>
              <w:jc w:val="both"/>
              <w:rPr>
                <w:rFonts w:ascii="宋体" w:hAnsi="宋体" w:cs="宋体" w:eastAsia="宋体" w:hint="default"/>
                <w:sz w:val="18"/>
                <w:szCs w:val="18"/>
              </w:rPr>
            </w:pPr>
            <w:r>
              <w:rPr>
                <w:rFonts w:ascii="宋体" w:hAnsi="宋体" w:cs="宋体" w:eastAsia="宋体" w:hint="default"/>
                <w:sz w:val="18"/>
                <w:szCs w:val="18"/>
              </w:rPr>
              <w:t>正常 履行 中</w:t>
            </w:r>
          </w:p>
        </w:tc>
      </w:tr>
      <w:tr>
        <w:trPr>
          <w:trHeight w:val="714" w:hRule="exact"/>
        </w:trPr>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661" w:type="dxa"/>
            <w:tcBorders>
              <w:top w:val="single" w:sz="4" w:space="0" w:color="000000"/>
              <w:left w:val="single" w:sz="4" w:space="0" w:color="000000"/>
              <w:bottom w:val="single" w:sz="4" w:space="0" w:color="000000"/>
              <w:right w:val="single" w:sz="4" w:space="0" w:color="000000"/>
            </w:tcBorders>
          </w:tcPr>
          <w:p>
            <w:pPr/>
          </w:p>
        </w:tc>
        <w:tc>
          <w:tcPr>
            <w:tcW w:w="4302"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001"/>
        <w:gridCol w:w="1276"/>
        <w:gridCol w:w="661"/>
        <w:gridCol w:w="4302"/>
        <w:gridCol w:w="649"/>
        <w:gridCol w:w="1014"/>
        <w:gridCol w:w="666"/>
      </w:tblGrid>
      <w:tr>
        <w:trPr>
          <w:trHeight w:val="714" w:hRule="exact"/>
        </w:trPr>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10" w:hRule="exact"/>
        </w:trPr>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66"/>
              <w:jc w:val="both"/>
              <w:rPr>
                <w:rFonts w:ascii="宋体" w:hAnsi="宋体" w:cs="宋体" w:eastAsia="宋体" w:hint="default"/>
                <w:sz w:val="18"/>
                <w:szCs w:val="18"/>
              </w:rPr>
            </w:pPr>
            <w:r>
              <w:rPr>
                <w:rFonts w:ascii="宋体" w:hAnsi="宋体" w:cs="宋体" w:eastAsia="宋体" w:hint="default"/>
                <w:sz w:val="18"/>
                <w:szCs w:val="18"/>
              </w:rPr>
              <w:t>如承诺超 期未履行 完毕的， 应当详细 说明未完 成履行的 具体原因 及下一步 的工作计 划</w:t>
            </w:r>
          </w:p>
        </w:tc>
        <w:tc>
          <w:tcPr>
            <w:tcW w:w="8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68"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4992"/>
        <w:jc w:val="left"/>
      </w:pPr>
      <w:r>
        <w:rPr/>
        <w:t>□ 适用 √ 不适用 公司报告期不存在控股股东及其关联方对上市公司的非经营性占用资金。</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四、董事会对最近一期“非标准审计报告”相关情况的说明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1393"/>
        <w:jc w:val="left"/>
        <w:rPr>
          <w:b w:val="0"/>
          <w:bCs w:val="0"/>
        </w:rPr>
      </w:pPr>
      <w:bookmarkStart w:name="五、董事会、监事会、独立董事（如有）对会计师事务所本报告期“非标准审计报告”的说" w:id="69"/>
      <w:bookmarkEnd w:id="69"/>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pStyle w:val="Heading4"/>
        <w:spacing w:line="256" w:lineRule="auto" w:before="90"/>
        <w:ind w:right="0"/>
        <w:jc w:val="left"/>
      </w:pPr>
      <w:r>
        <w:rPr/>
        <w:t>执行《财政部关于修订印发</w:t>
      </w:r>
      <w:r>
        <w:rPr>
          <w:rFonts w:ascii="Times New Roman" w:hAnsi="Times New Roman" w:cs="Times New Roman" w:eastAsia="Times New Roman" w:hint="default"/>
        </w:rPr>
        <w:t>2018</w:t>
      </w:r>
      <w:r>
        <w:rPr/>
        <w:t>年度一般企业财务报表格式的通知》 </w:t>
      </w:r>
      <w:r>
        <w:rPr>
          <w:spacing w:val="5"/>
        </w:rPr>
        <w:t>财政部于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15</w:t>
      </w:r>
      <w:r>
        <w:rPr>
          <w:spacing w:val="5"/>
        </w:rPr>
        <w:t>日发布了《财政部关于修订印发</w:t>
      </w:r>
      <w:r>
        <w:rPr>
          <w:rFonts w:ascii="Times New Roman" w:hAnsi="Times New Roman" w:cs="Times New Roman" w:eastAsia="Times New Roman" w:hint="default"/>
          <w:spacing w:val="5"/>
        </w:rPr>
        <w:t>2018</w:t>
      </w:r>
      <w:r>
        <w:rPr>
          <w:spacing w:val="5"/>
        </w:rPr>
        <w:t>年度一般企业财务报表格式的通知》（财会</w:t>
      </w:r>
    </w:p>
    <w:p>
      <w:pPr>
        <w:pStyle w:val="Heading4"/>
        <w:spacing w:line="240" w:lineRule="auto" w:before="5"/>
        <w:ind w:right="0"/>
        <w:jc w:val="left"/>
      </w:pPr>
      <w:r>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8</w:t>
      </w:r>
      <w:r>
        <w:rPr>
          <w:spacing w:val="-2"/>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5</w:t>
      </w:r>
      <w:r>
        <w:rPr/>
        <w:t>号</w:t>
      </w:r>
      <w:r>
        <w:rPr>
          <w:spacing w:val="-105"/>
        </w:rPr>
        <w:t>）</w:t>
      </w:r>
      <w:r>
        <w:rPr/>
        <w:t>，对一</w:t>
      </w:r>
      <w:r>
        <w:rPr>
          <w:spacing w:val="-2"/>
        </w:rPr>
        <w:t>般</w:t>
      </w:r>
      <w:r>
        <w:rPr/>
        <w:t>企业财务报表格式进行了修订。</w:t>
      </w:r>
      <w:r>
        <w:rPr>
          <w:spacing w:val="1"/>
        </w:rPr>
        <w:t> </w:t>
      </w:r>
      <w:r>
        <w:rPr>
          <w:spacing w:val="-2"/>
        </w:rPr>
        <w:t>本</w:t>
      </w:r>
      <w:r>
        <w:rPr/>
        <w:t>公司执行上述规定的主要影响如下：</w:t>
      </w:r>
    </w:p>
    <w:p>
      <w:pPr>
        <w:spacing w:line="240" w:lineRule="auto" w:before="8"/>
        <w:rPr>
          <w:rFonts w:ascii="宋体" w:hAnsi="宋体" w:cs="宋体" w:eastAsia="宋体" w:hint="default"/>
          <w:sz w:val="26"/>
          <w:szCs w:val="26"/>
        </w:rPr>
      </w:pPr>
    </w:p>
    <w:tbl>
      <w:tblPr>
        <w:tblW w:w="0" w:type="auto"/>
        <w:jc w:val="left"/>
        <w:tblInd w:w="750" w:type="dxa"/>
        <w:tblLayout w:type="fixed"/>
        <w:tblCellMar>
          <w:top w:w="0" w:type="dxa"/>
          <w:left w:w="0" w:type="dxa"/>
          <w:bottom w:w="0" w:type="dxa"/>
          <w:right w:w="0" w:type="dxa"/>
        </w:tblCellMar>
        <w:tblLook w:val="01E0"/>
      </w:tblPr>
      <w:tblGrid>
        <w:gridCol w:w="3836"/>
        <w:gridCol w:w="1106"/>
        <w:gridCol w:w="2674"/>
      </w:tblGrid>
      <w:tr>
        <w:trPr>
          <w:trHeight w:val="352" w:hRule="exact"/>
        </w:trPr>
        <w:tc>
          <w:tcPr>
            <w:tcW w:w="3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82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57"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665" w:hRule="exact"/>
        </w:trPr>
        <w:tc>
          <w:tcPr>
            <w:tcW w:w="3836"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right="-1"/>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）资产负债表中</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应收票据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应收账款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合并</w:t>
            </w:r>
            <w:r>
              <w:rPr>
                <w:rFonts w:ascii="宋体" w:hAnsi="宋体" w:cs="宋体" w:eastAsia="宋体" w:hint="default"/>
                <w:spacing w:val="-82"/>
                <w:sz w:val="18"/>
                <w:szCs w:val="18"/>
              </w:rPr>
              <w:t> </w:t>
            </w:r>
            <w:r>
              <w:rPr>
                <w:rFonts w:ascii="宋体" w:hAnsi="宋体" w:cs="宋体" w:eastAsia="宋体" w:hint="default"/>
                <w:sz w:val="18"/>
                <w:szCs w:val="18"/>
              </w:rPr>
              <w:t>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经董事会审批</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left="-1"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应收票据</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和</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应收账款</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合并列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应收票据及应收账款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，本期</w:t>
            </w:r>
          </w:p>
        </w:tc>
      </w:tr>
    </w:tbl>
    <w:p>
      <w:pPr>
        <w:spacing w:after="0" w:line="30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750" w:type="dxa"/>
        <w:tblLayout w:type="fixed"/>
        <w:tblCellMar>
          <w:top w:w="0" w:type="dxa"/>
          <w:left w:w="0" w:type="dxa"/>
          <w:bottom w:w="0" w:type="dxa"/>
          <w:right w:w="0" w:type="dxa"/>
        </w:tblCellMar>
        <w:tblLook w:val="01E0"/>
      </w:tblPr>
      <w:tblGrid>
        <w:gridCol w:w="3836"/>
        <w:gridCol w:w="1106"/>
        <w:gridCol w:w="2674"/>
      </w:tblGrid>
      <w:tr>
        <w:trPr>
          <w:trHeight w:val="3160" w:hRule="exact"/>
        </w:trPr>
        <w:tc>
          <w:tcPr>
            <w:tcW w:w="3836"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right="1"/>
              <w:jc w:val="both"/>
              <w:rPr>
                <w:rFonts w:ascii="宋体" w:hAnsi="宋体" w:cs="宋体" w:eastAsia="宋体" w:hint="default"/>
                <w:sz w:val="18"/>
                <w:szCs w:val="18"/>
              </w:rPr>
            </w:pPr>
            <w:r>
              <w:rPr>
                <w:rFonts w:ascii="宋体" w:hAnsi="宋体" w:cs="宋体" w:eastAsia="宋体" w:hint="default"/>
                <w:sz w:val="18"/>
                <w:szCs w:val="18"/>
              </w:rPr>
              <w:t>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1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 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 较数据相应调整。</w:t>
            </w:r>
          </w:p>
        </w:tc>
        <w:tc>
          <w:tcPr>
            <w:tcW w:w="1106" w:type="dxa"/>
            <w:tcBorders>
              <w:top w:val="single" w:sz="8" w:space="0" w:color="000000"/>
              <w:left w:val="single" w:sz="8" w:space="0" w:color="000000"/>
              <w:bottom w:val="single" w:sz="8" w:space="0" w:color="000000"/>
              <w:right w:val="single" w:sz="8" w:space="0" w:color="000000"/>
            </w:tcBorders>
          </w:tcPr>
          <w:p>
            <w:pP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both"/>
              <w:rPr>
                <w:rFonts w:ascii="宋体" w:hAnsi="宋体" w:cs="宋体" w:eastAsia="宋体" w:hint="default"/>
                <w:sz w:val="18"/>
                <w:szCs w:val="18"/>
              </w:rPr>
            </w:pPr>
            <w:r>
              <w:rPr>
                <w:rFonts w:ascii="宋体" w:hAnsi="宋体" w:cs="宋体" w:eastAsia="宋体" w:hint="default"/>
                <w:spacing w:val="3"/>
                <w:sz w:val="18"/>
                <w:szCs w:val="18"/>
              </w:rPr>
              <w:t>金额</w:t>
            </w:r>
            <w:r>
              <w:rPr>
                <w:rFonts w:ascii="Times New Roman" w:hAnsi="Times New Roman" w:cs="Times New Roman" w:eastAsia="Times New Roman" w:hint="default"/>
                <w:spacing w:val="3"/>
                <w:sz w:val="18"/>
                <w:szCs w:val="18"/>
              </w:rPr>
              <w:t>391,102,460.73</w:t>
            </w:r>
            <w:r>
              <w:rPr>
                <w:rFonts w:ascii="宋体" w:hAnsi="宋体" w:cs="宋体" w:eastAsia="宋体" w:hint="default"/>
                <w:spacing w:val="3"/>
                <w:sz w:val="18"/>
                <w:szCs w:val="18"/>
              </w:rPr>
              <w:t>元，上期金额</w:t>
            </w:r>
          </w:p>
          <w:p>
            <w:pPr>
              <w:pStyle w:val="TableParagraph"/>
              <w:spacing w:line="240" w:lineRule="auto" w:before="63"/>
              <w:ind w:left="-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296,365,867.14</w:t>
            </w:r>
            <w:r>
              <w:rPr>
                <w:rFonts w:ascii="宋体" w:hAnsi="宋体" w:cs="宋体" w:eastAsia="宋体" w:hint="default"/>
                <w:sz w:val="18"/>
                <w:szCs w:val="18"/>
              </w:rPr>
              <w:t>元；</w:t>
            </w:r>
          </w:p>
          <w:p>
            <w:pPr>
              <w:pStyle w:val="TableParagraph"/>
              <w:spacing w:line="300" w:lineRule="auto" w:before="63"/>
              <w:ind w:left="-1" w:right="0"/>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应付票据</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和</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应付账款</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合并列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示为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应付票据及应付账款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金额</w:t>
            </w:r>
            <w:r>
              <w:rPr>
                <w:rFonts w:ascii="Times New Roman" w:hAnsi="Times New Roman" w:cs="Times New Roman" w:eastAsia="Times New Roman" w:hint="default"/>
                <w:spacing w:val="3"/>
                <w:sz w:val="18"/>
                <w:szCs w:val="18"/>
              </w:rPr>
              <w:t>331,666,296.81</w:t>
            </w:r>
            <w:r>
              <w:rPr>
                <w:rFonts w:ascii="宋体" w:hAnsi="宋体" w:cs="宋体" w:eastAsia="宋体" w:hint="default"/>
                <w:spacing w:val="3"/>
                <w:sz w:val="18"/>
                <w:szCs w:val="18"/>
              </w:rPr>
              <w:t>元，上期金额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Times New Roman" w:hAnsi="Times New Roman" w:cs="Times New Roman" w:eastAsia="Times New Roman" w:hint="default"/>
                <w:sz w:val="18"/>
                <w:szCs w:val="18"/>
              </w:rPr>
              <w:t>150,649,890.16</w:t>
            </w:r>
            <w:r>
              <w:rPr>
                <w:rFonts w:ascii="宋体" w:hAnsi="宋体" w:cs="宋体" w:eastAsia="宋体" w:hint="default"/>
                <w:sz w:val="18"/>
                <w:szCs w:val="18"/>
              </w:rPr>
              <w:t>元；</w:t>
            </w:r>
          </w:p>
          <w:p>
            <w:pPr>
              <w:pStyle w:val="TableParagraph"/>
              <w:spacing w:line="240" w:lineRule="auto" w:before="13"/>
              <w:ind w:left="-1" w:right="0"/>
              <w:jc w:val="both"/>
              <w:rPr>
                <w:rFonts w:ascii="宋体" w:hAnsi="宋体" w:cs="宋体" w:eastAsia="宋体" w:hint="default"/>
                <w:sz w:val="18"/>
                <w:szCs w:val="18"/>
              </w:rPr>
            </w:pPr>
            <w:r>
              <w:rPr>
                <w:rFonts w:ascii="宋体" w:hAnsi="宋体" w:cs="宋体" w:eastAsia="宋体" w:hint="default"/>
                <w:spacing w:val="21"/>
                <w:sz w:val="18"/>
                <w:szCs w:val="18"/>
              </w:rPr>
              <w:t>调增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其</w:t>
            </w:r>
            <w:r>
              <w:rPr>
                <w:rFonts w:ascii="宋体" w:hAnsi="宋体" w:cs="宋体" w:eastAsia="宋体" w:hint="default"/>
                <w:spacing w:val="-47"/>
                <w:sz w:val="18"/>
                <w:szCs w:val="18"/>
              </w:rPr>
              <w:t> </w:t>
            </w:r>
            <w:r>
              <w:rPr>
                <w:rFonts w:ascii="宋体" w:hAnsi="宋体" w:cs="宋体" w:eastAsia="宋体" w:hint="default"/>
                <w:sz w:val="18"/>
                <w:szCs w:val="18"/>
              </w:rPr>
              <w:t>他</w:t>
            </w:r>
            <w:r>
              <w:rPr>
                <w:rFonts w:ascii="宋体" w:hAnsi="宋体" w:cs="宋体" w:eastAsia="宋体" w:hint="default"/>
                <w:spacing w:val="-49"/>
                <w:sz w:val="18"/>
                <w:szCs w:val="18"/>
              </w:rPr>
              <w:t> </w:t>
            </w:r>
            <w:r>
              <w:rPr>
                <w:rFonts w:ascii="宋体" w:hAnsi="宋体" w:cs="宋体" w:eastAsia="宋体" w:hint="default"/>
                <w:sz w:val="18"/>
                <w:szCs w:val="18"/>
              </w:rPr>
              <w:t>应</w:t>
            </w:r>
            <w:r>
              <w:rPr>
                <w:rFonts w:ascii="宋体" w:hAnsi="宋体" w:cs="宋体" w:eastAsia="宋体" w:hint="default"/>
                <w:spacing w:val="-47"/>
                <w:sz w:val="18"/>
                <w:szCs w:val="18"/>
              </w:rPr>
              <w:t> </w:t>
            </w:r>
            <w:r>
              <w:rPr>
                <w:rFonts w:ascii="宋体" w:hAnsi="宋体" w:cs="宋体" w:eastAsia="宋体" w:hint="default"/>
                <w:sz w:val="18"/>
                <w:szCs w:val="18"/>
              </w:rPr>
              <w:t>付</w:t>
            </w:r>
            <w:r>
              <w:rPr>
                <w:rFonts w:ascii="宋体" w:hAnsi="宋体" w:cs="宋体" w:eastAsia="宋体" w:hint="default"/>
                <w:spacing w:val="-47"/>
                <w:sz w:val="18"/>
                <w:szCs w:val="18"/>
              </w:rPr>
              <w:t> </w:t>
            </w:r>
            <w:r>
              <w:rPr>
                <w:rFonts w:ascii="宋体" w:hAnsi="宋体" w:cs="宋体" w:eastAsia="宋体" w:hint="default"/>
                <w:sz w:val="18"/>
                <w:szCs w:val="18"/>
              </w:rPr>
              <w:t>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本</w:t>
            </w:r>
            <w:r>
              <w:rPr>
                <w:rFonts w:ascii="宋体" w:hAnsi="宋体" w:cs="宋体" w:eastAsia="宋体" w:hint="default"/>
                <w:spacing w:val="-49"/>
                <w:sz w:val="18"/>
                <w:szCs w:val="18"/>
              </w:rPr>
              <w:t> </w:t>
            </w:r>
            <w:r>
              <w:rPr>
                <w:rFonts w:ascii="宋体" w:hAnsi="宋体" w:cs="宋体" w:eastAsia="宋体" w:hint="default"/>
                <w:sz w:val="18"/>
                <w:szCs w:val="18"/>
              </w:rPr>
              <w:t>期</w:t>
            </w:r>
            <w:r>
              <w:rPr>
                <w:rFonts w:ascii="宋体" w:hAnsi="宋体" w:cs="宋体" w:eastAsia="宋体" w:hint="default"/>
                <w:spacing w:val="-47"/>
                <w:sz w:val="18"/>
                <w:szCs w:val="18"/>
              </w:rPr>
              <w:t> </w:t>
            </w: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宋体" w:hAnsi="宋体" w:cs="宋体" w:eastAsia="宋体" w:hint="default"/>
                <w:sz w:val="18"/>
                <w:szCs w:val="18"/>
              </w:rPr>
              <w:t>额</w:t>
            </w:r>
          </w:p>
          <w:p>
            <w:pPr>
              <w:pStyle w:val="TableParagraph"/>
              <w:spacing w:line="240" w:lineRule="auto" w:before="63"/>
              <w:ind w:left="-1"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107,786.81</w:t>
            </w:r>
            <w:r>
              <w:rPr>
                <w:rFonts w:ascii="宋体" w:hAnsi="宋体" w:cs="宋体" w:eastAsia="宋体" w:hint="default"/>
                <w:spacing w:val="-2"/>
                <w:sz w:val="18"/>
                <w:szCs w:val="18"/>
              </w:rPr>
              <w:t>元，上期金额</w:t>
            </w:r>
            <w:r>
              <w:rPr>
                <w:rFonts w:ascii="Times New Roman" w:hAnsi="Times New Roman" w:cs="Times New Roman" w:eastAsia="Times New Roman" w:hint="default"/>
                <w:spacing w:val="-2"/>
                <w:sz w:val="18"/>
                <w:szCs w:val="18"/>
              </w:rPr>
              <w:t>181,311.16</w:t>
            </w:r>
          </w:p>
          <w:p>
            <w:pPr>
              <w:pStyle w:val="TableParagraph"/>
              <w:spacing w:line="240" w:lineRule="auto" w:before="63"/>
              <w:ind w:left="-1" w:right="0"/>
              <w:jc w:val="both"/>
              <w:rPr>
                <w:rFonts w:ascii="宋体" w:hAnsi="宋体" w:cs="宋体" w:eastAsia="宋体" w:hint="default"/>
                <w:sz w:val="18"/>
                <w:szCs w:val="18"/>
              </w:rPr>
            </w:pPr>
            <w:r>
              <w:rPr>
                <w:rFonts w:ascii="宋体" w:hAnsi="宋体" w:cs="宋体" w:eastAsia="宋体" w:hint="default"/>
                <w:sz w:val="18"/>
                <w:szCs w:val="18"/>
              </w:rPr>
              <w:t>元；</w:t>
            </w:r>
          </w:p>
        </w:tc>
      </w:tr>
      <w:tr>
        <w:trPr>
          <w:trHeight w:val="1289" w:hRule="exact"/>
        </w:trPr>
        <w:tc>
          <w:tcPr>
            <w:tcW w:w="3836"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right="-7"/>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）在利润表中新增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研发费用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项目，将原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管</w:t>
            </w:r>
            <w:r>
              <w:rPr>
                <w:rFonts w:ascii="宋体" w:hAnsi="宋体" w:cs="宋体" w:eastAsia="宋体" w:hint="default"/>
                <w:spacing w:val="-81"/>
                <w:sz w:val="18"/>
                <w:szCs w:val="18"/>
              </w:rPr>
              <w:t> </w:t>
            </w:r>
            <w:r>
              <w:rPr>
                <w:rFonts w:ascii="宋体" w:hAnsi="宋体" w:cs="宋体" w:eastAsia="宋体" w:hint="default"/>
                <w:spacing w:val="7"/>
                <w:sz w:val="18"/>
                <w:szCs w:val="18"/>
              </w:rPr>
              <w:t>理费用</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中的研发费用重分类至</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研发费用</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单独</w:t>
            </w:r>
            <w:r>
              <w:rPr>
                <w:rFonts w:ascii="宋体" w:hAnsi="宋体" w:cs="宋体" w:eastAsia="宋体" w:hint="default"/>
                <w:spacing w:val="-87"/>
                <w:sz w:val="18"/>
                <w:szCs w:val="18"/>
              </w:rPr>
              <w:t> </w:t>
            </w:r>
            <w:r>
              <w:rPr>
                <w:rFonts w:ascii="宋体" w:hAnsi="宋体" w:cs="宋体" w:eastAsia="宋体" w:hint="default"/>
                <w:spacing w:val="-3"/>
                <w:sz w:val="18"/>
                <w:szCs w:val="18"/>
              </w:rPr>
              <w:t>列示；在利润表中财务费用项下新增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其中：利息</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11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经董事会审批</w:t>
            </w:r>
          </w:p>
        </w:tc>
        <w:tc>
          <w:tcPr>
            <w:tcW w:w="2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1"/>
              <w:jc w:val="left"/>
              <w:rPr>
                <w:rFonts w:ascii="宋体" w:hAnsi="宋体" w:cs="宋体" w:eastAsia="宋体" w:hint="default"/>
                <w:sz w:val="18"/>
                <w:szCs w:val="18"/>
              </w:rPr>
            </w:pPr>
            <w:r>
              <w:rPr>
                <w:rFonts w:ascii="宋体" w:hAnsi="宋体" w:cs="宋体" w:eastAsia="宋体" w:hint="default"/>
                <w:spacing w:val="31"/>
                <w:sz w:val="18"/>
                <w:szCs w:val="18"/>
              </w:rPr>
              <w:t>调减</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管</w:t>
            </w:r>
            <w:r>
              <w:rPr>
                <w:rFonts w:ascii="宋体" w:hAnsi="宋体" w:cs="宋体" w:eastAsia="宋体" w:hint="default"/>
                <w:spacing w:val="-27"/>
                <w:sz w:val="18"/>
                <w:szCs w:val="18"/>
              </w:rPr>
              <w:t> </w:t>
            </w:r>
            <w:r>
              <w:rPr>
                <w:rFonts w:ascii="宋体" w:hAnsi="宋体" w:cs="宋体" w:eastAsia="宋体" w:hint="default"/>
                <w:sz w:val="18"/>
                <w:szCs w:val="18"/>
              </w:rPr>
              <w:t>理</w:t>
            </w:r>
            <w:r>
              <w:rPr>
                <w:rFonts w:ascii="宋体" w:hAnsi="宋体" w:cs="宋体" w:eastAsia="宋体" w:hint="default"/>
                <w:spacing w:val="-28"/>
                <w:sz w:val="18"/>
                <w:szCs w:val="18"/>
              </w:rPr>
              <w:t> </w:t>
            </w:r>
            <w:r>
              <w:rPr>
                <w:rFonts w:ascii="宋体" w:hAnsi="宋体" w:cs="宋体" w:eastAsia="宋体" w:hint="default"/>
                <w:sz w:val="18"/>
                <w:szCs w:val="18"/>
              </w:rPr>
              <w:t>费</w:t>
            </w:r>
            <w:r>
              <w:rPr>
                <w:rFonts w:ascii="宋体" w:hAnsi="宋体" w:cs="宋体" w:eastAsia="宋体" w:hint="default"/>
                <w:spacing w:val="-27"/>
                <w:sz w:val="18"/>
                <w:szCs w:val="18"/>
              </w:rPr>
              <w:t> </w:t>
            </w:r>
            <w:r>
              <w:rPr>
                <w:rFonts w:ascii="宋体" w:hAnsi="宋体" w:cs="宋体" w:eastAsia="宋体" w:hint="default"/>
                <w:sz w:val="18"/>
                <w:szCs w:val="18"/>
              </w:rPr>
              <w:t>用</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本</w:t>
            </w:r>
            <w:r>
              <w:rPr>
                <w:rFonts w:ascii="宋体" w:hAnsi="宋体" w:cs="宋体" w:eastAsia="宋体" w:hint="default"/>
                <w:spacing w:val="-27"/>
                <w:sz w:val="18"/>
                <w:szCs w:val="18"/>
              </w:rPr>
              <w:t> </w:t>
            </w:r>
            <w:r>
              <w:rPr>
                <w:rFonts w:ascii="宋体" w:hAnsi="宋体" w:cs="宋体" w:eastAsia="宋体" w:hint="default"/>
                <w:sz w:val="18"/>
                <w:szCs w:val="18"/>
              </w:rPr>
              <w:t>期</w:t>
            </w:r>
            <w:r>
              <w:rPr>
                <w:rFonts w:ascii="宋体" w:hAnsi="宋体" w:cs="宋体" w:eastAsia="宋体" w:hint="default"/>
                <w:spacing w:val="-28"/>
                <w:sz w:val="18"/>
                <w:szCs w:val="18"/>
              </w:rPr>
              <w:t> </w:t>
            </w:r>
            <w:r>
              <w:rPr>
                <w:rFonts w:ascii="宋体" w:hAnsi="宋体" w:cs="宋体" w:eastAsia="宋体" w:hint="default"/>
                <w:sz w:val="18"/>
                <w:szCs w:val="18"/>
              </w:rPr>
              <w:t>金</w:t>
            </w:r>
            <w:r>
              <w:rPr>
                <w:rFonts w:ascii="宋体" w:hAnsi="宋体" w:cs="宋体" w:eastAsia="宋体" w:hint="default"/>
                <w:spacing w:val="-27"/>
                <w:sz w:val="18"/>
                <w:szCs w:val="18"/>
              </w:rPr>
              <w:t> </w:t>
            </w:r>
            <w:r>
              <w:rPr>
                <w:rFonts w:ascii="宋体" w:hAnsi="宋体" w:cs="宋体" w:eastAsia="宋体" w:hint="default"/>
                <w:sz w:val="18"/>
                <w:szCs w:val="18"/>
              </w:rPr>
              <w:t>额</w:t>
            </w:r>
          </w:p>
          <w:p>
            <w:pPr>
              <w:pStyle w:val="TableParagraph"/>
              <w:spacing w:line="240" w:lineRule="auto" w:before="6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19,239,363.96  </w:t>
            </w:r>
            <w:r>
              <w:rPr>
                <w:rFonts w:ascii="宋体" w:hAnsi="宋体" w:cs="宋体" w:eastAsia="宋体" w:hint="default"/>
                <w:sz w:val="18"/>
                <w:szCs w:val="18"/>
              </w:rPr>
              <w:t>元 ， 上 期 金</w:t>
            </w:r>
            <w:r>
              <w:rPr>
                <w:rFonts w:ascii="宋体" w:hAnsi="宋体" w:cs="宋体" w:eastAsia="宋体" w:hint="default"/>
                <w:spacing w:val="-9"/>
                <w:sz w:val="18"/>
                <w:szCs w:val="18"/>
              </w:rPr>
              <w:t> </w:t>
            </w:r>
            <w:r>
              <w:rPr>
                <w:rFonts w:ascii="宋体" w:hAnsi="宋体" w:cs="宋体" w:eastAsia="宋体" w:hint="default"/>
                <w:sz w:val="18"/>
                <w:szCs w:val="18"/>
              </w:rPr>
              <w:t>额</w:t>
            </w:r>
          </w:p>
          <w:p>
            <w:pPr>
              <w:pStyle w:val="TableParagraph"/>
              <w:spacing w:line="300" w:lineRule="auto" w:before="63"/>
              <w:ind w:left="-1" w:right="1"/>
              <w:jc w:val="left"/>
              <w:rPr>
                <w:rFonts w:ascii="宋体" w:hAnsi="宋体" w:cs="宋体" w:eastAsia="宋体" w:hint="default"/>
                <w:sz w:val="18"/>
                <w:szCs w:val="18"/>
              </w:rPr>
            </w:pPr>
            <w:r>
              <w:rPr>
                <w:rFonts w:ascii="Times New Roman" w:hAnsi="Times New Roman" w:cs="Times New Roman" w:eastAsia="Times New Roman" w:hint="default"/>
                <w:spacing w:val="-4"/>
                <w:w w:val="100"/>
                <w:sz w:val="18"/>
                <w:szCs w:val="18"/>
              </w:rPr>
              <w:t>14,855,522.17</w:t>
            </w:r>
            <w:r>
              <w:rPr>
                <w:rFonts w:ascii="宋体" w:hAnsi="宋体" w:cs="宋体" w:eastAsia="宋体" w:hint="default"/>
                <w:spacing w:val="-4"/>
                <w:w w:val="100"/>
                <w:sz w:val="18"/>
                <w:szCs w:val="18"/>
              </w:rPr>
              <w:t>元，重分类至</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研发费</w:t>
            </w:r>
            <w:r>
              <w:rPr>
                <w:rFonts w:ascii="宋体" w:hAnsi="宋体" w:cs="宋体" w:eastAsia="宋体" w:hint="default"/>
                <w:spacing w:val="-84"/>
                <w:w w:val="100"/>
                <w:sz w:val="18"/>
                <w:szCs w:val="18"/>
              </w:rPr>
              <w:t> </w:t>
            </w:r>
            <w:r>
              <w:rPr>
                <w:rFonts w:ascii="宋体" w:hAnsi="宋体" w:cs="宋体" w:eastAsia="宋体" w:hint="default"/>
                <w:sz w:val="18"/>
                <w:szCs w:val="18"/>
              </w:rPr>
              <w:t>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pStyle w:val="Heading4"/>
        <w:spacing w:line="266" w:lineRule="auto" w:before="90"/>
        <w:ind w:right="1122"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日，公司设立子公司福建永福新能电力投资有限公司，注册资本</w:t>
      </w:r>
      <w:r>
        <w:rPr>
          <w:rFonts w:ascii="Times New Roman" w:hAnsi="Times New Roman" w:cs="Times New Roman" w:eastAsia="Times New Roman" w:hint="default"/>
        </w:rPr>
        <w:t>5000</w:t>
      </w:r>
      <w:r>
        <w:rPr/>
        <w:t>万元，公司认缴出 </w:t>
      </w:r>
      <w:r>
        <w:rPr>
          <w:spacing w:val="-2"/>
        </w:rPr>
        <w:t>资</w:t>
      </w:r>
      <w:r>
        <w:rPr>
          <w:rFonts w:ascii="Times New Roman" w:hAnsi="Times New Roman" w:cs="Times New Roman" w:eastAsia="Times New Roman" w:hint="default"/>
          <w:spacing w:val="-2"/>
        </w:rPr>
        <w:t>5000</w:t>
      </w:r>
      <w:r>
        <w:rPr>
          <w:spacing w:val="-2"/>
        </w:rPr>
        <w:t>万元，占注册资本的</w:t>
      </w:r>
      <w:r>
        <w:rPr>
          <w:rFonts w:ascii="Times New Roman" w:hAnsi="Times New Roman" w:cs="Times New Roman" w:eastAsia="Times New Roman" w:hint="default"/>
          <w:spacing w:val="-2"/>
        </w:rPr>
        <w:t>100%</w:t>
      </w:r>
      <w:r>
        <w:rPr>
          <w:spacing w:val="-2"/>
        </w:rPr>
        <w:t>。公司经营范围：对电力、热力、燃气及水生产和供应业的投资；新能源</w:t>
      </w:r>
      <w:r>
        <w:rPr>
          <w:spacing w:val="-102"/>
        </w:rPr>
        <w:t> </w:t>
      </w:r>
      <w:r>
        <w:rPr>
          <w:spacing w:val="-102"/>
        </w:rPr>
      </w:r>
      <w:r>
        <w:rPr>
          <w:spacing w:val="-1"/>
        </w:rPr>
        <w:t>技术的技术研发、技术咨询、技术服务；火力发电；热电联产；水力发电；核力发电；风力发电；太阳能</w:t>
      </w:r>
      <w:r>
        <w:rPr>
          <w:spacing w:val="-85"/>
        </w:rPr>
        <w:t> </w:t>
      </w:r>
      <w:r>
        <w:rPr>
          <w:spacing w:val="-85"/>
        </w:rPr>
      </w:r>
      <w:r>
        <w:rPr>
          <w:spacing w:val="-1"/>
        </w:rPr>
        <w:t>发电；生物质能发电；海洋能发电；废料发电；电力供应；电气设备批发；先进电力电子装置销售；智能</w:t>
      </w:r>
      <w:r>
        <w:rPr>
          <w:spacing w:val="-85"/>
        </w:rPr>
        <w:t> </w:t>
      </w:r>
      <w:r>
        <w:rPr>
          <w:spacing w:val="-85"/>
        </w:rPr>
      </w:r>
      <w:r>
        <w:rPr>
          <w:spacing w:val="-1"/>
        </w:rPr>
        <w:t>输配电及控制设备销售；储能装置材料及器材研发；储能装置及其管理系统研发；动力与电力工程研究服</w:t>
      </w:r>
      <w:r>
        <w:rPr>
          <w:spacing w:val="-83"/>
        </w:rPr>
        <w:t> </w:t>
      </w:r>
      <w:r>
        <w:rPr>
          <w:spacing w:val="-83"/>
        </w:rPr>
      </w:r>
      <w:r>
        <w:rPr>
          <w:spacing w:val="-3"/>
        </w:rPr>
        <w:t>务；能源科学技术研究服务；设计管理与咨询。（依法须经批准的项目，经相关部门批准后方可开展经营</w:t>
      </w:r>
      <w:r>
        <w:rPr>
          <w:spacing w:val="-73"/>
        </w:rPr>
        <w:t> </w:t>
      </w:r>
      <w:r>
        <w:rPr>
          <w:spacing w:val="-73"/>
        </w:rPr>
      </w:r>
      <w:r>
        <w:rPr/>
        <w:t>活动）</w:t>
      </w:r>
    </w:p>
    <w:p>
      <w:pPr>
        <w:spacing w:line="240" w:lineRule="auto" w:before="4"/>
        <w:rPr>
          <w:rFonts w:ascii="宋体" w:hAnsi="宋体" w:cs="宋体" w:eastAsia="宋体" w:hint="default"/>
          <w:sz w:val="22"/>
          <w:szCs w:val="22"/>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杨志平、瞿玉敏</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是否改聘会计师事务所</w:t>
      </w:r>
    </w:p>
    <w:p>
      <w:pPr>
        <w:pStyle w:val="BodyText"/>
        <w:spacing w:line="357" w:lineRule="auto" w:before="117"/>
        <w:ind w:right="6252"/>
        <w:jc w:val="left"/>
      </w:pPr>
      <w:r>
        <w:rPr/>
        <w:t>□ 是 √ 否 聘请内部控制审计会计师事务所、财务顾问或保荐人情况</w:t>
      </w:r>
    </w:p>
    <w:p>
      <w:pPr>
        <w:pStyle w:val="BodyText"/>
        <w:spacing w:line="240" w:lineRule="auto" w:before="29"/>
        <w:ind w:right="0"/>
        <w:jc w:val="left"/>
      </w:pPr>
      <w:r>
        <w:rPr/>
        <w:t>√ 适用 □ 不适用</w:t>
      </w:r>
    </w:p>
    <w:p>
      <w:pPr>
        <w:pStyle w:val="BodyText"/>
        <w:spacing w:line="300" w:lineRule="auto" w:before="115"/>
        <w:ind w:right="0"/>
        <w:jc w:val="left"/>
      </w:pPr>
      <w:r>
        <w:rPr>
          <w:spacing w:val="-2"/>
        </w:rPr>
        <w:t>自</w:t>
      </w:r>
      <w:r>
        <w:rPr>
          <w:rFonts w:ascii="Times New Roman" w:hAnsi="Times New Roman" w:cs="Times New Roman" w:eastAsia="Times New Roman" w:hint="default"/>
          <w:spacing w:val="-2"/>
        </w:rPr>
        <w:t>2015</w:t>
      </w:r>
      <w:r>
        <w:rPr>
          <w:spacing w:val="-2"/>
        </w:rPr>
        <w:t>年起，公司因公开发行上市，聘请华创证券有限责任公司作为公司的上市保荐机构和主承销商，公司股票于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11"/>
        </w:rPr>
        <w:t> </w:t>
      </w:r>
      <w:r>
        <w:rPr/>
        <w:t>月</w:t>
      </w:r>
      <w:r>
        <w:rPr>
          <w:rFonts w:ascii="Times New Roman" w:hAnsi="Times New Roman" w:cs="Times New Roman" w:eastAsia="Times New Roman" w:hint="default"/>
        </w:rPr>
        <w:t>31</w:t>
      </w:r>
      <w:r>
        <w:rPr/>
        <w:t>日在深圳证券交易所挂牌上市，保荐机构持续督导期为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after="0" w:line="300" w:lineRule="auto"/>
        <w:jc w:val="left"/>
        <w:sectPr>
          <w:pgSz w:w="11910" w:h="16840"/>
          <w:pgMar w:header="850" w:footer="1267" w:top="1260" w:bottom="1460" w:left="980" w:right="0"/>
        </w:sectPr>
      </w:pPr>
    </w:p>
    <w:p>
      <w:pPr>
        <w:spacing w:line="240" w:lineRule="auto" w:before="7"/>
        <w:rPr>
          <w:rFonts w:ascii="宋体" w:hAnsi="宋体" w:cs="宋体" w:eastAsia="宋体" w:hint="default"/>
          <w:sz w:val="8"/>
          <w:szCs w:val="8"/>
        </w:rPr>
      </w:pPr>
    </w:p>
    <w:p>
      <w:pPr>
        <w:pStyle w:val="Heading2"/>
        <w:spacing w:line="240" w:lineRule="auto" w:before="26"/>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40" w:right="119" w:hanging="42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 情况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7"/>
              <w:ind w:left="1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7" w:right="177" w:hanging="180"/>
              <w:jc w:val="left"/>
              <w:rPr>
                <w:rFonts w:ascii="宋体" w:hAnsi="宋体" w:cs="宋体" w:eastAsia="宋体" w:hint="default"/>
                <w:sz w:val="18"/>
                <w:szCs w:val="18"/>
              </w:rPr>
            </w:pPr>
            <w:r>
              <w:rPr>
                <w:rFonts w:ascii="宋体" w:hAnsi="宋体" w:cs="宋体" w:eastAsia="宋体" w:hint="default"/>
                <w:sz w:val="18"/>
                <w:szCs w:val="18"/>
              </w:rPr>
              <w:t>是否形成预 计负债</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71" w:right="17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50" w:right="150" w:firstLine="3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 理结果及影响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77" w:right="116"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94"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103" w:right="256"/>
              <w:jc w:val="both"/>
              <w:rPr>
                <w:rFonts w:ascii="宋体" w:hAnsi="宋体" w:cs="宋体" w:eastAsia="宋体" w:hint="default"/>
                <w:sz w:val="18"/>
                <w:szCs w:val="18"/>
              </w:rPr>
            </w:pPr>
            <w:r>
              <w:rPr>
                <w:rFonts w:ascii="宋体" w:hAnsi="宋体" w:cs="宋体" w:eastAsia="宋体" w:hint="default"/>
                <w:sz w:val="18"/>
                <w:szCs w:val="18"/>
              </w:rPr>
              <w:t>公司与福建鑫 海冶金有限公 司建设工程合 同纠纷案</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668.55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103" w:right="119"/>
              <w:jc w:val="left"/>
              <w:rPr>
                <w:rFonts w:ascii="宋体" w:hAnsi="宋体" w:cs="宋体" w:eastAsia="宋体" w:hint="default"/>
                <w:sz w:val="18"/>
                <w:szCs w:val="18"/>
              </w:rPr>
            </w:pPr>
            <w:r>
              <w:rPr>
                <w:rFonts w:ascii="宋体" w:hAnsi="宋体" w:cs="宋体" w:eastAsia="宋体" w:hint="default"/>
                <w:sz w:val="18"/>
                <w:szCs w:val="18"/>
              </w:rPr>
              <w:t>一审已判 决并生效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316" w:lineRule="auto" w:before="63"/>
              <w:ind w:left="102" w:right="101"/>
              <w:jc w:val="left"/>
              <w:rPr>
                <w:rFonts w:ascii="宋体" w:hAnsi="宋体" w:cs="宋体" w:eastAsia="宋体" w:hint="default"/>
                <w:sz w:val="18"/>
                <w:szCs w:val="18"/>
              </w:rPr>
            </w:pPr>
            <w:r>
              <w:rPr>
                <w:rFonts w:ascii="宋体" w:hAnsi="宋体" w:cs="宋体" w:eastAsia="宋体" w:hint="default"/>
                <w:spacing w:val="-12"/>
                <w:sz w:val="18"/>
                <w:szCs w:val="18"/>
              </w:rPr>
              <w:t>日，长乐市人民</w:t>
            </w:r>
            <w:r>
              <w:rPr>
                <w:rFonts w:ascii="宋体" w:hAnsi="宋体" w:cs="宋体" w:eastAsia="宋体" w:hint="default"/>
                <w:sz w:val="18"/>
                <w:szCs w:val="18"/>
              </w:rPr>
              <w:t> 法院判决福建 鑫海冶金有限 公司于该判决 生效之日起十 日内支付福建 永福电力设计 股份有限公司 工程款 </w:t>
            </w:r>
            <w:r>
              <w:rPr>
                <w:rFonts w:ascii="Times New Roman" w:hAnsi="Times New Roman" w:cs="Times New Roman" w:eastAsia="Times New Roman" w:hint="default"/>
                <w:sz w:val="18"/>
                <w:szCs w:val="18"/>
              </w:rPr>
              <w:t>6,685,500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并支付利息。</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7"/>
              <w:jc w:val="left"/>
              <w:rPr>
                <w:rFonts w:ascii="Times New Roman" w:hAnsi="Times New Roman" w:cs="Times New Roman" w:eastAsia="Times New Roman" w:hint="default"/>
                <w:sz w:val="18"/>
                <w:szCs w:val="18"/>
              </w:rPr>
            </w:pPr>
            <w:r>
              <w:rPr>
                <w:rFonts w:ascii="宋体" w:hAnsi="宋体" w:cs="宋体" w:eastAsia="宋体" w:hint="default"/>
                <w:sz w:val="18"/>
                <w:szCs w:val="18"/>
              </w:rPr>
              <w:t>长乐市人民 法院于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300" w:lineRule="auto"/>
              <w:ind w:left="103" w:right="16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裁定批准了</w:t>
            </w:r>
          </w:p>
          <w:p>
            <w:pPr>
              <w:pStyle w:val="TableParagraph"/>
              <w:spacing w:line="316" w:lineRule="auto" w:before="31"/>
              <w:ind w:left="103" w:right="25"/>
              <w:jc w:val="left"/>
              <w:rPr>
                <w:rFonts w:ascii="宋体" w:hAnsi="宋体" w:cs="宋体" w:eastAsia="宋体" w:hint="default"/>
                <w:sz w:val="18"/>
                <w:szCs w:val="18"/>
              </w:rPr>
            </w:pPr>
            <w:r>
              <w:rPr>
                <w:rFonts w:ascii="宋体" w:hAnsi="宋体" w:cs="宋体" w:eastAsia="宋体" w:hint="default"/>
                <w:sz w:val="18"/>
                <w:szCs w:val="18"/>
              </w:rPr>
              <w:t>《福建鑫海 冶金有限公 </w:t>
            </w:r>
            <w:r>
              <w:rPr>
                <w:rFonts w:ascii="宋体" w:hAnsi="宋体" w:cs="宋体" w:eastAsia="宋体" w:hint="default"/>
                <w:spacing w:val="-6"/>
                <w:sz w:val="18"/>
                <w:szCs w:val="18"/>
              </w:rPr>
              <w:t>司、福州松下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港鑫顺仓储 </w:t>
            </w:r>
            <w:r>
              <w:rPr>
                <w:rFonts w:ascii="宋体" w:hAnsi="宋体" w:cs="宋体" w:eastAsia="宋体" w:hint="default"/>
                <w:spacing w:val="-6"/>
                <w:sz w:val="18"/>
                <w:szCs w:val="18"/>
              </w:rPr>
              <w:t>有限公司、福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州鑫航资源 利用创新有 限公司重置 </w:t>
            </w:r>
            <w:r>
              <w:rPr>
                <w:rFonts w:ascii="宋体" w:hAnsi="宋体" w:cs="宋体" w:eastAsia="宋体" w:hint="default"/>
                <w:spacing w:val="-15"/>
                <w:sz w:val="18"/>
                <w:szCs w:val="18"/>
              </w:rPr>
              <w:t>计划》，公司</w:t>
            </w:r>
            <w:r>
              <w:rPr>
                <w:rFonts w:ascii="宋体" w:hAnsi="宋体" w:cs="宋体" w:eastAsia="宋体" w:hint="default"/>
                <w:sz w:val="18"/>
                <w:szCs w:val="18"/>
              </w:rPr>
              <w:t> 据此于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日收回清偿 款项共计 </w:t>
            </w:r>
            <w:r>
              <w:rPr>
                <w:rFonts w:ascii="Times New Roman" w:hAnsi="Times New Roman" w:cs="Times New Roman" w:eastAsia="Times New Roman" w:hint="default"/>
                <w:sz w:val="18"/>
                <w:szCs w:val="18"/>
              </w:rPr>
              <w:t>1,257,825 </w:t>
            </w: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1" w:right="0"/>
              <w:jc w:val="left"/>
              <w:rPr>
                <w:rFonts w:ascii="宋体" w:hAnsi="宋体" w:cs="宋体" w:eastAsia="宋体" w:hint="default"/>
                <w:sz w:val="18"/>
                <w:szCs w:val="18"/>
              </w:rPr>
            </w:pPr>
            <w:r>
              <w:rPr>
                <w:rFonts w:ascii="宋体" w:hAnsi="宋体" w:cs="宋体" w:eastAsia="宋体" w:hint="default"/>
                <w:sz w:val="18"/>
                <w:szCs w:val="18"/>
              </w:rPr>
              <w:t>巨潮网：</w:t>
            </w:r>
          </w:p>
          <w:p>
            <w:pPr>
              <w:pStyle w:val="TableParagraph"/>
              <w:spacing w:line="319" w:lineRule="auto" w:before="76"/>
              <w:ind w:left="101" w:right="62"/>
              <w:jc w:val="left"/>
              <w:rPr>
                <w:rFonts w:ascii="宋体" w:hAnsi="宋体" w:cs="宋体" w:eastAsia="宋体" w:hint="default"/>
                <w:sz w:val="18"/>
                <w:szCs w:val="18"/>
              </w:rPr>
            </w:pPr>
            <w:r>
              <w:rPr>
                <w:rFonts w:ascii="宋体" w:hAnsi="宋体" w:cs="宋体" w:eastAsia="宋体" w:hint="default"/>
                <w:sz w:val="18"/>
                <w:szCs w:val="18"/>
              </w:rPr>
              <w:t>《关于重 大诉讼进 展的公告》</w:t>
            </w:r>
          </w:p>
          <w:p>
            <w:pPr>
              <w:pStyle w:val="TableParagraph"/>
              <w:spacing w:line="240" w:lineRule="auto" w:before="17"/>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2018-00</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r>
        <w:trPr>
          <w:trHeight w:val="2274"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256"/>
              <w:jc w:val="both"/>
              <w:rPr>
                <w:rFonts w:ascii="宋体" w:hAnsi="宋体" w:cs="宋体" w:eastAsia="宋体" w:hint="default"/>
                <w:sz w:val="18"/>
                <w:szCs w:val="18"/>
              </w:rPr>
            </w:pPr>
            <w:r>
              <w:rPr>
                <w:rFonts w:ascii="宋体" w:hAnsi="宋体" w:cs="宋体" w:eastAsia="宋体" w:hint="default"/>
                <w:sz w:val="18"/>
                <w:szCs w:val="18"/>
              </w:rPr>
              <w:t>公司与华安县 耀南石材场高 度危险活动损 害责任纠纷案</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119"/>
              <w:jc w:val="left"/>
              <w:rPr>
                <w:rFonts w:ascii="宋体" w:hAnsi="宋体" w:cs="宋体" w:eastAsia="宋体" w:hint="default"/>
                <w:sz w:val="18"/>
                <w:szCs w:val="18"/>
              </w:rPr>
            </w:pPr>
            <w:r>
              <w:rPr>
                <w:rFonts w:ascii="宋体" w:hAnsi="宋体" w:cs="宋体" w:eastAsia="宋体" w:hint="default"/>
                <w:sz w:val="18"/>
                <w:szCs w:val="18"/>
              </w:rPr>
              <w:t>一审已裁 定并生效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9" w:lineRule="auto" w:before="63"/>
              <w:ind w:left="102" w:right="101"/>
              <w:jc w:val="left"/>
              <w:rPr>
                <w:rFonts w:ascii="宋体" w:hAnsi="宋体" w:cs="宋体" w:eastAsia="宋体" w:hint="default"/>
                <w:sz w:val="18"/>
                <w:szCs w:val="18"/>
              </w:rPr>
            </w:pPr>
            <w:r>
              <w:rPr>
                <w:rFonts w:ascii="宋体" w:hAnsi="宋体" w:cs="宋体" w:eastAsia="宋体" w:hint="default"/>
                <w:spacing w:val="-12"/>
                <w:sz w:val="18"/>
                <w:szCs w:val="18"/>
              </w:rPr>
              <w:t>日，漳州法院裁</w:t>
            </w:r>
            <w:r>
              <w:rPr>
                <w:rFonts w:ascii="宋体" w:hAnsi="宋体" w:cs="宋体" w:eastAsia="宋体" w:hint="default"/>
                <w:sz w:val="18"/>
                <w:szCs w:val="18"/>
              </w:rPr>
              <w:t> 定准许原告撤 </w:t>
            </w:r>
            <w:r>
              <w:rPr>
                <w:rFonts w:ascii="宋体" w:hAnsi="宋体" w:cs="宋体" w:eastAsia="宋体" w:hint="default"/>
                <w:spacing w:val="-12"/>
                <w:sz w:val="18"/>
                <w:szCs w:val="18"/>
              </w:rPr>
              <w:t>诉，案件受理费</w:t>
            </w:r>
            <w:r>
              <w:rPr>
                <w:rFonts w:ascii="宋体" w:hAnsi="宋体" w:cs="宋体" w:eastAsia="宋体" w:hint="default"/>
                <w:sz w:val="18"/>
                <w:szCs w:val="18"/>
              </w:rPr>
              <w:t> 由原告负担。</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原告撤诉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both"/>
              <w:rPr>
                <w:rFonts w:ascii="宋体" w:hAnsi="宋体" w:cs="宋体" w:eastAsia="宋体" w:hint="default"/>
                <w:sz w:val="18"/>
                <w:szCs w:val="18"/>
              </w:rPr>
            </w:pPr>
            <w:r>
              <w:rPr>
                <w:rFonts w:ascii="宋体" w:hAnsi="宋体" w:cs="宋体" w:eastAsia="宋体" w:hint="default"/>
                <w:sz w:val="18"/>
                <w:szCs w:val="18"/>
              </w:rPr>
              <w:t>巨潮网：</w:t>
            </w:r>
          </w:p>
          <w:p>
            <w:pPr>
              <w:pStyle w:val="TableParagraph"/>
              <w:spacing w:line="316" w:lineRule="auto" w:before="76"/>
              <w:ind w:left="101" w:right="242"/>
              <w:jc w:val="both"/>
              <w:rPr>
                <w:rFonts w:ascii="宋体" w:hAnsi="宋体" w:cs="宋体" w:eastAsia="宋体" w:hint="default"/>
                <w:sz w:val="18"/>
                <w:szCs w:val="18"/>
              </w:rPr>
            </w:pPr>
            <w:r>
              <w:rPr>
                <w:rFonts w:ascii="宋体" w:hAnsi="宋体" w:cs="宋体" w:eastAsia="宋体" w:hint="default"/>
                <w:sz w:val="18"/>
                <w:szCs w:val="18"/>
              </w:rPr>
              <w:t>《关于重 大诉讼事 项进展的 公告》</w:t>
            </w:r>
          </w:p>
          <w:p>
            <w:pPr>
              <w:pStyle w:val="TableParagraph"/>
              <w:spacing w:line="240" w:lineRule="auto" w:before="19"/>
              <w:ind w:left="10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2019-00</w:t>
            </w:r>
          </w:p>
          <w:p>
            <w:pPr>
              <w:pStyle w:val="TableParagraph"/>
              <w:spacing w:line="240" w:lineRule="auto" w:before="64"/>
              <w:ind w:left="10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1650"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6"/>
              <w:jc w:val="both"/>
              <w:rPr>
                <w:rFonts w:ascii="宋体" w:hAnsi="宋体" w:cs="宋体" w:eastAsia="宋体" w:hint="default"/>
                <w:sz w:val="18"/>
                <w:szCs w:val="18"/>
              </w:rPr>
            </w:pPr>
            <w:r>
              <w:rPr>
                <w:rFonts w:ascii="宋体" w:hAnsi="宋体" w:cs="宋体" w:eastAsia="宋体" w:hint="default"/>
                <w:sz w:val="18"/>
                <w:szCs w:val="18"/>
              </w:rPr>
              <w:t>公司与深圳蓝 波绿集团股份 有限公司技术 咨询合同纠纷 案</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19"/>
              <w:jc w:val="left"/>
              <w:rPr>
                <w:rFonts w:ascii="宋体" w:hAnsi="宋体" w:cs="宋体" w:eastAsia="宋体" w:hint="default"/>
                <w:sz w:val="18"/>
                <w:szCs w:val="18"/>
              </w:rPr>
            </w:pPr>
            <w:r>
              <w:rPr>
                <w:rFonts w:ascii="宋体" w:hAnsi="宋体" w:cs="宋体" w:eastAsia="宋体" w:hint="default"/>
                <w:sz w:val="18"/>
                <w:szCs w:val="18"/>
              </w:rPr>
              <w:t>一审已判 决并生效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p>
            <w:pPr>
              <w:pStyle w:val="TableParagraph"/>
              <w:spacing w:line="316" w:lineRule="auto" w:before="62"/>
              <w:ind w:left="102" w:right="101"/>
              <w:jc w:val="left"/>
              <w:rPr>
                <w:rFonts w:ascii="宋体" w:hAnsi="宋体" w:cs="宋体" w:eastAsia="宋体" w:hint="default"/>
                <w:sz w:val="18"/>
                <w:szCs w:val="18"/>
              </w:rPr>
            </w:pPr>
            <w:r>
              <w:rPr>
                <w:rFonts w:ascii="宋体" w:hAnsi="宋体" w:cs="宋体" w:eastAsia="宋体" w:hint="default"/>
                <w:spacing w:val="-12"/>
                <w:sz w:val="18"/>
                <w:szCs w:val="18"/>
              </w:rPr>
              <w:t>日，福州市中级</w:t>
            </w:r>
            <w:r>
              <w:rPr>
                <w:rFonts w:ascii="宋体" w:hAnsi="宋体" w:cs="宋体" w:eastAsia="宋体" w:hint="default"/>
                <w:sz w:val="18"/>
                <w:szCs w:val="18"/>
              </w:rPr>
              <w:t> 人民法院判令 深圳蓝波绿集 团股份有限公</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2"/>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pacing w:val="-16"/>
                <w:sz w:val="18"/>
                <w:szCs w:val="18"/>
              </w:rPr>
              <w:t>日，福州市</w:t>
            </w:r>
            <w:r>
              <w:rPr>
                <w:rFonts w:ascii="宋体" w:hAnsi="宋体" w:cs="宋体" w:eastAsia="宋体" w:hint="default"/>
                <w:sz w:val="18"/>
                <w:szCs w:val="18"/>
              </w:rPr>
              <w:t> 中级人民法 院因深圳蓝 波绿集团股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both"/>
              <w:rPr>
                <w:rFonts w:ascii="宋体" w:hAnsi="宋体" w:cs="宋体" w:eastAsia="宋体" w:hint="default"/>
                <w:sz w:val="18"/>
                <w:szCs w:val="18"/>
              </w:rPr>
            </w:pPr>
            <w:r>
              <w:rPr>
                <w:rFonts w:ascii="宋体" w:hAnsi="宋体" w:cs="宋体" w:eastAsia="宋体" w:hint="default"/>
                <w:sz w:val="18"/>
                <w:szCs w:val="18"/>
              </w:rPr>
              <w:t>巨潮网：</w:t>
            </w:r>
          </w:p>
          <w:p>
            <w:pPr>
              <w:pStyle w:val="TableParagraph"/>
              <w:spacing w:line="316" w:lineRule="auto" w:before="75"/>
              <w:ind w:left="101" w:right="242"/>
              <w:jc w:val="both"/>
              <w:rPr>
                <w:rFonts w:ascii="宋体" w:hAnsi="宋体" w:cs="宋体" w:eastAsia="宋体" w:hint="default"/>
                <w:sz w:val="18"/>
                <w:szCs w:val="18"/>
              </w:rPr>
            </w:pPr>
            <w:r>
              <w:rPr>
                <w:rFonts w:ascii="宋体" w:hAnsi="宋体" w:cs="宋体" w:eastAsia="宋体" w:hint="default"/>
                <w:sz w:val="18"/>
                <w:szCs w:val="18"/>
              </w:rPr>
              <w:t>《首次公 开发行股 票并在创 业板上市</w:t>
            </w:r>
          </w:p>
        </w:tc>
      </w:tr>
    </w:tbl>
    <w:p>
      <w:pPr>
        <w:spacing w:after="0" w:line="316" w:lineRule="auto"/>
        <w:jc w:val="both"/>
        <w:rPr>
          <w:rFonts w:ascii="宋体" w:hAnsi="宋体" w:cs="宋体" w:eastAsia="宋体"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3171" w:hRule="exact"/>
        </w:trPr>
        <w:tc>
          <w:tcPr>
            <w:tcW w:w="1451"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司于判决生效 之日起 </w:t>
            </w:r>
            <w:r>
              <w:rPr>
                <w:rFonts w:ascii="Times New Roman" w:hAnsi="Times New Roman" w:cs="Times New Roman" w:eastAsia="Times New Roman" w:hint="default"/>
                <w:sz w:val="18"/>
                <w:szCs w:val="18"/>
              </w:rPr>
              <w:t>15 </w:t>
            </w:r>
            <w:r>
              <w:rPr>
                <w:rFonts w:ascii="宋体" w:hAnsi="宋体" w:cs="宋体" w:eastAsia="宋体" w:hint="default"/>
                <w:sz w:val="18"/>
                <w:szCs w:val="18"/>
              </w:rPr>
              <w:t>日 内向公司支付 咨询费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120,000 </w:t>
            </w:r>
            <w:r>
              <w:rPr>
                <w:rFonts w:ascii="宋体" w:hAnsi="宋体" w:cs="宋体" w:eastAsia="宋体" w:hint="default"/>
                <w:spacing w:val="-12"/>
                <w:sz w:val="18"/>
                <w:szCs w:val="18"/>
              </w:rPr>
              <w:t>元、逾期违约金</w:t>
            </w:r>
            <w:r>
              <w:rPr>
                <w:rFonts w:ascii="宋体" w:hAnsi="宋体" w:cs="宋体" w:eastAsia="宋体" w:hint="default"/>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元，驳回</w:t>
            </w:r>
            <w:r>
              <w:rPr>
                <w:rFonts w:ascii="宋体" w:hAnsi="宋体" w:cs="宋体" w:eastAsia="宋体" w:hint="default"/>
                <w:sz w:val="18"/>
                <w:szCs w:val="18"/>
              </w:rPr>
              <w:t> 公司的其他诉 讼请求。</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份有限公司 无可供执行 </w:t>
            </w:r>
            <w:r>
              <w:rPr>
                <w:rFonts w:ascii="宋体" w:hAnsi="宋体" w:cs="宋体" w:eastAsia="宋体" w:hint="default"/>
                <w:spacing w:val="-6"/>
                <w:sz w:val="18"/>
                <w:szCs w:val="18"/>
              </w:rPr>
              <w:t>财产，终结判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决书的执行 程序。 如发 现该公司有 可供执行财 </w:t>
            </w:r>
            <w:r>
              <w:rPr>
                <w:rFonts w:ascii="宋体" w:hAnsi="宋体" w:cs="宋体" w:eastAsia="宋体" w:hint="default"/>
                <w:spacing w:val="-6"/>
                <w:sz w:val="18"/>
                <w:szCs w:val="18"/>
              </w:rPr>
              <w:t>产时，公司将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再次申请执 行。</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1" w:right="242"/>
              <w:jc w:val="left"/>
              <w:rPr>
                <w:rFonts w:ascii="宋体" w:hAnsi="宋体" w:cs="宋体" w:eastAsia="宋体" w:hint="default"/>
                <w:sz w:val="18"/>
                <w:szCs w:val="18"/>
              </w:rPr>
            </w:pPr>
            <w:r>
              <w:rPr>
                <w:rFonts w:ascii="宋体" w:hAnsi="宋体" w:cs="宋体" w:eastAsia="宋体" w:hint="default"/>
                <w:sz w:val="18"/>
                <w:szCs w:val="18"/>
              </w:rPr>
              <w:t>招股说明 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872"/>
        <w:jc w:val="left"/>
      </w:pPr>
      <w:r>
        <w:rPr/>
        <w:t>□ 适用 √ 不适用 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pStyle w:val="BodyText"/>
        <w:spacing w:line="430" w:lineRule="atLeast" w:before="153"/>
        <w:ind w:left="553" w:right="1173" w:hanging="400"/>
        <w:jc w:val="left"/>
      </w:pPr>
      <w:r>
        <w:rPr/>
        <w:t>√ 适用 □ 不适用 本公司及本公司控股股东、实际控制人诚信状况良好，不存在未履行法院生效判决、所负数额较大的债务到期未清偿</w:t>
      </w:r>
    </w:p>
    <w:p>
      <w:pPr>
        <w:pStyle w:val="BodyText"/>
        <w:spacing w:line="240" w:lineRule="auto" w:before="75"/>
        <w:ind w:right="0"/>
        <w:jc w:val="left"/>
      </w:pPr>
      <w:r>
        <w:rPr/>
        <w:t>等情况，不属于失信被执行人。</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pStyle w:val="BodyText"/>
        <w:spacing w:line="460" w:lineRule="atLeast" w:before="124"/>
        <w:ind w:left="514" w:right="1122" w:hanging="360"/>
        <w:jc w:val="left"/>
      </w:pPr>
      <w:r>
        <w:rPr/>
        <w:t>√ 适用 □ 不适用 </w:t>
      </w:r>
      <w:r>
        <w:rPr>
          <w:spacing w:val="-2"/>
        </w:rPr>
        <w:t>为建立长期人才激励机制，进一步完善公司治理结构，吸引和保留优秀管理人才和业务骨干，根据有关法律、法规、规</w:t>
      </w:r>
    </w:p>
    <w:p>
      <w:pPr>
        <w:pStyle w:val="BodyText"/>
        <w:spacing w:line="307" w:lineRule="auto" w:before="76"/>
        <w:ind w:right="0"/>
        <w:jc w:val="left"/>
      </w:pPr>
      <w:r>
        <w:rPr>
          <w:spacing w:val="-2"/>
        </w:rPr>
        <w:t>范性文件的相关规定，公司推出了第一期员工持股计划。第一期员工持股计划共筹集资金</w:t>
      </w:r>
      <w:r>
        <w:rPr>
          <w:rFonts w:ascii="Times New Roman" w:hAnsi="Times New Roman" w:cs="Times New Roman" w:eastAsia="Times New Roman" w:hint="default"/>
          <w:spacing w:val="-2"/>
        </w:rPr>
        <w:t>2062</w:t>
      </w:r>
      <w:r>
        <w:rPr>
          <w:spacing w:val="-2"/>
        </w:rPr>
        <w:t>万元，资金来源为员工自有资</w:t>
      </w:r>
      <w:r>
        <w:rPr>
          <w:spacing w:val="-62"/>
        </w:rPr>
        <w:t> </w:t>
      </w:r>
      <w:r>
        <w:rPr>
          <w:spacing w:val="-62"/>
        </w:rPr>
      </w:r>
      <w:r>
        <w:rPr>
          <w:spacing w:val="-4"/>
        </w:rPr>
        <w:t>金及其他合法合规方式获得的资金等。参加员工持股计划的对象范围包括公司董事（不含独立董事）、监事、高级管理人员、</w:t>
      </w:r>
      <w:r>
        <w:rPr>
          <w:spacing w:val="-44"/>
        </w:rPr>
        <w:t> </w:t>
      </w:r>
      <w:r>
        <w:rPr>
          <w:spacing w:val="-44"/>
        </w:rPr>
      </w:r>
      <w:r>
        <w:rPr>
          <w:spacing w:val="-2"/>
        </w:rPr>
        <w:t>其他员工及子公司的部分员工，合计</w:t>
      </w:r>
      <w:r>
        <w:rPr>
          <w:rFonts w:ascii="Times New Roman" w:hAnsi="Times New Roman" w:cs="Times New Roman" w:eastAsia="Times New Roman" w:hint="default"/>
          <w:spacing w:val="-2"/>
        </w:rPr>
        <w:t>99</w:t>
      </w:r>
      <w:r>
        <w:rPr>
          <w:spacing w:val="-2"/>
        </w:rPr>
        <w:t>人。本次员工持股计划委托兴证证券资产管理有限公司设立的兴证资管鑫众</w:t>
      </w:r>
      <w:r>
        <w:rPr>
          <w:rFonts w:ascii="Times New Roman" w:hAnsi="Times New Roman" w:cs="Times New Roman" w:eastAsia="Times New Roman" w:hint="default"/>
          <w:spacing w:val="-2"/>
        </w:rPr>
        <w:t>—</w:t>
      </w:r>
      <w:r>
        <w:rPr>
          <w:spacing w:val="-2"/>
        </w:rPr>
        <w:t>永福股</w:t>
      </w:r>
      <w:r>
        <w:rPr>
          <w:spacing w:val="-62"/>
        </w:rPr>
        <w:t> </w:t>
      </w:r>
      <w:r>
        <w:rPr/>
        <w:t>份</w:t>
      </w:r>
      <w:r>
        <w:rPr>
          <w:rFonts w:ascii="Times New Roman" w:hAnsi="Times New Roman" w:cs="Times New Roman" w:eastAsia="Times New Roman" w:hint="default"/>
        </w:rPr>
        <w:t>1</w:t>
      </w:r>
      <w:r>
        <w:rPr/>
        <w:t>号定向资产管理计划管理。</w:t>
      </w:r>
    </w:p>
    <w:p>
      <w:pPr>
        <w:spacing w:line="240" w:lineRule="auto" w:before="6"/>
        <w:rPr>
          <w:rFonts w:ascii="宋体" w:hAnsi="宋体" w:cs="宋体" w:eastAsia="宋体" w:hint="default"/>
          <w:sz w:val="12"/>
          <w:szCs w:val="12"/>
        </w:rPr>
      </w:pPr>
    </w:p>
    <w:p>
      <w:pPr>
        <w:pStyle w:val="BodyText"/>
        <w:spacing w:line="300" w:lineRule="auto"/>
        <w:ind w:right="1130" w:firstLine="36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日召开第一届董事会第二十六次会议和第一届监事会第十八次会议，审议通过了《关于</w:t>
      </w:r>
      <w:r>
        <w:rPr>
          <w:rFonts w:ascii="Times New Roman" w:hAnsi="Times New Roman" w:cs="Times New Roman" w:eastAsia="Times New Roman" w:hint="default"/>
        </w:rPr>
        <w:t>&lt;</w:t>
      </w:r>
      <w:r>
        <w:rPr/>
        <w:t>公司第一 </w:t>
      </w:r>
      <w:r>
        <w:rPr>
          <w:spacing w:val="-1"/>
        </w:rPr>
        <w:t>期员工持股计划（草案）</w:t>
      </w:r>
      <w:r>
        <w:rPr>
          <w:rFonts w:ascii="Times New Roman" w:hAnsi="Times New Roman" w:cs="Times New Roman" w:eastAsia="Times New Roman" w:hint="default"/>
          <w:spacing w:val="-1"/>
        </w:rPr>
        <w:t>&gt;</w:t>
      </w:r>
      <w:r>
        <w:rPr>
          <w:spacing w:val="-1"/>
        </w:rPr>
        <w:t>及其摘要的议案》，并于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15</w:t>
      </w:r>
      <w:r>
        <w:rPr>
          <w:spacing w:val="-1"/>
        </w:rPr>
        <w:t>日召开</w:t>
      </w:r>
      <w:r>
        <w:rPr>
          <w:rFonts w:ascii="Times New Roman" w:hAnsi="Times New Roman" w:cs="Times New Roman" w:eastAsia="Times New Roman" w:hint="default"/>
          <w:spacing w:val="-1"/>
        </w:rPr>
        <w:t>2018</w:t>
      </w:r>
      <w:r>
        <w:rPr>
          <w:spacing w:val="-1"/>
        </w:rPr>
        <w:t>年第三次临时股东大会审议通过第一期员工持</w:t>
      </w:r>
      <w:r>
        <w:rPr>
          <w:spacing w:val="-47"/>
        </w:rPr>
        <w:t> </w:t>
      </w:r>
      <w:r>
        <w:rPr>
          <w:spacing w:val="-47"/>
        </w:rPr>
      </w:r>
      <w:r>
        <w:rPr/>
        <w:t>股计划相关事宜。具体内容详见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日在巨潮网发布的相关公告。</w:t>
      </w:r>
    </w:p>
    <w:p>
      <w:pPr>
        <w:spacing w:line="240" w:lineRule="auto" w:before="12"/>
        <w:rPr>
          <w:rFonts w:ascii="宋体" w:hAnsi="宋体" w:cs="宋体" w:eastAsia="宋体" w:hint="default"/>
          <w:sz w:val="12"/>
          <w:szCs w:val="12"/>
        </w:rPr>
      </w:pPr>
    </w:p>
    <w:p>
      <w:pPr>
        <w:pStyle w:val="BodyText"/>
        <w:spacing w:line="300" w:lineRule="auto"/>
        <w:ind w:right="1130" w:firstLine="360"/>
        <w:jc w:val="both"/>
      </w:pP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31</w:t>
      </w:r>
      <w:r>
        <w:rPr>
          <w:spacing w:val="-3"/>
        </w:rPr>
        <w:t>日，公司第一期员工持股计划已完成建仓工作，通过二级市场竞价交易方式累计购入公司股票</w:t>
      </w:r>
      <w:r>
        <w:rPr>
          <w:rFonts w:ascii="Times New Roman" w:hAnsi="Times New Roman" w:cs="Times New Roman" w:eastAsia="Times New Roman" w:hint="default"/>
          <w:spacing w:val="-3"/>
        </w:rPr>
        <w:t>1,455,368</w:t>
      </w:r>
      <w:r>
        <w:rPr>
          <w:rFonts w:ascii="Times New Roman" w:hAnsi="Times New Roman" w:cs="Times New Roman" w:eastAsia="Times New Roman" w:hint="default"/>
        </w:rPr>
        <w:t> </w:t>
      </w:r>
      <w:r>
        <w:rPr>
          <w:spacing w:val="-1"/>
        </w:rPr>
        <w:t>股，占公司总股本的</w:t>
      </w:r>
      <w:r>
        <w:rPr>
          <w:rFonts w:ascii="Times New Roman" w:hAnsi="Times New Roman" w:cs="Times New Roman" w:eastAsia="Times New Roman" w:hint="default"/>
          <w:spacing w:val="-1"/>
        </w:rPr>
        <w:t>1.0390%</w:t>
      </w:r>
      <w:r>
        <w:rPr>
          <w:spacing w:val="-1"/>
        </w:rPr>
        <w:t>，成交均价约</w:t>
      </w:r>
      <w:r>
        <w:rPr>
          <w:rFonts w:ascii="Times New Roman" w:hAnsi="Times New Roman" w:cs="Times New Roman" w:eastAsia="Times New Roman" w:hint="default"/>
          <w:spacing w:val="-1"/>
        </w:rPr>
        <w:t>14.0264</w:t>
      </w:r>
      <w:r>
        <w:rPr>
          <w:spacing w:val="-1"/>
        </w:rPr>
        <w:t>元</w:t>
      </w:r>
      <w:r>
        <w:rPr>
          <w:rFonts w:ascii="Times New Roman" w:hAnsi="Times New Roman" w:cs="Times New Roman" w:eastAsia="Times New Roman" w:hint="default"/>
          <w:spacing w:val="-1"/>
        </w:rPr>
        <w:t>/</w:t>
      </w:r>
      <w:r>
        <w:rPr>
          <w:spacing w:val="-1"/>
        </w:rPr>
        <w:t>股。本次员工持股计划的锁定期为</w:t>
      </w:r>
      <w:r>
        <w:rPr>
          <w:rFonts w:ascii="Times New Roman" w:hAnsi="Times New Roman" w:cs="Times New Roman" w:eastAsia="Times New Roman" w:hint="default"/>
          <w:spacing w:val="-1"/>
        </w:rPr>
        <w:t>12</w:t>
      </w:r>
      <w:r>
        <w:rPr>
          <w:spacing w:val="-1"/>
        </w:rPr>
        <w:t>个月，自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31</w:t>
      </w:r>
      <w:r>
        <w:rPr/>
        <w:t>日，存续期为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到</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日在巨潮网发布的《关于公司第一期员工持</w:t>
      </w:r>
      <w:r>
        <w:rPr>
          <w:spacing w:val="-83"/>
        </w:rPr>
        <w:t> </w:t>
      </w:r>
      <w:r>
        <w:rPr>
          <w:spacing w:val="-83"/>
        </w:rPr>
      </w:r>
      <w:r>
        <w:rPr>
          <w:spacing w:val="-8"/>
        </w:rPr>
        <w:t>股计划购买完毕的公告》。</w:t>
      </w:r>
    </w:p>
    <w:p>
      <w:pPr>
        <w:spacing w:line="240" w:lineRule="auto" w:before="4"/>
        <w:rPr>
          <w:rFonts w:ascii="宋体" w:hAnsi="宋体" w:cs="宋体" w:eastAsia="宋体" w:hint="default"/>
          <w:sz w:val="14"/>
          <w:szCs w:val="14"/>
        </w:rPr>
      </w:pPr>
    </w:p>
    <w:p>
      <w:pPr>
        <w:pStyle w:val="BodyText"/>
        <w:spacing w:line="319" w:lineRule="auto"/>
        <w:ind w:right="1133" w:firstLine="360"/>
        <w:jc w:val="both"/>
      </w:pPr>
      <w:r>
        <w:rPr>
          <w:spacing w:val="-2"/>
        </w:rPr>
        <w:t>本次员工持股计划的实施将企业发展的成果与员工共享，建立长期人才激励政策，有利于提高员工的工作积极性，使员</w:t>
      </w:r>
      <w:r>
        <w:rPr/>
        <w:t> 工的长期价值得到体现。</w:t>
      </w:r>
    </w:p>
    <w:p>
      <w:pPr>
        <w:spacing w:after="0" w:line="319" w:lineRule="auto"/>
        <w:jc w:val="both"/>
        <w:sectPr>
          <w:pgSz w:w="11910" w:h="16840"/>
          <w:pgMar w:header="850" w:footer="1267" w:top="1260" w:bottom="1460" w:left="980" w:right="0"/>
        </w:sectPr>
      </w:pPr>
    </w:p>
    <w:p>
      <w:pPr>
        <w:spacing w:line="240" w:lineRule="auto" w:before="7"/>
        <w:rPr>
          <w:rFonts w:ascii="宋体" w:hAnsi="宋体" w:cs="宋体" w:eastAsia="宋体" w:hint="default"/>
          <w:sz w:val="8"/>
          <w:szCs w:val="8"/>
        </w:rPr>
      </w:pPr>
    </w:p>
    <w:p>
      <w:pPr>
        <w:pStyle w:val="Heading2"/>
        <w:spacing w:line="240" w:lineRule="auto" w:before="26"/>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64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4" w:right="123" w:hanging="90"/>
              <w:jc w:val="left"/>
              <w:rPr>
                <w:rFonts w:ascii="宋体" w:hAnsi="宋体" w:cs="宋体" w:eastAsia="宋体" w:hint="default"/>
                <w:sz w:val="18"/>
                <w:szCs w:val="18"/>
              </w:rPr>
            </w:pPr>
            <w:r>
              <w:rPr>
                <w:rFonts w:ascii="宋体" w:hAnsi="宋体" w:cs="宋体" w:eastAsia="宋体" w:hint="default"/>
                <w:sz w:val="18"/>
                <w:szCs w:val="18"/>
              </w:rPr>
              <w:t>关联交 易方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3" w:right="15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3" w:right="151"/>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6" w:right="164"/>
              <w:jc w:val="both"/>
              <w:rPr>
                <w:rFonts w:ascii="宋体" w:hAnsi="宋体" w:cs="宋体" w:eastAsia="宋体" w:hint="default"/>
                <w:sz w:val="18"/>
                <w:szCs w:val="18"/>
              </w:rPr>
            </w:pPr>
            <w:r>
              <w:rPr>
                <w:rFonts w:ascii="宋体" w:hAnsi="宋体" w:cs="宋体" w:eastAsia="宋体" w:hint="default"/>
                <w:sz w:val="18"/>
                <w:szCs w:val="18"/>
              </w:rPr>
              <w:t>关联 交易 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4" w:right="155"/>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2" w:right="149"/>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2" w:right="150"/>
              <w:jc w:val="both"/>
              <w:rPr>
                <w:rFonts w:ascii="宋体" w:hAnsi="宋体" w:cs="宋体" w:eastAsia="宋体" w:hint="default"/>
                <w:sz w:val="18"/>
                <w:szCs w:val="18"/>
              </w:rPr>
            </w:pPr>
            <w:r>
              <w:rPr>
                <w:rFonts w:ascii="宋体" w:hAnsi="宋体" w:cs="宋体" w:eastAsia="宋体" w:hint="default"/>
                <w:sz w:val="18"/>
                <w:szCs w:val="18"/>
              </w:rPr>
              <w:t>关联 交易 金额</w:t>
            </w:r>
          </w:p>
          <w:p>
            <w:pPr>
              <w:pStyle w:val="TableParagraph"/>
              <w:spacing w:line="319" w:lineRule="auto" w:before="19"/>
              <w:ind w:left="152" w:right="150"/>
              <w:jc w:val="both"/>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2" w:right="150"/>
              <w:jc w:val="both"/>
              <w:rPr>
                <w:rFonts w:ascii="宋体" w:hAnsi="宋体" w:cs="宋体" w:eastAsia="宋体" w:hint="default"/>
                <w:sz w:val="18"/>
                <w:szCs w:val="18"/>
              </w:rPr>
            </w:pPr>
            <w:r>
              <w:rPr>
                <w:rFonts w:ascii="宋体" w:hAnsi="宋体" w:cs="宋体" w:eastAsia="宋体" w:hint="default"/>
                <w:sz w:val="18"/>
                <w:szCs w:val="18"/>
              </w:rPr>
              <w:t>占同 类交 易金 额的 比例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99" w:firstLine="49"/>
              <w:jc w:val="both"/>
              <w:rPr>
                <w:rFonts w:ascii="宋体" w:hAnsi="宋体" w:cs="宋体" w:eastAsia="宋体" w:hint="default"/>
                <w:sz w:val="18"/>
                <w:szCs w:val="18"/>
              </w:rPr>
            </w:pPr>
            <w:r>
              <w:rPr>
                <w:rFonts w:ascii="宋体" w:hAnsi="宋体" w:cs="宋体" w:eastAsia="宋体" w:hint="default"/>
                <w:sz w:val="18"/>
                <w:szCs w:val="18"/>
              </w:rPr>
              <w:t>获批 的交 易额 </w:t>
            </w:r>
            <w:r>
              <w:rPr>
                <w:rFonts w:ascii="宋体" w:hAnsi="宋体" w:cs="宋体" w:eastAsia="宋体" w:hint="default"/>
                <w:spacing w:val="-28"/>
                <w:sz w:val="18"/>
                <w:szCs w:val="18"/>
              </w:rPr>
              <w:t>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2" w:right="150"/>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2" w:right="150"/>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2" w:right="149"/>
              <w:jc w:val="both"/>
              <w:rPr>
                <w:rFonts w:ascii="宋体" w:hAnsi="宋体" w:cs="宋体" w:eastAsia="宋体" w:hint="default"/>
                <w:sz w:val="18"/>
                <w:szCs w:val="18"/>
              </w:rPr>
            </w:pPr>
            <w:r>
              <w:rPr>
                <w:rFonts w:ascii="宋体" w:hAnsi="宋体" w:cs="宋体" w:eastAsia="宋体" w:hint="default"/>
                <w:sz w:val="18"/>
                <w:szCs w:val="18"/>
              </w:rPr>
              <w:t>可获 得的 同类 交易 市价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49" w:right="14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36" w:right="137"/>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5082"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03" w:right="144"/>
              <w:jc w:val="both"/>
              <w:rPr>
                <w:rFonts w:ascii="宋体" w:hAnsi="宋体" w:cs="宋体" w:eastAsia="宋体" w:hint="default"/>
                <w:sz w:val="18"/>
                <w:szCs w:val="18"/>
              </w:rPr>
            </w:pPr>
            <w:r>
              <w:rPr>
                <w:rFonts w:ascii="宋体" w:hAnsi="宋体" w:cs="宋体" w:eastAsia="宋体" w:hint="default"/>
                <w:sz w:val="18"/>
                <w:szCs w:val="18"/>
              </w:rPr>
              <w:t>福建省 新能海 上风电 研发中 心有限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公司 实际 控制 </w:t>
            </w:r>
            <w:r>
              <w:rPr>
                <w:rFonts w:ascii="宋体" w:hAnsi="宋体" w:cs="宋体" w:eastAsia="宋体" w:hint="default"/>
                <w:spacing w:val="-27"/>
                <w:sz w:val="18"/>
                <w:szCs w:val="18"/>
              </w:rPr>
              <w:t>人、副</w:t>
            </w:r>
            <w:r>
              <w:rPr>
                <w:rFonts w:ascii="宋体" w:hAnsi="宋体" w:cs="宋体" w:eastAsia="宋体" w:hint="default"/>
                <w:sz w:val="18"/>
                <w:szCs w:val="18"/>
              </w:rPr>
              <w:t> 总经 理陈 强任 该公 司董 </w:t>
            </w:r>
            <w:r>
              <w:rPr>
                <w:rFonts w:ascii="宋体" w:hAnsi="宋体" w:cs="宋体" w:eastAsia="宋体" w:hint="default"/>
                <w:spacing w:val="-27"/>
                <w:sz w:val="18"/>
                <w:szCs w:val="18"/>
              </w:rPr>
              <w:t>事、常</w:t>
            </w:r>
            <w:r>
              <w:rPr>
                <w:rFonts w:ascii="宋体" w:hAnsi="宋体" w:cs="宋体" w:eastAsia="宋体" w:hint="default"/>
                <w:sz w:val="18"/>
                <w:szCs w:val="18"/>
              </w:rPr>
              <w:t> 务副 总经 </w:t>
            </w:r>
            <w:r>
              <w:rPr>
                <w:rFonts w:ascii="宋体" w:hAnsi="宋体" w:cs="宋体" w:eastAsia="宋体" w:hint="default"/>
                <w:spacing w:val="-27"/>
                <w:sz w:val="18"/>
                <w:szCs w:val="18"/>
              </w:rPr>
              <w:t>理；公</w:t>
            </w:r>
            <w:r>
              <w:rPr>
                <w:rFonts w:ascii="宋体" w:hAnsi="宋体" w:cs="宋体" w:eastAsia="宋体" w:hint="default"/>
                <w:sz w:val="18"/>
                <w:szCs w:val="18"/>
              </w:rPr>
              <w:t> 司持 股</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Times New Roman"/>
                <w:sz w:val="18"/>
              </w:rPr>
              <w:t>19%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03" w:right="203"/>
              <w:jc w:val="left"/>
              <w:rPr>
                <w:rFonts w:ascii="宋体" w:hAnsi="宋体" w:cs="宋体" w:eastAsia="宋体" w:hint="default"/>
                <w:sz w:val="18"/>
                <w:szCs w:val="18"/>
              </w:rPr>
            </w:pPr>
            <w:r>
              <w:rPr>
                <w:rFonts w:ascii="宋体" w:hAnsi="宋体" w:cs="宋体" w:eastAsia="宋体" w:hint="default"/>
                <w:sz w:val="18"/>
                <w:szCs w:val="18"/>
              </w:rPr>
              <w:t>提供 劳务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103" w:right="228"/>
              <w:jc w:val="left"/>
              <w:rPr>
                <w:rFonts w:ascii="宋体" w:hAnsi="宋体" w:cs="宋体" w:eastAsia="宋体" w:hint="default"/>
                <w:sz w:val="18"/>
                <w:szCs w:val="18"/>
              </w:rPr>
            </w:pPr>
            <w:r>
              <w:rPr>
                <w:rFonts w:ascii="宋体" w:hAnsi="宋体" w:cs="宋体" w:eastAsia="宋体" w:hint="default"/>
                <w:sz w:val="18"/>
                <w:szCs w:val="18"/>
              </w:rPr>
              <w:t>借人 劳务</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01"/>
              <w:jc w:val="left"/>
              <w:rPr>
                <w:rFonts w:ascii="宋体" w:hAnsi="宋体" w:cs="宋体" w:eastAsia="宋体" w:hint="default"/>
                <w:sz w:val="18"/>
                <w:szCs w:val="18"/>
              </w:rPr>
            </w:pPr>
            <w:r>
              <w:rPr>
                <w:rFonts w:ascii="宋体" w:hAnsi="宋体" w:cs="宋体" w:eastAsia="宋体" w:hint="default"/>
                <w:sz w:val="18"/>
                <w:szCs w:val="18"/>
              </w:rPr>
              <w:t>参考 新能 研发 的薪 酬管 理制 </w:t>
            </w:r>
            <w:r>
              <w:rPr>
                <w:rFonts w:ascii="宋体" w:hAnsi="宋体" w:cs="宋体" w:eastAsia="宋体" w:hint="default"/>
                <w:spacing w:val="-26"/>
                <w:sz w:val="18"/>
                <w:szCs w:val="18"/>
              </w:rPr>
              <w:t>度，并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由双 方协 商确 定</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100"/>
              <w:jc w:val="left"/>
              <w:rPr>
                <w:rFonts w:ascii="宋体" w:hAnsi="宋体" w:cs="宋体" w:eastAsia="宋体" w:hint="default"/>
                <w:sz w:val="18"/>
                <w:szCs w:val="18"/>
              </w:rPr>
            </w:pPr>
            <w:r>
              <w:rPr>
                <w:rFonts w:ascii="宋体" w:hAnsi="宋体" w:cs="宋体" w:eastAsia="宋体" w:hint="default"/>
                <w:sz w:val="18"/>
                <w:szCs w:val="18"/>
              </w:rPr>
              <w:t>参考 新能 研发 的薪 酬管 理制 </w:t>
            </w:r>
            <w:r>
              <w:rPr>
                <w:rFonts w:ascii="宋体" w:hAnsi="宋体" w:cs="宋体" w:eastAsia="宋体" w:hint="default"/>
                <w:spacing w:val="-28"/>
                <w:sz w:val="18"/>
                <w:szCs w:val="18"/>
              </w:rPr>
              <w:t>度，并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由双 方协 商确 定</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203.1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电汇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49"/>
              <w:jc w:val="center"/>
              <w:rPr>
                <w:rFonts w:ascii="Times New Roman" w:hAnsi="Times New Roman" w:cs="Times New Roman" w:eastAsia="Times New Roman" w:hint="default"/>
                <w:sz w:val="18"/>
                <w:szCs w:val="18"/>
              </w:rPr>
            </w:pPr>
            <w:r>
              <w:rPr>
                <w:rFonts w:ascii="Times New Roman"/>
                <w:sz w:val="18"/>
              </w:rPr>
              <w:t>203.1</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9"/>
              <w:jc w:val="left"/>
              <w:rPr>
                <w:rFonts w:ascii="宋体" w:hAnsi="宋体" w:cs="宋体" w:eastAsia="宋体" w:hint="default"/>
                <w:sz w:val="18"/>
                <w:szCs w:val="18"/>
              </w:rPr>
            </w:pPr>
            <w:r>
              <w:rPr>
                <w:rFonts w:ascii="宋体" w:hAnsi="宋体" w:cs="宋体" w:eastAsia="宋体" w:hint="default"/>
                <w:sz w:val="18"/>
                <w:szCs w:val="18"/>
              </w:rPr>
              <w:t>巨潮 网：</w:t>
            </w:r>
          </w:p>
          <w:p>
            <w:pPr>
              <w:pStyle w:val="TableParagraph"/>
              <w:spacing w:line="316" w:lineRule="auto" w:before="19"/>
              <w:ind w:left="103" w:right="169"/>
              <w:jc w:val="both"/>
              <w:rPr>
                <w:rFonts w:ascii="宋体" w:hAnsi="宋体" w:cs="宋体" w:eastAsia="宋体" w:hint="default"/>
                <w:sz w:val="18"/>
                <w:szCs w:val="18"/>
              </w:rPr>
            </w:pPr>
            <w:r>
              <w:rPr>
                <w:rFonts w:ascii="宋体" w:hAnsi="宋体" w:cs="宋体" w:eastAsia="宋体" w:hint="default"/>
                <w:sz w:val="18"/>
                <w:szCs w:val="18"/>
              </w:rPr>
              <w:t>《关 于公 司</w:t>
            </w:r>
          </w:p>
          <w:p>
            <w:pPr>
              <w:pStyle w:val="TableParagraph"/>
              <w:spacing w:line="240" w:lineRule="auto" w:before="58"/>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316" w:lineRule="auto" w:before="65"/>
              <w:ind w:left="103" w:right="169"/>
              <w:jc w:val="left"/>
              <w:rPr>
                <w:rFonts w:ascii="宋体" w:hAnsi="宋体" w:cs="宋体" w:eastAsia="宋体" w:hint="default"/>
                <w:sz w:val="18"/>
                <w:szCs w:val="18"/>
              </w:rPr>
            </w:pPr>
            <w:r>
              <w:rPr>
                <w:rFonts w:ascii="宋体" w:hAnsi="宋体" w:cs="宋体" w:eastAsia="宋体" w:hint="default"/>
                <w:sz w:val="18"/>
                <w:szCs w:val="18"/>
              </w:rPr>
              <w:t>年日 常关 联交 易预 计的 公 告》</w:t>
            </w:r>
          </w:p>
          <w:p>
            <w:pPr>
              <w:pStyle w:val="TableParagraph"/>
              <w:spacing w:line="338" w:lineRule="auto" w:before="19"/>
              <w:ind w:left="103" w:right="10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 18-02</w:t>
            </w:r>
          </w:p>
          <w:p>
            <w:pPr>
              <w:pStyle w:val="TableParagraph"/>
              <w:spacing w:line="234"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3"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203.1</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320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8"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 </w:t>
            </w:r>
            <w:r>
              <w:rPr>
                <w:rFonts w:ascii="宋体" w:hAnsi="宋体" w:cs="宋体" w:eastAsia="宋体" w:hint="default"/>
                <w:spacing w:val="-4"/>
                <w:sz w:val="18"/>
                <w:szCs w:val="18"/>
              </w:rPr>
              <w:t>交易进行总金额预计的，在报告期</w:t>
            </w:r>
            <w:r>
              <w:rPr>
                <w:rFonts w:ascii="宋体" w:hAnsi="宋体" w:cs="宋体" w:eastAsia="宋体" w:hint="default"/>
                <w:sz w:val="18"/>
                <w:szCs w:val="18"/>
              </w:rPr>
              <w:t> 内的实际履行情况（如有）</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8"/>
              <w:jc w:val="left"/>
              <w:rPr>
                <w:rFonts w:ascii="宋体" w:hAnsi="宋体" w:cs="宋体" w:eastAsia="宋体" w:hint="default"/>
                <w:sz w:val="18"/>
                <w:szCs w:val="18"/>
              </w:rPr>
            </w:pPr>
            <w:r>
              <w:rPr>
                <w:rFonts w:ascii="宋体" w:hAnsi="宋体" w:cs="宋体" w:eastAsia="宋体" w:hint="default"/>
                <w:spacing w:val="-5"/>
                <w:sz w:val="18"/>
                <w:szCs w:val="18"/>
              </w:rPr>
              <w:t>根据《深圳证券交易所创业板股票上市规则》《公司章程》《关联交易管理制度》的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有关规定，公司对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年度日常关联交易进行预计。预计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年公司与关联方福</w:t>
            </w:r>
          </w:p>
          <w:p>
            <w:pPr>
              <w:pStyle w:val="TableParagraph"/>
              <w:spacing w:line="302" w:lineRule="auto"/>
              <w:ind w:left="103" w:right="119"/>
              <w:jc w:val="left"/>
              <w:rPr>
                <w:rFonts w:ascii="宋体" w:hAnsi="宋体" w:cs="宋体" w:eastAsia="宋体" w:hint="default"/>
                <w:sz w:val="18"/>
                <w:szCs w:val="18"/>
              </w:rPr>
            </w:pPr>
            <w:r>
              <w:rPr>
                <w:rFonts w:ascii="宋体" w:hAnsi="宋体" w:cs="宋体" w:eastAsia="宋体" w:hint="default"/>
                <w:sz w:val="18"/>
                <w:szCs w:val="18"/>
              </w:rPr>
              <w:t>建省新能海上风电研发中心有限公司发生的日常关联交易金额为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320 </w:t>
            </w:r>
            <w:r>
              <w:rPr>
                <w:rFonts w:ascii="宋体" w:hAnsi="宋体" w:cs="宋体" w:eastAsia="宋体" w:hint="default"/>
                <w:sz w:val="18"/>
                <w:szCs w:val="18"/>
              </w:rPr>
              <w:t>万元，并经第 一届董事会第二十二次会议审议通过。</w:t>
            </w:r>
          </w:p>
        </w:tc>
      </w:tr>
      <w:tr>
        <w:trPr>
          <w:trHeight w:val="715"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2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 大的原因（如适用）</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432"/>
        <w:jc w:val="left"/>
      </w:pPr>
      <w:r>
        <w:rPr/>
        <w:t>□ 适用 √ 不适用 公司报告期未发生资产或股权收购、出售的关联交易。</w:t>
      </w:r>
    </w:p>
    <w:p>
      <w:pPr>
        <w:spacing w:after="0" w:line="357"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both"/>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152"/>
        <w:jc w:val="left"/>
      </w:pPr>
      <w:r>
        <w:rPr/>
        <w:t>□ 适用 √ 不适用 公司报告期未发生共同对外投资的关联交易。</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 适用 √ 不适用 公司报告期不存在关联债权债务往来。</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适用 □ 不适用</w:t>
      </w:r>
    </w:p>
    <w:p>
      <w:pPr>
        <w:pStyle w:val="BodyText"/>
        <w:spacing w:line="300" w:lineRule="auto" w:before="115"/>
        <w:ind w:right="0"/>
        <w:jc w:val="left"/>
      </w:pPr>
      <w:r>
        <w:rPr>
          <w:spacing w:val="-4"/>
        </w:rPr>
        <w:t>（</w:t>
      </w:r>
      <w:r>
        <w:rPr>
          <w:rFonts w:ascii="Times New Roman" w:hAnsi="Times New Roman" w:cs="Times New Roman" w:eastAsia="Times New Roman" w:hint="default"/>
          <w:spacing w:val="-4"/>
        </w:rPr>
        <w:t>1</w:t>
      </w:r>
      <w:r>
        <w:rPr>
          <w:spacing w:val="-4"/>
        </w:rPr>
        <w:t>）报告期内与关联方福建永福集团有限公司签订《房屋租赁合同》，合同金额为</w:t>
      </w:r>
      <w:r>
        <w:rPr>
          <w:rFonts w:ascii="Times New Roman" w:hAnsi="Times New Roman" w:cs="Times New Roman" w:eastAsia="Times New Roman" w:hint="default"/>
          <w:spacing w:val="-4"/>
        </w:rPr>
        <w:t>21</w:t>
      </w:r>
      <w:r>
        <w:rPr>
          <w:spacing w:val="-4"/>
        </w:rPr>
        <w:t>万元，未达到董事会审议额度，总经理</w:t>
      </w:r>
      <w:r>
        <w:rPr>
          <w:spacing w:val="-40"/>
        </w:rPr>
        <w:t> </w:t>
      </w:r>
      <w:r>
        <w:rPr>
          <w:spacing w:val="-40"/>
        </w:rPr>
      </w:r>
      <w:r>
        <w:rPr/>
        <w:t>权限内批准实施。</w:t>
      </w:r>
    </w:p>
    <w:p>
      <w:pPr>
        <w:pStyle w:val="BodyText"/>
        <w:spacing w:line="300" w:lineRule="auto" w:before="31"/>
        <w:ind w:right="0"/>
        <w:jc w:val="left"/>
      </w:pPr>
      <w:r>
        <w:rPr>
          <w:spacing w:val="-2"/>
        </w:rPr>
        <w:t>（</w:t>
      </w:r>
      <w:r>
        <w:rPr>
          <w:rFonts w:ascii="Times New Roman" w:hAnsi="Times New Roman" w:cs="Times New Roman" w:eastAsia="Times New Roman" w:hint="default"/>
          <w:spacing w:val="-2"/>
        </w:rPr>
        <w:t>2</w:t>
      </w:r>
      <w:r>
        <w:rPr>
          <w:spacing w:val="-2"/>
        </w:rPr>
        <w:t>）报告期内与关联方福建省永福博发投资股份有限公司签订《房屋租赁合同》，合同金额为</w:t>
      </w:r>
      <w:r>
        <w:rPr>
          <w:rFonts w:ascii="Times New Roman" w:hAnsi="Times New Roman" w:cs="Times New Roman" w:eastAsia="Times New Roman" w:hint="default"/>
          <w:spacing w:val="-2"/>
        </w:rPr>
        <w:t>25.74</w:t>
      </w:r>
      <w:r>
        <w:rPr>
          <w:spacing w:val="-2"/>
        </w:rPr>
        <w:t>万元，未达到董事会审</w:t>
      </w:r>
      <w:r>
        <w:rPr>
          <w:spacing w:val="-66"/>
        </w:rPr>
        <w:t> </w:t>
      </w:r>
      <w:r>
        <w:rPr/>
        <w:t>议额度，总经理权限内批准实施。</w:t>
      </w:r>
    </w:p>
    <w:p>
      <w:pPr>
        <w:pStyle w:val="BodyText"/>
        <w:spacing w:line="300" w:lineRule="auto" w:before="31"/>
        <w:ind w:right="1132"/>
        <w:jc w:val="both"/>
      </w:pPr>
      <w:r>
        <w:rPr>
          <w:spacing w:val="-3"/>
        </w:rPr>
        <w:t>（</w:t>
      </w:r>
      <w:r>
        <w:rPr>
          <w:rFonts w:ascii="Times New Roman" w:hAnsi="Times New Roman" w:cs="Times New Roman" w:eastAsia="Times New Roman" w:hint="default"/>
          <w:spacing w:val="-3"/>
        </w:rPr>
        <w:t>3</w:t>
      </w:r>
      <w:r>
        <w:rPr>
          <w:spacing w:val="-3"/>
        </w:rPr>
        <w:t>）报告期内与关联方福建省新能海上风电研发中心有限公司签订《房屋租赁合同》，合同金额为</w:t>
      </w:r>
      <w:r>
        <w:rPr>
          <w:rFonts w:ascii="Times New Roman" w:hAnsi="Times New Roman" w:cs="Times New Roman" w:eastAsia="Times New Roman" w:hint="default"/>
          <w:spacing w:val="-3"/>
        </w:rPr>
        <w:t>53.76</w:t>
      </w:r>
      <w:r>
        <w:rPr>
          <w:spacing w:val="-3"/>
        </w:rPr>
        <w:t>万元</w:t>
      </w:r>
      <w:r>
        <w:rPr>
          <w:spacing w:val="35"/>
        </w:rPr>
        <w:t> </w:t>
      </w:r>
      <w:r>
        <w:rPr>
          <w:spacing w:val="-2"/>
        </w:rPr>
        <w:t>，参照</w:t>
      </w:r>
      <w:r>
        <w:rPr>
          <w:rFonts w:ascii="Times New Roman" w:hAnsi="Times New Roman" w:cs="Times New Roman" w:eastAsia="Times New Roman" w:hint="default"/>
          <w:spacing w:val="-2"/>
        </w:rPr>
        <w:t>2016</w:t>
      </w:r>
      <w:r>
        <w:rPr>
          <w:spacing w:val="-2"/>
        </w:rPr>
        <w:t>年</w:t>
      </w:r>
      <w:r>
        <w:rPr>
          <w:spacing w:val="-87"/>
        </w:rPr>
        <w:t> </w:t>
      </w:r>
      <w:r>
        <w:rPr/>
        <w:t>度签订的《办公家具、设备租赁协议》结算条款，报告期内结算的办公设备租赁金额</w:t>
      </w:r>
      <w:r>
        <w:rPr>
          <w:rFonts w:ascii="Times New Roman" w:hAnsi="Times New Roman" w:cs="Times New Roman" w:eastAsia="Times New Roman" w:hint="default"/>
        </w:rPr>
        <w:t>11.83</w:t>
      </w:r>
      <w:r>
        <w:rPr/>
        <w:t>万元，未达到董事会审议额度， 总经理权限内批准实施。</w:t>
      </w:r>
    </w:p>
    <w:p>
      <w:pPr>
        <w:pStyle w:val="BodyText"/>
        <w:spacing w:line="240" w:lineRule="auto" w:before="72"/>
        <w:ind w:right="0"/>
        <w:jc w:val="both"/>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412"/>
        <w:jc w:val="left"/>
      </w:pPr>
      <w:r>
        <w:rPr/>
        <w:t>□ 适用 √ 不适用 公司报告期不存在托管情况。</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9222"/>
        <w:jc w:val="left"/>
      </w:pPr>
      <w:r>
        <w:rPr/>
        <w:t>√ 适用 □ 不适用 租赁情况说明</w:t>
      </w:r>
    </w:p>
    <w:p>
      <w:pPr>
        <w:pStyle w:val="BodyText"/>
        <w:spacing w:line="316" w:lineRule="auto" w:before="25"/>
        <w:ind w:right="0"/>
        <w:jc w:val="left"/>
      </w:pPr>
      <w:r>
        <w:rPr>
          <w:spacing w:val="-2"/>
        </w:rPr>
        <w:t>报告期，公司存在租赁房产情形，该等房屋租赁主要用于日常办公场地，工程总承包项目建设地的用房，勘察设计项目地点</w:t>
      </w:r>
      <w:r>
        <w:rPr>
          <w:spacing w:val="-66"/>
        </w:rPr>
        <w:t> </w:t>
      </w:r>
      <w:r>
        <w:rPr>
          <w:spacing w:val="-66"/>
        </w:rPr>
      </w:r>
      <w:r>
        <w:rPr/>
        <w:t>的临时性用房，以及为上述各类业务配套的值班宿舍。该等租赁行为对公司的生产经营、财务状况不构成重大影响。</w:t>
      </w:r>
    </w:p>
    <w:p>
      <w:pPr>
        <w:spacing w:after="0" w:line="316" w:lineRule="auto"/>
        <w:jc w:val="left"/>
        <w:sectPr>
          <w:pgSz w:w="11910" w:h="16840"/>
          <w:pgMar w:header="850" w:footer="1267" w:top="1260" w:bottom="1460" w:left="980" w:right="0"/>
        </w:sectPr>
      </w:pPr>
    </w:p>
    <w:p>
      <w:pPr>
        <w:spacing w:line="240" w:lineRule="auto" w:before="10"/>
        <w:rPr>
          <w:rFonts w:ascii="宋体" w:hAnsi="宋体" w:cs="宋体" w:eastAsia="宋体" w:hint="default"/>
          <w:sz w:val="10"/>
          <w:szCs w:val="10"/>
        </w:rPr>
      </w:pPr>
    </w:p>
    <w:p>
      <w:pPr>
        <w:pStyle w:val="BodyText"/>
        <w:spacing w:line="240" w:lineRule="auto" w:before="44"/>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t>□ 适用 √ 不适用</w:t>
      </w:r>
    </w:p>
    <w:p>
      <w:pPr>
        <w:pStyle w:val="BodyText"/>
        <w:spacing w:line="240" w:lineRule="auto" w:before="117"/>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08"/>
        <w:gridCol w:w="1312"/>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9" w:right="185"/>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61" w:right="17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22"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6" w:right="188"/>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57" w:right="179"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8"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3"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103" w:right="154"/>
              <w:jc w:val="left"/>
              <w:rPr>
                <w:rFonts w:ascii="宋体" w:hAnsi="宋体" w:cs="宋体" w:eastAsia="宋体" w:hint="default"/>
                <w:sz w:val="18"/>
                <w:szCs w:val="18"/>
              </w:rPr>
            </w:pPr>
            <w:r>
              <w:rPr>
                <w:rFonts w:ascii="宋体" w:hAnsi="宋体" w:cs="宋体" w:eastAsia="宋体" w:hint="default"/>
                <w:sz w:val="18"/>
                <w:szCs w:val="18"/>
              </w:rPr>
              <w:t>福州新创机电设备 有限公司</w:t>
            </w: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4,000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13.31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170.91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53.12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53.12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福州新创机电设备</w:t>
            </w:r>
          </w:p>
        </w:tc>
        <w:tc>
          <w:tcPr>
            <w:tcW w:w="9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10,000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center"/>
              <w:rPr>
                <w:rFonts w:ascii="宋体" w:hAnsi="宋体" w:cs="宋体" w:eastAsia="宋体" w:hint="default"/>
                <w:sz w:val="18"/>
                <w:szCs w:val="18"/>
              </w:rPr>
            </w:pPr>
            <w:r>
              <w:rPr>
                <w:rFonts w:ascii="宋体" w:hAnsi="宋体" w:cs="宋体" w:eastAsia="宋体" w:hint="default"/>
                <w:sz w:val="18"/>
                <w:szCs w:val="18"/>
              </w:rPr>
              <w:t>连带责任</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12"/>
        <w:gridCol w:w="1312"/>
        <w:gridCol w:w="1063"/>
        <w:gridCol w:w="1034"/>
        <w:gridCol w:w="1046"/>
        <w:gridCol w:w="796"/>
        <w:gridCol w:w="780"/>
      </w:tblGrid>
      <w:tr>
        <w:trPr>
          <w:trHeight w:val="362"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23" w:type="dxa"/>
            <w:vMerge w:val="restart"/>
            <w:tcBorders>
              <w:top w:val="single" w:sz="4" w:space="0" w:color="000000"/>
              <w:left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2" w:type="dxa"/>
            <w:vMerge w:val="restart"/>
            <w:tcBorders>
              <w:top w:val="single" w:sz="4" w:space="0" w:color="000000"/>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118.91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14.26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657.92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33.65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bottom w:val="single" w:sz="4" w:space="0" w:color="000000"/>
              <w:right w:val="single" w:sz="4" w:space="0" w:color="000000"/>
            </w:tcBorders>
          </w:tcPr>
          <w:p>
            <w:pPr/>
          </w:p>
        </w:tc>
        <w:tc>
          <w:tcPr>
            <w:tcW w:w="923"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707.4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福州新创机电设备 有限公司</w:t>
            </w:r>
          </w:p>
        </w:tc>
        <w:tc>
          <w:tcPr>
            <w:tcW w:w="9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5,000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69.22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vMerge/>
            <w:tcBorders>
              <w:left w:val="single" w:sz="4" w:space="0" w:color="000000"/>
              <w:bottom w:val="nil" w:sz="6" w:space="0" w:color="auto"/>
              <w:right w:val="single" w:sz="4" w:space="0" w:color="000000"/>
            </w:tcBorders>
          </w:tcPr>
          <w:p>
            <w:pPr/>
          </w:p>
        </w:tc>
        <w:tc>
          <w:tcPr>
            <w:tcW w:w="923" w:type="dxa"/>
            <w:vMerge/>
            <w:tcBorders>
              <w:left w:val="single" w:sz="4" w:space="0" w:color="000000"/>
              <w:bottom w:val="nil" w:sz="6" w:space="0" w:color="auto"/>
              <w:right w:val="single" w:sz="4" w:space="0" w:color="000000"/>
            </w:tcBorders>
          </w:tcPr>
          <w:p>
            <w:pPr/>
          </w:p>
        </w:tc>
        <w:tc>
          <w:tcPr>
            <w:tcW w:w="912" w:type="dxa"/>
            <w:vMerge/>
            <w:tcBorders>
              <w:left w:val="single" w:sz="4" w:space="0" w:color="000000"/>
              <w:bottom w:val="nil" w:sz="6" w:space="0" w:color="auto"/>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85.95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12"/>
        <w:gridCol w:w="1312"/>
        <w:gridCol w:w="1063"/>
        <w:gridCol w:w="1034"/>
        <w:gridCol w:w="1046"/>
        <w:gridCol w:w="796"/>
        <w:gridCol w:w="780"/>
      </w:tblGrid>
      <w:tr>
        <w:trPr>
          <w:trHeight w:val="362" w:hRule="exact"/>
        </w:trPr>
        <w:tc>
          <w:tcPr>
            <w:tcW w:w="1709" w:type="dxa"/>
            <w:vMerge w:val="restart"/>
            <w:tcBorders>
              <w:top w:val="nil" w:sz="6" w:space="0" w:color="auto"/>
              <w:left w:val="single" w:sz="4" w:space="0" w:color="000000"/>
              <w:right w:val="single" w:sz="4" w:space="0" w:color="000000"/>
            </w:tcBorders>
          </w:tcPr>
          <w:p>
            <w:pPr/>
          </w:p>
        </w:tc>
        <w:tc>
          <w:tcPr>
            <w:tcW w:w="923" w:type="dxa"/>
            <w:vMerge w:val="restart"/>
            <w:tcBorders>
              <w:top w:val="single" w:sz="4" w:space="0" w:color="FFFFFF"/>
              <w:left w:val="single" w:sz="4" w:space="0" w:color="000000"/>
              <w:right w:val="single" w:sz="4" w:space="0" w:color="000000"/>
            </w:tcBorders>
          </w:tcPr>
          <w:p>
            <w:pPr/>
          </w:p>
        </w:tc>
        <w:tc>
          <w:tcPr>
            <w:tcW w:w="912" w:type="dxa"/>
            <w:vMerge w:val="restart"/>
            <w:tcBorders>
              <w:top w:val="single" w:sz="4" w:space="0" w:color="FFFFFF"/>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36.64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34.85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16.38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w w:val="95"/>
                <w:sz w:val="18"/>
              </w:rPr>
              <w:t>11.1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bottom w:val="single" w:sz="4" w:space="0" w:color="000000"/>
              <w:right w:val="single" w:sz="4" w:space="0" w:color="000000"/>
            </w:tcBorders>
          </w:tcPr>
          <w:p>
            <w:pPr/>
          </w:p>
        </w:tc>
        <w:tc>
          <w:tcPr>
            <w:tcW w:w="923"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福州新创机电设备 有限公司</w:t>
            </w:r>
          </w:p>
        </w:tc>
        <w:tc>
          <w:tcPr>
            <w:tcW w:w="9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94" w:right="0"/>
              <w:jc w:val="left"/>
              <w:rPr>
                <w:rFonts w:ascii="Times New Roman" w:hAnsi="Times New Roman" w:cs="Times New Roman" w:eastAsia="Times New Roman" w:hint="default"/>
                <w:sz w:val="18"/>
                <w:szCs w:val="18"/>
              </w:rPr>
            </w:pPr>
            <w:r>
              <w:rPr>
                <w:rFonts w:ascii="Times New Roman"/>
                <w:sz w:val="18"/>
              </w:rPr>
              <w:t>2,500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right w:val="single" w:sz="4" w:space="0" w:color="000000"/>
            </w:tcBorders>
          </w:tcPr>
          <w:p>
            <w:pPr/>
          </w:p>
        </w:tc>
        <w:tc>
          <w:tcPr>
            <w:tcW w:w="923" w:type="dxa"/>
            <w:vMerge/>
            <w:tcBorders>
              <w:left w:val="single" w:sz="4" w:space="0" w:color="000000"/>
              <w:right w:val="single" w:sz="4" w:space="0" w:color="000000"/>
            </w:tcBorders>
          </w:tcPr>
          <w:p>
            <w:pPr/>
          </w:p>
        </w:tc>
        <w:tc>
          <w:tcPr>
            <w:tcW w:w="912" w:type="dxa"/>
            <w:vMerge/>
            <w:tcBorders>
              <w:left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vMerge/>
            <w:tcBorders>
              <w:left w:val="single" w:sz="4" w:space="0" w:color="000000"/>
              <w:bottom w:val="single" w:sz="4" w:space="0" w:color="000000"/>
              <w:right w:val="single" w:sz="4" w:space="0" w:color="000000"/>
            </w:tcBorders>
          </w:tcPr>
          <w:p>
            <w:pPr/>
          </w:p>
        </w:tc>
        <w:tc>
          <w:tcPr>
            <w:tcW w:w="923" w:type="dxa"/>
            <w:vMerge/>
            <w:tcBorders>
              <w:left w:val="single" w:sz="4" w:space="0" w:color="000000"/>
              <w:bottom w:val="single" w:sz="4" w:space="0" w:color="000000"/>
              <w:right w:val="single" w:sz="4" w:space="0" w:color="000000"/>
            </w:tcBorders>
          </w:tcPr>
          <w:p>
            <w:pPr/>
          </w:p>
        </w:tc>
        <w:tc>
          <w:tcPr>
            <w:tcW w:w="912" w:type="dxa"/>
            <w:vMerge/>
            <w:tcBorders>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福州新创机电设备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54"/>
              <w:jc w:val="left"/>
              <w:rPr>
                <w:rFonts w:ascii="宋体" w:hAnsi="宋体" w:cs="宋体" w:eastAsia="宋体" w:hint="default"/>
                <w:sz w:val="18"/>
                <w:szCs w:val="18"/>
              </w:rPr>
            </w:pPr>
            <w:r>
              <w:rPr>
                <w:rFonts w:ascii="宋体" w:hAnsi="宋体" w:cs="宋体" w:eastAsia="宋体" w:hint="default"/>
                <w:sz w:val="18"/>
                <w:szCs w:val="18"/>
              </w:rPr>
              <w:t>福州新创机电设备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31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54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709"/>
        <w:gridCol w:w="921"/>
        <w:gridCol w:w="914"/>
        <w:gridCol w:w="1312"/>
        <w:gridCol w:w="1044"/>
        <w:gridCol w:w="1054"/>
        <w:gridCol w:w="1046"/>
        <w:gridCol w:w="786"/>
        <w:gridCol w:w="790"/>
      </w:tblGrid>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27,600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3,083.64</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1,112.34</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6"/>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59" w:right="182"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37" w:right="155"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6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17" w:right="11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8"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27,600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3,083.64</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w w:val="95"/>
                <w:sz w:val="18"/>
              </w:rPr>
              <w:t>1,112.34</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w:t>
            </w:r>
          </w:p>
        </w:tc>
      </w:tr>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360" w:lineRule="auto" w:before="51"/>
        <w:ind w:right="8052"/>
        <w:jc w:val="left"/>
      </w:pPr>
      <w:r>
        <w:rPr/>
        <w:t>采用复合方式担保的具体情况说明 不适用</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 适用 √ 不适用 公司报告期无违规对外担保情况。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0" w:footer="1267" w:top="1260" w:bottom="1460" w:left="980" w:right="0"/>
        </w:sectPr>
      </w:pPr>
    </w:p>
    <w:p>
      <w:pPr>
        <w:pStyle w:val="BodyText"/>
        <w:spacing w:line="357" w:lineRule="auto" w:before="44"/>
        <w:ind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580" w:bottom="70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580" w:bottom="700" w:left="980" w:right="0"/>
          <w:cols w:num="2" w:equalWidth="0">
            <w:col w:w="6275" w:space="246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10"/>
        <w:gridCol w:w="566"/>
        <w:gridCol w:w="709"/>
        <w:gridCol w:w="425"/>
        <w:gridCol w:w="562"/>
        <w:gridCol w:w="560"/>
        <w:gridCol w:w="562"/>
        <w:gridCol w:w="560"/>
        <w:gridCol w:w="562"/>
        <w:gridCol w:w="560"/>
        <w:gridCol w:w="562"/>
        <w:gridCol w:w="560"/>
        <w:gridCol w:w="562"/>
        <w:gridCol w:w="548"/>
        <w:gridCol w:w="547"/>
        <w:gridCol w:w="547"/>
        <w:gridCol w:w="538"/>
      </w:tblGrid>
      <w:tr>
        <w:trPr>
          <w:trHeight w:val="713"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69" w:right="168"/>
              <w:jc w:val="left"/>
              <w:rPr>
                <w:rFonts w:ascii="宋体" w:hAnsi="宋体" w:cs="宋体" w:eastAsia="宋体" w:hint="default"/>
                <w:sz w:val="18"/>
                <w:szCs w:val="18"/>
              </w:rPr>
            </w:pPr>
            <w:r>
              <w:rPr>
                <w:rFonts w:ascii="宋体" w:hAnsi="宋体" w:cs="宋体" w:eastAsia="宋体" w:hint="default"/>
                <w:sz w:val="18"/>
                <w:szCs w:val="18"/>
              </w:rPr>
              <w:t>受托 机构</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8" w:right="186"/>
              <w:jc w:val="center"/>
              <w:rPr>
                <w:rFonts w:ascii="宋体" w:hAnsi="宋体" w:cs="宋体" w:eastAsia="宋体" w:hint="default"/>
                <w:sz w:val="18"/>
                <w:szCs w:val="18"/>
              </w:rPr>
            </w:pPr>
            <w:r>
              <w:rPr>
                <w:rFonts w:ascii="宋体" w:hAnsi="宋体" w:cs="宋体" w:eastAsia="宋体" w:hint="default"/>
                <w:sz w:val="18"/>
                <w:szCs w:val="18"/>
              </w:rPr>
              <w:t>受 托</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168"/>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7" w:right="115"/>
              <w:jc w:val="left"/>
              <w:rPr>
                <w:rFonts w:ascii="宋体" w:hAnsi="宋体" w:cs="宋体" w:eastAsia="宋体" w:hint="default"/>
                <w:sz w:val="18"/>
                <w:szCs w:val="18"/>
              </w:rPr>
            </w:pPr>
            <w:r>
              <w:rPr>
                <w:rFonts w:ascii="宋体" w:hAnsi="宋体" w:cs="宋体" w:eastAsia="宋体" w:hint="default"/>
                <w:sz w:val="18"/>
                <w:szCs w:val="18"/>
              </w:rPr>
              <w:t>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5" w:right="185"/>
              <w:jc w:val="center"/>
              <w:rPr>
                <w:rFonts w:ascii="宋体" w:hAnsi="宋体" w:cs="宋体" w:eastAsia="宋体" w:hint="default"/>
                <w:sz w:val="18"/>
                <w:szCs w:val="18"/>
              </w:rPr>
            </w:pPr>
            <w:r>
              <w:rPr>
                <w:rFonts w:ascii="宋体" w:hAnsi="宋体" w:cs="宋体" w:eastAsia="宋体" w:hint="default"/>
                <w:sz w:val="18"/>
                <w:szCs w:val="18"/>
              </w:rPr>
              <w:t>资 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6" w:right="182"/>
              <w:jc w:val="center"/>
              <w:rPr>
                <w:rFonts w:ascii="宋体" w:hAnsi="宋体" w:cs="宋体" w:eastAsia="宋体" w:hint="default"/>
                <w:sz w:val="18"/>
                <w:szCs w:val="18"/>
              </w:rPr>
            </w:pPr>
            <w:r>
              <w:rPr>
                <w:rFonts w:ascii="宋体" w:hAnsi="宋体" w:cs="宋体" w:eastAsia="宋体" w:hint="default"/>
                <w:sz w:val="18"/>
                <w:szCs w:val="18"/>
              </w:rPr>
              <w:t>起 始</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5" w:right="184"/>
              <w:jc w:val="center"/>
              <w:rPr>
                <w:rFonts w:ascii="宋体" w:hAnsi="宋体" w:cs="宋体" w:eastAsia="宋体" w:hint="default"/>
                <w:sz w:val="18"/>
                <w:szCs w:val="18"/>
              </w:rPr>
            </w:pPr>
            <w:r>
              <w:rPr>
                <w:rFonts w:ascii="宋体" w:hAnsi="宋体" w:cs="宋体" w:eastAsia="宋体" w:hint="default"/>
                <w:sz w:val="18"/>
                <w:szCs w:val="18"/>
              </w:rPr>
              <w:t>终 止</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6" w:right="182"/>
              <w:jc w:val="center"/>
              <w:rPr>
                <w:rFonts w:ascii="宋体" w:hAnsi="宋体" w:cs="宋体" w:eastAsia="宋体" w:hint="default"/>
                <w:sz w:val="18"/>
                <w:szCs w:val="18"/>
              </w:rPr>
            </w:pPr>
            <w:r>
              <w:rPr>
                <w:rFonts w:ascii="宋体" w:hAnsi="宋体" w:cs="宋体" w:eastAsia="宋体" w:hint="default"/>
                <w:sz w:val="18"/>
                <w:szCs w:val="18"/>
              </w:rPr>
              <w:t>资 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5" w:right="185"/>
              <w:jc w:val="center"/>
              <w:rPr>
                <w:rFonts w:ascii="宋体" w:hAnsi="宋体" w:cs="宋体" w:eastAsia="宋体" w:hint="default"/>
                <w:sz w:val="18"/>
                <w:szCs w:val="18"/>
              </w:rPr>
            </w:pPr>
            <w:r>
              <w:rPr>
                <w:rFonts w:ascii="宋体" w:hAnsi="宋体" w:cs="宋体" w:eastAsia="宋体" w:hint="default"/>
                <w:sz w:val="18"/>
                <w:szCs w:val="18"/>
              </w:rPr>
              <w:t>报 酬</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5" w:right="182"/>
              <w:jc w:val="center"/>
              <w:rPr>
                <w:rFonts w:ascii="宋体" w:hAnsi="宋体" w:cs="宋体" w:eastAsia="宋体" w:hint="default"/>
                <w:sz w:val="18"/>
                <w:szCs w:val="18"/>
              </w:rPr>
            </w:pPr>
            <w:r>
              <w:rPr>
                <w:rFonts w:ascii="宋体" w:hAnsi="宋体" w:cs="宋体" w:eastAsia="宋体" w:hint="default"/>
                <w:sz w:val="18"/>
                <w:szCs w:val="18"/>
              </w:rPr>
              <w:t>参 考</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6" w:right="185"/>
              <w:jc w:val="center"/>
              <w:rPr>
                <w:rFonts w:ascii="宋体" w:hAnsi="宋体" w:cs="宋体" w:eastAsia="宋体" w:hint="default"/>
                <w:sz w:val="18"/>
                <w:szCs w:val="18"/>
              </w:rPr>
            </w:pPr>
            <w:r>
              <w:rPr>
                <w:rFonts w:ascii="宋体" w:hAnsi="宋体" w:cs="宋体" w:eastAsia="宋体" w:hint="default"/>
                <w:sz w:val="18"/>
                <w:szCs w:val="18"/>
              </w:rPr>
              <w:t>预 期</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5" w:right="182"/>
              <w:jc w:val="center"/>
              <w:rPr>
                <w:rFonts w:ascii="宋体" w:hAnsi="宋体" w:cs="宋体" w:eastAsia="宋体" w:hint="default"/>
                <w:sz w:val="18"/>
                <w:szCs w:val="18"/>
              </w:rPr>
            </w:pPr>
            <w:r>
              <w:rPr>
                <w:rFonts w:ascii="宋体" w:hAnsi="宋体" w:cs="宋体" w:eastAsia="宋体" w:hint="default"/>
                <w:sz w:val="18"/>
                <w:szCs w:val="18"/>
              </w:rPr>
              <w:t>报 告</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86" w:right="185"/>
              <w:jc w:val="center"/>
              <w:rPr>
                <w:rFonts w:ascii="宋体" w:hAnsi="宋体" w:cs="宋体" w:eastAsia="宋体" w:hint="default"/>
                <w:sz w:val="18"/>
                <w:szCs w:val="18"/>
              </w:rPr>
            </w:pPr>
            <w:r>
              <w:rPr>
                <w:rFonts w:ascii="宋体" w:hAnsi="宋体" w:cs="宋体" w:eastAsia="宋体" w:hint="default"/>
                <w:sz w:val="18"/>
                <w:szCs w:val="18"/>
              </w:rPr>
              <w:t>报 告</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78" w:right="179"/>
              <w:jc w:val="left"/>
              <w:rPr>
                <w:rFonts w:ascii="宋体" w:hAnsi="宋体" w:cs="宋体" w:eastAsia="宋体" w:hint="default"/>
                <w:sz w:val="18"/>
                <w:szCs w:val="18"/>
              </w:rPr>
            </w:pPr>
            <w:r>
              <w:rPr>
                <w:rFonts w:ascii="宋体" w:hAnsi="宋体" w:cs="宋体" w:eastAsia="宋体" w:hint="default"/>
                <w:sz w:val="18"/>
                <w:szCs w:val="18"/>
              </w:rPr>
              <w:t>计 提</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78" w:right="176"/>
              <w:jc w:val="left"/>
              <w:rPr>
                <w:rFonts w:ascii="宋体" w:hAnsi="宋体" w:cs="宋体" w:eastAsia="宋体" w:hint="default"/>
                <w:sz w:val="18"/>
                <w:szCs w:val="18"/>
              </w:rPr>
            </w:pPr>
            <w:r>
              <w:rPr>
                <w:rFonts w:ascii="宋体" w:hAnsi="宋体" w:cs="宋体" w:eastAsia="宋体" w:hint="default"/>
                <w:sz w:val="18"/>
                <w:szCs w:val="18"/>
              </w:rPr>
              <w:t>是 否</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78" w:right="176"/>
              <w:jc w:val="left"/>
              <w:rPr>
                <w:rFonts w:ascii="宋体" w:hAnsi="宋体" w:cs="宋体" w:eastAsia="宋体" w:hint="default"/>
                <w:sz w:val="18"/>
                <w:szCs w:val="18"/>
              </w:rPr>
            </w:pPr>
            <w:r>
              <w:rPr>
                <w:rFonts w:ascii="宋体" w:hAnsi="宋体" w:cs="宋体" w:eastAsia="宋体" w:hint="default"/>
                <w:sz w:val="18"/>
                <w:szCs w:val="18"/>
              </w:rPr>
              <w:t>未 来</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74" w:right="173"/>
              <w:jc w:val="left"/>
              <w:rPr>
                <w:rFonts w:ascii="宋体" w:hAnsi="宋体" w:cs="宋体" w:eastAsia="宋体" w:hint="default"/>
                <w:sz w:val="18"/>
                <w:szCs w:val="18"/>
              </w:rPr>
            </w:pPr>
            <w:r>
              <w:rPr>
                <w:rFonts w:ascii="宋体" w:hAnsi="宋体" w:cs="宋体" w:eastAsia="宋体" w:hint="default"/>
                <w:sz w:val="18"/>
                <w:szCs w:val="18"/>
              </w:rPr>
              <w:t>事 项</w:t>
            </w:r>
          </w:p>
        </w:tc>
      </w:tr>
    </w:tbl>
    <w:p>
      <w:pPr>
        <w:spacing w:after="0" w:line="316"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710"/>
        <w:gridCol w:w="566"/>
        <w:gridCol w:w="709"/>
        <w:gridCol w:w="425"/>
        <w:gridCol w:w="562"/>
        <w:gridCol w:w="560"/>
        <w:gridCol w:w="562"/>
        <w:gridCol w:w="560"/>
        <w:gridCol w:w="562"/>
        <w:gridCol w:w="560"/>
        <w:gridCol w:w="562"/>
        <w:gridCol w:w="560"/>
        <w:gridCol w:w="562"/>
        <w:gridCol w:w="548"/>
        <w:gridCol w:w="547"/>
        <w:gridCol w:w="547"/>
        <w:gridCol w:w="538"/>
      </w:tblGrid>
      <w:tr>
        <w:trPr>
          <w:trHeight w:val="379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9" w:right="0"/>
              <w:jc w:val="both"/>
              <w:rPr>
                <w:rFonts w:ascii="宋体" w:hAnsi="宋体" w:cs="宋体" w:eastAsia="宋体" w:hint="default"/>
                <w:sz w:val="18"/>
                <w:szCs w:val="18"/>
              </w:rPr>
            </w:pPr>
            <w:r>
              <w:rPr>
                <w:rFonts w:ascii="宋体" w:hAnsi="宋体" w:cs="宋体" w:eastAsia="宋体" w:hint="default"/>
                <w:sz w:val="18"/>
                <w:szCs w:val="18"/>
              </w:rPr>
              <w:t>名称</w:t>
            </w:r>
          </w:p>
          <w:p>
            <w:pPr>
              <w:pStyle w:val="TableParagraph"/>
              <w:spacing w:line="319" w:lineRule="auto" w:before="76"/>
              <w:ind w:left="169" w:right="16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88" w:right="186"/>
              <w:jc w:val="center"/>
              <w:rPr>
                <w:rFonts w:ascii="宋体" w:hAnsi="宋体" w:cs="宋体" w:eastAsia="宋体" w:hint="default"/>
                <w:sz w:val="18"/>
                <w:szCs w:val="18"/>
              </w:rPr>
            </w:pPr>
            <w:r>
              <w:rPr>
                <w:rFonts w:ascii="宋体" w:hAnsi="宋体" w:cs="宋体" w:eastAsia="宋体" w:hint="default"/>
                <w:sz w:val="18"/>
                <w:szCs w:val="18"/>
              </w:rPr>
              <w:t>机 构</w:t>
            </w:r>
          </w:p>
          <w:p>
            <w:pPr>
              <w:pStyle w:val="TableParagraph"/>
              <w:spacing w:line="319" w:lineRule="auto" w:before="19"/>
              <w:ind w:left="188" w:right="186"/>
              <w:jc w:val="both"/>
              <w:rPr>
                <w:rFonts w:ascii="宋体" w:hAnsi="宋体" w:cs="宋体" w:eastAsia="宋体" w:hint="default"/>
                <w:sz w:val="18"/>
                <w:szCs w:val="18"/>
              </w:rPr>
            </w:pPr>
            <w:r>
              <w:rPr>
                <w:rFonts w:ascii="宋体" w:hAnsi="宋体" w:cs="宋体" w:eastAsia="宋体" w:hint="default"/>
                <w:sz w:val="18"/>
                <w:szCs w:val="18"/>
              </w:rPr>
              <w:t>（ 或 受 托</w:t>
            </w:r>
          </w:p>
          <w:p>
            <w:pPr>
              <w:pStyle w:val="TableParagraph"/>
              <w:spacing w:line="319" w:lineRule="auto" w:before="17"/>
              <w:ind w:left="188" w:right="91" w:hanging="86"/>
              <w:jc w:val="left"/>
              <w:rPr>
                <w:rFonts w:ascii="宋体" w:hAnsi="宋体" w:cs="宋体" w:eastAsia="宋体" w:hint="default"/>
                <w:sz w:val="18"/>
                <w:szCs w:val="18"/>
              </w:rPr>
            </w:pPr>
            <w:r>
              <w:rPr>
                <w:rFonts w:ascii="宋体" w:hAnsi="宋体" w:cs="宋体" w:eastAsia="宋体" w:hint="default"/>
                <w:sz w:val="18"/>
                <w:szCs w:val="18"/>
              </w:rPr>
              <w:t>人） 类 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5" w:right="185"/>
              <w:jc w:val="center"/>
              <w:rPr>
                <w:rFonts w:ascii="宋体" w:hAnsi="宋体" w:cs="宋体" w:eastAsia="宋体" w:hint="default"/>
                <w:sz w:val="18"/>
                <w:szCs w:val="18"/>
              </w:rPr>
            </w:pPr>
            <w:r>
              <w:rPr>
                <w:rFonts w:ascii="宋体" w:hAnsi="宋体" w:cs="宋体" w:eastAsia="宋体" w:hint="default"/>
                <w:sz w:val="18"/>
                <w:szCs w:val="18"/>
              </w:rPr>
              <w:t>来 源</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6" w:right="182"/>
              <w:jc w:val="center"/>
              <w:rPr>
                <w:rFonts w:ascii="宋体" w:hAnsi="宋体" w:cs="宋体" w:eastAsia="宋体" w:hint="default"/>
                <w:sz w:val="18"/>
                <w:szCs w:val="18"/>
              </w:rPr>
            </w:pPr>
            <w:r>
              <w:rPr>
                <w:rFonts w:ascii="宋体" w:hAnsi="宋体" w:cs="宋体" w:eastAsia="宋体" w:hint="default"/>
                <w:sz w:val="18"/>
                <w:szCs w:val="18"/>
              </w:rPr>
              <w:t>日 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5" w:right="184"/>
              <w:jc w:val="center"/>
              <w:rPr>
                <w:rFonts w:ascii="宋体" w:hAnsi="宋体" w:cs="宋体" w:eastAsia="宋体" w:hint="default"/>
                <w:sz w:val="18"/>
                <w:szCs w:val="18"/>
              </w:rPr>
            </w:pPr>
            <w:r>
              <w:rPr>
                <w:rFonts w:ascii="宋体" w:hAnsi="宋体" w:cs="宋体" w:eastAsia="宋体" w:hint="default"/>
                <w:sz w:val="18"/>
                <w:szCs w:val="18"/>
              </w:rPr>
              <w:t>日 期</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6" w:right="182"/>
              <w:jc w:val="center"/>
              <w:rPr>
                <w:rFonts w:ascii="宋体" w:hAnsi="宋体" w:cs="宋体" w:eastAsia="宋体" w:hint="default"/>
                <w:sz w:val="18"/>
                <w:szCs w:val="18"/>
              </w:rPr>
            </w:pPr>
            <w:r>
              <w:rPr>
                <w:rFonts w:ascii="宋体" w:hAnsi="宋体" w:cs="宋体" w:eastAsia="宋体" w:hint="default"/>
                <w:sz w:val="18"/>
                <w:szCs w:val="18"/>
              </w:rPr>
              <w:t>投 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5" w:right="185"/>
              <w:jc w:val="both"/>
              <w:rPr>
                <w:rFonts w:ascii="宋体" w:hAnsi="宋体" w:cs="宋体" w:eastAsia="宋体" w:hint="default"/>
                <w:sz w:val="18"/>
                <w:szCs w:val="18"/>
              </w:rPr>
            </w:pPr>
            <w:r>
              <w:rPr>
                <w:rFonts w:ascii="宋体" w:hAnsi="宋体" w:cs="宋体" w:eastAsia="宋体" w:hint="default"/>
                <w:sz w:val="18"/>
                <w:szCs w:val="18"/>
              </w:rPr>
              <w:t>确 定 方 式</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5" w:right="182"/>
              <w:jc w:val="both"/>
              <w:rPr>
                <w:rFonts w:ascii="宋体" w:hAnsi="宋体" w:cs="宋体" w:eastAsia="宋体" w:hint="default"/>
                <w:sz w:val="18"/>
                <w:szCs w:val="18"/>
              </w:rPr>
            </w:pPr>
            <w:r>
              <w:rPr>
                <w:rFonts w:ascii="宋体" w:hAnsi="宋体" w:cs="宋体" w:eastAsia="宋体" w:hint="default"/>
                <w:sz w:val="18"/>
                <w:szCs w:val="18"/>
              </w:rPr>
              <w:t>年 化 收 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86" w:right="185"/>
              <w:jc w:val="center"/>
              <w:rPr>
                <w:rFonts w:ascii="宋体" w:hAnsi="宋体" w:cs="宋体" w:eastAsia="宋体" w:hint="default"/>
                <w:sz w:val="18"/>
                <w:szCs w:val="18"/>
              </w:rPr>
            </w:pPr>
            <w:r>
              <w:rPr>
                <w:rFonts w:ascii="宋体" w:hAnsi="宋体" w:cs="宋体" w:eastAsia="宋体" w:hint="default"/>
                <w:sz w:val="18"/>
                <w:szCs w:val="18"/>
              </w:rPr>
              <w:t>收 益</w:t>
            </w:r>
          </w:p>
          <w:p>
            <w:pPr>
              <w:pStyle w:val="TableParagraph"/>
              <w:spacing w:line="319" w:lineRule="auto" w:before="19"/>
              <w:ind w:left="186" w:right="185"/>
              <w:jc w:val="both"/>
              <w:rPr>
                <w:rFonts w:ascii="宋体" w:hAnsi="宋体" w:cs="宋体" w:eastAsia="宋体" w:hint="default"/>
                <w:sz w:val="18"/>
                <w:szCs w:val="18"/>
              </w:rPr>
            </w:pPr>
            <w:r>
              <w:rPr>
                <w:rFonts w:ascii="宋体" w:hAnsi="宋体" w:cs="宋体" w:eastAsia="宋体" w:hint="default"/>
                <w:sz w:val="18"/>
                <w:szCs w:val="18"/>
              </w:rPr>
              <w:t>（ 如 有</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5" w:right="182"/>
              <w:jc w:val="both"/>
              <w:rPr>
                <w:rFonts w:ascii="宋体" w:hAnsi="宋体" w:cs="宋体" w:eastAsia="宋体" w:hint="default"/>
                <w:sz w:val="18"/>
                <w:szCs w:val="18"/>
              </w:rPr>
            </w:pPr>
            <w:r>
              <w:rPr>
                <w:rFonts w:ascii="宋体" w:hAnsi="宋体" w:cs="宋体" w:eastAsia="宋体" w:hint="default"/>
                <w:sz w:val="18"/>
                <w:szCs w:val="18"/>
              </w:rPr>
              <w:t>期 实 际 损 益 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6" w:right="185"/>
              <w:jc w:val="both"/>
              <w:rPr>
                <w:rFonts w:ascii="宋体" w:hAnsi="宋体" w:cs="宋体" w:eastAsia="宋体" w:hint="default"/>
                <w:sz w:val="18"/>
                <w:szCs w:val="18"/>
              </w:rPr>
            </w:pPr>
            <w:r>
              <w:rPr>
                <w:rFonts w:ascii="宋体" w:hAnsi="宋体" w:cs="宋体" w:eastAsia="宋体" w:hint="default"/>
                <w:sz w:val="18"/>
                <w:szCs w:val="18"/>
              </w:rPr>
              <w:t>期 损 益 实 际 收 回 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78" w:right="179"/>
              <w:jc w:val="both"/>
              <w:rPr>
                <w:rFonts w:ascii="宋体" w:hAnsi="宋体" w:cs="宋体" w:eastAsia="宋体" w:hint="default"/>
                <w:sz w:val="18"/>
                <w:szCs w:val="18"/>
              </w:rPr>
            </w:pPr>
            <w:r>
              <w:rPr>
                <w:rFonts w:ascii="宋体" w:hAnsi="宋体" w:cs="宋体" w:eastAsia="宋体" w:hint="default"/>
                <w:sz w:val="18"/>
                <w:szCs w:val="18"/>
              </w:rPr>
              <w:t>减 值 准 备 金 额</w:t>
            </w:r>
          </w:p>
          <w:p>
            <w:pPr>
              <w:pStyle w:val="TableParagraph"/>
              <w:spacing w:line="319" w:lineRule="auto" w:before="19"/>
              <w:ind w:left="103" w:right="73" w:firstLine="75"/>
              <w:jc w:val="both"/>
              <w:rPr>
                <w:rFonts w:ascii="宋体" w:hAnsi="宋体" w:cs="宋体" w:eastAsia="宋体" w:hint="default"/>
                <w:sz w:val="18"/>
                <w:szCs w:val="18"/>
              </w:rPr>
            </w:pPr>
            <w:r>
              <w:rPr>
                <w:rFonts w:ascii="宋体" w:hAnsi="宋体" w:cs="宋体" w:eastAsia="宋体" w:hint="default"/>
                <w:sz w:val="18"/>
                <w:szCs w:val="18"/>
              </w:rPr>
              <w:t>（ 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8" w:right="176"/>
              <w:jc w:val="both"/>
              <w:rPr>
                <w:rFonts w:ascii="宋体" w:hAnsi="宋体" w:cs="宋体" w:eastAsia="宋体" w:hint="default"/>
                <w:sz w:val="18"/>
                <w:szCs w:val="18"/>
              </w:rPr>
            </w:pPr>
            <w:r>
              <w:rPr>
                <w:rFonts w:ascii="宋体" w:hAnsi="宋体" w:cs="宋体" w:eastAsia="宋体" w:hint="default"/>
                <w:sz w:val="18"/>
                <w:szCs w:val="18"/>
              </w:rPr>
              <w:t>经 过 法 定 程 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8" w:right="176"/>
              <w:jc w:val="both"/>
              <w:rPr>
                <w:rFonts w:ascii="宋体" w:hAnsi="宋体" w:cs="宋体" w:eastAsia="宋体" w:hint="default"/>
                <w:sz w:val="18"/>
                <w:szCs w:val="18"/>
              </w:rPr>
            </w:pPr>
            <w:r>
              <w:rPr>
                <w:rFonts w:ascii="宋体" w:hAnsi="宋体" w:cs="宋体" w:eastAsia="宋体" w:hint="default"/>
                <w:sz w:val="18"/>
                <w:szCs w:val="18"/>
              </w:rPr>
              <w:t>是 否 还 有 委 托 理 财 计 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74" w:right="173"/>
              <w:jc w:val="both"/>
              <w:rPr>
                <w:rFonts w:ascii="宋体" w:hAnsi="宋体" w:cs="宋体" w:eastAsia="宋体" w:hint="default"/>
                <w:sz w:val="18"/>
                <w:szCs w:val="18"/>
              </w:rPr>
            </w:pPr>
            <w:r>
              <w:rPr>
                <w:rFonts w:ascii="宋体" w:hAnsi="宋体" w:cs="宋体" w:eastAsia="宋体" w:hint="default"/>
                <w:sz w:val="18"/>
                <w:szCs w:val="18"/>
              </w:rPr>
              <w:t>概 述 及 相 关 查 询 索 引</w:t>
            </w:r>
          </w:p>
          <w:p>
            <w:pPr>
              <w:pStyle w:val="TableParagraph"/>
              <w:spacing w:line="319" w:lineRule="auto" w:before="19"/>
              <w:ind w:left="103" w:right="62" w:firstLine="70"/>
              <w:jc w:val="both"/>
              <w:rPr>
                <w:rFonts w:ascii="宋体" w:hAnsi="宋体" w:cs="宋体" w:eastAsia="宋体" w:hint="default"/>
                <w:sz w:val="18"/>
                <w:szCs w:val="18"/>
              </w:rPr>
            </w:pPr>
            <w:r>
              <w:rPr>
                <w:rFonts w:ascii="宋体" w:hAnsi="宋体" w:cs="宋体" w:eastAsia="宋体" w:hint="default"/>
                <w:sz w:val="18"/>
                <w:szCs w:val="18"/>
              </w:rPr>
              <w:t>（ 如 有）</w:t>
            </w:r>
          </w:p>
        </w:tc>
      </w:tr>
      <w:tr>
        <w:trPr>
          <w:trHeight w:val="258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福州 分行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人民 币结 构性 存款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4"/>
              <w:ind w:left="13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3.75</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both"/>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p>
            <w:pPr>
              <w:pStyle w:val="TableParagraph"/>
              <w:spacing w:line="240" w:lineRule="auto" w:before="65"/>
              <w:ind w:left="103" w:right="0"/>
              <w:jc w:val="both"/>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both"/>
              <w:rPr>
                <w:rFonts w:ascii="Times New Roman" w:hAnsi="Times New Roman" w:cs="Times New Roman" w:eastAsia="Times New Roman" w:hint="default"/>
                <w:sz w:val="18"/>
                <w:szCs w:val="18"/>
              </w:rPr>
            </w:pPr>
            <w:r>
              <w:rPr>
                <w:rFonts w:ascii="Times New Roman"/>
                <w:sz w:val="18"/>
              </w:rPr>
              <w:t>21</w:t>
            </w:r>
          </w:p>
          <w:p>
            <w:pPr>
              <w:pStyle w:val="TableParagraph"/>
              <w:spacing w:line="316" w:lineRule="auto" w:before="65"/>
              <w:ind w:left="103" w:right="62"/>
              <w:jc w:val="left"/>
              <w:rPr>
                <w:rFonts w:ascii="宋体" w:hAnsi="宋体" w:cs="宋体" w:eastAsia="宋体" w:hint="default"/>
                <w:sz w:val="18"/>
                <w:szCs w:val="18"/>
              </w:rPr>
            </w:pPr>
            <w:r>
              <w:rPr>
                <w:rFonts w:ascii="宋体" w:hAnsi="宋体" w:cs="宋体" w:eastAsia="宋体" w:hint="default"/>
                <w:sz w:val="18"/>
                <w:szCs w:val="18"/>
              </w:rPr>
              <w:t>日， 巨</w:t>
            </w:r>
          </w:p>
          <w:p>
            <w:pPr>
              <w:pStyle w:val="TableParagraph"/>
              <w:spacing w:line="316" w:lineRule="auto" w:before="19"/>
              <w:ind w:left="103" w:right="62"/>
              <w:jc w:val="left"/>
              <w:rPr>
                <w:rFonts w:ascii="宋体" w:hAnsi="宋体" w:cs="宋体" w:eastAsia="宋体" w:hint="default"/>
                <w:sz w:val="18"/>
                <w:szCs w:val="18"/>
              </w:rPr>
            </w:pPr>
            <w:r>
              <w:rPr>
                <w:rFonts w:ascii="宋体" w:hAnsi="宋体" w:cs="宋体" w:eastAsia="宋体" w:hint="default"/>
                <w:sz w:val="18"/>
                <w:szCs w:val="18"/>
              </w:rPr>
              <w:t>潮 网：</w:t>
            </w:r>
          </w:p>
          <w:p>
            <w:pPr>
              <w:pStyle w:val="TableParagraph"/>
              <w:spacing w:line="316" w:lineRule="auto" w:before="19"/>
              <w:ind w:left="103" w:right="242"/>
              <w:jc w:val="both"/>
              <w:rPr>
                <w:rFonts w:ascii="宋体" w:hAnsi="宋体" w:cs="宋体" w:eastAsia="宋体" w:hint="default"/>
                <w:sz w:val="18"/>
                <w:szCs w:val="18"/>
              </w:rPr>
            </w:pPr>
            <w:r>
              <w:rPr>
                <w:rFonts w:ascii="宋体" w:hAnsi="宋体" w:cs="宋体" w:eastAsia="宋体" w:hint="default"/>
                <w:sz w:val="18"/>
                <w:szCs w:val="18"/>
              </w:rPr>
              <w:t>《 使 用 部 分 闲 置 募 集 资 金 进 行 现 金 管 理 的 公</w:t>
            </w:r>
          </w:p>
          <w:p>
            <w:pPr>
              <w:pStyle w:val="TableParagraph"/>
              <w:spacing w:line="240" w:lineRule="auto" w:before="19"/>
              <w:ind w:left="103" w:right="0"/>
              <w:jc w:val="both"/>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103" w:right="152"/>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2 017</w:t>
            </w:r>
          </w:p>
        </w:tc>
      </w:tr>
      <w:tr>
        <w:trPr>
          <w:trHeight w:val="258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福州 分行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人民 币结 构性 存款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4"/>
              <w:ind w:left="177"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2" w:right="0"/>
              <w:jc w:val="left"/>
              <w:rPr>
                <w:rFonts w:ascii="Times New Roman" w:hAnsi="Times New Roman" w:cs="Times New Roman" w:eastAsia="Times New Roman" w:hint="default"/>
                <w:sz w:val="18"/>
                <w:szCs w:val="18"/>
              </w:rPr>
            </w:pPr>
            <w:r>
              <w:rPr>
                <w:rFonts w:ascii="Times New Roman"/>
                <w:sz w:val="18"/>
              </w:rPr>
              <w:t>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4.30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78" w:right="0"/>
              <w:jc w:val="left"/>
              <w:rPr>
                <w:rFonts w:ascii="Times New Roman" w:hAnsi="Times New Roman" w:cs="Times New Roman" w:eastAsia="Times New Roman" w:hint="default"/>
                <w:sz w:val="18"/>
                <w:szCs w:val="18"/>
              </w:rPr>
            </w:pPr>
            <w:r>
              <w:rPr>
                <w:rFonts w:ascii="Times New Roman"/>
                <w:sz w:val="18"/>
              </w:rPr>
              <w:t>159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159.</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04</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28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招商 银行 股份 有限 公司 福州 分行 南门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74"/>
              <w:jc w:val="both"/>
              <w:rPr>
                <w:rFonts w:ascii="宋体" w:hAnsi="宋体" w:cs="宋体" w:eastAsia="宋体" w:hint="default"/>
                <w:sz w:val="18"/>
                <w:szCs w:val="18"/>
              </w:rPr>
            </w:pPr>
            <w:r>
              <w:rPr>
                <w:rFonts w:ascii="宋体" w:hAnsi="宋体" w:cs="宋体" w:eastAsia="宋体" w:hint="default"/>
                <w:sz w:val="18"/>
                <w:szCs w:val="18"/>
              </w:rPr>
              <w:t>招商 银行 结构 性存 款</w:t>
            </w:r>
          </w:p>
          <w:p>
            <w:pPr>
              <w:pStyle w:val="TableParagraph"/>
              <w:spacing w:line="362" w:lineRule="auto" w:before="58"/>
              <w:ind w:left="103" w:right="174"/>
              <w:jc w:val="both"/>
              <w:rPr>
                <w:rFonts w:ascii="Times New Roman" w:hAnsi="Times New Roman" w:cs="Times New Roman" w:eastAsia="Times New Roman" w:hint="default"/>
                <w:sz w:val="18"/>
                <w:szCs w:val="18"/>
              </w:rPr>
            </w:pPr>
            <w:r>
              <w:rPr>
                <w:rFonts w:ascii="Times New Roman"/>
                <w:sz w:val="18"/>
              </w:rPr>
              <w:t>CFZ0 0360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4"/>
              <w:ind w:left="177"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2" w:right="0"/>
              <w:jc w:val="left"/>
              <w:rPr>
                <w:rFonts w:ascii="Times New Roman" w:hAnsi="Times New Roman" w:cs="Times New Roman" w:eastAsia="Times New Roman" w:hint="default"/>
                <w:sz w:val="18"/>
                <w:szCs w:val="18"/>
              </w:rPr>
            </w:pPr>
            <w:r>
              <w:rPr>
                <w:rFonts w:ascii="Times New Roman"/>
                <w:sz w:val="18"/>
              </w:rPr>
              <w:t>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center"/>
              <w:rPr>
                <w:rFonts w:ascii="Times New Roman" w:hAnsi="Times New Roman" w:cs="Times New Roman" w:eastAsia="Times New Roman" w:hint="default"/>
                <w:sz w:val="18"/>
                <w:szCs w:val="18"/>
              </w:rPr>
            </w:pPr>
            <w:r>
              <w:rPr>
                <w:rFonts w:ascii="Times New Roman"/>
                <w:sz w:val="18"/>
              </w:rPr>
              <w:t>4.30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34" w:right="0"/>
              <w:jc w:val="left"/>
              <w:rPr>
                <w:rFonts w:ascii="Times New Roman" w:hAnsi="Times New Roman" w:cs="Times New Roman" w:eastAsia="Times New Roman" w:hint="default"/>
                <w:sz w:val="18"/>
                <w:szCs w:val="18"/>
              </w:rPr>
            </w:pPr>
            <w:r>
              <w:rPr>
                <w:rFonts w:ascii="Times New Roman"/>
                <w:sz w:val="18"/>
              </w:rPr>
              <w:t>257.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2" w:right="0"/>
              <w:jc w:val="center"/>
              <w:rPr>
                <w:rFonts w:ascii="Times New Roman" w:hAnsi="Times New Roman" w:cs="Times New Roman" w:eastAsia="Times New Roman" w:hint="default"/>
                <w:sz w:val="18"/>
                <w:szCs w:val="18"/>
              </w:rPr>
            </w:pPr>
            <w:r>
              <w:rPr>
                <w:rFonts w:ascii="Times New Roman"/>
                <w:sz w:val="18"/>
              </w:rPr>
              <w:t>257.</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257.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29</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196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34"/>
              <w:jc w:val="both"/>
              <w:rPr>
                <w:rFonts w:ascii="宋体" w:hAnsi="宋体" w:cs="宋体" w:eastAsia="宋体" w:hint="default"/>
                <w:sz w:val="18"/>
                <w:szCs w:val="18"/>
              </w:rPr>
            </w:pPr>
            <w:r>
              <w:rPr>
                <w:rFonts w:ascii="宋体" w:hAnsi="宋体" w:cs="宋体" w:eastAsia="宋体" w:hint="default"/>
                <w:sz w:val="18"/>
                <w:szCs w:val="18"/>
              </w:rPr>
              <w:t>招商 银行 股份 有限 公司 福州</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34"/>
              <w:jc w:val="both"/>
              <w:rPr>
                <w:rFonts w:ascii="宋体" w:hAnsi="宋体" w:cs="宋体" w:eastAsia="宋体" w:hint="default"/>
                <w:sz w:val="18"/>
                <w:szCs w:val="18"/>
              </w:rPr>
            </w:pPr>
            <w:r>
              <w:rPr>
                <w:rFonts w:ascii="宋体" w:hAnsi="宋体" w:cs="宋体" w:eastAsia="宋体" w:hint="default"/>
                <w:sz w:val="18"/>
                <w:szCs w:val="18"/>
              </w:rPr>
              <w:t>招商 银行 结构 性存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77"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132" w:right="0"/>
              <w:jc w:val="left"/>
              <w:rPr>
                <w:rFonts w:ascii="Times New Roman" w:hAnsi="Times New Roman" w:cs="Times New Roman" w:eastAsia="Times New Roman" w:hint="default"/>
                <w:sz w:val="18"/>
                <w:szCs w:val="18"/>
              </w:rPr>
            </w:pPr>
            <w:r>
              <w:rPr>
                <w:rFonts w:ascii="Times New Roman"/>
                <w:sz w:val="18"/>
              </w:rPr>
              <w:t>50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4.05</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bottom w:val="nil" w:sz="6" w:space="0" w:color="auto"/>
              <w:right w:val="single" w:sz="4" w:space="0" w:color="000000"/>
            </w:tcBorders>
          </w:tcPr>
          <w:p>
            <w:pPr/>
          </w:p>
        </w:tc>
      </w:tr>
    </w:tbl>
    <w:p>
      <w:pPr>
        <w:spacing w:after="0"/>
        <w:sectPr>
          <w:pgSz w:w="11910" w:h="16840"/>
          <w:pgMar w:header="850" w:footer="1267" w:top="1260" w:bottom="1560" w:left="980" w:right="0"/>
        </w:sectPr>
      </w:pPr>
    </w:p>
    <w:p>
      <w:pPr>
        <w:spacing w:line="240" w:lineRule="auto" w:before="0"/>
        <w:rPr>
          <w:rFonts w:ascii="Times New Roman" w:hAnsi="Times New Roman" w:cs="Times New Roman" w:eastAsia="Times New Roman" w:hint="default"/>
          <w:sz w:val="13"/>
          <w:szCs w:val="13"/>
        </w:rPr>
      </w:pPr>
      <w:r>
        <w:rPr/>
        <w:pict>
          <v:group style="position:absolute;margin-left:538.73999pt;margin-top:71.999985pt;width:.1pt;height:680.3pt;mso-position-horizontal-relative:page;mso-position-vertical-relative:page;z-index:1072" coordorigin="10775,1440" coordsize="2,13606">
            <v:shape style="position:absolute;left:10775;top:1440;width:2;height:13606" coordorigin="10775,1440" coordsize="0,13606" path="m10775,1440l10775,15046e" filled="false" stroked="true" strokeweight=".47998pt" strokecolor="#000000">
              <v:path arrowok="t"/>
            </v:shape>
            <w10:wrap type="none"/>
          </v:group>
        </w:pict>
      </w:r>
      <w:r>
        <w:rPr/>
        <w:pict>
          <v:shape style="position:absolute;margin-left:56.459999pt;margin-top:71.999985pt;width:455.9pt;height:680.8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10"/>
                    <w:gridCol w:w="566"/>
                    <w:gridCol w:w="709"/>
                    <w:gridCol w:w="425"/>
                    <w:gridCol w:w="562"/>
                    <w:gridCol w:w="560"/>
                    <w:gridCol w:w="562"/>
                    <w:gridCol w:w="560"/>
                    <w:gridCol w:w="562"/>
                    <w:gridCol w:w="560"/>
                    <w:gridCol w:w="562"/>
                    <w:gridCol w:w="560"/>
                    <w:gridCol w:w="562"/>
                    <w:gridCol w:w="548"/>
                    <w:gridCol w:w="547"/>
                    <w:gridCol w:w="547"/>
                  </w:tblGrid>
                  <w:tr>
                    <w:trPr>
                      <w:trHeight w:val="98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34"/>
                          <w:jc w:val="both"/>
                          <w:rPr>
                            <w:rFonts w:ascii="宋体" w:hAnsi="宋体" w:cs="宋体" w:eastAsia="宋体" w:hint="default"/>
                            <w:sz w:val="18"/>
                            <w:szCs w:val="18"/>
                          </w:rPr>
                        </w:pPr>
                        <w:r>
                          <w:rPr>
                            <w:rFonts w:ascii="宋体" w:hAnsi="宋体" w:cs="宋体" w:eastAsia="宋体" w:hint="default"/>
                            <w:sz w:val="18"/>
                            <w:szCs w:val="18"/>
                          </w:rPr>
                          <w:t>分行 南门 支行</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福州 温泉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人民 币结 构性 存款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4"/>
                          <w:ind w:left="13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78.5</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78.5</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福州 温泉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人民 币结 构性 存款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4"/>
                          <w:ind w:left="13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23</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13.1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13.1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34"/>
                          <w:jc w:val="both"/>
                          <w:rPr>
                            <w:rFonts w:ascii="宋体" w:hAnsi="宋体" w:cs="宋体" w:eastAsia="宋体" w:hint="default"/>
                            <w:sz w:val="18"/>
                            <w:szCs w:val="18"/>
                          </w:rPr>
                        </w:pPr>
                        <w:r>
                          <w:rPr>
                            <w:rFonts w:ascii="宋体" w:hAnsi="宋体" w:cs="宋体" w:eastAsia="宋体" w:hint="default"/>
                            <w:sz w:val="18"/>
                            <w:szCs w:val="18"/>
                          </w:rPr>
                          <w:t>中信 银行 福州 闽侯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34"/>
                          <w:jc w:val="both"/>
                          <w:rPr>
                            <w:rFonts w:ascii="宋体" w:hAnsi="宋体" w:cs="宋体" w:eastAsia="宋体" w:hint="default"/>
                            <w:sz w:val="18"/>
                            <w:szCs w:val="18"/>
                          </w:rPr>
                        </w:pPr>
                        <w:r>
                          <w:rPr>
                            <w:rFonts w:ascii="宋体" w:hAnsi="宋体" w:cs="宋体" w:eastAsia="宋体" w:hint="default"/>
                            <w:sz w:val="18"/>
                            <w:szCs w:val="18"/>
                          </w:rPr>
                          <w:t>中信 银行 结构 性存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13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3.70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7.1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7.15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7.15</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福建 海峡 银行 福州 高新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34"/>
                          <w:jc w:val="both"/>
                          <w:rPr>
                            <w:rFonts w:ascii="宋体" w:hAnsi="宋体" w:cs="宋体" w:eastAsia="宋体" w:hint="default"/>
                            <w:sz w:val="18"/>
                            <w:szCs w:val="18"/>
                          </w:rPr>
                        </w:pPr>
                        <w:r>
                          <w:rPr>
                            <w:rFonts w:ascii="宋体" w:hAnsi="宋体" w:cs="宋体" w:eastAsia="宋体" w:hint="default"/>
                            <w:sz w:val="18"/>
                            <w:szCs w:val="18"/>
                          </w:rPr>
                          <w:t>海峡 银行 结构 性存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w:t>
                        </w:r>
                      </w:p>
                      <w:p>
                        <w:pPr>
                          <w:pStyle w:val="TableParagraph"/>
                          <w:spacing w:line="240" w:lineRule="auto" w:before="104"/>
                          <w:ind w:left="13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04</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4.20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福州 温泉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人民 币结 构性 存款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4"/>
                          <w:ind w:left="13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4.55</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68.8</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68.8</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68.8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p>
    <w:p>
      <w:pPr>
        <w:pStyle w:val="BodyText"/>
        <w:spacing w:line="240" w:lineRule="auto" w:before="84"/>
        <w:ind w:left="0" w:right="1319"/>
        <w:jc w:val="right"/>
        <w:rPr>
          <w:rFonts w:ascii="Times New Roman" w:hAnsi="Times New Roman" w:cs="Times New Roman" w:eastAsia="Times New Roman" w:hint="default"/>
        </w:rPr>
      </w:pPr>
      <w:r>
        <w:rPr>
          <w:rFonts w:ascii="Times New Roman"/>
        </w:rPr>
        <w:t>-00</w:t>
      </w:r>
    </w:p>
    <w:p>
      <w:pPr>
        <w:pStyle w:val="BodyText"/>
        <w:spacing w:line="240" w:lineRule="auto" w:before="66"/>
        <w:ind w:left="0" w:right="1289"/>
        <w:jc w:val="right"/>
      </w:pPr>
      <w:r>
        <w:rPr>
          <w:rFonts w:ascii="Times New Roman" w:hAnsi="Times New Roman" w:cs="Times New Roman" w:eastAsia="Times New Roman" w:hint="default"/>
        </w:rPr>
        <w:t>9</w:t>
      </w:r>
      <w:r>
        <w:rPr/>
        <w:t>）</w:t>
      </w:r>
    </w:p>
    <w:p>
      <w:pPr>
        <w:spacing w:after="0" w:line="240" w:lineRule="auto"/>
        <w:jc w:val="right"/>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r>
        <w:rPr/>
        <w:pict>
          <v:group style="position:absolute;margin-left:538.73999pt;margin-top:71.999985pt;width:.1pt;height:691.4pt;mso-position-horizontal-relative:page;mso-position-vertical-relative:page;z-index:1120" coordorigin="10775,1440" coordsize="2,13828">
            <v:shape style="position:absolute;left:10775;top:1440;width:2;height:13828" coordorigin="10775,1440" coordsize="0,13828" path="m10775,1440l10775,15268e" filled="false" stroked="true" strokeweight=".47998pt" strokecolor="#000000">
              <v:path arrowok="t"/>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710"/>
        <w:gridCol w:w="566"/>
        <w:gridCol w:w="709"/>
        <w:gridCol w:w="425"/>
        <w:gridCol w:w="562"/>
        <w:gridCol w:w="560"/>
        <w:gridCol w:w="562"/>
        <w:gridCol w:w="560"/>
        <w:gridCol w:w="562"/>
        <w:gridCol w:w="560"/>
        <w:gridCol w:w="562"/>
        <w:gridCol w:w="560"/>
        <w:gridCol w:w="562"/>
        <w:gridCol w:w="548"/>
        <w:gridCol w:w="547"/>
        <w:gridCol w:w="547"/>
      </w:tblGrid>
      <w:tr>
        <w:trPr>
          <w:trHeight w:val="28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招商 银行 股份 有限 公司 福州 分行 南门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234"/>
              <w:jc w:val="both"/>
              <w:rPr>
                <w:rFonts w:ascii="宋体" w:hAnsi="宋体" w:cs="宋体" w:eastAsia="宋体" w:hint="default"/>
                <w:sz w:val="18"/>
                <w:szCs w:val="18"/>
              </w:rPr>
            </w:pPr>
            <w:r>
              <w:rPr>
                <w:rFonts w:ascii="宋体" w:hAnsi="宋体" w:cs="宋体" w:eastAsia="宋体" w:hint="default"/>
                <w:sz w:val="18"/>
                <w:szCs w:val="18"/>
              </w:rPr>
              <w:t>招商 银行 结构 性存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2" w:right="0"/>
              <w:jc w:val="left"/>
              <w:rPr>
                <w:rFonts w:ascii="Times New Roman" w:hAnsi="Times New Roman" w:cs="Times New Roman" w:eastAsia="Times New Roman" w:hint="default"/>
                <w:sz w:val="18"/>
                <w:szCs w:val="18"/>
              </w:rPr>
            </w:pPr>
            <w:r>
              <w:rPr>
                <w:rFonts w:ascii="Times New Roman"/>
                <w:sz w:val="18"/>
              </w:rPr>
              <w:t>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center"/>
              <w:rPr>
                <w:rFonts w:ascii="Times New Roman" w:hAnsi="Times New Roman" w:cs="Times New Roman" w:eastAsia="Times New Roman" w:hint="default"/>
                <w:sz w:val="18"/>
                <w:szCs w:val="18"/>
              </w:rPr>
            </w:pPr>
            <w:r>
              <w:rPr>
                <w:rFonts w:ascii="Times New Roman"/>
                <w:sz w:val="18"/>
              </w:rPr>
              <w:t>4.40</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34"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2" w:right="0"/>
              <w:jc w:val="center"/>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08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133.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08</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招商 银行 股份 有限 公司 福州 分行 南门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234"/>
              <w:jc w:val="both"/>
              <w:rPr>
                <w:rFonts w:ascii="宋体" w:hAnsi="宋体" w:cs="宋体" w:eastAsia="宋体" w:hint="default"/>
                <w:sz w:val="18"/>
                <w:szCs w:val="18"/>
              </w:rPr>
            </w:pPr>
            <w:r>
              <w:rPr>
                <w:rFonts w:ascii="宋体" w:hAnsi="宋体" w:cs="宋体" w:eastAsia="宋体" w:hint="default"/>
                <w:sz w:val="18"/>
                <w:szCs w:val="18"/>
              </w:rPr>
              <w:t>招商 银行 结构 性存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center"/>
              <w:rPr>
                <w:rFonts w:ascii="Times New Roman" w:hAnsi="Times New Roman" w:cs="Times New Roman" w:eastAsia="Times New Roman" w:hint="default"/>
                <w:sz w:val="18"/>
                <w:szCs w:val="18"/>
              </w:rPr>
            </w:pPr>
            <w:r>
              <w:rPr>
                <w:rFonts w:ascii="Times New Roman"/>
                <w:sz w:val="18"/>
              </w:rPr>
              <w:t>3.87</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z w:val="18"/>
              </w:rPr>
              <w:t>3.29</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招商 银行 股份 有限 公司 福州 分行 南门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234"/>
              <w:jc w:val="both"/>
              <w:rPr>
                <w:rFonts w:ascii="宋体" w:hAnsi="宋体" w:cs="宋体" w:eastAsia="宋体" w:hint="default"/>
                <w:sz w:val="18"/>
                <w:szCs w:val="18"/>
              </w:rPr>
            </w:pPr>
            <w:r>
              <w:rPr>
                <w:rFonts w:ascii="宋体" w:hAnsi="宋体" w:cs="宋体" w:eastAsia="宋体" w:hint="default"/>
                <w:sz w:val="18"/>
                <w:szCs w:val="18"/>
              </w:rPr>
              <w:t>招商 银行 结构 性存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2" w:right="0"/>
              <w:jc w:val="left"/>
              <w:rPr>
                <w:rFonts w:ascii="Times New Roman" w:hAnsi="Times New Roman" w:cs="Times New Roman" w:eastAsia="Times New Roman" w:hint="default"/>
                <w:sz w:val="18"/>
                <w:szCs w:val="18"/>
              </w:rPr>
            </w:pPr>
            <w:r>
              <w:rPr>
                <w:rFonts w:ascii="Times New Roman"/>
                <w:sz w:val="18"/>
              </w:rPr>
              <w:t>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center"/>
              <w:rPr>
                <w:rFonts w:ascii="Times New Roman" w:hAnsi="Times New Roman" w:cs="Times New Roman" w:eastAsia="Times New Roman" w:hint="default"/>
                <w:sz w:val="18"/>
                <w:szCs w:val="18"/>
              </w:rPr>
            </w:pPr>
            <w:r>
              <w:rPr>
                <w:rFonts w:ascii="Times New Roman"/>
                <w:sz w:val="18"/>
              </w:rPr>
              <w:t>3.75</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40" w:right="0"/>
              <w:jc w:val="left"/>
              <w:rPr>
                <w:rFonts w:ascii="Times New Roman" w:hAnsi="Times New Roman" w:cs="Times New Roman" w:eastAsia="Times New Roman" w:hint="default"/>
                <w:sz w:val="18"/>
                <w:szCs w:val="18"/>
              </w:rPr>
            </w:pPr>
            <w:r>
              <w:rPr>
                <w:rFonts w:ascii="Times New Roman"/>
                <w:sz w:val="18"/>
              </w:rPr>
              <w:t>112.</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7" w:right="0"/>
              <w:jc w:val="center"/>
              <w:rPr>
                <w:rFonts w:ascii="Times New Roman" w:hAnsi="Times New Roman" w:cs="Times New Roman" w:eastAsia="Times New Roman" w:hint="default"/>
                <w:sz w:val="18"/>
                <w:szCs w:val="18"/>
              </w:rPr>
            </w:pPr>
            <w:r>
              <w:rPr>
                <w:rFonts w:ascii="Times New Roman"/>
                <w:sz w:val="18"/>
              </w:rPr>
              <w:t>112.</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19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3" w:right="0"/>
              <w:jc w:val="left"/>
              <w:rPr>
                <w:rFonts w:ascii="Times New Roman" w:hAnsi="Times New Roman" w:cs="Times New Roman" w:eastAsia="Times New Roman" w:hint="default"/>
                <w:sz w:val="18"/>
                <w:szCs w:val="18"/>
              </w:rPr>
            </w:pPr>
            <w:r>
              <w:rPr>
                <w:rFonts w:ascii="Times New Roman"/>
                <w:sz w:val="18"/>
              </w:rPr>
              <w:t>112.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19</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8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招商 银行 股份 有限 公司 福州 分行 南门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103" w:right="234"/>
              <w:jc w:val="both"/>
              <w:rPr>
                <w:rFonts w:ascii="宋体" w:hAnsi="宋体" w:cs="宋体" w:eastAsia="宋体" w:hint="default"/>
                <w:sz w:val="18"/>
                <w:szCs w:val="18"/>
              </w:rPr>
            </w:pPr>
            <w:r>
              <w:rPr>
                <w:rFonts w:ascii="宋体" w:hAnsi="宋体" w:cs="宋体" w:eastAsia="宋体" w:hint="default"/>
                <w:sz w:val="18"/>
                <w:szCs w:val="18"/>
              </w:rPr>
              <w:t>招商 银行 结构 性存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center"/>
              <w:rPr>
                <w:rFonts w:ascii="Times New Roman" w:hAnsi="Times New Roman" w:cs="Times New Roman" w:eastAsia="Times New Roman" w:hint="default"/>
                <w:sz w:val="18"/>
                <w:szCs w:val="18"/>
              </w:rPr>
            </w:pPr>
            <w:r>
              <w:rPr>
                <w:rFonts w:ascii="Times New Roman"/>
                <w:sz w:val="18"/>
              </w:rPr>
              <w:t>2.82</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z w:val="18"/>
              </w:rPr>
              <w:t>2.32</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3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福州</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7"/>
              <w:ind w:left="103" w:right="234"/>
              <w:jc w:val="both"/>
              <w:rPr>
                <w:rFonts w:ascii="宋体" w:hAnsi="宋体" w:cs="宋体" w:eastAsia="宋体" w:hint="default"/>
                <w:sz w:val="18"/>
                <w:szCs w:val="18"/>
              </w:rPr>
            </w:pPr>
            <w:r>
              <w:rPr>
                <w:rFonts w:ascii="宋体" w:hAnsi="宋体" w:cs="宋体" w:eastAsia="宋体" w:hint="default"/>
                <w:sz w:val="18"/>
                <w:szCs w:val="18"/>
              </w:rPr>
              <w:t>民生 银行 结构 性存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13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4.00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0" w:footer="1267" w:top="1260" w:bottom="15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710"/>
        <w:gridCol w:w="566"/>
        <w:gridCol w:w="709"/>
        <w:gridCol w:w="425"/>
        <w:gridCol w:w="562"/>
        <w:gridCol w:w="560"/>
        <w:gridCol w:w="562"/>
        <w:gridCol w:w="560"/>
        <w:gridCol w:w="562"/>
        <w:gridCol w:w="560"/>
        <w:gridCol w:w="562"/>
        <w:gridCol w:w="560"/>
        <w:gridCol w:w="562"/>
        <w:gridCol w:w="548"/>
        <w:gridCol w:w="547"/>
        <w:gridCol w:w="547"/>
        <w:gridCol w:w="538"/>
      </w:tblGrid>
      <w:tr>
        <w:trPr>
          <w:trHeight w:val="67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34"/>
              <w:jc w:val="left"/>
              <w:rPr>
                <w:rFonts w:ascii="宋体" w:hAnsi="宋体" w:cs="宋体" w:eastAsia="宋体" w:hint="default"/>
                <w:sz w:val="18"/>
                <w:szCs w:val="18"/>
              </w:rPr>
            </w:pPr>
            <w:r>
              <w:rPr>
                <w:rFonts w:ascii="宋体" w:hAnsi="宋体" w:cs="宋体" w:eastAsia="宋体" w:hint="default"/>
                <w:sz w:val="18"/>
                <w:szCs w:val="18"/>
              </w:rPr>
              <w:t>温泉 支行</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vMerge w:val="restart"/>
            <w:tcBorders>
              <w:top w:val="nil" w:sz="6" w:space="0" w:color="auto"/>
              <w:left w:val="single" w:sz="4" w:space="0" w:color="000000"/>
              <w:right w:val="single" w:sz="4" w:space="0" w:color="000000"/>
            </w:tcBorders>
          </w:tcPr>
          <w:p>
            <w:pPr/>
          </w:p>
        </w:tc>
      </w:tr>
      <w:tr>
        <w:trPr>
          <w:trHeight w:val="28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中国 民生 银行 股份 有限 公司 福州 温泉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3" w:right="234"/>
              <w:jc w:val="both"/>
              <w:rPr>
                <w:rFonts w:ascii="宋体" w:hAnsi="宋体" w:cs="宋体" w:eastAsia="宋体" w:hint="default"/>
                <w:sz w:val="18"/>
                <w:szCs w:val="18"/>
              </w:rPr>
            </w:pPr>
            <w:r>
              <w:rPr>
                <w:rFonts w:ascii="宋体" w:hAnsi="宋体" w:cs="宋体" w:eastAsia="宋体" w:hint="default"/>
                <w:sz w:val="18"/>
                <w:szCs w:val="18"/>
              </w:rPr>
              <w:t>民生 银行 结构 性存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w:t>
            </w:r>
          </w:p>
          <w:p>
            <w:pPr>
              <w:pStyle w:val="TableParagraph"/>
              <w:spacing w:line="240" w:lineRule="auto" w:before="104"/>
              <w:ind w:left="13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29</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center"/>
              <w:rPr>
                <w:rFonts w:ascii="Times New Roman" w:hAnsi="Times New Roman" w:cs="Times New Roman" w:eastAsia="Times New Roman" w:hint="default"/>
                <w:sz w:val="18"/>
                <w:szCs w:val="18"/>
              </w:rPr>
            </w:pPr>
            <w:r>
              <w:rPr>
                <w:rFonts w:ascii="Times New Roman"/>
                <w:sz w:val="18"/>
              </w:rPr>
              <w:t>3.60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8.09</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2898"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34"/>
              <w:jc w:val="both"/>
              <w:rPr>
                <w:rFonts w:ascii="宋体" w:hAnsi="宋体" w:cs="宋体" w:eastAsia="宋体" w:hint="default"/>
                <w:sz w:val="18"/>
                <w:szCs w:val="18"/>
              </w:rPr>
            </w:pPr>
            <w:r>
              <w:rPr>
                <w:rFonts w:ascii="宋体" w:hAnsi="宋体" w:cs="宋体" w:eastAsia="宋体" w:hint="default"/>
                <w:sz w:val="18"/>
                <w:szCs w:val="18"/>
              </w:rPr>
              <w:t>招商 银行 股份 有限 公司 福州 分行 南门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3" w:right="234"/>
              <w:jc w:val="both"/>
              <w:rPr>
                <w:rFonts w:ascii="宋体" w:hAnsi="宋体" w:cs="宋体" w:eastAsia="宋体" w:hint="default"/>
                <w:sz w:val="18"/>
                <w:szCs w:val="18"/>
              </w:rPr>
            </w:pPr>
            <w:r>
              <w:rPr>
                <w:rFonts w:ascii="宋体" w:hAnsi="宋体" w:cs="宋体" w:eastAsia="宋体" w:hint="default"/>
                <w:sz w:val="18"/>
                <w:szCs w:val="18"/>
              </w:rPr>
              <w:t>招商 银行 结构 性存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w:t>
            </w:r>
          </w:p>
          <w:p>
            <w:pPr>
              <w:pStyle w:val="TableParagraph"/>
              <w:spacing w:line="240" w:lineRule="auto" w:before="104"/>
              <w:ind w:left="132"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6"/>
              <w:ind w:left="222" w:right="0"/>
              <w:jc w:val="lef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0"/>
              <w:jc w:val="center"/>
              <w:rPr>
                <w:rFonts w:ascii="Times New Roman" w:hAnsi="Times New Roman" w:cs="Times New Roman" w:eastAsia="Times New Roman" w:hint="default"/>
                <w:sz w:val="18"/>
                <w:szCs w:val="18"/>
              </w:rPr>
            </w:pPr>
            <w:r>
              <w:rPr>
                <w:rFonts w:ascii="Times New Roman"/>
                <w:sz w:val="18"/>
              </w:rPr>
              <w:t>2.82</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2.4</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bottom w:val="single" w:sz="4" w:space="0" w:color="000000"/>
              <w:right w:val="single" w:sz="4" w:space="0" w:color="000000"/>
            </w:tcBorders>
          </w:tcPr>
          <w:p>
            <w:pPr/>
          </w:p>
        </w:tc>
      </w:tr>
      <w:tr>
        <w:trPr>
          <w:trHeight w:val="722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103" w:right="234"/>
              <w:jc w:val="both"/>
              <w:rPr>
                <w:rFonts w:ascii="宋体" w:hAnsi="宋体" w:cs="宋体" w:eastAsia="宋体" w:hint="default"/>
                <w:sz w:val="18"/>
                <w:szCs w:val="18"/>
              </w:rPr>
            </w:pPr>
            <w:r>
              <w:rPr>
                <w:rFonts w:ascii="宋体" w:hAnsi="宋体" w:cs="宋体" w:eastAsia="宋体" w:hint="default"/>
                <w:sz w:val="18"/>
                <w:szCs w:val="18"/>
              </w:rPr>
              <w:t>招商 银行 股份 有限 公司 福州 分行 南门 支行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103" w:right="271"/>
              <w:jc w:val="left"/>
              <w:rPr>
                <w:rFonts w:ascii="宋体" w:hAnsi="宋体" w:cs="宋体" w:eastAsia="宋体" w:hint="default"/>
                <w:sz w:val="18"/>
                <w:szCs w:val="18"/>
              </w:rPr>
            </w:pPr>
            <w:r>
              <w:rPr>
                <w:rFonts w:ascii="宋体" w:hAnsi="宋体" w:cs="宋体" w:eastAsia="宋体" w:hint="default"/>
                <w:sz w:val="18"/>
                <w:szCs w:val="18"/>
              </w:rPr>
              <w:t>银 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103" w:right="234"/>
              <w:jc w:val="both"/>
              <w:rPr>
                <w:rFonts w:ascii="宋体" w:hAnsi="宋体" w:cs="宋体" w:eastAsia="宋体" w:hint="default"/>
                <w:sz w:val="18"/>
                <w:szCs w:val="18"/>
              </w:rPr>
            </w:pPr>
            <w:r>
              <w:rPr>
                <w:rFonts w:ascii="宋体" w:hAnsi="宋体" w:cs="宋体" w:eastAsia="宋体" w:hint="default"/>
                <w:sz w:val="18"/>
                <w:szCs w:val="18"/>
              </w:rPr>
              <w:t>招商 银行 结构 性存 款</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106"/>
              <w:ind w:left="132" w:right="0"/>
              <w:jc w:val="left"/>
              <w:rPr>
                <w:rFonts w:ascii="Times New Roman" w:hAnsi="Times New Roman" w:cs="Times New Roman" w:eastAsia="Times New Roman" w:hint="default"/>
                <w:sz w:val="18"/>
                <w:szCs w:val="18"/>
              </w:rPr>
            </w:pPr>
            <w:r>
              <w:rPr>
                <w:rFonts w:ascii="Times New Roman"/>
                <w:sz w:val="18"/>
              </w:rPr>
              <w:t>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募 集 资 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28</w:t>
            </w:r>
          </w:p>
          <w:p>
            <w:pPr>
              <w:pStyle w:val="TableParagraph"/>
              <w:spacing w:line="240" w:lineRule="auto" w:before="6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103"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103" w:right="266"/>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06"/>
              <w:ind w:left="19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107.</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4</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both"/>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4"/>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both"/>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5"/>
              <w:ind w:left="103" w:right="0"/>
              <w:jc w:val="both"/>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both"/>
              <w:rPr>
                <w:rFonts w:ascii="Times New Roman" w:hAnsi="Times New Roman" w:cs="Times New Roman" w:eastAsia="Times New Roman" w:hint="default"/>
                <w:sz w:val="18"/>
                <w:szCs w:val="18"/>
              </w:rPr>
            </w:pPr>
            <w:r>
              <w:rPr>
                <w:rFonts w:ascii="Times New Roman"/>
                <w:sz w:val="18"/>
              </w:rPr>
              <w:t>03</w:t>
            </w:r>
          </w:p>
          <w:p>
            <w:pPr>
              <w:pStyle w:val="TableParagraph"/>
              <w:spacing w:line="316" w:lineRule="auto" w:before="65"/>
              <w:ind w:left="103" w:right="62"/>
              <w:jc w:val="left"/>
              <w:rPr>
                <w:rFonts w:ascii="宋体" w:hAnsi="宋体" w:cs="宋体" w:eastAsia="宋体" w:hint="default"/>
                <w:sz w:val="18"/>
                <w:szCs w:val="18"/>
              </w:rPr>
            </w:pPr>
            <w:r>
              <w:rPr>
                <w:rFonts w:ascii="宋体" w:hAnsi="宋体" w:cs="宋体" w:eastAsia="宋体" w:hint="default"/>
                <w:sz w:val="18"/>
                <w:szCs w:val="18"/>
              </w:rPr>
              <w:t>日， 巨</w:t>
            </w:r>
          </w:p>
          <w:p>
            <w:pPr>
              <w:pStyle w:val="TableParagraph"/>
              <w:spacing w:line="316" w:lineRule="auto" w:before="19"/>
              <w:ind w:left="103" w:right="62"/>
              <w:jc w:val="left"/>
              <w:rPr>
                <w:rFonts w:ascii="宋体" w:hAnsi="宋体" w:cs="宋体" w:eastAsia="宋体" w:hint="default"/>
                <w:sz w:val="18"/>
                <w:szCs w:val="18"/>
              </w:rPr>
            </w:pPr>
            <w:r>
              <w:rPr>
                <w:rFonts w:ascii="宋体" w:hAnsi="宋体" w:cs="宋体" w:eastAsia="宋体" w:hint="default"/>
                <w:sz w:val="18"/>
                <w:szCs w:val="18"/>
              </w:rPr>
              <w:t>潮 网：</w:t>
            </w:r>
          </w:p>
          <w:p>
            <w:pPr>
              <w:pStyle w:val="TableParagraph"/>
              <w:spacing w:line="316" w:lineRule="auto" w:before="19"/>
              <w:ind w:left="103" w:right="242"/>
              <w:jc w:val="both"/>
              <w:rPr>
                <w:rFonts w:ascii="宋体" w:hAnsi="宋体" w:cs="宋体" w:eastAsia="宋体" w:hint="default"/>
                <w:sz w:val="18"/>
                <w:szCs w:val="18"/>
              </w:rPr>
            </w:pPr>
            <w:r>
              <w:rPr>
                <w:rFonts w:ascii="宋体" w:hAnsi="宋体" w:cs="宋体" w:eastAsia="宋体" w:hint="default"/>
                <w:sz w:val="18"/>
                <w:szCs w:val="18"/>
              </w:rPr>
              <w:t>《 使 用 部 分 闲 置 募 集 资 金 进 行 现</w:t>
            </w:r>
          </w:p>
        </w:tc>
      </w:tr>
    </w:tbl>
    <w:p>
      <w:pPr>
        <w:spacing w:after="0" w:line="316" w:lineRule="auto"/>
        <w:jc w:val="both"/>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710"/>
        <w:gridCol w:w="566"/>
        <w:gridCol w:w="492"/>
        <w:gridCol w:w="217"/>
        <w:gridCol w:w="425"/>
        <w:gridCol w:w="562"/>
        <w:gridCol w:w="560"/>
        <w:gridCol w:w="562"/>
        <w:gridCol w:w="560"/>
        <w:gridCol w:w="562"/>
        <w:gridCol w:w="560"/>
        <w:gridCol w:w="562"/>
        <w:gridCol w:w="560"/>
        <w:gridCol w:w="562"/>
        <w:gridCol w:w="548"/>
        <w:gridCol w:w="547"/>
        <w:gridCol w:w="547"/>
        <w:gridCol w:w="538"/>
      </w:tblGrid>
      <w:tr>
        <w:trPr>
          <w:trHeight w:val="3171" w:hRule="exact"/>
        </w:trPr>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gridSpan w:val="2"/>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42"/>
              <w:jc w:val="both"/>
              <w:rPr>
                <w:rFonts w:ascii="宋体" w:hAnsi="宋体" w:cs="宋体" w:eastAsia="宋体" w:hint="default"/>
                <w:sz w:val="18"/>
                <w:szCs w:val="18"/>
              </w:rPr>
            </w:pPr>
            <w:r>
              <w:rPr>
                <w:rFonts w:ascii="宋体" w:hAnsi="宋体" w:cs="宋体" w:eastAsia="宋体" w:hint="default"/>
                <w:sz w:val="18"/>
                <w:szCs w:val="18"/>
              </w:rPr>
              <w:t>金 管 理 的 公</w:t>
            </w:r>
          </w:p>
          <w:p>
            <w:pPr>
              <w:pStyle w:val="TableParagraph"/>
              <w:spacing w:line="240" w:lineRule="auto" w:before="17"/>
              <w:ind w:left="103" w:right="0"/>
              <w:jc w:val="both"/>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103" w:right="152"/>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2 018</w:t>
            </w:r>
          </w:p>
          <w:p>
            <w:pPr>
              <w:pStyle w:val="TableParagraph"/>
              <w:spacing w:line="240" w:lineRule="auto" w:before="23"/>
              <w:ind w:left="103" w:right="0"/>
              <w:jc w:val="both"/>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6"/>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center"/>
              <w:rPr>
                <w:rFonts w:ascii="Times New Roman" w:hAnsi="Times New Roman" w:cs="Times New Roman" w:eastAsia="Times New Roman" w:hint="default"/>
                <w:sz w:val="18"/>
                <w:szCs w:val="18"/>
              </w:rPr>
            </w:pPr>
            <w:r>
              <w:rPr>
                <w:rFonts w:ascii="Times New Roman"/>
                <w:sz w:val="18"/>
              </w:rPr>
              <w:t>95,5</w:t>
            </w:r>
          </w:p>
          <w:p>
            <w:pPr>
              <w:pStyle w:val="TableParagraph"/>
              <w:spacing w:line="240" w:lineRule="auto" w:before="105"/>
              <w:ind w:left="109" w:right="0"/>
              <w:jc w:val="center"/>
              <w:rPr>
                <w:rFonts w:ascii="Times New Roman" w:hAnsi="Times New Roman" w:cs="Times New Roman" w:eastAsia="Times New Roman" w:hint="default"/>
                <w:sz w:val="18"/>
                <w:szCs w:val="18"/>
              </w:rPr>
            </w:pPr>
            <w:r>
              <w:rPr>
                <w:rFonts w:ascii="Times New Roman"/>
                <w:sz w:val="18"/>
              </w:rPr>
              <w:t>00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1,03</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1.36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center"/>
              <w:rPr>
                <w:rFonts w:ascii="Times New Roman" w:hAnsi="Times New Roman" w:cs="Times New Roman" w:eastAsia="Times New Roman" w:hint="default"/>
                <w:sz w:val="18"/>
                <w:szCs w:val="18"/>
              </w:rPr>
            </w:pPr>
            <w:r>
              <w:rPr>
                <w:rFonts w:ascii="Times New Roman"/>
                <w:sz w:val="18"/>
              </w:rPr>
              <w:t>924.</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01</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委托理财出现预期无法收回本金或存在其他可能导致减值的情形</w:t>
      </w:r>
    </w:p>
    <w:p>
      <w:pPr>
        <w:pStyle w:val="BodyText"/>
        <w:spacing w:line="240" w:lineRule="auto" w:before="117"/>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 适用 √ 不适用 公司报告期不存在委托贷款。</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3209"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33" w:right="131"/>
              <w:jc w:val="both"/>
              <w:rPr>
                <w:rFonts w:ascii="宋体" w:hAnsi="宋体" w:cs="宋体" w:eastAsia="宋体" w:hint="default"/>
                <w:sz w:val="18"/>
                <w:szCs w:val="18"/>
              </w:rPr>
            </w:pPr>
            <w:r>
              <w:rPr>
                <w:rFonts w:ascii="宋体" w:hAnsi="宋体" w:cs="宋体" w:eastAsia="宋体" w:hint="default"/>
                <w:sz w:val="18"/>
                <w:szCs w:val="18"/>
              </w:rPr>
              <w:t>合同 订立 公司 方名 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133"/>
              <w:jc w:val="both"/>
              <w:rPr>
                <w:rFonts w:ascii="宋体" w:hAnsi="宋体" w:cs="宋体" w:eastAsia="宋体" w:hint="default"/>
                <w:sz w:val="18"/>
                <w:szCs w:val="18"/>
              </w:rPr>
            </w:pPr>
            <w:r>
              <w:rPr>
                <w:rFonts w:ascii="宋体" w:hAnsi="宋体" w:cs="宋体" w:eastAsia="宋体" w:hint="default"/>
                <w:sz w:val="18"/>
                <w:szCs w:val="18"/>
              </w:rPr>
              <w:t>合同 订立 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3" w:right="133"/>
              <w:jc w:val="left"/>
              <w:rPr>
                <w:rFonts w:ascii="宋体" w:hAnsi="宋体" w:cs="宋体" w:eastAsia="宋体" w:hint="default"/>
                <w:sz w:val="18"/>
                <w:szCs w:val="18"/>
              </w:rPr>
            </w:pPr>
            <w:r>
              <w:rPr>
                <w:rFonts w:ascii="宋体" w:hAnsi="宋体" w:cs="宋体" w:eastAsia="宋体" w:hint="default"/>
                <w:sz w:val="18"/>
                <w:szCs w:val="18"/>
              </w:rPr>
              <w:t>合同 标的</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34" w:right="133"/>
              <w:jc w:val="both"/>
              <w:rPr>
                <w:rFonts w:ascii="宋体" w:hAnsi="宋体" w:cs="宋体" w:eastAsia="宋体" w:hint="default"/>
                <w:sz w:val="18"/>
                <w:szCs w:val="18"/>
              </w:rPr>
            </w:pPr>
            <w:r>
              <w:rPr>
                <w:rFonts w:ascii="宋体" w:hAnsi="宋体" w:cs="宋体" w:eastAsia="宋体" w:hint="default"/>
                <w:sz w:val="18"/>
                <w:szCs w:val="18"/>
              </w:rPr>
              <w:t>合同 签订 日期</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4" w:right="133"/>
              <w:jc w:val="both"/>
              <w:rPr>
                <w:rFonts w:ascii="宋体" w:hAnsi="宋体" w:cs="宋体" w:eastAsia="宋体" w:hint="default"/>
                <w:sz w:val="18"/>
                <w:szCs w:val="18"/>
              </w:rPr>
            </w:pPr>
            <w:r>
              <w:rPr>
                <w:rFonts w:ascii="宋体" w:hAnsi="宋体" w:cs="宋体" w:eastAsia="宋体" w:hint="default"/>
                <w:sz w:val="18"/>
                <w:szCs w:val="18"/>
              </w:rPr>
              <w:t>合同 涉及 资产 的账 面价 值</w:t>
            </w:r>
          </w:p>
          <w:p>
            <w:pPr>
              <w:pStyle w:val="TableParagraph"/>
              <w:spacing w:line="316" w:lineRule="auto" w:before="19"/>
              <w:ind w:left="178" w:right="89" w:hanging="45"/>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9" w:lineRule="auto" w:before="19"/>
              <w:ind w:left="134" w:right="133"/>
              <w:jc w:val="both"/>
              <w:rPr>
                <w:rFonts w:ascii="宋体" w:hAnsi="宋体" w:cs="宋体" w:eastAsia="宋体" w:hint="default"/>
                <w:sz w:val="18"/>
                <w:szCs w:val="18"/>
              </w:rPr>
            </w:pPr>
            <w:r>
              <w:rPr>
                <w:rFonts w:ascii="宋体" w:hAnsi="宋体" w:cs="宋体" w:eastAsia="宋体" w:hint="default"/>
                <w:sz w:val="18"/>
                <w:szCs w:val="18"/>
              </w:rPr>
              <w:t>（如 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4" w:right="132"/>
              <w:jc w:val="both"/>
              <w:rPr>
                <w:rFonts w:ascii="宋体" w:hAnsi="宋体" w:cs="宋体" w:eastAsia="宋体" w:hint="default"/>
                <w:sz w:val="18"/>
                <w:szCs w:val="18"/>
              </w:rPr>
            </w:pPr>
            <w:r>
              <w:rPr>
                <w:rFonts w:ascii="宋体" w:hAnsi="宋体" w:cs="宋体" w:eastAsia="宋体" w:hint="default"/>
                <w:sz w:val="18"/>
                <w:szCs w:val="18"/>
              </w:rPr>
              <w:t>合同 涉及 资产 的评 估价 值</w:t>
            </w:r>
          </w:p>
          <w:p>
            <w:pPr>
              <w:pStyle w:val="TableParagraph"/>
              <w:spacing w:line="316" w:lineRule="auto" w:before="19"/>
              <w:ind w:left="178" w:right="88" w:hanging="45"/>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9"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34" w:right="133"/>
              <w:jc w:val="both"/>
              <w:rPr>
                <w:rFonts w:ascii="宋体" w:hAnsi="宋体" w:cs="宋体" w:eastAsia="宋体" w:hint="default"/>
                <w:sz w:val="18"/>
                <w:szCs w:val="18"/>
              </w:rPr>
            </w:pPr>
            <w:r>
              <w:rPr>
                <w:rFonts w:ascii="宋体" w:hAnsi="宋体" w:cs="宋体" w:eastAsia="宋体" w:hint="default"/>
                <w:sz w:val="18"/>
                <w:szCs w:val="18"/>
              </w:rPr>
              <w:t>评估 机构 名称</w:t>
            </w:r>
          </w:p>
          <w:p>
            <w:pPr>
              <w:pStyle w:val="TableParagraph"/>
              <w:spacing w:line="319" w:lineRule="auto" w:before="19"/>
              <w:ind w:left="134" w:right="133"/>
              <w:jc w:val="both"/>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34" w:right="132"/>
              <w:jc w:val="both"/>
              <w:rPr>
                <w:rFonts w:ascii="宋体" w:hAnsi="宋体" w:cs="宋体" w:eastAsia="宋体" w:hint="default"/>
                <w:sz w:val="18"/>
                <w:szCs w:val="18"/>
              </w:rPr>
            </w:pPr>
            <w:r>
              <w:rPr>
                <w:rFonts w:ascii="宋体" w:hAnsi="宋体" w:cs="宋体" w:eastAsia="宋体" w:hint="default"/>
                <w:sz w:val="18"/>
                <w:szCs w:val="18"/>
              </w:rPr>
              <w:t>评估 基准 日</w:t>
            </w:r>
          </w:p>
          <w:p>
            <w:pPr>
              <w:pStyle w:val="TableParagraph"/>
              <w:spacing w:line="319" w:lineRule="auto" w:before="19"/>
              <w:ind w:left="134" w:right="132"/>
              <w:jc w:val="both"/>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3" w:right="132"/>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34" w:right="132"/>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134" w:right="132"/>
              <w:jc w:val="left"/>
              <w:rPr>
                <w:rFonts w:ascii="宋体" w:hAnsi="宋体" w:cs="宋体" w:eastAsia="宋体" w:hint="default"/>
                <w:sz w:val="18"/>
                <w:szCs w:val="18"/>
              </w:rPr>
            </w:pPr>
            <w:r>
              <w:rPr>
                <w:rFonts w:ascii="宋体" w:hAnsi="宋体" w:cs="宋体" w:eastAsia="宋体" w:hint="default"/>
                <w:sz w:val="18"/>
                <w:szCs w:val="18"/>
              </w:rPr>
              <w:t>（万 元）</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3" w:right="132"/>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4" w:right="132"/>
              <w:jc w:val="both"/>
              <w:rPr>
                <w:rFonts w:ascii="宋体" w:hAnsi="宋体" w:cs="宋体" w:eastAsia="宋体" w:hint="default"/>
                <w:sz w:val="18"/>
                <w:szCs w:val="18"/>
              </w:rPr>
            </w:pPr>
            <w:r>
              <w:rPr>
                <w:rFonts w:ascii="宋体" w:hAnsi="宋体" w:cs="宋体" w:eastAsia="宋体" w:hint="default"/>
                <w:sz w:val="18"/>
                <w:szCs w:val="18"/>
              </w:rPr>
              <w:t>截至 报告 期末 的执 行情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4" w:right="13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32" w:right="132"/>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321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103" w:right="161"/>
              <w:jc w:val="both"/>
              <w:rPr>
                <w:rFonts w:ascii="宋体" w:hAnsi="宋体" w:cs="宋体" w:eastAsia="宋体" w:hint="default"/>
                <w:sz w:val="18"/>
                <w:szCs w:val="18"/>
              </w:rPr>
            </w:pPr>
            <w:r>
              <w:rPr>
                <w:rFonts w:ascii="宋体" w:hAnsi="宋体" w:cs="宋体" w:eastAsia="宋体" w:hint="default"/>
                <w:sz w:val="18"/>
                <w:szCs w:val="18"/>
              </w:rPr>
              <w:t>平顺 长城 光伏 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64"/>
              <w:jc w:val="both"/>
              <w:rPr>
                <w:rFonts w:ascii="宋体" w:hAnsi="宋体" w:cs="宋体" w:eastAsia="宋体" w:hint="default"/>
                <w:sz w:val="18"/>
                <w:szCs w:val="18"/>
              </w:rPr>
            </w:pPr>
            <w:r>
              <w:rPr>
                <w:rFonts w:ascii="宋体" w:hAnsi="宋体" w:cs="宋体" w:eastAsia="宋体" w:hint="default"/>
                <w:sz w:val="18"/>
                <w:szCs w:val="18"/>
              </w:rPr>
              <w:t>越南 平顺 省涵 剑社</w:t>
            </w:r>
          </w:p>
          <w:p>
            <w:pPr>
              <w:pStyle w:val="TableParagraph"/>
              <w:spacing w:line="362" w:lineRule="auto" w:before="58"/>
              <w:ind w:left="103" w:right="184"/>
              <w:jc w:val="both"/>
              <w:rPr>
                <w:rFonts w:ascii="Times New Roman" w:hAnsi="Times New Roman" w:cs="Times New Roman" w:eastAsia="Times New Roman" w:hint="default"/>
                <w:sz w:val="18"/>
                <w:szCs w:val="18"/>
              </w:rPr>
            </w:pPr>
            <w:r>
              <w:rPr>
                <w:rFonts w:ascii="Times New Roman"/>
                <w:sz w:val="18"/>
              </w:rPr>
              <w:t>49M</w:t>
            </w:r>
            <w:r>
              <w:rPr>
                <w:rFonts w:ascii="Times New Roman"/>
                <w:w w:val="99"/>
                <w:sz w:val="18"/>
              </w:rPr>
              <w:t> </w:t>
            </w:r>
            <w:r>
              <w:rPr>
                <w:rFonts w:ascii="Times New Roman"/>
                <w:sz w:val="18"/>
              </w:rPr>
              <w:t>W</w:t>
            </w:r>
          </w:p>
          <w:p>
            <w:pPr>
              <w:pStyle w:val="TableParagraph"/>
              <w:spacing w:line="200" w:lineRule="exact"/>
              <w:ind w:left="103" w:right="0"/>
              <w:jc w:val="both"/>
              <w:rPr>
                <w:rFonts w:ascii="宋体" w:hAnsi="宋体" w:cs="宋体" w:eastAsia="宋体" w:hint="default"/>
                <w:sz w:val="18"/>
                <w:szCs w:val="18"/>
              </w:rPr>
            </w:pPr>
            <w:r>
              <w:rPr>
                <w:rFonts w:ascii="宋体" w:hAnsi="宋体" w:cs="宋体" w:eastAsia="宋体" w:hint="default"/>
                <w:sz w:val="18"/>
                <w:szCs w:val="18"/>
              </w:rPr>
              <w:t>地面</w:t>
            </w:r>
          </w:p>
          <w:p>
            <w:pPr>
              <w:pStyle w:val="TableParagraph"/>
              <w:spacing w:line="338" w:lineRule="auto" w:before="76"/>
              <w:ind w:left="103" w:right="164"/>
              <w:jc w:val="both"/>
              <w:rPr>
                <w:rFonts w:ascii="Times New Roman" w:hAnsi="Times New Roman" w:cs="Times New Roman" w:eastAsia="Times New Roman" w:hint="default"/>
                <w:sz w:val="18"/>
                <w:szCs w:val="18"/>
              </w:rPr>
            </w:pPr>
            <w:r>
              <w:rPr>
                <w:rFonts w:ascii="宋体" w:hAnsi="宋体" w:cs="宋体" w:eastAsia="宋体" w:hint="default"/>
                <w:sz w:val="18"/>
                <w:szCs w:val="18"/>
              </w:rPr>
              <w:t>光伏 项目 </w:t>
            </w:r>
            <w:r>
              <w:rPr>
                <w:rFonts w:ascii="Times New Roman" w:hAnsi="Times New Roman" w:cs="Times New Roman" w:eastAsia="Times New Roman" w:hint="default"/>
                <w:sz w:val="18"/>
                <w:szCs w:val="18"/>
              </w:rPr>
              <w:t>EPC</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1" w:right="164"/>
              <w:jc w:val="left"/>
              <w:rPr>
                <w:rFonts w:ascii="宋体" w:hAnsi="宋体" w:cs="宋体" w:eastAsia="宋体" w:hint="default"/>
                <w:sz w:val="18"/>
                <w:szCs w:val="18"/>
              </w:rPr>
            </w:pPr>
            <w:r>
              <w:rPr>
                <w:rFonts w:ascii="宋体" w:hAnsi="宋体" w:cs="宋体" w:eastAsia="宋体" w:hint="default"/>
                <w:sz w:val="18"/>
                <w:szCs w:val="18"/>
              </w:rPr>
              <w:t>负责 本光 伏电 站项 目的 设 计、 设备 采 购、</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01" w:right="163"/>
              <w:jc w:val="left"/>
              <w:rPr>
                <w:rFonts w:ascii="宋体" w:hAnsi="宋体" w:cs="宋体" w:eastAsia="宋体" w:hint="default"/>
                <w:sz w:val="18"/>
                <w:szCs w:val="18"/>
              </w:rPr>
            </w:pPr>
            <w:r>
              <w:rPr>
                <w:rFonts w:ascii="宋体" w:hAnsi="宋体" w:cs="宋体" w:eastAsia="宋体" w:hint="default"/>
                <w:sz w:val="18"/>
                <w:szCs w:val="18"/>
              </w:rPr>
              <w:t>直接 委托</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9" w:right="0"/>
              <w:jc w:val="both"/>
              <w:rPr>
                <w:rFonts w:ascii="Times New Roman" w:hAnsi="Times New Roman" w:cs="Times New Roman" w:eastAsia="Times New Roman" w:hint="default"/>
                <w:sz w:val="18"/>
                <w:szCs w:val="18"/>
              </w:rPr>
            </w:pPr>
            <w:r>
              <w:rPr>
                <w:rFonts w:ascii="Times New Roman"/>
                <w:sz w:val="18"/>
              </w:rPr>
              <w:t>4,704</w:t>
            </w:r>
          </w:p>
          <w:p>
            <w:pPr>
              <w:pStyle w:val="TableParagraph"/>
              <w:spacing w:line="316" w:lineRule="auto" w:before="65"/>
              <w:ind w:left="345" w:right="101" w:hanging="180"/>
              <w:jc w:val="left"/>
              <w:rPr>
                <w:rFonts w:ascii="宋体" w:hAnsi="宋体" w:cs="宋体" w:eastAsia="宋体" w:hint="default"/>
                <w:sz w:val="18"/>
                <w:szCs w:val="18"/>
              </w:rPr>
            </w:pPr>
            <w:r>
              <w:rPr>
                <w:rFonts w:ascii="宋体" w:hAnsi="宋体" w:cs="宋体" w:eastAsia="宋体" w:hint="default"/>
                <w:sz w:val="18"/>
                <w:szCs w:val="18"/>
              </w:rPr>
              <w:t>万美 元</w:t>
            </w:r>
          </w:p>
          <w:p>
            <w:pPr>
              <w:pStyle w:val="TableParagraph"/>
              <w:spacing w:line="316" w:lineRule="auto" w:before="19"/>
              <w:ind w:left="165" w:right="101"/>
              <w:jc w:val="both"/>
              <w:rPr>
                <w:rFonts w:ascii="宋体" w:hAnsi="宋体" w:cs="宋体" w:eastAsia="宋体" w:hint="default"/>
                <w:sz w:val="18"/>
                <w:szCs w:val="18"/>
              </w:rPr>
            </w:pPr>
            <w:r>
              <w:rPr>
                <w:rFonts w:ascii="宋体" w:hAnsi="宋体" w:cs="宋体" w:eastAsia="宋体" w:hint="default"/>
                <w:sz w:val="18"/>
                <w:szCs w:val="18"/>
              </w:rPr>
              <w:t>（按 合同 签订 当日 汇率 计算 约合</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115"/>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103" w:right="1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该合 同确 认收 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2" w:right="162"/>
              <w:jc w:val="both"/>
              <w:rPr>
                <w:rFonts w:ascii="宋体" w:hAnsi="宋体" w:cs="宋体" w:eastAsia="宋体" w:hint="default"/>
                <w:sz w:val="18"/>
                <w:szCs w:val="18"/>
              </w:rPr>
            </w:pPr>
            <w:r>
              <w:rPr>
                <w:rFonts w:ascii="宋体" w:hAnsi="宋体" w:cs="宋体" w:eastAsia="宋体" w:hint="default"/>
                <w:sz w:val="18"/>
                <w:szCs w:val="18"/>
              </w:rPr>
              <w:t>巨潮 网：</w:t>
            </w:r>
          </w:p>
          <w:p>
            <w:pPr>
              <w:pStyle w:val="TableParagraph"/>
              <w:spacing w:line="316" w:lineRule="auto" w:before="19"/>
              <w:ind w:left="102" w:right="162"/>
              <w:jc w:val="both"/>
              <w:rPr>
                <w:rFonts w:ascii="宋体" w:hAnsi="宋体" w:cs="宋体" w:eastAsia="宋体" w:hint="default"/>
                <w:sz w:val="18"/>
                <w:szCs w:val="18"/>
              </w:rPr>
            </w:pPr>
            <w:r>
              <w:rPr>
                <w:rFonts w:ascii="宋体" w:hAnsi="宋体" w:cs="宋体" w:eastAsia="宋体" w:hint="default"/>
                <w:sz w:val="18"/>
                <w:szCs w:val="18"/>
              </w:rPr>
              <w:t>《关 于签 订日 常经 营重 大合 同的 公</w:t>
            </w:r>
          </w:p>
        </w:tc>
      </w:tr>
    </w:tbl>
    <w:p>
      <w:pPr>
        <w:spacing w:after="0" w:line="316" w:lineRule="auto"/>
        <w:jc w:val="both"/>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8163"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4"/>
              <w:jc w:val="both"/>
              <w:rPr>
                <w:rFonts w:ascii="宋体" w:hAnsi="宋体" w:cs="宋体" w:eastAsia="宋体" w:hint="default"/>
                <w:sz w:val="18"/>
                <w:szCs w:val="18"/>
              </w:rPr>
            </w:pPr>
            <w:r>
              <w:rPr>
                <w:rFonts w:ascii="宋体" w:hAnsi="宋体" w:cs="宋体" w:eastAsia="宋体" w:hint="default"/>
                <w:sz w:val="18"/>
                <w:szCs w:val="18"/>
              </w:rPr>
              <w:t>总承 包合 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64"/>
              <w:jc w:val="left"/>
              <w:rPr>
                <w:rFonts w:ascii="宋体" w:hAnsi="宋体" w:cs="宋体" w:eastAsia="宋体" w:hint="default"/>
                <w:sz w:val="18"/>
                <w:szCs w:val="18"/>
              </w:rPr>
            </w:pPr>
            <w:r>
              <w:rPr>
                <w:rFonts w:ascii="宋体" w:hAnsi="宋体" w:cs="宋体" w:eastAsia="宋体" w:hint="default"/>
                <w:sz w:val="18"/>
                <w:szCs w:val="18"/>
              </w:rPr>
              <w:t>土建 和建 筑安 装、 调试 工 作， 以及 送出 线路 工程 的设 计、 采购 及施 工， 包括 项目 土地 征 用、 租 用、 青赔 等工 作。</w:t>
            </w:r>
          </w:p>
        </w:tc>
        <w:tc>
          <w:tcPr>
            <w:tcW w:w="64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0"/>
              <w:ind w:left="121" w:right="100" w:firstLine="44"/>
              <w:jc w:val="right"/>
              <w:rPr>
                <w:rFonts w:ascii="Times New Roman" w:hAnsi="Times New Roman" w:cs="Times New Roman" w:eastAsia="Times New Roman" w:hint="default"/>
                <w:sz w:val="18"/>
                <w:szCs w:val="18"/>
              </w:rPr>
            </w:pPr>
            <w:r>
              <w:rPr>
                <w:rFonts w:ascii="宋体" w:hAnsi="宋体" w:cs="宋体" w:eastAsia="宋体" w:hint="default"/>
                <w:sz w:val="18"/>
                <w:szCs w:val="18"/>
              </w:rPr>
              <w:t>人民 币 </w:t>
            </w:r>
            <w:r>
              <w:rPr>
                <w:rFonts w:ascii="Times New Roman" w:hAnsi="Times New Roman" w:cs="Times New Roman" w:eastAsia="Times New Roman" w:hint="default"/>
                <w:sz w:val="18"/>
                <w:szCs w:val="18"/>
              </w:rPr>
              <w:t>32,29</w:t>
            </w:r>
          </w:p>
          <w:p>
            <w:pPr>
              <w:pStyle w:val="TableParagraph"/>
              <w:spacing w:line="240" w:lineRule="auto" w:before="23"/>
              <w:ind w:left="211" w:right="0"/>
              <w:jc w:val="both"/>
              <w:rPr>
                <w:rFonts w:ascii="Times New Roman" w:hAnsi="Times New Roman" w:cs="Times New Roman" w:eastAsia="Times New Roman" w:hint="default"/>
                <w:sz w:val="18"/>
                <w:szCs w:val="18"/>
              </w:rPr>
            </w:pPr>
            <w:r>
              <w:rPr>
                <w:rFonts w:ascii="Times New Roman"/>
                <w:sz w:val="18"/>
              </w:rPr>
              <w:t>6.72</w:t>
            </w:r>
          </w:p>
          <w:p>
            <w:pPr>
              <w:pStyle w:val="TableParagraph"/>
              <w:spacing w:line="319" w:lineRule="auto" w:before="65"/>
              <w:ind w:left="165" w:right="101"/>
              <w:jc w:val="both"/>
              <w:rPr>
                <w:rFonts w:ascii="宋体" w:hAnsi="宋体" w:cs="宋体" w:eastAsia="宋体" w:hint="default"/>
                <w:sz w:val="18"/>
                <w:szCs w:val="18"/>
              </w:rPr>
            </w:pPr>
            <w:r>
              <w:rPr>
                <w:rFonts w:ascii="宋体" w:hAnsi="宋体" w:cs="宋体" w:eastAsia="宋体" w:hint="default"/>
                <w:sz w:val="18"/>
                <w:szCs w:val="18"/>
              </w:rPr>
              <w:t>万， 以最 终结 算金 额为 准）</w:t>
            </w: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告》</w:t>
            </w:r>
          </w:p>
          <w:p>
            <w:pPr>
              <w:pStyle w:val="TableParagraph"/>
              <w:spacing w:line="338" w:lineRule="auto" w:before="76"/>
              <w:ind w:left="102"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 19-00</w:t>
            </w:r>
          </w:p>
          <w:p>
            <w:pPr>
              <w:pStyle w:val="TableParagraph"/>
              <w:spacing w:line="234"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508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3" w:right="161"/>
              <w:jc w:val="both"/>
              <w:rPr>
                <w:rFonts w:ascii="宋体" w:hAnsi="宋体" w:cs="宋体" w:eastAsia="宋体" w:hint="default"/>
                <w:sz w:val="18"/>
                <w:szCs w:val="18"/>
              </w:rPr>
            </w:pPr>
            <w:r>
              <w:rPr>
                <w:rFonts w:ascii="宋体" w:hAnsi="宋体" w:cs="宋体" w:eastAsia="宋体" w:hint="default"/>
                <w:sz w:val="18"/>
                <w:szCs w:val="18"/>
              </w:rPr>
              <w:t>福州 海峡 发电 有限 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54"/>
              <w:jc w:val="both"/>
              <w:rPr>
                <w:rFonts w:ascii="宋体" w:hAnsi="宋体" w:cs="宋体" w:eastAsia="宋体" w:hint="default"/>
                <w:sz w:val="18"/>
                <w:szCs w:val="18"/>
              </w:rPr>
            </w:pPr>
            <w:r>
              <w:rPr>
                <w:rFonts w:ascii="宋体" w:hAnsi="宋体" w:cs="宋体" w:eastAsia="宋体" w:hint="default"/>
                <w:sz w:val="18"/>
                <w:szCs w:val="18"/>
              </w:rPr>
              <w:t>福建 长乐 外海</w:t>
            </w:r>
          </w:p>
          <w:p>
            <w:pPr>
              <w:pStyle w:val="TableParagraph"/>
              <w:spacing w:line="240" w:lineRule="auto" w:before="58"/>
              <w:ind w:left="103" w:right="0"/>
              <w:jc w:val="both"/>
              <w:rPr>
                <w:rFonts w:ascii="Times New Roman" w:hAnsi="Times New Roman" w:cs="Times New Roman" w:eastAsia="Times New Roman" w:hint="default"/>
                <w:sz w:val="18"/>
                <w:szCs w:val="18"/>
              </w:rPr>
            </w:pPr>
            <w:r>
              <w:rPr>
                <w:rFonts w:ascii="Times New Roman"/>
                <w:sz w:val="18"/>
              </w:rPr>
              <w:t>ABC</w:t>
            </w:r>
          </w:p>
          <w:p>
            <w:pPr>
              <w:pStyle w:val="TableParagraph"/>
              <w:spacing w:line="319" w:lineRule="auto" w:before="65"/>
              <w:ind w:left="103" w:right="164"/>
              <w:jc w:val="both"/>
              <w:rPr>
                <w:rFonts w:ascii="宋体" w:hAnsi="宋体" w:cs="宋体" w:eastAsia="宋体" w:hint="default"/>
                <w:sz w:val="18"/>
                <w:szCs w:val="18"/>
              </w:rPr>
            </w:pPr>
            <w:r>
              <w:rPr>
                <w:rFonts w:ascii="宋体" w:hAnsi="宋体" w:cs="宋体" w:eastAsia="宋体" w:hint="default"/>
                <w:sz w:val="18"/>
                <w:szCs w:val="18"/>
              </w:rPr>
              <w:t>区海 上风 电场 预可 研、 可研 及施 工图 勘测 设计 服务 合同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1" w:right="154"/>
              <w:jc w:val="both"/>
              <w:rPr>
                <w:rFonts w:ascii="宋体" w:hAnsi="宋体" w:cs="宋体" w:eastAsia="宋体" w:hint="default"/>
                <w:sz w:val="18"/>
                <w:szCs w:val="18"/>
              </w:rPr>
            </w:pPr>
            <w:r>
              <w:rPr>
                <w:rFonts w:ascii="宋体" w:hAnsi="宋体" w:cs="宋体" w:eastAsia="宋体" w:hint="default"/>
                <w:sz w:val="18"/>
                <w:szCs w:val="18"/>
              </w:rPr>
              <w:t>福建 长乐 外海</w:t>
            </w:r>
          </w:p>
          <w:p>
            <w:pPr>
              <w:pStyle w:val="TableParagraph"/>
              <w:spacing w:line="240" w:lineRule="auto" w:before="58"/>
              <w:ind w:left="101" w:right="0"/>
              <w:jc w:val="both"/>
              <w:rPr>
                <w:rFonts w:ascii="Times New Roman" w:hAnsi="Times New Roman" w:cs="Times New Roman" w:eastAsia="Times New Roman" w:hint="default"/>
                <w:sz w:val="18"/>
                <w:szCs w:val="18"/>
              </w:rPr>
            </w:pPr>
            <w:r>
              <w:rPr>
                <w:rFonts w:ascii="Times New Roman"/>
                <w:sz w:val="18"/>
              </w:rPr>
              <w:t>ABC</w:t>
            </w:r>
          </w:p>
          <w:p>
            <w:pPr>
              <w:pStyle w:val="TableParagraph"/>
              <w:spacing w:line="319" w:lineRule="auto" w:before="65"/>
              <w:ind w:left="101" w:right="164"/>
              <w:jc w:val="both"/>
              <w:rPr>
                <w:rFonts w:ascii="宋体" w:hAnsi="宋体" w:cs="宋体" w:eastAsia="宋体" w:hint="default"/>
                <w:sz w:val="18"/>
                <w:szCs w:val="18"/>
              </w:rPr>
            </w:pPr>
            <w:r>
              <w:rPr>
                <w:rFonts w:ascii="宋体" w:hAnsi="宋体" w:cs="宋体" w:eastAsia="宋体" w:hint="default"/>
                <w:sz w:val="18"/>
                <w:szCs w:val="18"/>
              </w:rPr>
              <w:t>区海 上风 电场 预可 研、 可研 及施 工图 勘察 设计 项目</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2"/>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1" w:right="163"/>
              <w:jc w:val="left"/>
              <w:rPr>
                <w:rFonts w:ascii="宋体" w:hAnsi="宋体" w:cs="宋体" w:eastAsia="宋体" w:hint="default"/>
                <w:sz w:val="18"/>
                <w:szCs w:val="18"/>
              </w:rPr>
            </w:pPr>
            <w:r>
              <w:rPr>
                <w:rFonts w:ascii="宋体" w:hAnsi="宋体" w:cs="宋体" w:eastAsia="宋体" w:hint="default"/>
                <w:sz w:val="18"/>
                <w:szCs w:val="18"/>
              </w:rPr>
              <w:t>招投 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23,99</w:t>
            </w:r>
          </w:p>
          <w:p>
            <w:pPr>
              <w:pStyle w:val="TableParagraph"/>
              <w:spacing w:line="240" w:lineRule="auto" w:before="105"/>
              <w:ind w:left="211" w:right="0"/>
              <w:jc w:val="left"/>
              <w:rPr>
                <w:rFonts w:ascii="Times New Roman" w:hAnsi="Times New Roman" w:cs="Times New Roman" w:eastAsia="Times New Roman" w:hint="default"/>
                <w:sz w:val="18"/>
                <w:szCs w:val="18"/>
              </w:rPr>
            </w:pPr>
            <w:r>
              <w:rPr>
                <w:rFonts w:ascii="Times New Roman"/>
                <w:sz w:val="18"/>
              </w:rPr>
              <w:t>7.95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both"/>
              <w:rPr>
                <w:rFonts w:ascii="宋体" w:hAnsi="宋体" w:cs="宋体" w:eastAsia="宋体" w:hint="default"/>
                <w:sz w:val="18"/>
                <w:szCs w:val="18"/>
              </w:rPr>
            </w:pPr>
            <w:r>
              <w:rPr>
                <w:rFonts w:ascii="宋体" w:hAnsi="宋体" w:cs="宋体" w:eastAsia="宋体" w:hint="default"/>
                <w:sz w:val="18"/>
                <w:szCs w:val="18"/>
              </w:rPr>
              <w:t>截至</w:t>
            </w:r>
          </w:p>
          <w:p>
            <w:pPr>
              <w:pStyle w:val="TableParagraph"/>
              <w:spacing w:line="240" w:lineRule="auto" w:before="115"/>
              <w:ind w:left="103"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103" w:right="118"/>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该合 同确 认收 入</w:t>
            </w:r>
          </w:p>
          <w:p>
            <w:pPr>
              <w:pStyle w:val="TableParagraph"/>
              <w:spacing w:line="240" w:lineRule="auto" w:before="60"/>
              <w:ind w:left="103" w:right="0"/>
              <w:jc w:val="both"/>
              <w:rPr>
                <w:rFonts w:ascii="Times New Roman" w:hAnsi="Times New Roman" w:cs="Times New Roman" w:eastAsia="Times New Roman" w:hint="default"/>
                <w:sz w:val="18"/>
                <w:szCs w:val="18"/>
              </w:rPr>
            </w:pPr>
            <w:r>
              <w:rPr>
                <w:rFonts w:ascii="Times New Roman"/>
                <w:sz w:val="18"/>
              </w:rPr>
              <w:t>840.1</w:t>
            </w:r>
          </w:p>
          <w:p>
            <w:pPr>
              <w:pStyle w:val="TableParagraph"/>
              <w:spacing w:line="300" w:lineRule="auto" w:before="65"/>
              <w:ind w:left="103" w:right="209"/>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p>
            <w:pPr>
              <w:pStyle w:val="TableParagraph"/>
              <w:spacing w:line="319" w:lineRule="auto" w:before="31"/>
              <w:ind w:left="103" w:right="163"/>
              <w:jc w:val="both"/>
              <w:rPr>
                <w:rFonts w:ascii="宋体" w:hAnsi="宋体" w:cs="宋体" w:eastAsia="宋体" w:hint="default"/>
                <w:sz w:val="18"/>
                <w:szCs w:val="18"/>
              </w:rPr>
            </w:pPr>
            <w:r>
              <w:rPr>
                <w:rFonts w:ascii="宋体" w:hAnsi="宋体" w:cs="宋体" w:eastAsia="宋体" w:hint="default"/>
                <w:sz w:val="18"/>
                <w:szCs w:val="18"/>
              </w:rPr>
              <w:t>（含 税）</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02" w:right="162"/>
              <w:jc w:val="left"/>
              <w:rPr>
                <w:rFonts w:ascii="宋体" w:hAnsi="宋体" w:cs="宋体" w:eastAsia="宋体" w:hint="default"/>
                <w:sz w:val="18"/>
                <w:szCs w:val="18"/>
              </w:rPr>
            </w:pPr>
            <w:r>
              <w:rPr>
                <w:rFonts w:ascii="宋体" w:hAnsi="宋体" w:cs="宋体" w:eastAsia="宋体" w:hint="default"/>
                <w:sz w:val="18"/>
                <w:szCs w:val="18"/>
              </w:rPr>
              <w:t>巨潮 网：</w:t>
            </w:r>
          </w:p>
          <w:p>
            <w:pPr>
              <w:pStyle w:val="TableParagraph"/>
              <w:spacing w:line="316" w:lineRule="auto" w:before="19"/>
              <w:ind w:left="102" w:right="162"/>
              <w:jc w:val="left"/>
              <w:rPr>
                <w:rFonts w:ascii="宋体" w:hAnsi="宋体" w:cs="宋体" w:eastAsia="宋体" w:hint="default"/>
                <w:sz w:val="18"/>
                <w:szCs w:val="18"/>
              </w:rPr>
            </w:pPr>
            <w:r>
              <w:rPr>
                <w:rFonts w:ascii="宋体" w:hAnsi="宋体" w:cs="宋体" w:eastAsia="宋体" w:hint="default"/>
                <w:sz w:val="18"/>
                <w:szCs w:val="18"/>
              </w:rPr>
              <w:t>《关 于签 订重 大合 同的 公 告》</w:t>
            </w:r>
          </w:p>
          <w:p>
            <w:pPr>
              <w:pStyle w:val="TableParagraph"/>
              <w:spacing w:line="338" w:lineRule="auto" w:before="19"/>
              <w:ind w:left="102" w:right="102"/>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 18-03</w:t>
            </w:r>
          </w:p>
          <w:p>
            <w:pPr>
              <w:pStyle w:val="TableParagraph"/>
              <w:spacing w:line="234"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402"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中核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本工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2017</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招投</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21" w:right="0"/>
              <w:jc w:val="left"/>
              <w:rPr>
                <w:rFonts w:ascii="Times New Roman" w:hAnsi="Times New Roman" w:cs="Times New Roman" w:eastAsia="Times New Roman" w:hint="default"/>
                <w:sz w:val="18"/>
                <w:szCs w:val="18"/>
              </w:rPr>
            </w:pPr>
            <w:r>
              <w:rPr>
                <w:rFonts w:ascii="Times New Roman"/>
                <w:sz w:val="18"/>
              </w:rPr>
              <w:t>26,84</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截至</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2017</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2" w:right="0"/>
              <w:jc w:val="left"/>
              <w:rPr>
                <w:rFonts w:ascii="宋体" w:hAnsi="宋体" w:cs="宋体" w:eastAsia="宋体" w:hint="default"/>
                <w:sz w:val="18"/>
                <w:szCs w:val="18"/>
              </w:rPr>
            </w:pPr>
            <w:r>
              <w:rPr>
                <w:rFonts w:ascii="宋体" w:hAnsi="宋体" w:cs="宋体" w:eastAsia="宋体" w:hint="default"/>
                <w:sz w:val="18"/>
                <w:szCs w:val="18"/>
              </w:rPr>
              <w:t>巨潮</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9"/>
        <w:gridCol w:w="640"/>
        <w:gridCol w:w="638"/>
        <w:gridCol w:w="637"/>
        <w:gridCol w:w="638"/>
        <w:gridCol w:w="639"/>
        <w:gridCol w:w="637"/>
        <w:gridCol w:w="638"/>
        <w:gridCol w:w="638"/>
        <w:gridCol w:w="636"/>
      </w:tblGrid>
      <w:tr>
        <w:trPr>
          <w:trHeight w:val="8163"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1"/>
              <w:jc w:val="both"/>
              <w:rPr>
                <w:rFonts w:ascii="宋体" w:hAnsi="宋体" w:cs="宋体" w:eastAsia="宋体" w:hint="default"/>
                <w:sz w:val="18"/>
                <w:szCs w:val="18"/>
              </w:rPr>
            </w:pPr>
            <w:r>
              <w:rPr>
                <w:rFonts w:ascii="宋体" w:hAnsi="宋体" w:cs="宋体" w:eastAsia="宋体" w:hint="default"/>
                <w:sz w:val="18"/>
                <w:szCs w:val="18"/>
              </w:rPr>
              <w:t>中核 高嵛 山风 电有 限公 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64"/>
              <w:jc w:val="both"/>
              <w:rPr>
                <w:rFonts w:ascii="宋体" w:hAnsi="宋体" w:cs="宋体" w:eastAsia="宋体" w:hint="default"/>
                <w:sz w:val="18"/>
                <w:szCs w:val="18"/>
              </w:rPr>
            </w:pPr>
            <w:r>
              <w:rPr>
                <w:rFonts w:ascii="宋体" w:hAnsi="宋体" w:cs="宋体" w:eastAsia="宋体" w:hint="default"/>
                <w:sz w:val="18"/>
                <w:szCs w:val="18"/>
              </w:rPr>
              <w:t>汇能 福建 南安 高嵛 山</w:t>
            </w:r>
          </w:p>
          <w:p>
            <w:pPr>
              <w:pStyle w:val="TableParagraph"/>
              <w:spacing w:line="240" w:lineRule="auto" w:before="57"/>
              <w:ind w:left="103" w:right="0"/>
              <w:jc w:val="both"/>
              <w:rPr>
                <w:rFonts w:ascii="Times New Roman" w:hAnsi="Times New Roman" w:cs="Times New Roman" w:eastAsia="Times New Roman" w:hint="default"/>
                <w:sz w:val="18"/>
                <w:szCs w:val="18"/>
              </w:rPr>
            </w:pPr>
            <w:r>
              <w:rPr>
                <w:rFonts w:ascii="Times New Roman"/>
                <w:sz w:val="18"/>
              </w:rPr>
              <w:t>70M</w:t>
            </w:r>
          </w:p>
          <w:p>
            <w:pPr>
              <w:pStyle w:val="TableParagraph"/>
              <w:spacing w:line="309" w:lineRule="auto" w:before="65"/>
              <w:ind w:left="103" w:right="131"/>
              <w:jc w:val="both"/>
              <w:rPr>
                <w:rFonts w:ascii="宋体" w:hAnsi="宋体" w:cs="宋体" w:eastAsia="宋体" w:hint="default"/>
                <w:sz w:val="18"/>
                <w:szCs w:val="18"/>
              </w:rPr>
            </w:pP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风 电工 程</w:t>
            </w:r>
          </w:p>
          <w:p>
            <w:pPr>
              <w:pStyle w:val="TableParagraph"/>
              <w:spacing w:line="240" w:lineRule="auto" w:before="64"/>
              <w:ind w:left="103" w:right="0"/>
              <w:jc w:val="both"/>
              <w:rPr>
                <w:rFonts w:ascii="Times New Roman" w:hAnsi="Times New Roman" w:cs="Times New Roman" w:eastAsia="Times New Roman" w:hint="default"/>
                <w:sz w:val="18"/>
                <w:szCs w:val="18"/>
              </w:rPr>
            </w:pPr>
            <w:r>
              <w:rPr>
                <w:rFonts w:ascii="Times New Roman"/>
                <w:sz w:val="18"/>
              </w:rPr>
              <w:t>EPC</w:t>
            </w:r>
          </w:p>
          <w:p>
            <w:pPr>
              <w:pStyle w:val="TableParagraph"/>
              <w:spacing w:line="319" w:lineRule="auto" w:before="65"/>
              <w:ind w:left="103" w:right="164"/>
              <w:jc w:val="both"/>
              <w:rPr>
                <w:rFonts w:ascii="宋体" w:hAnsi="宋体" w:cs="宋体" w:eastAsia="宋体" w:hint="default"/>
                <w:sz w:val="18"/>
                <w:szCs w:val="18"/>
              </w:rPr>
            </w:pPr>
            <w:r>
              <w:rPr>
                <w:rFonts w:ascii="宋体" w:hAnsi="宋体" w:cs="宋体" w:eastAsia="宋体" w:hint="default"/>
                <w:sz w:val="18"/>
                <w:szCs w:val="18"/>
              </w:rPr>
              <w:t>总承 包合 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164"/>
              <w:jc w:val="left"/>
              <w:rPr>
                <w:rFonts w:ascii="宋体" w:hAnsi="宋体" w:cs="宋体" w:eastAsia="宋体" w:hint="default"/>
                <w:sz w:val="18"/>
                <w:szCs w:val="18"/>
              </w:rPr>
            </w:pPr>
            <w:r>
              <w:rPr>
                <w:rFonts w:ascii="宋体" w:hAnsi="宋体" w:cs="宋体" w:eastAsia="宋体" w:hint="default"/>
                <w:sz w:val="18"/>
                <w:szCs w:val="18"/>
              </w:rPr>
              <w:t>程的 勘察 设 计， 风电 场设 备</w:t>
            </w:r>
          </w:p>
          <w:p>
            <w:pPr>
              <w:pStyle w:val="TableParagraph"/>
              <w:spacing w:line="316" w:lineRule="auto" w:before="19"/>
              <w:ind w:left="101" w:right="124"/>
              <w:jc w:val="left"/>
              <w:rPr>
                <w:rFonts w:ascii="宋体" w:hAnsi="宋体" w:cs="宋体" w:eastAsia="宋体" w:hint="default"/>
                <w:sz w:val="18"/>
                <w:szCs w:val="18"/>
              </w:rPr>
            </w:pPr>
            <w:r>
              <w:rPr>
                <w:rFonts w:ascii="宋体" w:hAnsi="宋体" w:cs="宋体" w:eastAsia="宋体" w:hint="default"/>
                <w:sz w:val="18"/>
                <w:szCs w:val="18"/>
              </w:rPr>
              <w:t>（除 风机 外） 与材 料采 购、 试 验、 安装 与调 试， 风电 场、 升压 站和</w:t>
            </w:r>
          </w:p>
          <w:p>
            <w:pPr>
              <w:pStyle w:val="TableParagraph"/>
              <w:spacing w:line="240" w:lineRule="auto" w:before="59"/>
              <w:ind w:left="101" w:right="0"/>
              <w:jc w:val="left"/>
              <w:rPr>
                <w:rFonts w:ascii="Times New Roman" w:hAnsi="Times New Roman" w:cs="Times New Roman" w:eastAsia="Times New Roman" w:hint="default"/>
                <w:sz w:val="18"/>
                <w:szCs w:val="18"/>
              </w:rPr>
            </w:pPr>
            <w:r>
              <w:rPr>
                <w:rFonts w:ascii="Times New Roman"/>
                <w:sz w:val="18"/>
              </w:rPr>
              <w:t>35kV</w:t>
            </w:r>
          </w:p>
          <w:p>
            <w:pPr>
              <w:pStyle w:val="TableParagraph"/>
              <w:spacing w:line="319" w:lineRule="auto" w:before="65"/>
              <w:ind w:left="101" w:right="164"/>
              <w:jc w:val="both"/>
              <w:rPr>
                <w:rFonts w:ascii="宋体" w:hAnsi="宋体" w:cs="宋体" w:eastAsia="宋体" w:hint="default"/>
                <w:sz w:val="18"/>
                <w:szCs w:val="18"/>
              </w:rPr>
            </w:pPr>
            <w:r>
              <w:rPr>
                <w:rFonts w:ascii="宋体" w:hAnsi="宋体" w:cs="宋体" w:eastAsia="宋体" w:hint="default"/>
                <w:sz w:val="18"/>
                <w:szCs w:val="18"/>
              </w:rPr>
              <w:t>集电 线路 施工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1" w:right="0"/>
              <w:jc w:val="left"/>
              <w:rPr>
                <w:rFonts w:ascii="Times New Roman" w:hAnsi="Times New Roman" w:cs="Times New Roman" w:eastAsia="Times New Roman" w:hint="default"/>
                <w:sz w:val="18"/>
                <w:szCs w:val="18"/>
              </w:rPr>
            </w:pPr>
            <w:r>
              <w:rPr>
                <w:rFonts w:ascii="Times New Roman"/>
                <w:sz w:val="18"/>
              </w:rPr>
              <w:t>2.87</w:t>
            </w: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103" w:right="119"/>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该合 同确 认收 入</w:t>
            </w:r>
          </w:p>
          <w:p>
            <w:pPr>
              <w:pStyle w:val="TableParagraph"/>
              <w:spacing w:line="240" w:lineRule="auto" w:before="60"/>
              <w:ind w:left="103" w:right="0"/>
              <w:jc w:val="both"/>
              <w:rPr>
                <w:rFonts w:ascii="Times New Roman" w:hAnsi="Times New Roman" w:cs="Times New Roman" w:eastAsia="Times New Roman" w:hint="default"/>
                <w:sz w:val="18"/>
                <w:szCs w:val="18"/>
              </w:rPr>
            </w:pPr>
            <w:r>
              <w:rPr>
                <w:rFonts w:ascii="Times New Roman"/>
                <w:sz w:val="18"/>
              </w:rPr>
              <w:t>2413</w:t>
            </w:r>
          </w:p>
          <w:p>
            <w:pPr>
              <w:pStyle w:val="TableParagraph"/>
              <w:spacing w:line="240" w:lineRule="auto" w:before="105"/>
              <w:ind w:left="103" w:right="0"/>
              <w:jc w:val="both"/>
              <w:rPr>
                <w:rFonts w:ascii="Times New Roman" w:hAnsi="Times New Roman" w:cs="Times New Roman" w:eastAsia="Times New Roman" w:hint="default"/>
                <w:sz w:val="18"/>
                <w:szCs w:val="18"/>
              </w:rPr>
            </w:pPr>
            <w:r>
              <w:rPr>
                <w:rFonts w:ascii="Times New Roman"/>
                <w:sz w:val="18"/>
              </w:rPr>
              <w:t>8.1</w:t>
            </w:r>
          </w:p>
          <w:p>
            <w:pPr>
              <w:pStyle w:val="TableParagraph"/>
              <w:spacing w:line="240" w:lineRule="auto" w:before="65"/>
              <w:ind w:left="103"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9" w:lineRule="auto" w:before="76"/>
              <w:ind w:left="103" w:right="163"/>
              <w:jc w:val="both"/>
              <w:rPr>
                <w:rFonts w:ascii="宋体" w:hAnsi="宋体" w:cs="宋体" w:eastAsia="宋体" w:hint="default"/>
                <w:sz w:val="18"/>
                <w:szCs w:val="18"/>
              </w:rPr>
            </w:pPr>
            <w:r>
              <w:rPr>
                <w:rFonts w:ascii="宋体" w:hAnsi="宋体" w:cs="宋体" w:eastAsia="宋体" w:hint="default"/>
                <w:sz w:val="18"/>
                <w:szCs w:val="18"/>
              </w:rPr>
              <w:t>（含 税</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both"/>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319" w:lineRule="auto" w:before="76"/>
              <w:ind w:left="102" w:right="162"/>
              <w:jc w:val="both"/>
              <w:rPr>
                <w:rFonts w:ascii="宋体" w:hAnsi="宋体" w:cs="宋体" w:eastAsia="宋体" w:hint="default"/>
                <w:sz w:val="18"/>
                <w:szCs w:val="18"/>
              </w:rPr>
            </w:pPr>
            <w:r>
              <w:rPr>
                <w:rFonts w:ascii="宋体" w:hAnsi="宋体" w:cs="宋体" w:eastAsia="宋体" w:hint="default"/>
                <w:sz w:val="18"/>
                <w:szCs w:val="18"/>
              </w:rPr>
              <w:t>《首 次公 开发 行股 票并 在创 业板 上市 招股 说明 书》</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480" w:lineRule="atLeast" w:before="102"/>
        <w:ind w:left="514" w:right="0" w:hanging="89"/>
        <w:jc w:val="left"/>
        <w:rPr>
          <w:rFonts w:ascii="宋体" w:hAnsi="宋体" w:cs="宋体" w:eastAsia="宋体" w:hint="default"/>
          <w:sz w:val="18"/>
          <w:szCs w:val="18"/>
        </w:rPr>
      </w:pPr>
      <w:r>
        <w:rPr>
          <w:rFonts w:ascii="宋体" w:hAnsi="宋体" w:cs="宋体" w:eastAsia="宋体" w:hint="default"/>
          <w:b/>
          <w:bCs/>
          <w:sz w:val="18"/>
          <w:szCs w:val="18"/>
        </w:rPr>
        <w:t>（一）履行社会责任的宗旨和理念</w:t>
      </w:r>
      <w:r>
        <w:rPr>
          <w:rFonts w:ascii="宋体" w:hAnsi="宋体" w:cs="宋体" w:eastAsia="宋体" w:hint="default"/>
          <w:b/>
          <w:bCs/>
          <w:w w:val="99"/>
          <w:sz w:val="18"/>
          <w:szCs w:val="18"/>
        </w:rPr>
        <w:t> </w:t>
      </w:r>
      <w:r>
        <w:rPr>
          <w:rFonts w:ascii="宋体" w:hAnsi="宋体" w:cs="宋体" w:eastAsia="宋体" w:hint="default"/>
          <w:spacing w:val="-2"/>
          <w:sz w:val="18"/>
          <w:szCs w:val="18"/>
        </w:rPr>
        <w:t>公司始终坚持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客户为本、持续创新、追求卓越、和谐共赢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的核心价值观，以“让电力更清洁、更智慧”为使命，努力</w:t>
      </w:r>
    </w:p>
    <w:p>
      <w:pPr>
        <w:pStyle w:val="BodyText"/>
        <w:spacing w:line="300" w:lineRule="auto" w:before="63"/>
        <w:ind w:right="0"/>
        <w:jc w:val="left"/>
      </w:pPr>
      <w:r>
        <w:rPr>
          <w:spacing w:val="-2"/>
        </w:rPr>
        <w:t>实现</w:t>
      </w:r>
      <w:r>
        <w:rPr>
          <w:rFonts w:ascii="Times New Roman" w:hAnsi="Times New Roman" w:cs="Times New Roman" w:eastAsia="Times New Roman" w:hint="default"/>
          <w:spacing w:val="-2"/>
        </w:rPr>
        <w:t>“</w:t>
      </w:r>
      <w:r>
        <w:rPr>
          <w:spacing w:val="-2"/>
        </w:rPr>
        <w:t>成为国际知名的电力能源技术服务商</w:t>
      </w:r>
      <w:r>
        <w:rPr>
          <w:rFonts w:ascii="Times New Roman" w:hAnsi="Times New Roman" w:cs="Times New Roman" w:eastAsia="Times New Roman" w:hint="default"/>
          <w:spacing w:val="-2"/>
        </w:rPr>
        <w:t>”</w:t>
      </w:r>
      <w:r>
        <w:rPr>
          <w:spacing w:val="-2"/>
        </w:rPr>
        <w:t>的愿景。公司在企业文化和价值取向的指引下，在积极创造价值的同时，坚持履</w:t>
      </w:r>
      <w:r>
        <w:rPr>
          <w:spacing w:val="-43"/>
        </w:rPr>
        <w:t> </w:t>
      </w:r>
      <w:r>
        <w:rPr>
          <w:spacing w:val="-43"/>
        </w:rPr>
      </w:r>
      <w:r>
        <w:rPr/>
        <w:t>行对社会的责任。</w:t>
      </w:r>
    </w:p>
    <w:p>
      <w:pPr>
        <w:spacing w:line="468" w:lineRule="exact" w:before="23"/>
        <w:ind w:left="514" w:right="0" w:hanging="89"/>
        <w:jc w:val="left"/>
        <w:rPr>
          <w:rFonts w:ascii="宋体" w:hAnsi="宋体" w:cs="宋体" w:eastAsia="宋体" w:hint="default"/>
          <w:sz w:val="18"/>
          <w:szCs w:val="18"/>
        </w:rPr>
      </w:pPr>
      <w:r>
        <w:rPr>
          <w:rFonts w:ascii="宋体" w:hAnsi="宋体" w:cs="宋体" w:eastAsia="宋体" w:hint="default"/>
          <w:b/>
          <w:bCs/>
          <w:sz w:val="18"/>
          <w:szCs w:val="18"/>
        </w:rPr>
        <w:t>（二）股东和债权人权益保护</w:t>
      </w:r>
      <w:r>
        <w:rPr>
          <w:rFonts w:ascii="宋体" w:hAnsi="宋体" w:cs="宋体" w:eastAsia="宋体" w:hint="default"/>
          <w:b/>
          <w:bCs/>
          <w:w w:val="99"/>
          <w:sz w:val="18"/>
          <w:szCs w:val="18"/>
        </w:rPr>
        <w:t> </w:t>
      </w:r>
      <w:r>
        <w:rPr>
          <w:rFonts w:ascii="宋体" w:hAnsi="宋体" w:cs="宋体" w:eastAsia="宋体" w:hint="default"/>
          <w:spacing w:val="-6"/>
          <w:sz w:val="18"/>
          <w:szCs w:val="18"/>
        </w:rPr>
        <w:t>公司严格按照《公司法》《证券法》《深圳证券交易所创业板股票上市规则》《深圳证券交易所创业板上市公司规范运作</w:t>
      </w:r>
    </w:p>
    <w:p>
      <w:pPr>
        <w:pStyle w:val="BodyText"/>
        <w:spacing w:line="240" w:lineRule="auto" w:before="8"/>
        <w:ind w:right="0"/>
        <w:jc w:val="left"/>
      </w:pPr>
      <w:r>
        <w:rPr>
          <w:spacing w:val="-4"/>
        </w:rPr>
        <w:t>指引》等法律法规、部门规章、规范性文件和《公司章程》的规定，科学制定合理的组织框架，制定了《股东大会议事规则》</w:t>
      </w:r>
    </w:p>
    <w:p>
      <w:pPr>
        <w:pStyle w:val="BodyText"/>
        <w:spacing w:line="319" w:lineRule="auto" w:before="76"/>
        <w:ind w:right="0"/>
        <w:jc w:val="left"/>
      </w:pPr>
      <w:r>
        <w:rPr>
          <w:spacing w:val="-2"/>
        </w:rPr>
        <w:t>《董事会议事规则》《信息披露事务管理制度》等一系列规章制度，并继续落实内控工作，不断健全和完善公司法人治理结</w:t>
      </w:r>
      <w:r>
        <w:rPr>
          <w:spacing w:val="-72"/>
        </w:rPr>
        <w:t> </w:t>
      </w:r>
      <w:r>
        <w:rPr>
          <w:spacing w:val="-72"/>
        </w:rPr>
      </w:r>
      <w:r>
        <w:rPr>
          <w:spacing w:val="-4"/>
        </w:rPr>
        <w:t>构，保证公司长期、稳定、健康发展。公司股东大会、董事会、监事会和管理层之间权责分明、互相制衡，形成了一套合理、</w:t>
      </w:r>
      <w:r>
        <w:rPr>
          <w:spacing w:val="-46"/>
        </w:rPr>
        <w:t> </w:t>
      </w:r>
      <w:r>
        <w:rPr>
          <w:spacing w:val="-46"/>
        </w:rPr>
      </w:r>
      <w:r>
        <w:rPr/>
        <w:t>完整、有效的经营管理框架。</w:t>
      </w:r>
    </w:p>
    <w:p>
      <w:pPr>
        <w:spacing w:line="240" w:lineRule="auto" w:before="3"/>
        <w:rPr>
          <w:rFonts w:ascii="宋体" w:hAnsi="宋体" w:cs="宋体" w:eastAsia="宋体" w:hint="default"/>
          <w:sz w:val="13"/>
          <w:szCs w:val="13"/>
        </w:rPr>
      </w:pPr>
    </w:p>
    <w:p>
      <w:pPr>
        <w:pStyle w:val="BodyText"/>
        <w:spacing w:line="240" w:lineRule="auto"/>
        <w:ind w:left="514" w:right="0"/>
        <w:jc w:val="left"/>
      </w:pPr>
      <w:r>
        <w:rPr/>
        <w:t>公司注重保护投资者，特别是中小投资者的合法权益。公司依法召开股东大会，积极主动采取网络投票等方式扩大股东</w:t>
      </w:r>
    </w:p>
    <w:p>
      <w:pPr>
        <w:spacing w:after="0" w:line="240" w:lineRule="auto"/>
        <w:jc w:val="left"/>
        <w:sectPr>
          <w:pgSz w:w="11910" w:h="16840"/>
          <w:pgMar w:header="850" w:footer="1267" w:top="1260" w:bottom="1460" w:left="980" w:right="0"/>
        </w:sectPr>
      </w:pPr>
    </w:p>
    <w:p>
      <w:pPr>
        <w:spacing w:line="240" w:lineRule="auto" w:before="9"/>
        <w:rPr>
          <w:rFonts w:ascii="宋体" w:hAnsi="宋体" w:cs="宋体" w:eastAsia="宋体" w:hint="default"/>
          <w:sz w:val="10"/>
          <w:szCs w:val="10"/>
        </w:rPr>
      </w:pPr>
    </w:p>
    <w:p>
      <w:pPr>
        <w:pStyle w:val="BodyText"/>
        <w:spacing w:line="316" w:lineRule="auto" w:before="44"/>
        <w:ind w:right="0"/>
        <w:jc w:val="left"/>
      </w:pPr>
      <w:r>
        <w:rPr>
          <w:spacing w:val="-2"/>
        </w:rPr>
        <w:t>参与股东大会的比例。同时积极开展投资者关系管理工作，通过网站、电话、邮件等方式保持与股东的有效沟通。公司根据</w:t>
      </w:r>
      <w:r>
        <w:rPr>
          <w:spacing w:val="-66"/>
        </w:rPr>
        <w:t> </w:t>
      </w:r>
      <w:r>
        <w:rPr>
          <w:spacing w:val="-66"/>
        </w:rPr>
      </w:r>
      <w:r>
        <w:rPr>
          <w:spacing w:val="-4"/>
        </w:rPr>
        <w:t>法律法规的相关要求做好信息披露工作，保证所有股东对公司重大事项的知情权，为投资者公平获取公司信息创造良好途径。</w:t>
      </w:r>
      <w:r>
        <w:rPr>
          <w:spacing w:val="-44"/>
        </w:rPr>
        <w:t> </w:t>
      </w:r>
      <w:r>
        <w:rPr>
          <w:spacing w:val="-44"/>
        </w:rPr>
      </w:r>
      <w:r>
        <w:rPr>
          <w:spacing w:val="-2"/>
        </w:rPr>
        <w:t>此外，公司的财务政策稳健，资产、资金安全，在维护股东利益的同时兼顾债权人的利益。报告期内，公司无大股东及关联</w:t>
      </w:r>
      <w:r>
        <w:rPr>
          <w:spacing w:val="-68"/>
        </w:rPr>
        <w:t> </w:t>
      </w:r>
      <w:r>
        <w:rPr>
          <w:spacing w:val="-68"/>
        </w:rPr>
      </w:r>
      <w:r>
        <w:rPr/>
        <w:t>方占用公司资金情形，亦不存在将资金直接或间接地提供给大股东及关联方使用的各种情形。</w:t>
      </w:r>
    </w:p>
    <w:p>
      <w:pPr>
        <w:pStyle w:val="BodyText"/>
        <w:spacing w:line="468" w:lineRule="exact" w:before="11"/>
        <w:ind w:left="514" w:right="0" w:firstLine="1"/>
        <w:jc w:val="left"/>
      </w:pPr>
      <w:r>
        <w:rPr>
          <w:rFonts w:ascii="宋体" w:hAnsi="宋体" w:cs="宋体" w:eastAsia="宋体" w:hint="default"/>
          <w:b/>
          <w:bCs/>
        </w:rPr>
        <w:t>（三）职工权益保护</w:t>
      </w:r>
      <w:r>
        <w:rPr>
          <w:rFonts w:ascii="宋体" w:hAnsi="宋体" w:cs="宋体" w:eastAsia="宋体" w:hint="default"/>
          <w:b/>
          <w:bCs/>
          <w:w w:val="99"/>
        </w:rPr>
        <w:t> </w:t>
      </w:r>
      <w:r>
        <w:rPr>
          <w:spacing w:val="-2"/>
        </w:rPr>
        <w:t>公司始终坚持和谐共赢的核心价值观，尊重员工人格，关注员工健康、安全和满意度，保障员工合法权益，致力于培育</w:t>
      </w:r>
    </w:p>
    <w:p>
      <w:pPr>
        <w:pStyle w:val="BodyText"/>
        <w:spacing w:line="316" w:lineRule="auto" w:before="8"/>
        <w:ind w:right="1131"/>
        <w:jc w:val="both"/>
      </w:pPr>
      <w:r>
        <w:rPr>
          <w:spacing w:val="-2"/>
        </w:rPr>
        <w:t>员工的认同感和归属感，实现员工与企业共同成长。为员工提供健康、安全的工作环境，完善员工生活设施建设；尊重和保</w:t>
      </w:r>
      <w:r>
        <w:rPr>
          <w:spacing w:val="-66"/>
        </w:rPr>
        <w:t> </w:t>
      </w:r>
      <w:r>
        <w:rPr>
          <w:spacing w:val="-66"/>
        </w:rPr>
      </w:r>
      <w:r>
        <w:rPr>
          <w:spacing w:val="-2"/>
        </w:rPr>
        <w:t>护员工权益，严格贯彻执行《劳动合同法》《社会保险法》等各项法律法规；不断完善具有吸引力和竞争性的薪酬和福利体</w:t>
      </w:r>
      <w:r>
        <w:rPr>
          <w:spacing w:val="-72"/>
        </w:rPr>
        <w:t> </w:t>
      </w:r>
      <w:r>
        <w:rPr>
          <w:spacing w:val="-72"/>
        </w:rPr>
      </w:r>
      <w:r>
        <w:rPr>
          <w:spacing w:val="-2"/>
        </w:rPr>
        <w:t>系；改善员工生产环境，根据相关法规和公司具体情况发放劳保用品；持续优化员工关怀体系，努力为员工提供更好的工作</w:t>
      </w:r>
      <w:r>
        <w:rPr>
          <w:spacing w:val="-66"/>
        </w:rPr>
        <w:t> </w:t>
      </w:r>
      <w:r>
        <w:rPr>
          <w:spacing w:val="-66"/>
        </w:rPr>
      </w:r>
      <w:r>
        <w:rPr>
          <w:spacing w:val="-2"/>
        </w:rPr>
        <w:t>环境及更多的人文关怀；注重员工培训与职业规划，定期举办技能竞赛，开展员工技术交流活动，定期评选优秀员工及技术</w:t>
      </w:r>
      <w:r>
        <w:rPr>
          <w:spacing w:val="-66"/>
        </w:rPr>
        <w:t> </w:t>
      </w:r>
      <w:r>
        <w:rPr>
          <w:spacing w:val="-66"/>
        </w:rPr>
      </w:r>
      <w:r>
        <w:rPr>
          <w:spacing w:val="-2"/>
        </w:rPr>
        <w:t>能手并给予奖励，同时积极开展职工内外部培训，公司试行内部讲师培训体系并按需求要求专家进行授课培训，提升自身素</w:t>
      </w:r>
      <w:r>
        <w:rPr>
          <w:spacing w:val="-66"/>
        </w:rPr>
        <w:t> </w:t>
      </w:r>
      <w:r>
        <w:rPr>
          <w:spacing w:val="-66"/>
        </w:rPr>
      </w:r>
      <w:r>
        <w:rPr/>
        <w:t>质和综合能力，并为员工发展提供更多的机会和广阔的舞台。</w:t>
      </w:r>
    </w:p>
    <w:p>
      <w:pPr>
        <w:spacing w:line="468" w:lineRule="exact" w:before="10"/>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（四）客户、供应商权益保护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公司将客户为本和和谐共赢作为核心价值观，本着承担社会责任的宗旨，公司与客户和供应商建立深厚和长期良好的合</w:t>
      </w:r>
    </w:p>
    <w:p>
      <w:pPr>
        <w:pStyle w:val="BodyText"/>
        <w:spacing w:line="240" w:lineRule="auto" w:before="8"/>
        <w:ind w:right="0"/>
        <w:jc w:val="left"/>
      </w:pPr>
      <w:r>
        <w:rPr/>
        <w:t>作伙伴关系，充分尊重并保护客户和供应商的合法权益。</w:t>
      </w:r>
    </w:p>
    <w:p>
      <w:pPr>
        <w:spacing w:line="240" w:lineRule="auto" w:before="10"/>
        <w:rPr>
          <w:rFonts w:ascii="宋体" w:hAnsi="宋体" w:cs="宋体" w:eastAsia="宋体" w:hint="default"/>
          <w:sz w:val="17"/>
          <w:szCs w:val="17"/>
        </w:rPr>
      </w:pPr>
    </w:p>
    <w:p>
      <w:pPr>
        <w:pStyle w:val="BodyText"/>
        <w:spacing w:line="309" w:lineRule="auto"/>
        <w:ind w:right="1133"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公司的主要客户是央企和地方国企，客户委托业务均严格遵守国家相关法律法规，主要采用公开招标模式。公司通 </w:t>
      </w:r>
      <w:r>
        <w:rPr>
          <w:spacing w:val="-2"/>
        </w:rPr>
        <w:t>过公共媒体信息、客户邀约及合作伙伴的推荐来获取市场信息，根据具体项目的招标要求制定投标文件，参与客户组织的招</w:t>
      </w:r>
      <w:r>
        <w:rPr>
          <w:spacing w:val="-66"/>
        </w:rPr>
        <w:t> </w:t>
      </w:r>
      <w:r>
        <w:rPr>
          <w:spacing w:val="-66"/>
        </w:rPr>
      </w:r>
      <w:r>
        <w:rPr/>
        <w:t>标，保证公平、公开、公正效果。</w:t>
      </w:r>
    </w:p>
    <w:p>
      <w:pPr>
        <w:spacing w:line="240" w:lineRule="auto" w:before="10"/>
        <w:rPr>
          <w:rFonts w:ascii="宋体" w:hAnsi="宋体" w:cs="宋体" w:eastAsia="宋体" w:hint="default"/>
          <w:sz w:val="13"/>
          <w:szCs w:val="13"/>
        </w:rPr>
      </w:pPr>
    </w:p>
    <w:p>
      <w:pPr>
        <w:pStyle w:val="BodyText"/>
        <w:spacing w:line="300" w:lineRule="auto"/>
        <w:ind w:right="1040" w:firstLine="360"/>
        <w:jc w:val="left"/>
      </w:pPr>
      <w:r>
        <w:rPr>
          <w:spacing w:val="-3"/>
        </w:rPr>
        <w:t>公司建立了完善的工程质量、环境和安全管理体系，获得中国电力联合会认证的</w:t>
      </w:r>
      <w:r>
        <w:rPr>
          <w:rFonts w:ascii="Times New Roman" w:hAnsi="Times New Roman" w:cs="Times New Roman" w:eastAsia="Times New Roman" w:hint="default"/>
          <w:spacing w:val="-3"/>
        </w:rPr>
        <w:t>ISO9001:2015</w:t>
      </w:r>
      <w:r>
        <w:rPr>
          <w:spacing w:val="-3"/>
        </w:rPr>
        <w:t>质量管理体系、</w:t>
      </w:r>
      <w:r>
        <w:rPr>
          <w:rFonts w:ascii="Times New Roman" w:hAnsi="Times New Roman" w:cs="Times New Roman" w:eastAsia="Times New Roman" w:hint="default"/>
          <w:spacing w:val="-3"/>
        </w:rPr>
        <w:t>ISO14001</w:t>
      </w:r>
      <w:r>
        <w:rPr>
          <w:spacing w:val="-3"/>
        </w:rPr>
        <w:t>：</w:t>
      </w:r>
      <w:r>
        <w:rPr/>
        <w:t> </w:t>
      </w:r>
      <w:r>
        <w:rPr>
          <w:rFonts w:ascii="Times New Roman" w:hAnsi="Times New Roman" w:cs="Times New Roman" w:eastAsia="Times New Roman" w:hint="default"/>
        </w:rPr>
        <w:t>2015</w:t>
      </w:r>
      <w:r>
        <w:rPr/>
        <w:t>环境管理体系、</w:t>
      </w:r>
      <w:r>
        <w:rPr>
          <w:rFonts w:ascii="Times New Roman" w:hAnsi="Times New Roman" w:cs="Times New Roman" w:eastAsia="Times New Roman" w:hint="default"/>
        </w:rPr>
        <w:t>GB/T28001-2011</w:t>
      </w:r>
      <w:r>
        <w:rPr/>
        <w:t>职业健康安全管理体系证书；截至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日，公司已拥有一支</w:t>
      </w:r>
      <w:r>
        <w:rPr>
          <w:rFonts w:ascii="Times New Roman" w:hAnsi="Times New Roman" w:cs="Times New Roman" w:eastAsia="Times New Roman" w:hint="default"/>
        </w:rPr>
        <w:t>659</w:t>
      </w:r>
      <w:r>
        <w:rPr/>
        <w:t>人的技术和管 </w:t>
      </w:r>
      <w:r>
        <w:rPr>
          <w:spacing w:val="-2"/>
        </w:rPr>
        <w:t>理专业团队，其中，各类国家注册师</w:t>
      </w:r>
      <w:r>
        <w:rPr>
          <w:rFonts w:ascii="Times New Roman" w:hAnsi="Times New Roman" w:cs="Times New Roman" w:eastAsia="Times New Roman" w:hint="default"/>
          <w:spacing w:val="-2"/>
        </w:rPr>
        <w:t>126</w:t>
      </w:r>
      <w:r>
        <w:rPr>
          <w:spacing w:val="-2"/>
        </w:rPr>
        <w:t>人，高级职称及以上</w:t>
      </w:r>
      <w:r>
        <w:rPr>
          <w:rFonts w:ascii="Times New Roman" w:hAnsi="Times New Roman" w:cs="Times New Roman" w:eastAsia="Times New Roman" w:hint="default"/>
          <w:spacing w:val="-2"/>
        </w:rPr>
        <w:t>146</w:t>
      </w:r>
      <w:r>
        <w:rPr>
          <w:spacing w:val="-2"/>
        </w:rPr>
        <w:t>人；公司的产品和服务多年来一直受到行业内和客户的高度</w:t>
      </w:r>
      <w:r>
        <w:rPr>
          <w:spacing w:val="-60"/>
        </w:rPr>
        <w:t> </w:t>
      </w:r>
      <w:r>
        <w:rPr>
          <w:spacing w:val="-60"/>
        </w:rPr>
      </w:r>
      <w:r>
        <w:rPr/>
        <w:t>认可与赞誉。</w:t>
      </w:r>
    </w:p>
    <w:p>
      <w:pPr>
        <w:spacing w:line="240" w:lineRule="auto" w:before="4"/>
        <w:rPr>
          <w:rFonts w:ascii="宋体" w:hAnsi="宋体" w:cs="宋体" w:eastAsia="宋体" w:hint="default"/>
          <w:sz w:val="14"/>
          <w:szCs w:val="14"/>
        </w:rPr>
      </w:pPr>
    </w:p>
    <w:p>
      <w:pPr>
        <w:pStyle w:val="BodyText"/>
        <w:spacing w:line="312" w:lineRule="auto"/>
        <w:ind w:right="1024"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公司建立完整的供应商管理体系，从供应商入库、选择和评价等实施全过程管理。供应商的入库管理含资质、人员、 </w:t>
      </w:r>
      <w:r>
        <w:rPr>
          <w:spacing w:val="-2"/>
        </w:rPr>
        <w:t>装备、业绩、经营和财务情况等；供应商的选择采用邀请招标或封闭式报价等形式，通过公司各项严谨完整的流程确认；每</w:t>
      </w:r>
      <w:r>
        <w:rPr>
          <w:spacing w:val="-66"/>
        </w:rPr>
        <w:t> </w:t>
      </w:r>
      <w:r>
        <w:rPr>
          <w:spacing w:val="-66"/>
        </w:rPr>
      </w:r>
      <w:r>
        <w:rPr>
          <w:spacing w:val="-2"/>
        </w:rPr>
        <w:t>年公司对供应商进行公平、公开和公正的年度绩效评价。公司通过全过程精细化管理，确保供应商的资质、资信、技术能力</w:t>
      </w:r>
      <w:r>
        <w:rPr>
          <w:spacing w:val="-66"/>
        </w:rPr>
        <w:t> </w:t>
      </w:r>
      <w:r>
        <w:rPr>
          <w:spacing w:val="-66"/>
        </w:rPr>
      </w:r>
      <w:r>
        <w:rPr/>
        <w:t>等能全面满足公司的各项管理要求，提供的产品可以满足客户的要求。</w:t>
      </w:r>
    </w:p>
    <w:p>
      <w:pPr>
        <w:spacing w:line="468" w:lineRule="exact" w:before="14"/>
        <w:ind w:left="514" w:right="1052" w:firstLine="1"/>
        <w:jc w:val="left"/>
        <w:rPr>
          <w:rFonts w:ascii="宋体" w:hAnsi="宋体" w:cs="宋体" w:eastAsia="宋体" w:hint="default"/>
          <w:sz w:val="18"/>
          <w:szCs w:val="18"/>
        </w:rPr>
      </w:pPr>
      <w:r>
        <w:rPr>
          <w:rFonts w:ascii="宋体" w:hAnsi="宋体" w:cs="宋体" w:eastAsia="宋体" w:hint="default"/>
          <w:b/>
          <w:bCs/>
          <w:sz w:val="18"/>
          <w:szCs w:val="18"/>
        </w:rPr>
        <w:t>（五）环境保护与可持续发展</w:t>
      </w:r>
      <w:r>
        <w:rPr>
          <w:rFonts w:ascii="宋体" w:hAnsi="宋体" w:cs="宋体" w:eastAsia="宋体" w:hint="default"/>
          <w:b/>
          <w:bCs/>
          <w:w w:val="99"/>
          <w:sz w:val="18"/>
          <w:szCs w:val="18"/>
        </w:rPr>
        <w:t> </w:t>
      </w:r>
      <w:r>
        <w:rPr>
          <w:rFonts w:ascii="宋体" w:hAnsi="宋体" w:cs="宋体" w:eastAsia="宋体" w:hint="default"/>
          <w:sz w:val="18"/>
          <w:szCs w:val="18"/>
        </w:rPr>
        <w:t>公司秉承</w:t>
      </w:r>
      <w:r>
        <w:rPr>
          <w:rFonts w:ascii="Times New Roman" w:hAnsi="Times New Roman" w:cs="Times New Roman" w:eastAsia="Times New Roman" w:hint="default"/>
          <w:sz w:val="18"/>
          <w:szCs w:val="18"/>
        </w:rPr>
        <w:t>“</w:t>
      </w:r>
      <w:r>
        <w:rPr>
          <w:rFonts w:ascii="宋体" w:hAnsi="宋体" w:cs="宋体" w:eastAsia="宋体" w:hint="default"/>
          <w:sz w:val="18"/>
          <w:szCs w:val="18"/>
        </w:rPr>
        <w:t>让电力更清洁、更智慧</w:t>
      </w:r>
      <w:r>
        <w:rPr>
          <w:rFonts w:ascii="Times New Roman" w:hAnsi="Times New Roman" w:cs="Times New Roman" w:eastAsia="Times New Roman" w:hint="default"/>
          <w:sz w:val="18"/>
          <w:szCs w:val="18"/>
        </w:rPr>
        <w:t>”</w:t>
      </w:r>
      <w:r>
        <w:rPr>
          <w:rFonts w:ascii="宋体" w:hAnsi="宋体" w:cs="宋体" w:eastAsia="宋体" w:hint="default"/>
          <w:sz w:val="18"/>
          <w:szCs w:val="18"/>
        </w:rPr>
        <w:t>的企业使命，坚持走可持续发展道路，力争成为核心竞争力突出、品牌和技术领先、</w:t>
      </w:r>
    </w:p>
    <w:p>
      <w:pPr>
        <w:pStyle w:val="BodyText"/>
        <w:spacing w:line="316" w:lineRule="auto" w:before="8"/>
        <w:ind w:right="1032"/>
        <w:jc w:val="left"/>
      </w:pPr>
      <w:r>
        <w:rPr>
          <w:spacing w:val="-2"/>
        </w:rPr>
        <w:t>具备较强的盈利能力和抗风险能力的优质上市公司。随着国家持续推动能源生产和利用方式变革，调整优化能源结构，电力</w:t>
      </w:r>
      <w:r>
        <w:rPr>
          <w:spacing w:val="-66"/>
        </w:rPr>
        <w:t> </w:t>
      </w:r>
      <w:r>
        <w:rPr>
          <w:spacing w:val="-66"/>
        </w:rPr>
      </w:r>
      <w:r>
        <w:rPr/>
        <w:t>工业不断向结构优化、资源节约化的方向迈进。公司紧跟行业发展趋势，注重环境保护，优先发展天然气发电、风力发电、 </w:t>
      </w:r>
      <w:r>
        <w:rPr>
          <w:spacing w:val="-2"/>
        </w:rPr>
        <w:t>太阳能发电业务，通过加大相应的技术储备和提升业务能力使新能源发电逐步成为公司的优势产品，在清洁能源及新能源发</w:t>
      </w:r>
      <w:r>
        <w:rPr>
          <w:spacing w:val="-64"/>
        </w:rPr>
        <w:t> </w:t>
      </w:r>
      <w:r>
        <w:rPr>
          <w:spacing w:val="-64"/>
        </w:rPr>
      </w:r>
      <w:r>
        <w:rPr>
          <w:spacing w:val="-2"/>
        </w:rPr>
        <w:t>电（包括大型燃机及分布式能源站、风力发电、太阳能发电、生物质发电、核电等）领域积累了丰富经验。公司积极开展海</w:t>
      </w:r>
      <w:r>
        <w:rPr>
          <w:spacing w:val="-72"/>
        </w:rPr>
        <w:t> </w:t>
      </w:r>
      <w:r>
        <w:rPr>
          <w:spacing w:val="-72"/>
        </w:rPr>
      </w:r>
      <w:r>
        <w:rPr>
          <w:spacing w:val="-2"/>
        </w:rPr>
        <w:t>上风电关键技术研发，通过产学研用相结合着力突破桩基、施工、机组、检测、运维等全产业链关键技术，逐步形成公司海</w:t>
      </w:r>
      <w:r>
        <w:rPr>
          <w:spacing w:val="-70"/>
        </w:rPr>
        <w:t> </w:t>
      </w:r>
      <w:r>
        <w:rPr>
          <w:spacing w:val="-70"/>
        </w:rPr>
      </w:r>
      <w:r>
        <w:rPr/>
        <w:t>上风电的核心技术。</w:t>
      </w:r>
    </w:p>
    <w:p>
      <w:pPr>
        <w:pStyle w:val="BodyText"/>
        <w:spacing w:line="468" w:lineRule="exact" w:before="10"/>
        <w:ind w:left="514" w:right="0" w:firstLine="1"/>
        <w:jc w:val="left"/>
      </w:pPr>
      <w:r>
        <w:rPr>
          <w:rFonts w:ascii="宋体" w:hAnsi="宋体" w:cs="宋体" w:eastAsia="宋体" w:hint="default"/>
          <w:b/>
          <w:bCs/>
        </w:rPr>
        <w:t>（六）社会公益事业</w:t>
      </w:r>
      <w:r>
        <w:rPr>
          <w:rFonts w:ascii="宋体" w:hAnsi="宋体" w:cs="宋体" w:eastAsia="宋体" w:hint="default"/>
          <w:b/>
          <w:bCs/>
          <w:w w:val="99"/>
        </w:rPr>
        <w:t> </w:t>
      </w:r>
      <w:r>
        <w:rPr>
          <w:spacing w:val="-2"/>
        </w:rPr>
        <w:t>公司在力所能及的范围内，积极回馈社会，支持社会公益事业。</w:t>
      </w:r>
      <w:r>
        <w:rPr>
          <w:rFonts w:ascii="Times New Roman" w:hAnsi="Times New Roman" w:cs="Times New Roman" w:eastAsia="Times New Roman" w:hint="default"/>
          <w:spacing w:val="-2"/>
        </w:rPr>
        <w:t>2018</w:t>
      </w:r>
      <w:r>
        <w:rPr>
          <w:spacing w:val="-2"/>
        </w:rPr>
        <w:t>年，公司积极参与由福建省慈善总会发起的捐赠活</w:t>
      </w:r>
    </w:p>
    <w:p>
      <w:pPr>
        <w:pStyle w:val="BodyText"/>
        <w:spacing w:line="316" w:lineRule="auto" w:before="8"/>
        <w:ind w:right="1131"/>
        <w:jc w:val="both"/>
      </w:pPr>
      <w:r>
        <w:rPr>
          <w:spacing w:val="-2"/>
        </w:rPr>
        <w:t>动，向武夷山兴田镇澄浒小学捐赠图书和电脑，加强了乡村学校设施建设，改善了贫困地区教育资源，为丰富学生课外书籍</w:t>
      </w:r>
      <w:r>
        <w:rPr>
          <w:spacing w:val="-66"/>
        </w:rPr>
        <w:t> </w:t>
      </w:r>
      <w:r>
        <w:rPr>
          <w:spacing w:val="-66"/>
        </w:rPr>
      </w:r>
      <w:r>
        <w:rPr>
          <w:spacing w:val="-2"/>
        </w:rPr>
        <w:t>阅读、帮助山区学校提升教育信息化水平，减小信息鸿沟，拓展孩子们的视野改善贫困地区教育资源投入贡献一份力量。此</w:t>
      </w:r>
      <w:r>
        <w:rPr>
          <w:spacing w:val="-66"/>
        </w:rPr>
        <w:t> </w:t>
      </w:r>
      <w:r>
        <w:rPr>
          <w:spacing w:val="-66"/>
        </w:rPr>
      </w:r>
      <w:r>
        <w:rPr/>
        <w:t>外，公司积极跟进仙游县企村结对帮扶情况，并开展相关调研慰问活动，确保精准扶贫工作有效落实。</w:t>
      </w:r>
    </w:p>
    <w:p>
      <w:pPr>
        <w:spacing w:after="0" w:line="316" w:lineRule="auto"/>
        <w:jc w:val="both"/>
        <w:sectPr>
          <w:pgSz w:w="11910" w:h="16840"/>
          <w:pgMar w:header="850" w:footer="1267" w:top="1260" w:bottom="1460" w:left="980" w:right="0"/>
        </w:sectPr>
      </w:pPr>
    </w:p>
    <w:p>
      <w:pPr>
        <w:spacing w:line="240" w:lineRule="auto" w:before="7"/>
        <w:rPr>
          <w:rFonts w:ascii="宋体" w:hAnsi="宋体" w:cs="宋体" w:eastAsia="宋体" w:hint="default"/>
          <w:sz w:val="9"/>
          <w:szCs w:val="9"/>
        </w:rPr>
      </w:pPr>
    </w:p>
    <w:p>
      <w:pPr>
        <w:pStyle w:val="Heading3"/>
        <w:spacing w:line="240" w:lineRule="auto" w:before="35"/>
        <w:ind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精准扶贫规划" w:id="100"/>
      <w:bookmarkEnd w:id="100"/>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报告期内，公司继续积极参与精准扶贫攻坚战中。对接地方政府的扶贫项目，公司扶贫的总体目标是通过加大结对帮扶</w:t>
      </w:r>
      <w:r>
        <w:rPr/>
        <w:t> </w:t>
      </w:r>
      <w:r>
        <w:rPr>
          <w:spacing w:val="-2"/>
        </w:rPr>
        <w:t>贫困地区教育资源的资金投入，持续改善山区教育水平；通过共建精准扶贫产业（特色农产品种植）基地，让结对帮扶村提</w:t>
      </w:r>
      <w:r>
        <w:rPr>
          <w:spacing w:val="-66"/>
        </w:rPr>
        <w:t> </w:t>
      </w:r>
      <w:r>
        <w:rPr>
          <w:spacing w:val="-66"/>
        </w:rPr>
      </w:r>
      <w:r>
        <w:rPr>
          <w:spacing w:val="-2"/>
        </w:rPr>
        <w:t>高特色农产品种植规模水平，达到脱贫的目的，进而带动当地经济社会发展。主要任务是在未来一段时期内，让结对帮扶的</w:t>
      </w:r>
      <w:r>
        <w:rPr>
          <w:spacing w:val="-66"/>
        </w:rPr>
        <w:t> </w:t>
      </w:r>
      <w:r>
        <w:rPr>
          <w:spacing w:val="-66"/>
        </w:rPr>
      </w:r>
      <w:r>
        <w:rPr>
          <w:spacing w:val="-2"/>
        </w:rPr>
        <w:t>贫困山区儿童教育基础设施得到进一步改善；让贫困人口提高生产技能，拥有持续发展能力，通过自己的劳动脱贫致富。公</w:t>
      </w:r>
      <w:r>
        <w:rPr>
          <w:spacing w:val="-66"/>
        </w:rPr>
        <w:t> </w:t>
      </w:r>
      <w:r>
        <w:rPr>
          <w:spacing w:val="-66"/>
        </w:rPr>
      </w:r>
      <w:r>
        <w:rPr/>
        <w:t>司从资金、社会资源等多方面保障这一目标有序推进。</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2）年度精准扶贫概要" w:id="101"/>
      <w:bookmarkEnd w:id="101"/>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6"/>
          <w:szCs w:val="26"/>
        </w:rPr>
      </w:pPr>
    </w:p>
    <w:p>
      <w:pPr>
        <w:pStyle w:val="BodyText"/>
        <w:spacing w:line="312" w:lineRule="auto"/>
        <w:ind w:right="1129" w:firstLine="360"/>
        <w:jc w:val="both"/>
      </w:pPr>
      <w:r>
        <w:rPr>
          <w:rFonts w:ascii="Times New Roman" w:hAnsi="Times New Roman" w:cs="Times New Roman" w:eastAsia="Times New Roman" w:hint="default"/>
        </w:rPr>
        <w:t>2018</w:t>
      </w:r>
      <w:r>
        <w:rPr/>
        <w:t>年，公司先后参与了由福建省慈善总会发起的捐赠活动，向武夷山兴田镇澄浒小学捐赠价值</w:t>
      </w:r>
      <w:r>
        <w:rPr>
          <w:rFonts w:ascii="Times New Roman" w:hAnsi="Times New Roman" w:cs="Times New Roman" w:eastAsia="Times New Roman" w:hint="default"/>
        </w:rPr>
        <w:t>10</w:t>
      </w:r>
      <w:r>
        <w:rPr/>
        <w:t>万元的图书和价值</w:t>
      </w:r>
      <w:r>
        <w:rPr>
          <w:rFonts w:ascii="Times New Roman" w:hAnsi="Times New Roman" w:cs="Times New Roman" w:eastAsia="Times New Roman" w:hint="default"/>
        </w:rPr>
        <w:t>4 </w:t>
      </w:r>
      <w:r>
        <w:rPr>
          <w:spacing w:val="-2"/>
        </w:rPr>
        <w:t>万元的电脑，进一步加强了乡村学校设施建设，为丰富学生课外书籍阅读、帮助山区学校提升教育信息化水平，减小信息鸿</w:t>
      </w:r>
      <w:r>
        <w:rPr>
          <w:spacing w:val="-66"/>
        </w:rPr>
        <w:t> </w:t>
      </w:r>
      <w:r>
        <w:rPr>
          <w:spacing w:val="-66"/>
        </w:rPr>
      </w:r>
      <w:r>
        <w:rPr>
          <w:spacing w:val="-2"/>
        </w:rPr>
        <w:t>沟，拓展孩子们的视野改善贫困地区教育资源投入贡献一份力量。此外，公司积极跟进仙游县企村结对帮扶情况，并开展相</w:t>
      </w:r>
      <w:r>
        <w:rPr>
          <w:spacing w:val="-66"/>
        </w:rPr>
        <w:t> </w:t>
      </w:r>
      <w:r>
        <w:rPr>
          <w:spacing w:val="-66"/>
        </w:rPr>
      </w:r>
      <w:r>
        <w:rPr/>
        <w:t>关调研慰问活动，确保精准扶贫工作有效落实。</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3）精准扶贫成效" w:id="102"/>
      <w:bookmarkEnd w:id="102"/>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714"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改善贫困地区教育资源投入</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4）后续精准扶贫计划" w:id="103"/>
      <w:bookmarkEnd w:id="103"/>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公司在巩固现有精准扶贫成果的基础上，继续做好企村结对帮扶、促进贫困山区特色农产品销售，同时积极探索教育扶</w:t>
      </w:r>
    </w:p>
    <w:p>
      <w:pPr>
        <w:spacing w:after="0" w:line="240" w:lineRule="auto"/>
        <w:jc w:val="left"/>
        <w:sectPr>
          <w:pgSz w:w="11910" w:h="16840"/>
          <w:pgMar w:header="850" w:footer="1267" w:top="1260" w:bottom="1460" w:left="980" w:right="0"/>
        </w:sectPr>
      </w:pPr>
    </w:p>
    <w:p>
      <w:pPr>
        <w:spacing w:line="240" w:lineRule="auto" w:before="9"/>
        <w:rPr>
          <w:rFonts w:ascii="宋体" w:hAnsi="宋体" w:cs="宋体" w:eastAsia="宋体" w:hint="default"/>
          <w:sz w:val="10"/>
          <w:szCs w:val="10"/>
        </w:rPr>
      </w:pPr>
    </w:p>
    <w:p>
      <w:pPr>
        <w:pStyle w:val="BodyText"/>
        <w:spacing w:line="319" w:lineRule="auto" w:before="44"/>
        <w:ind w:right="0"/>
        <w:jc w:val="left"/>
      </w:pPr>
      <w:r>
        <w:rPr>
          <w:spacing w:val="-2"/>
        </w:rPr>
        <w:t>贫等帮扶方式，以务实举措助力帮扶对象脱贫致富进程。孩子是社会的希望，教育是治贫的根本，公司将根据实际情况，整</w:t>
      </w:r>
      <w:r>
        <w:rPr>
          <w:spacing w:val="-66"/>
        </w:rPr>
        <w:t> </w:t>
      </w:r>
      <w:r>
        <w:rPr>
          <w:spacing w:val="-66"/>
        </w:rPr>
      </w:r>
      <w:r>
        <w:rPr/>
        <w:t>合有关资源，继续参与到慈善总会发起的精准教育扶贫计划中。</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bookmarkStart w:name="3、环境保护相关的情况" w:id="104"/>
      <w:bookmarkEnd w:id="104"/>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不适用</w:t>
      </w:r>
    </w:p>
    <w:p>
      <w:pPr>
        <w:pStyle w:val="BodyText"/>
        <w:spacing w:line="316" w:lineRule="auto" w:before="28"/>
        <w:ind w:right="1132" w:firstLine="450"/>
        <w:jc w:val="both"/>
      </w:pPr>
      <w:r>
        <w:rPr>
          <w:spacing w:val="-4"/>
        </w:rPr>
        <w:t>公司及其子公司在日常生产经营中认真执行《中华人民共和国环境保护法》《中华人民共和国水污染防治法》《中华人</w:t>
      </w:r>
      <w:r>
        <w:rPr/>
        <w:t> </w:t>
      </w:r>
      <w:r>
        <w:rPr>
          <w:spacing w:val="-5"/>
        </w:rPr>
        <w:t>民共和国大气污染防治法》《中华人民共和国环境噪声污染防治法》《中华人民共和国固体废物污染防治法》等环保方面的法</w:t>
      </w:r>
      <w:r>
        <w:rPr>
          <w:spacing w:val="-79"/>
        </w:rPr>
        <w:t> </w:t>
      </w:r>
      <w:r>
        <w:rPr>
          <w:spacing w:val="-79"/>
        </w:rPr>
      </w:r>
      <w:r>
        <w:rPr>
          <w:spacing w:val="-2"/>
        </w:rPr>
        <w:t>律法规，报告期内未出现因违反环境保护法律法规而受到行政处罚的情形，公司及子公司不属于环境保护部门公布的重点排</w:t>
      </w:r>
      <w:r>
        <w:rPr>
          <w:spacing w:val="-64"/>
        </w:rPr>
        <w:t> </w:t>
      </w:r>
      <w:r>
        <w:rPr>
          <w:spacing w:val="-64"/>
        </w:rPr>
      </w:r>
      <w:r>
        <w:rPr/>
        <w:t>污单位。</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十八、其他重大事项的说明" w:id="105"/>
      <w:bookmarkEnd w:id="105"/>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4" w:right="1122" w:hanging="360"/>
        <w:jc w:val="left"/>
      </w:pPr>
      <w:r>
        <w:rPr/>
        <w:t>√ 适用 □ 不适用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22</w:t>
      </w:r>
      <w:r>
        <w:rPr>
          <w:spacing w:val="-2"/>
        </w:rPr>
        <w:t>日收到国家电网公司、国网物资有限公司发来的中标通知书，经过国家电网公司招标领导小组的批</w:t>
      </w:r>
    </w:p>
    <w:p>
      <w:pPr>
        <w:pStyle w:val="BodyText"/>
        <w:spacing w:line="214" w:lineRule="exact"/>
        <w:ind w:right="0"/>
        <w:jc w:val="left"/>
      </w:pPr>
      <w:r>
        <w:rPr/>
        <w:t>准，公司在武汉～南昌～长沙交流线路工程可研及勘察设计项目（包名称：包</w:t>
      </w:r>
      <w:r>
        <w:rPr>
          <w:rFonts w:ascii="Times New Roman" w:hAnsi="Times New Roman" w:cs="Times New Roman" w:eastAsia="Times New Roman" w:hint="default"/>
        </w:rPr>
        <w:t>6</w:t>
      </w:r>
      <w:r>
        <w:rPr/>
        <w:t>）的投标中，被确认为中标单位。具体内容</w:t>
      </w:r>
    </w:p>
    <w:p>
      <w:pPr>
        <w:pStyle w:val="BodyText"/>
        <w:spacing w:line="300" w:lineRule="auto" w:before="63"/>
        <w:ind w:right="1116"/>
        <w:jc w:val="left"/>
      </w:pPr>
      <w:r>
        <w:rPr/>
        <w:t>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日在巨潮网披露</w:t>
      </w:r>
      <w:r>
        <w:rPr>
          <w:spacing w:val="-76"/>
        </w:rPr>
        <w:t>的</w:t>
      </w:r>
      <w:r>
        <w:rPr/>
        <w:t>《关于收到武汉～南昌～长沙</w:t>
      </w:r>
      <w:r>
        <w:rPr>
          <w:rFonts w:ascii="Times New Roman" w:hAnsi="Times New Roman" w:cs="Times New Roman" w:eastAsia="Times New Roman" w:hint="default"/>
        </w:rPr>
        <w:t>1000</w:t>
      </w:r>
      <w:r>
        <w:rPr/>
        <w:t>千伏特高压交流线路工程可研及勘测设计中标 通知书的公告</w:t>
      </w:r>
      <w:r>
        <w:rPr>
          <w:spacing w:val="-90"/>
        </w:rPr>
        <w:t>》</w:t>
      </w:r>
      <w:r>
        <w:rPr/>
        <w:t>。截至本报告披露之日，本项目尚未签订正式合同。</w:t>
      </w:r>
    </w:p>
    <w:p>
      <w:pPr>
        <w:pStyle w:val="BodyText"/>
        <w:spacing w:line="309" w:lineRule="auto" w:before="31"/>
        <w:ind w:right="1131" w:firstLine="360"/>
        <w:jc w:val="both"/>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04</w:t>
      </w:r>
      <w:r>
        <w:rPr>
          <w:spacing w:val="-2"/>
        </w:rPr>
        <w:t>日收到由中国工程咨询协会颁布的《工程咨询单位甲级资信证书》。本次工程咨询单位甲级资信证</w:t>
      </w:r>
      <w:r>
        <w:rPr/>
        <w:t> </w:t>
      </w:r>
      <w:r>
        <w:rPr>
          <w:spacing w:val="-2"/>
        </w:rPr>
        <w:t>书的取得，有助于永福股份持续优质、高效地开展规划咨询、项目咨询、评估咨询、全过程工程咨询等服务。至此，永福股</w:t>
      </w:r>
      <w:r>
        <w:rPr>
          <w:spacing w:val="-72"/>
        </w:rPr>
        <w:t> </w:t>
      </w:r>
      <w:r>
        <w:rPr>
          <w:spacing w:val="-72"/>
        </w:rPr>
      </w:r>
      <w:r>
        <w:rPr>
          <w:spacing w:val="-2"/>
        </w:rPr>
        <w:t>份同时持有工程设计电力行业甲级资质，工程勘察专业类（岩土工程、工程测量、水文地质勘察）甲级资质，工程咨询电力</w:t>
      </w:r>
    </w:p>
    <w:p>
      <w:pPr>
        <w:pStyle w:val="BodyText"/>
        <w:spacing w:line="300" w:lineRule="auto" w:before="24"/>
        <w:ind w:right="0"/>
        <w:jc w:val="left"/>
      </w:pPr>
      <w:r>
        <w:rPr>
          <w:spacing w:val="-2"/>
        </w:rPr>
        <w:t>（含火电、水电、核电、新能源）专业甲级资信，可承担电力行业各种等级建设工程项目的勘察设计和</w:t>
      </w:r>
      <w:r>
        <w:rPr>
          <w:rFonts w:ascii="Times New Roman" w:hAnsi="Times New Roman" w:cs="Times New Roman" w:eastAsia="Times New Roman" w:hint="default"/>
          <w:spacing w:val="-2"/>
        </w:rPr>
        <w:t>EPC</w:t>
      </w:r>
      <w:r>
        <w:rPr>
          <w:spacing w:val="-2"/>
        </w:rPr>
        <w:t>总承包任务，充</w:t>
      </w:r>
      <w:r>
        <w:rPr>
          <w:spacing w:val="-37"/>
        </w:rPr>
        <w:t> </w:t>
      </w:r>
      <w:r>
        <w:rPr>
          <w:spacing w:val="-37"/>
        </w:rPr>
      </w:r>
      <w:r>
        <w:rPr/>
        <w:t>分彰显了永福股份在工程领域行业综合能力。</w:t>
      </w:r>
    </w:p>
    <w:p>
      <w:pPr>
        <w:pStyle w:val="BodyText"/>
        <w:spacing w:line="309" w:lineRule="auto" w:before="31"/>
        <w:ind w:right="0" w:firstLine="360"/>
        <w:jc w:val="left"/>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日公司获批设立博士后创新实践基地，是公司长期坚持技术创新、重视科技发展的成果，将进一步</w:t>
      </w:r>
      <w:r>
        <w:rPr/>
        <w:t> </w:t>
      </w:r>
      <w:r>
        <w:rPr>
          <w:spacing w:val="-4"/>
        </w:rPr>
        <w:t>推动公司与高校、科研院所的合作，为公司引进高层次技术人才、加强技术创新能力创造更有利的条件。公司将以此为契机，</w:t>
      </w:r>
      <w:r>
        <w:rPr>
          <w:spacing w:val="-46"/>
        </w:rPr>
        <w:t> </w:t>
      </w:r>
      <w:r>
        <w:rPr>
          <w:spacing w:val="-46"/>
        </w:rPr>
      </w:r>
      <w:r>
        <w:rPr/>
        <w:t>充分利用博士后创新实践基地平台，深化产学研合作，强化研发团队和研发能力的建设，不断提升公司核心竞争力。</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十九、公司子公司重大事项" w:id="106"/>
      <w:bookmarkEnd w:id="106"/>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850" w:footer="1267" w:top="1260" w:bottom="14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spacing w:line="240" w:lineRule="auto"/>
        <w:ind w:left="2966" w:right="0"/>
        <w:jc w:val="left"/>
        <w:rPr>
          <w:b w:val="0"/>
          <w:bCs w:val="0"/>
        </w:rPr>
      </w:pPr>
      <w:bookmarkStart w:name="第六节 股份变动及股东情况" w:id="107"/>
      <w:bookmarkEnd w:id="107"/>
      <w:r>
        <w:rPr>
          <w:b w:val="0"/>
          <w:bCs w:val="0"/>
        </w:rPr>
      </w:r>
      <w:bookmarkStart w:name="_bookmark5" w:id="108"/>
      <w:bookmarkEnd w:id="108"/>
      <w:r>
        <w:rPr>
          <w:b w:val="0"/>
          <w:bCs w:val="0"/>
        </w:rPr>
      </w:r>
      <w:r>
        <w:rPr/>
        <w:t>第六节</w:t>
      </w:r>
      <w:r>
        <w:rPr>
          <w:spacing w:val="-7"/>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9"/>
      <w:bookmarkEnd w:id="109"/>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10"/>
      <w:bookmarkEnd w:id="110"/>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8"/>
        <w:gridCol w:w="823"/>
        <w:gridCol w:w="824"/>
        <w:gridCol w:w="822"/>
        <w:gridCol w:w="822"/>
        <w:gridCol w:w="822"/>
        <w:gridCol w:w="822"/>
        <w:gridCol w:w="822"/>
        <w:gridCol w:w="794"/>
        <w:gridCol w:w="794"/>
      </w:tblGrid>
      <w:tr>
        <w:trPr>
          <w:trHeight w:val="402"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5" w:right="13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5" w:right="13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105,060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-25,364,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034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-25,364,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79,695,</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966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56.89%</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34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34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98,259,</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966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70.15%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-18,564,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-18,564,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79,695,</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966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56.89%</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94,485,</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966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67.45%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-14,790,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-14,790,</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79,695,</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966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56.89%</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3,774,0</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-3,774,0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-3,774,0</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35,020,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25,364,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034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25,364,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60,384,</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43.11%</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35,020,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25,364,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034</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25,364,</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034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60,384,</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034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43.11%</w:t>
            </w:r>
          </w:p>
        </w:tc>
      </w:tr>
      <w:tr>
        <w:trPr>
          <w:trHeight w:val="71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140,080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140,08</w:t>
            </w:r>
          </w:p>
          <w:p>
            <w:pPr>
              <w:pStyle w:val="TableParagraph"/>
              <w:spacing w:line="240" w:lineRule="auto" w:before="105"/>
              <w:ind w:left="277" w:right="0"/>
              <w:jc w:val="left"/>
              <w:rPr>
                <w:rFonts w:ascii="Times New Roman" w:hAnsi="Times New Roman" w:cs="Times New Roman" w:eastAsia="Times New Roman" w:hint="default"/>
                <w:sz w:val="18"/>
                <w:szCs w:val="18"/>
              </w:rPr>
            </w:pPr>
            <w:r>
              <w:rPr>
                <w:rFonts w:ascii="Times New Roman"/>
                <w:sz w:val="18"/>
              </w:rPr>
              <w:t>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340" w:lineRule="auto" w:before="51"/>
        <w:ind w:right="1122"/>
        <w:jc w:val="left"/>
      </w:pPr>
      <w:r>
        <w:rPr/>
        <w:t>注</w:t>
      </w:r>
      <w:r>
        <w:rPr>
          <w:rFonts w:ascii="Times New Roman" w:hAnsi="Times New Roman" w:cs="Times New Roman" w:eastAsia="Times New Roman" w:hint="default"/>
        </w:rPr>
        <w:t>: </w:t>
      </w:r>
      <w:r>
        <w:rPr/>
        <w:t>宁波梅山保税港区领慧投资合伙企业（有限合伙）于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29 </w:t>
      </w:r>
      <w:r>
        <w:rPr/>
        <w:t>日限售股到期，</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日上市流通。 股份变动的原因</w:t>
      </w:r>
    </w:p>
    <w:p>
      <w:pPr>
        <w:pStyle w:val="BodyText"/>
        <w:spacing w:line="357" w:lineRule="auto" w:before="40"/>
        <w:ind w:right="9132"/>
        <w:jc w:val="left"/>
      </w:pPr>
      <w:r>
        <w:rPr/>
        <w:t>□ 适用 √ 不适用 股份变动的批准情况</w:t>
      </w:r>
    </w:p>
    <w:p>
      <w:pPr>
        <w:pStyle w:val="BodyText"/>
        <w:spacing w:line="357" w:lineRule="auto" w:before="29"/>
        <w:ind w:right="9132"/>
        <w:jc w:val="left"/>
      </w:pPr>
      <w:r>
        <w:rPr/>
        <w:t>□ 适用 √ 不适用 股份变动的过户情况</w:t>
      </w:r>
    </w:p>
    <w:p>
      <w:pPr>
        <w:pStyle w:val="BodyText"/>
        <w:spacing w:line="360" w:lineRule="auto" w:before="28"/>
        <w:ind w:right="8772"/>
        <w:jc w:val="left"/>
      </w:pPr>
      <w:r>
        <w:rPr/>
        <w:t>□ 适用 √ 不适用 股份回购的实施进展情况</w:t>
      </w:r>
    </w:p>
    <w:p>
      <w:pPr>
        <w:pStyle w:val="BodyText"/>
        <w:spacing w:line="357" w:lineRule="auto" w:before="26"/>
        <w:ind w:right="6972"/>
        <w:jc w:val="left"/>
      </w:pPr>
      <w:r>
        <w:rPr/>
        <w:t>□ 适用 √ 不适用 采用集中竞价方式减持回购股份的实施进展情况</w:t>
      </w:r>
    </w:p>
    <w:p>
      <w:pPr>
        <w:pStyle w:val="BodyText"/>
        <w:spacing w:line="240" w:lineRule="auto" w:before="29"/>
        <w:ind w:right="0"/>
        <w:jc w:val="left"/>
      </w:pPr>
      <w:r>
        <w:rPr/>
        <w:t>□ 适用 √ 不适用</w:t>
      </w:r>
    </w:p>
    <w:p>
      <w:pPr>
        <w:spacing w:after="0" w:line="240" w:lineRule="auto"/>
        <w:jc w:val="left"/>
        <w:sectPr>
          <w:pgSz w:w="11910" w:h="16840"/>
          <w:pgMar w:header="850" w:footer="1267" w:top="1260" w:bottom="1460" w:left="980" w:right="0"/>
        </w:sectPr>
      </w:pPr>
    </w:p>
    <w:p>
      <w:pPr>
        <w:spacing w:line="240" w:lineRule="auto" w:before="10"/>
        <w:rPr>
          <w:rFonts w:ascii="宋体" w:hAnsi="宋体" w:cs="宋体" w:eastAsia="宋体" w:hint="default"/>
          <w:sz w:val="10"/>
          <w:szCs w:val="10"/>
        </w:rPr>
      </w:pPr>
    </w:p>
    <w:p>
      <w:pPr>
        <w:pStyle w:val="BodyText"/>
        <w:spacing w:line="240" w:lineRule="auto" w:before="44"/>
        <w:ind w:right="0"/>
        <w:jc w:val="left"/>
      </w:pPr>
      <w:r>
        <w:rPr/>
        <w:t>股份变动对最近一年和最近一期基本每股收益和稀释每股收益、归属于公司普通股股东的每股净资产等财务指标的影响</w:t>
      </w:r>
    </w:p>
    <w:p>
      <w:pPr>
        <w:pStyle w:val="BodyText"/>
        <w:spacing w:line="360" w:lineRule="auto" w:before="116"/>
        <w:ind w:right="6792"/>
        <w:jc w:val="left"/>
      </w:pPr>
      <w:r>
        <w:rPr/>
        <w:t>□ 适用 √ 不适用 公司认为必要或证券监管机构要求披露的其他内容</w:t>
      </w:r>
    </w:p>
    <w:p>
      <w:pPr>
        <w:pStyle w:val="BodyText"/>
        <w:spacing w:line="240" w:lineRule="auto" w:before="26"/>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限售股份变动情况" w:id="111"/>
      <w:bookmarkEnd w:id="111"/>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99" w:right="138"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5" w:right="134" w:hanging="450"/>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福州博宏投资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41,995,950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41,995,950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福州永福恒诚 投资管理股份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34,216,716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34,216,716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福建省平潭卓 成股权投资合 伙企业（有限 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7,650,000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7,650,000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限售期满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7"/>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比利时直 接股权投资基 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6,800,034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6,800,034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限售期满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left"/>
              <w:rPr>
                <w:rFonts w:ascii="宋体" w:hAnsi="宋体" w:cs="宋体" w:eastAsia="宋体" w:hint="default"/>
                <w:sz w:val="18"/>
                <w:szCs w:val="18"/>
              </w:rPr>
            </w:pPr>
            <w:r>
              <w:rPr>
                <w:rFonts w:ascii="宋体" w:hAnsi="宋体" w:cs="宋体" w:eastAsia="宋体" w:hint="default"/>
                <w:sz w:val="18"/>
                <w:szCs w:val="18"/>
              </w:rPr>
              <w:t>青岛汉缆股份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限售期满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福建省永福博 发投资股份有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3,483,300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3,483,300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首发限售承诺</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林文丹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3,060,000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3,060,000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限售期满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7"/>
              <w:jc w:val="both"/>
              <w:rPr>
                <w:rFonts w:ascii="宋体" w:hAnsi="宋体" w:cs="宋体" w:eastAsia="宋体" w:hint="default"/>
                <w:sz w:val="18"/>
                <w:szCs w:val="18"/>
              </w:rPr>
            </w:pPr>
            <w:r>
              <w:rPr>
                <w:rFonts w:ascii="宋体" w:hAnsi="宋体" w:cs="宋体" w:eastAsia="宋体" w:hint="default"/>
                <w:sz w:val="18"/>
                <w:szCs w:val="18"/>
              </w:rPr>
              <w:t>宁波梅山保税 港区领慧投资 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3,060,000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3,060,000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限售期满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林华明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714,000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限售期满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105,060,000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25,364,034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79,695,966</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7"/>
        <w:rPr>
          <w:rFonts w:ascii="宋体" w:hAnsi="宋体" w:cs="宋体" w:eastAsia="宋体" w:hint="default"/>
          <w:sz w:val="8"/>
          <w:szCs w:val="8"/>
        </w:rPr>
      </w:pPr>
    </w:p>
    <w:p>
      <w:pPr>
        <w:pStyle w:val="Heading2"/>
        <w:spacing w:line="240" w:lineRule="auto" w:before="26"/>
        <w:ind w:right="0"/>
        <w:jc w:val="left"/>
        <w:rPr>
          <w:b w:val="0"/>
          <w:bCs w:val="0"/>
        </w:rPr>
      </w:pPr>
      <w:bookmarkStart w:name="二、证券发行与上市情况" w:id="112"/>
      <w:bookmarkEnd w:id="112"/>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13"/>
      <w:bookmarkEnd w:id="113"/>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14"/>
      <w:bookmarkEnd w:id="114"/>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现存的内部职工股情况" w:id="115"/>
      <w:bookmarkEnd w:id="115"/>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股东和实际控制人情况" w:id="116"/>
      <w:bookmarkEnd w:id="116"/>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7"/>
      <w:bookmarkEnd w:id="117"/>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4"/>
        <w:gridCol w:w="135"/>
        <w:gridCol w:w="661"/>
        <w:gridCol w:w="750"/>
        <w:gridCol w:w="750"/>
        <w:gridCol w:w="825"/>
        <w:gridCol w:w="332"/>
        <w:gridCol w:w="456"/>
        <w:gridCol w:w="830"/>
        <w:gridCol w:w="796"/>
        <w:gridCol w:w="311"/>
        <w:gridCol w:w="1038"/>
        <w:gridCol w:w="290"/>
        <w:gridCol w:w="1060"/>
      </w:tblGrid>
      <w:tr>
        <w:trPr>
          <w:trHeight w:val="1967"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13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17,320</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305"/>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14,822</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92"/>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03" w:right="57"/>
              <w:jc w:val="both"/>
              <w:rPr>
                <w:rFonts w:ascii="宋体" w:hAnsi="宋体" w:cs="宋体" w:eastAsia="宋体" w:hint="default"/>
                <w:sz w:val="18"/>
                <w:szCs w:val="18"/>
              </w:rPr>
            </w:pPr>
            <w:r>
              <w:rPr>
                <w:rFonts w:ascii="宋体" w:hAnsi="宋体" w:cs="宋体" w:eastAsia="宋体" w:hint="default"/>
                <w:spacing w:val="-21"/>
                <w:sz w:val="18"/>
                <w:szCs w:val="18"/>
              </w:rPr>
              <w:t>（如有）（参见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2"/>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8"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6" w:right="116"/>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8" w:right="11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7" w:right="16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30"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福州博宏投资 管理有限公司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29.98%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41,995,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950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41,995,</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950</w:t>
            </w:r>
          </w:p>
        </w:tc>
        <w:tc>
          <w:tcPr>
            <w:tcW w:w="79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2,500,000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福州永福恒诚 投资管理股份 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24.43%</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34,216,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716</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34,216,</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716</w:t>
            </w:r>
          </w:p>
        </w:tc>
        <w:tc>
          <w:tcPr>
            <w:tcW w:w="796"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2,050,000</w:t>
            </w:r>
          </w:p>
        </w:tc>
      </w:tr>
      <w:tr>
        <w:trPr>
          <w:trHeight w:val="133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福建省平潭卓 成股权投资合 伙企业（有限合 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5.46%</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7,650,0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7,650,0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比利时直 接股权投资基 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4.85%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5"/>
              <w:ind w:left="531" w:right="0"/>
              <w:jc w:val="left"/>
              <w:rPr>
                <w:rFonts w:ascii="Times New Roman" w:hAnsi="Times New Roman" w:cs="Times New Roman" w:eastAsia="Times New Roman" w:hint="default"/>
                <w:sz w:val="18"/>
                <w:szCs w:val="18"/>
              </w:rPr>
            </w:pPr>
            <w:r>
              <w:rPr>
                <w:rFonts w:ascii="Times New Roman"/>
                <w:sz w:val="18"/>
              </w:rPr>
              <w:t>34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6,800,0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34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青岛汉缆股份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4,080,0</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4,080,0</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福建省永福博 发投资股份有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3,483,3</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3,483,3</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林文丹</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3,060,0</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-13,000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3,060,0</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宁波梅山保税 港区领慧投资 合伙企业（有限 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21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2.18%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3,060,0</w:t>
            </w:r>
          </w:p>
          <w:p>
            <w:pPr>
              <w:pStyle w:val="TableParagraph"/>
              <w:spacing w:line="240" w:lineRule="auto" w:before="106"/>
              <w:ind w:left="493" w:right="0"/>
              <w:jc w:val="left"/>
              <w:rPr>
                <w:rFonts w:ascii="Times New Roman" w:hAnsi="Times New Roman" w:cs="Times New Roman" w:eastAsia="Times New Roman" w:hint="default"/>
                <w:sz w:val="18"/>
                <w:szCs w:val="18"/>
              </w:rPr>
            </w:pPr>
            <w:r>
              <w:rPr>
                <w:rFonts w:ascii="Times New Roman"/>
                <w:sz w:val="18"/>
              </w:rPr>
              <w:t>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3,060,0</w:t>
            </w:r>
          </w:p>
          <w:p>
            <w:pPr>
              <w:pStyle w:val="TableParagraph"/>
              <w:spacing w:line="240" w:lineRule="auto" w:before="106"/>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林华明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698,80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-15,200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698,800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福建永福电力 设计股份有限 公司－第一期 员工持股计划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z w:val="18"/>
              </w:rPr>
              <w:t>0.26%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359,20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359,20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359,200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福州博宏投资管理有限公司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福州永福恒诚投资管理股份有限公司和福建 省永福博发投资股份有限公司均为公司实际控制人控制，为公司的控股股东。</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福建省平潭卓成股权投资合伙企 业（有限合伙）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7,650,000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比利时直接股权投资基金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6,800,034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6,800,034</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青岛汉缆股份有限公司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4,080,000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林文丹</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3,060,000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5"/>
              <w:jc w:val="left"/>
              <w:rPr>
                <w:rFonts w:ascii="宋体" w:hAnsi="宋体" w:cs="宋体" w:eastAsia="宋体" w:hint="default"/>
                <w:sz w:val="18"/>
                <w:szCs w:val="18"/>
              </w:rPr>
            </w:pPr>
            <w:r>
              <w:rPr>
                <w:rFonts w:ascii="宋体" w:hAnsi="宋体" w:cs="宋体" w:eastAsia="宋体" w:hint="default"/>
                <w:sz w:val="18"/>
                <w:szCs w:val="18"/>
              </w:rPr>
              <w:t>宁波梅山保税港区领慧投资合伙 企业（有限合伙）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3,060,000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林华明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698,800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698,800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－第一期员工持股计划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359,200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359,200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吴肖根</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210,300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张冬至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178,400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徐丹</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169,300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169,300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880"/>
        <w:gridCol w:w="6688"/>
      </w:tblGrid>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103" w:right="15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2"/>
              <w:jc w:val="left"/>
              <w:rPr>
                <w:rFonts w:ascii="宋体" w:hAnsi="宋体" w:cs="宋体" w:eastAsia="宋体" w:hint="default"/>
                <w:sz w:val="18"/>
                <w:szCs w:val="18"/>
              </w:rPr>
            </w:pPr>
            <w:r>
              <w:rPr>
                <w:rFonts w:ascii="宋体" w:hAnsi="宋体" w:cs="宋体" w:eastAsia="宋体" w:hint="default"/>
                <w:spacing w:val="-1"/>
                <w:sz w:val="18"/>
                <w:szCs w:val="18"/>
              </w:rPr>
              <w:t>公司未知上述股东之间以及上述股东和前十名股东之间是否存在关联关系，也未知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是否属于一致行动人。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t>□ 是 √ 否</w:t>
      </w:r>
    </w:p>
    <w:p>
      <w:pPr>
        <w:pStyle w:val="BodyText"/>
        <w:spacing w:line="240" w:lineRule="auto" w:before="116"/>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8"/>
      <w:bookmarkEnd w:id="118"/>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09" w:right="14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4"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3" w:right="105"/>
              <w:jc w:val="left"/>
              <w:rPr>
                <w:rFonts w:ascii="宋体" w:hAnsi="宋体" w:cs="宋体" w:eastAsia="宋体" w:hint="default"/>
                <w:sz w:val="18"/>
                <w:szCs w:val="18"/>
              </w:rPr>
            </w:pPr>
            <w:r>
              <w:rPr>
                <w:rFonts w:ascii="宋体" w:hAnsi="宋体" w:cs="宋体" w:eastAsia="宋体" w:hint="default"/>
                <w:sz w:val="18"/>
                <w:szCs w:val="18"/>
              </w:rPr>
              <w:t>福州博宏投资管理有限公 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91350100060378750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w w:val="99"/>
                <w:sz w:val="18"/>
              </w:rPr>
              <w:t>J</w:t>
            </w:r>
            <w:r>
              <w:rPr>
                <w:rFonts w:ascii="Times New Roman"/>
                <w:sz w:val="18"/>
              </w:rPr>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投资管理；对电力业、房 地产业、通讯业、计算机 网络的投资；企业资产管 </w:t>
            </w:r>
            <w:r>
              <w:rPr>
                <w:rFonts w:ascii="宋体" w:hAnsi="宋体" w:cs="宋体" w:eastAsia="宋体" w:hint="default"/>
                <w:spacing w:val="-3"/>
                <w:sz w:val="18"/>
                <w:szCs w:val="18"/>
              </w:rPr>
              <w:t>理；企业管理咨询。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依法</w:t>
            </w:r>
            <w:r>
              <w:rPr>
                <w:rFonts w:ascii="宋体" w:hAnsi="宋体" w:cs="宋体" w:eastAsia="宋体" w:hint="default"/>
                <w:spacing w:val="-79"/>
                <w:sz w:val="18"/>
                <w:szCs w:val="18"/>
              </w:rPr>
              <w:t> </w:t>
            </w:r>
            <w:r>
              <w:rPr>
                <w:rFonts w:ascii="宋体" w:hAnsi="宋体" w:cs="宋体" w:eastAsia="宋体" w:hint="default"/>
                <w:sz w:val="18"/>
                <w:szCs w:val="18"/>
              </w:rPr>
              <w:t>须经批准的项目，经相关 部门批准后方可开展经营 活动</w:t>
            </w:r>
            <w:r>
              <w:rPr>
                <w:rFonts w:ascii="Times New Roman" w:hAnsi="Times New Roman" w:cs="Times New Roman" w:eastAsia="Times New Roman" w:hint="default"/>
                <w:sz w:val="18"/>
                <w:szCs w:val="18"/>
              </w:rPr>
              <w:t>)</w:t>
            </w:r>
          </w:p>
        </w:tc>
      </w:tr>
      <w:tr>
        <w:trPr>
          <w:trHeight w:val="196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福州永福恒诚投资管理股 份有限公司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91350100060352446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对电力业、房地产业、通 讯业、计算机网络的投资 及资产管理，企业管理咨 询。</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依法须经批准的项 目，经相关部门批准后方 可开展经营活动</w:t>
            </w:r>
            <w:r>
              <w:rPr>
                <w:rFonts w:ascii="Times New Roman" w:hAnsi="Times New Roman" w:cs="Times New Roman" w:eastAsia="Times New Roman" w:hint="default"/>
                <w:sz w:val="18"/>
                <w:szCs w:val="18"/>
              </w:rPr>
              <w:t>)</w:t>
            </w:r>
          </w:p>
        </w:tc>
      </w:tr>
      <w:tr>
        <w:trPr>
          <w:trHeight w:val="1962"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03" w:right="105"/>
              <w:jc w:val="left"/>
              <w:rPr>
                <w:rFonts w:ascii="宋体" w:hAnsi="宋体" w:cs="宋体" w:eastAsia="宋体" w:hint="default"/>
                <w:sz w:val="18"/>
                <w:szCs w:val="18"/>
              </w:rPr>
            </w:pPr>
            <w:r>
              <w:rPr>
                <w:rFonts w:ascii="宋体" w:hAnsi="宋体" w:cs="宋体" w:eastAsia="宋体" w:hint="default"/>
                <w:sz w:val="18"/>
                <w:szCs w:val="18"/>
              </w:rPr>
              <w:t>福建省永福博发投资股份 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91350100056138615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对电力业、房地产业、通 讯业、计算机网络的投资 及资产管理，企业管理咨 询。 </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依法须经批准的项 目，经相关部门批准后方 可开展经营活动</w:t>
            </w:r>
            <w:r>
              <w:rPr>
                <w:rFonts w:ascii="Times New Roman" w:hAnsi="Times New Roman" w:cs="Times New Roman" w:eastAsia="Times New Roman" w:hint="default"/>
                <w:sz w:val="18"/>
                <w:szCs w:val="18"/>
              </w:rPr>
              <w:t>)</w:t>
            </w:r>
          </w:p>
        </w:tc>
      </w:tr>
      <w:tr>
        <w:trPr>
          <w:trHeight w:val="1026"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5"/>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57" w:lineRule="auto" w:before="117"/>
        <w:ind w:right="8052"/>
        <w:jc w:val="left"/>
      </w:pPr>
      <w:r>
        <w:rPr/>
        <w:t>□ 适用 √ 不适用 公司报告期控股股东未发生变更。</w:t>
      </w:r>
    </w:p>
    <w:p>
      <w:pPr>
        <w:spacing w:after="0" w:line="357"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left"/>
        <w:rPr>
          <w:b w:val="0"/>
          <w:bCs w:val="0"/>
        </w:rPr>
      </w:pPr>
      <w:bookmarkStart w:name="3、公司实际控制人及其一致行动人" w:id="119"/>
      <w:bookmarkEnd w:id="119"/>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卓秀者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卢庆议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
              <w:jc w:val="left"/>
              <w:rPr>
                <w:rFonts w:ascii="宋体" w:hAnsi="宋体" w:cs="宋体" w:eastAsia="宋体" w:hint="default"/>
                <w:sz w:val="18"/>
                <w:szCs w:val="18"/>
              </w:rPr>
            </w:pPr>
            <w:r>
              <w:rPr>
                <w:rFonts w:ascii="宋体" w:hAnsi="宋体" w:cs="宋体" w:eastAsia="宋体" w:hint="default"/>
                <w:sz w:val="18"/>
                <w:szCs w:val="18"/>
              </w:rPr>
              <w:t>报告期内，林一文先生担任公司董事长、总经理；季征南先生担任公司副董事长；王劲军 </w:t>
            </w:r>
            <w:r>
              <w:rPr>
                <w:rFonts w:ascii="宋体" w:hAnsi="宋体" w:cs="宋体" w:eastAsia="宋体" w:hint="default"/>
                <w:spacing w:val="-4"/>
                <w:sz w:val="18"/>
                <w:szCs w:val="18"/>
              </w:rPr>
              <w:t>先生担任公司董事、副总经理；宋发兴先生担任公司副总经理；钱有武先生担任公司董事、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副总经理；卓秀者女士担任公司副总经理；陈强先生担任公司副总经理；卢庆议先生担任</w:t>
            </w:r>
            <w:r>
              <w:rPr>
                <w:rFonts w:ascii="宋体" w:hAnsi="宋体" w:cs="宋体" w:eastAsia="宋体" w:hint="default"/>
                <w:sz w:val="18"/>
                <w:szCs w:val="18"/>
              </w:rPr>
              <w:t> 公司董事会秘书、副总经理。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0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57" w:lineRule="auto" w:before="117"/>
        <w:ind w:right="6792"/>
        <w:jc w:val="left"/>
      </w:pPr>
      <w:r>
        <w:rPr/>
        <w:t>□ 适用 √ 不适用 公司报告期实际控制人未发生变更。 公司与实际控制人之间的产权及控制关系的方框图</w:t>
      </w:r>
    </w:p>
    <w:p>
      <w:pPr>
        <w:spacing w:line="240" w:lineRule="auto" w:before="7"/>
        <w:rPr>
          <w:rFonts w:ascii="宋体" w:hAnsi="宋体" w:cs="宋体" w:eastAsia="宋体" w:hint="default"/>
          <w:sz w:val="17"/>
          <w:szCs w:val="17"/>
        </w:rPr>
      </w:pPr>
    </w:p>
    <w:p>
      <w:pPr>
        <w:spacing w:line="4260" w:lineRule="exact"/>
        <w:ind w:left="1358"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91050" cy="2705100"/>
            <wp:effectExtent l="0" t="0" r="0" b="0"/>
            <wp:docPr id="9" name="image7.jpeg" descr=""/>
            <wp:cNvGraphicFramePr>
              <a:graphicFrameLocks noChangeAspect="1"/>
            </wp:cNvGraphicFramePr>
            <a:graphic>
              <a:graphicData uri="http://schemas.openxmlformats.org/drawingml/2006/picture">
                <pic:pic>
                  <pic:nvPicPr>
                    <pic:cNvPr id="10" name="image7.jpeg"/>
                    <pic:cNvPicPr/>
                  </pic:nvPicPr>
                  <pic:blipFill>
                    <a:blip r:embed="rId16" cstate="print"/>
                    <a:stretch>
                      <a:fillRect/>
                    </a:stretch>
                  </pic:blipFill>
                  <pic:spPr>
                    <a:xfrm>
                      <a:off x="0" y="0"/>
                      <a:ext cx="4591050" cy="2705100"/>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7"/>
        <w:rPr>
          <w:rFonts w:ascii="宋体" w:hAnsi="宋体" w:cs="宋体" w:eastAsia="宋体" w:hint="default"/>
          <w:sz w:val="16"/>
          <w:szCs w:val="16"/>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after="0"/>
        <w:jc w:val="left"/>
        <w:rPr>
          <w:rFonts w:ascii="宋体" w:hAnsi="宋体" w:cs="宋体" w:eastAsia="宋体" w:hint="default"/>
          <w:sz w:val="24"/>
          <w:szCs w:val="24"/>
        </w:rPr>
        <w:sectPr>
          <w:pgSz w:w="11910" w:h="16840"/>
          <w:pgMar w:header="850" w:footer="1267" w:top="1260" w:bottom="1460" w:left="980" w:right="0"/>
        </w:sectPr>
      </w:pPr>
    </w:p>
    <w:p>
      <w:pPr>
        <w:spacing w:line="240" w:lineRule="auto" w:before="10"/>
        <w:rPr>
          <w:rFonts w:ascii="宋体" w:hAnsi="宋体" w:cs="宋体" w:eastAsia="宋体" w:hint="default"/>
          <w:sz w:val="10"/>
          <w:szCs w:val="10"/>
        </w:rPr>
      </w:pPr>
    </w:p>
    <w:p>
      <w:pPr>
        <w:pStyle w:val="BodyText"/>
        <w:spacing w:line="240" w:lineRule="auto" w:before="44"/>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持股在10%以上的法人股东" w:id="120"/>
      <w:bookmarkEnd w:id="120"/>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控股股东、实际控制人、重组方及其他承诺主体股份限制减持情况" w:id="121"/>
      <w:bookmarkEnd w:id="121"/>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850" w:footer="1267" w:top="1260" w:bottom="14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spacing w:line="240" w:lineRule="auto"/>
        <w:ind w:left="3286" w:right="0"/>
        <w:jc w:val="left"/>
        <w:rPr>
          <w:b w:val="0"/>
          <w:bCs w:val="0"/>
        </w:rPr>
      </w:pPr>
      <w:bookmarkStart w:name="第七节 优先股相关情况" w:id="122"/>
      <w:bookmarkEnd w:id="122"/>
      <w:r>
        <w:rPr>
          <w:b w:val="0"/>
          <w:bCs w:val="0"/>
        </w:rPr>
      </w:r>
      <w:bookmarkStart w:name="_bookmark6" w:id="123"/>
      <w:bookmarkEnd w:id="123"/>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57" w:lineRule="auto" w:before="44"/>
        <w:ind w:right="8592"/>
        <w:jc w:val="left"/>
      </w:pPr>
      <w:r>
        <w:rPr/>
        <w:t>□ 适用 √ 不适用 报告期公司不存在优先股。</w:t>
      </w:r>
    </w:p>
    <w:p>
      <w:pPr>
        <w:spacing w:after="0" w:line="357" w:lineRule="auto"/>
        <w:jc w:val="left"/>
        <w:sectPr>
          <w:pgSz w:w="11910" w:h="16840"/>
          <w:pgMar w:header="850" w:footer="1267" w:top="1260" w:bottom="14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spacing w:line="240" w:lineRule="auto"/>
        <w:ind w:left="1680" w:right="0"/>
        <w:jc w:val="left"/>
        <w:rPr>
          <w:b w:val="0"/>
          <w:bCs w:val="0"/>
        </w:rPr>
      </w:pPr>
      <w:bookmarkStart w:name="第八节 董事、监事、高级管理人员和员工情况" w:id="124"/>
      <w:bookmarkEnd w:id="124"/>
      <w:r>
        <w:rPr>
          <w:b w:val="0"/>
          <w:bCs w:val="0"/>
        </w:rPr>
      </w:r>
      <w:bookmarkStart w:name="_bookmark7" w:id="125"/>
      <w:bookmarkEnd w:id="125"/>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03" w:right="121"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董事、 副总经 理、总 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黄肇敏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陈  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许永东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78"/>
              <w:jc w:val="righ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李卫国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张俊财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王建明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卢庆议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both"/>
              <w:rPr>
                <w:rFonts w:ascii="宋体" w:hAnsi="宋体" w:cs="宋体" w:eastAsia="宋体" w:hint="default"/>
                <w:sz w:val="18"/>
                <w:szCs w:val="18"/>
              </w:rPr>
            </w:pPr>
            <w:r>
              <w:rPr>
                <w:rFonts w:ascii="宋体" w:hAnsi="宋体" w:cs="宋体" w:eastAsia="宋体" w:hint="default"/>
                <w:sz w:val="18"/>
                <w:szCs w:val="18"/>
              </w:rPr>
              <w:t>副总经 理、董 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张善传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卓秀者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23"/>
              <w:jc w:val="righ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2"/>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2"/>
              <w:jc w:val="righ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李卫国</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王建明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黄肇敏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许永东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张俊财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8"/>
      <w:bookmarkEnd w:id="128"/>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spacing w:line="240" w:lineRule="auto" w:before="10"/>
        <w:rPr>
          <w:rFonts w:ascii="宋体" w:hAnsi="宋体" w:cs="宋体" w:eastAsia="宋体" w:hint="default"/>
          <w:sz w:val="17"/>
          <w:szCs w:val="17"/>
        </w:rPr>
      </w:pPr>
    </w:p>
    <w:p>
      <w:pPr>
        <w:pStyle w:val="BodyText"/>
        <w:spacing w:line="240" w:lineRule="auto"/>
        <w:ind w:left="634" w:right="0"/>
        <w:jc w:val="left"/>
      </w:pPr>
      <w:r>
        <w:rPr/>
        <w:t>（一）公司董事任职情况：</w:t>
      </w:r>
    </w:p>
    <w:p>
      <w:pPr>
        <w:spacing w:line="240" w:lineRule="auto" w:before="9"/>
        <w:rPr>
          <w:rFonts w:ascii="宋体" w:hAnsi="宋体" w:cs="宋体" w:eastAsia="宋体" w:hint="default"/>
          <w:sz w:val="17"/>
          <w:szCs w:val="17"/>
        </w:rPr>
      </w:pPr>
    </w:p>
    <w:p>
      <w:pPr>
        <w:pStyle w:val="BodyText"/>
        <w:spacing w:line="240" w:lineRule="auto"/>
        <w:ind w:left="634" w:right="0"/>
        <w:jc w:val="left"/>
      </w:pPr>
      <w:r>
        <w:rPr>
          <w:rFonts w:ascii="Times New Roman" w:hAnsi="Times New Roman" w:cs="Times New Roman" w:eastAsia="Times New Roman" w:hint="default"/>
        </w:rPr>
        <w:t>1</w:t>
      </w:r>
      <w:r>
        <w:rPr/>
        <w:t>、林一文先生：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9</w:t>
      </w:r>
      <w:r>
        <w:rPr/>
        <w:t>月出生，中国国籍，无永久境外居留权，上海交通大学热能工程学本科学历，高级工程师。</w:t>
      </w:r>
    </w:p>
    <w:p>
      <w:pPr>
        <w:pStyle w:val="BodyText"/>
        <w:spacing w:line="300" w:lineRule="auto" w:before="63"/>
        <w:ind w:right="0"/>
        <w:jc w:val="left"/>
      </w:pP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月，福建省电力勘测设计院部门副主任、院副总工程师；</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月，福建永福工程顾问有</w:t>
      </w:r>
      <w:r>
        <w:rPr>
          <w:spacing w:val="-46"/>
        </w:rPr>
        <w:t> </w:t>
      </w:r>
      <w:r>
        <w:rPr>
          <w:spacing w:val="-46"/>
        </w:rPr>
      </w:r>
      <w:r>
        <w:rPr>
          <w:spacing w:val="-2"/>
        </w:rPr>
        <w:t>限公司总经理；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月，福建永福工程顾问有限公司董事兼总经理；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月，福建永福工</w:t>
      </w:r>
      <w:r>
        <w:rPr>
          <w:spacing w:val="-43"/>
        </w:rPr>
        <w:t> </w:t>
      </w:r>
      <w:r>
        <w:rPr>
          <w:spacing w:val="-43"/>
        </w:rPr>
      </w:r>
      <w:r>
        <w:rPr>
          <w:spacing w:val="-2"/>
        </w:rPr>
        <w:t>程顾问有限公司副董事长兼总经理；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月，福建永福工程顾问有限公司董事长兼总经理；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月至今，</w:t>
      </w:r>
      <w:r>
        <w:rPr>
          <w:spacing w:val="-50"/>
        </w:rPr>
        <w:t> </w:t>
      </w:r>
      <w:r>
        <w:rPr/>
        <w:t>福建永福电力设计股份有限公司董事长兼总经理。</w:t>
      </w:r>
    </w:p>
    <w:p>
      <w:pPr>
        <w:spacing w:line="240" w:lineRule="auto" w:before="4"/>
        <w:rPr>
          <w:rFonts w:ascii="宋体" w:hAnsi="宋体" w:cs="宋体" w:eastAsia="宋体" w:hint="default"/>
          <w:sz w:val="14"/>
          <w:szCs w:val="14"/>
        </w:rPr>
      </w:pPr>
    </w:p>
    <w:p>
      <w:pPr>
        <w:pStyle w:val="BodyText"/>
        <w:spacing w:line="240" w:lineRule="auto"/>
        <w:ind w:left="634" w:right="0"/>
        <w:jc w:val="left"/>
      </w:pPr>
      <w:r>
        <w:rPr>
          <w:rFonts w:ascii="Times New Roman" w:hAnsi="Times New Roman" w:cs="Times New Roman" w:eastAsia="Times New Roman" w:hint="default"/>
        </w:rPr>
        <w:t>2</w:t>
      </w:r>
      <w:r>
        <w:rPr/>
        <w:t>、季征南先生：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4</w:t>
      </w:r>
      <w:r>
        <w:rPr/>
        <w:t>月出生，中国国籍，无永久境外居留权，同济大学工业自动化专业本科学历，高级工程师。</w:t>
      </w:r>
    </w:p>
    <w:p>
      <w:pPr>
        <w:pStyle w:val="BodyText"/>
        <w:spacing w:line="300" w:lineRule="auto" w:before="63"/>
        <w:ind w:right="1129"/>
        <w:jc w:val="both"/>
      </w:pPr>
      <w:r>
        <w:rPr>
          <w:rFonts w:ascii="Times New Roman" w:hAnsi="Times New Roman" w:cs="Times New Roman" w:eastAsia="Times New Roman" w:hint="default"/>
        </w:rPr>
        <w:t>1985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3</w:t>
      </w:r>
      <w:r>
        <w:rPr/>
        <w:t>月，福建省电力勘测设计院组长、副主任、主任；</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月，福建永福工程顾问有限公</w:t>
      </w:r>
      <w:r>
        <w:rPr>
          <w:spacing w:val="-83"/>
        </w:rPr>
        <w:t> </w:t>
      </w:r>
      <w:r>
        <w:rPr>
          <w:spacing w:val="-83"/>
        </w:rPr>
      </w:r>
      <w:r>
        <w:rPr>
          <w:spacing w:val="-2"/>
        </w:rPr>
        <w:t>司董事、总经理；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月，福建永福工程顾问有限公司董事长；</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w:t>
      </w:r>
      <w:r>
        <w:rPr>
          <w:spacing w:val="-46"/>
        </w:rPr>
        <w:t> </w:t>
      </w:r>
      <w:r>
        <w:rPr>
          <w:spacing w:val="-46"/>
        </w:rPr>
      </w:r>
      <w:r>
        <w:rPr/>
        <w:t>有限公司副董事长；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月至今，福建永福电力设计股份有限公司副董事长。</w:t>
      </w:r>
    </w:p>
    <w:p>
      <w:pPr>
        <w:spacing w:line="240" w:lineRule="auto" w:before="12"/>
        <w:rPr>
          <w:rFonts w:ascii="宋体" w:hAnsi="宋体" w:cs="宋体" w:eastAsia="宋体" w:hint="default"/>
          <w:sz w:val="12"/>
          <w:szCs w:val="12"/>
        </w:rPr>
      </w:pPr>
    </w:p>
    <w:p>
      <w:pPr>
        <w:pStyle w:val="BodyText"/>
        <w:spacing w:line="300" w:lineRule="auto"/>
        <w:ind w:right="1129" w:firstLine="480"/>
        <w:jc w:val="both"/>
      </w:pPr>
      <w:r>
        <w:rPr>
          <w:rFonts w:ascii="Times New Roman" w:hAnsi="Times New Roman" w:cs="Times New Roman" w:eastAsia="Times New Roman" w:hint="default"/>
          <w:spacing w:val="-1"/>
        </w:rPr>
        <w:t>3</w:t>
      </w:r>
      <w:r>
        <w:rPr>
          <w:spacing w:val="-1"/>
        </w:rPr>
        <w:t>、王劲军先生：</w:t>
      </w:r>
      <w:r>
        <w:rPr>
          <w:rFonts w:ascii="Times New Roman" w:hAnsi="Times New Roman" w:cs="Times New Roman" w:eastAsia="Times New Roman" w:hint="default"/>
          <w:spacing w:val="-1"/>
        </w:rPr>
        <w:t>1969</w:t>
      </w:r>
      <w:r>
        <w:rPr>
          <w:spacing w:val="-1"/>
        </w:rPr>
        <w:t>年</w:t>
      </w:r>
      <w:r>
        <w:rPr>
          <w:rFonts w:ascii="Times New Roman" w:hAnsi="Times New Roman" w:cs="Times New Roman" w:eastAsia="Times New Roman" w:hint="default"/>
          <w:spacing w:val="-1"/>
        </w:rPr>
        <w:t>11</w:t>
      </w:r>
      <w:r>
        <w:rPr>
          <w:spacing w:val="-1"/>
        </w:rPr>
        <w:t>月出生，中国国籍，无永久境外居留权，华南理工大学本科学历，高级工程师。</w:t>
      </w:r>
      <w:r>
        <w:rPr>
          <w:rFonts w:ascii="Times New Roman" w:hAnsi="Times New Roman" w:cs="Times New Roman" w:eastAsia="Times New Roman" w:hint="default"/>
          <w:spacing w:val="-1"/>
        </w:rPr>
        <w:t>1991</w:t>
      </w:r>
      <w:r>
        <w:rPr>
          <w:spacing w:val="-1"/>
        </w:rPr>
        <w:t>年</w:t>
      </w:r>
      <w:r>
        <w:rPr>
          <w:rFonts w:ascii="Times New Roman" w:hAnsi="Times New Roman" w:cs="Times New Roman" w:eastAsia="Times New Roman" w:hint="default"/>
          <w:spacing w:val="-1"/>
        </w:rPr>
        <w:t>8</w:t>
      </w:r>
      <w:r>
        <w:rPr>
          <w:spacing w:val="-1"/>
        </w:rPr>
        <w:t>月</w:t>
      </w:r>
      <w:r>
        <w:rPr/>
        <w:t> 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月，福建省电力勘测设计院电控设计部主任；</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月，福建永福工程顾问有限公司董事、副总经</w:t>
      </w:r>
      <w:r>
        <w:rPr>
          <w:spacing w:val="-83"/>
        </w:rPr>
        <w:t> </w:t>
      </w:r>
      <w:r>
        <w:rPr>
          <w:spacing w:val="-83"/>
        </w:rPr>
      </w:r>
      <w:r>
        <w:rPr>
          <w:spacing w:val="-1"/>
        </w:rPr>
        <w:t>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10</w:t>
      </w:r>
      <w:r>
        <w:rPr>
          <w:spacing w:val="-1"/>
        </w:rPr>
        <w:t>日，福建永福电力设计股份有限公司董事、副总经理、总工程师；</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10</w:t>
      </w:r>
      <w:r>
        <w:rPr>
          <w:spacing w:val="-1"/>
        </w:rPr>
        <w:t>日至今</w:t>
      </w:r>
      <w:r>
        <w:rPr>
          <w:rFonts w:ascii="Times New Roman" w:hAnsi="Times New Roman" w:cs="Times New Roman" w:eastAsia="Times New Roman" w:hint="default"/>
          <w:spacing w:val="-1"/>
        </w:rPr>
        <w:t>,</w:t>
      </w:r>
      <w:r>
        <w:rPr>
          <w:spacing w:val="-1"/>
        </w:rPr>
        <w:t>福建永</w:t>
      </w:r>
      <w:r>
        <w:rPr>
          <w:spacing w:val="-65"/>
        </w:rPr>
        <w:t> </w:t>
      </w:r>
      <w:r>
        <w:rPr/>
        <w:t>福电力设计股份有限公司董事、副总经理。</w:t>
      </w:r>
    </w:p>
    <w:p>
      <w:pPr>
        <w:spacing w:line="240" w:lineRule="auto" w:before="4"/>
        <w:rPr>
          <w:rFonts w:ascii="宋体" w:hAnsi="宋体" w:cs="宋体" w:eastAsia="宋体" w:hint="default"/>
          <w:sz w:val="14"/>
          <w:szCs w:val="14"/>
        </w:rPr>
      </w:pPr>
    </w:p>
    <w:p>
      <w:pPr>
        <w:pStyle w:val="BodyText"/>
        <w:spacing w:line="300" w:lineRule="auto"/>
        <w:ind w:right="1131" w:firstLine="480"/>
        <w:jc w:val="both"/>
      </w:pPr>
      <w:r>
        <w:rPr>
          <w:rFonts w:ascii="Times New Roman" w:hAnsi="Times New Roman" w:cs="Times New Roman" w:eastAsia="Times New Roman" w:hint="default"/>
        </w:rPr>
        <w:t>4</w:t>
      </w:r>
      <w:r>
        <w:rPr/>
        <w:t>、钱有武先生：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10</w:t>
      </w:r>
      <w:r>
        <w:rPr/>
        <w:t>月出生，中国国籍，无永久境外居留权，山东建筑工程学院工民建专业本科学历，高级工 </w:t>
      </w:r>
      <w:r>
        <w:rPr>
          <w:spacing w:val="-2"/>
        </w:rPr>
        <w:t>程师。</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月，福建省电力勘测设计院组长、专职设总；</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w:t>
      </w:r>
      <w:r>
        <w:rPr>
          <w:spacing w:val="-46"/>
        </w:rPr>
        <w:t> </w:t>
      </w:r>
      <w:r>
        <w:rPr>
          <w:spacing w:val="-46"/>
        </w:rPr>
      </w:r>
      <w:r>
        <w:rPr/>
        <w:t>司董事、副总经理；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月至今任福建永福电力设计股份有限公司董事、副总经理。</w:t>
      </w:r>
    </w:p>
    <w:p>
      <w:pPr>
        <w:spacing w:line="240" w:lineRule="auto" w:before="12"/>
        <w:rPr>
          <w:rFonts w:ascii="宋体" w:hAnsi="宋体" w:cs="宋体" w:eastAsia="宋体" w:hint="default"/>
          <w:sz w:val="12"/>
          <w:szCs w:val="12"/>
        </w:rPr>
      </w:pPr>
    </w:p>
    <w:p>
      <w:pPr>
        <w:pStyle w:val="BodyText"/>
        <w:spacing w:line="300" w:lineRule="auto"/>
        <w:ind w:right="0" w:firstLine="480"/>
        <w:jc w:val="left"/>
      </w:pPr>
      <w:r>
        <w:rPr>
          <w:rFonts w:ascii="Times New Roman" w:hAnsi="Times New Roman" w:cs="Times New Roman" w:eastAsia="Times New Roman" w:hint="default"/>
          <w:spacing w:val="-3"/>
        </w:rPr>
        <w:t>5</w:t>
      </w:r>
      <w:r>
        <w:rPr>
          <w:spacing w:val="-3"/>
        </w:rPr>
        <w:t>、刘勇先生：</w:t>
      </w:r>
      <w:r>
        <w:rPr>
          <w:rFonts w:ascii="Times New Roman" w:hAnsi="Times New Roman" w:cs="Times New Roman" w:eastAsia="Times New Roman" w:hint="default"/>
          <w:spacing w:val="-3"/>
        </w:rPr>
        <w:t>1973</w:t>
      </w:r>
      <w:r>
        <w:rPr>
          <w:spacing w:val="-3"/>
        </w:rPr>
        <w:t>年</w:t>
      </w:r>
      <w:r>
        <w:rPr>
          <w:rFonts w:ascii="Times New Roman" w:hAnsi="Times New Roman" w:cs="Times New Roman" w:eastAsia="Times New Roman" w:hint="default"/>
          <w:spacing w:val="-3"/>
        </w:rPr>
        <w:t>3</w:t>
      </w:r>
      <w:r>
        <w:rPr>
          <w:spacing w:val="-3"/>
        </w:rPr>
        <w:t>月出生，中国国籍，无永久境外居留权，上海交通大学热能工程专业和技术经济专业本科学历，</w:t>
      </w:r>
      <w:r>
        <w:rPr/>
        <w:t> </w:t>
      </w:r>
      <w:r>
        <w:rPr>
          <w:spacing w:val="-3"/>
        </w:rPr>
        <w:t>高级工程师，注册公用设备师（动力）、注册咨询工程师（投资）、注册环保工程师。</w:t>
      </w:r>
      <w:r>
        <w:rPr>
          <w:rFonts w:ascii="Times New Roman" w:hAnsi="Times New Roman" w:cs="Times New Roman" w:eastAsia="Times New Roman" w:hint="default"/>
          <w:spacing w:val="-3"/>
        </w:rPr>
        <w:t>1993</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月，福建省电力</w:t>
      </w:r>
      <w:r>
        <w:rPr>
          <w:spacing w:val="-82"/>
        </w:rPr>
        <w:t> </w:t>
      </w:r>
      <w:r>
        <w:rPr>
          <w:spacing w:val="-82"/>
        </w:rPr>
      </w:r>
      <w:r>
        <w:rPr>
          <w:spacing w:val="-2"/>
        </w:rPr>
        <w:t>勘测设计院设计师、专职设总、主任工程师、副主任、副总工程师；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月，福建永福工程顾问有限公司副</w:t>
      </w:r>
      <w:r>
        <w:rPr>
          <w:spacing w:val="-56"/>
        </w:rPr>
        <w:t> </w:t>
      </w:r>
      <w:r>
        <w:rPr>
          <w:spacing w:val="-56"/>
        </w:rPr>
      </w:r>
      <w:r>
        <w:rPr>
          <w:spacing w:val="-2"/>
        </w:rPr>
        <w:t>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日任福建永福电力设计股份有限公司董事、副总经理、副总工程师；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日至今，</w:t>
      </w:r>
      <w:r>
        <w:rPr>
          <w:spacing w:val="-44"/>
        </w:rPr>
        <w:t> </w:t>
      </w:r>
      <w:r>
        <w:rPr/>
        <w:t>任福建永福电力设计股份有限公司董事、副总经理、总工程师。</w:t>
      </w:r>
    </w:p>
    <w:p>
      <w:pPr>
        <w:spacing w:after="0" w:line="300" w:lineRule="auto"/>
        <w:jc w:val="left"/>
        <w:sectPr>
          <w:pgSz w:w="11910" w:h="16840"/>
          <w:pgMar w:header="850" w:footer="1267" w:top="1260" w:bottom="1460" w:left="980" w:right="0"/>
        </w:sectPr>
      </w:pPr>
    </w:p>
    <w:p>
      <w:pPr>
        <w:spacing w:line="240" w:lineRule="auto" w:before="9"/>
        <w:rPr>
          <w:rFonts w:ascii="宋体" w:hAnsi="宋体" w:cs="宋体" w:eastAsia="宋体" w:hint="default"/>
          <w:sz w:val="10"/>
          <w:szCs w:val="10"/>
        </w:rPr>
      </w:pPr>
    </w:p>
    <w:p>
      <w:pPr>
        <w:pStyle w:val="BodyText"/>
        <w:spacing w:line="240" w:lineRule="auto" w:before="44"/>
        <w:ind w:left="634" w:right="0"/>
        <w:jc w:val="left"/>
      </w:pPr>
      <w:r>
        <w:rPr>
          <w:rFonts w:ascii="Times New Roman" w:hAnsi="Times New Roman" w:cs="Times New Roman" w:eastAsia="Times New Roman" w:hint="default"/>
        </w:rPr>
        <w:t>6</w:t>
      </w:r>
      <w:r>
        <w:rPr/>
        <w:t>、黄肇敏先生：</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11</w:t>
      </w:r>
      <w:r>
        <w:rPr/>
        <w:t>月出生，中国国籍，无永久境外居留权，福州大学电气工程自动化本科学历，高级工程师。</w:t>
      </w:r>
    </w:p>
    <w:p>
      <w:pPr>
        <w:pStyle w:val="BodyText"/>
        <w:spacing w:line="300" w:lineRule="auto" w:before="63"/>
        <w:ind w:right="1032"/>
        <w:jc w:val="left"/>
      </w:pP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4</w:t>
      </w:r>
      <w:r>
        <w:rPr>
          <w:spacing w:val="-2"/>
        </w:rPr>
        <w:t>月，任福建福达电气工程有限公司电气设计师、项目经理；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月历任福建永福工程顾</w:t>
      </w:r>
      <w:r>
        <w:rPr>
          <w:spacing w:val="-46"/>
        </w:rPr>
        <w:t> </w:t>
      </w:r>
      <w:r>
        <w:rPr>
          <w:spacing w:val="-3"/>
        </w:rPr>
        <w:t>问有限公司电气设计师、二次专业组长、变电部副主任；</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月，任福建永福工程顾问有限公司变电部主任；</w:t>
      </w:r>
      <w:r>
        <w:rPr>
          <w:spacing w:val="-85"/>
        </w:rPr>
        <w:t> </w:t>
      </w:r>
      <w:r>
        <w:rPr>
          <w:spacing w:val="-85"/>
        </w:rPr>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月任福建永福工程顾问有限公司变电部主任兼造价部主任；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月，任福建永福电力</w:t>
      </w:r>
      <w:r>
        <w:rPr>
          <w:spacing w:val="-83"/>
        </w:rPr>
        <w:t> </w:t>
      </w:r>
      <w:r>
        <w:rPr>
          <w:spacing w:val="-83"/>
        </w:rPr>
      </w:r>
      <w:r>
        <w:rPr>
          <w:spacing w:val="-2"/>
        </w:rPr>
        <w:t>设计股份有限公司变电部主任兼造价部主任；</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月，任福建永福电力设计股份有限公司副总工程师兼造</w:t>
      </w:r>
      <w:r>
        <w:rPr>
          <w:spacing w:val="-52"/>
        </w:rPr>
        <w:t> </w:t>
      </w:r>
      <w:r>
        <w:rPr>
          <w:spacing w:val="-52"/>
        </w:rPr>
      </w:r>
      <w:r>
        <w:rPr>
          <w:spacing w:val="-2"/>
        </w:rPr>
        <w:t>价部主任；</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月，任福建永福电力设计股份有限公司副总工程师；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月，任福建永福</w:t>
      </w:r>
      <w:r>
        <w:rPr>
          <w:spacing w:val="-43"/>
        </w:rPr>
        <w:t> </w:t>
      </w:r>
      <w:r>
        <w:rPr>
          <w:spacing w:val="-43"/>
        </w:rPr>
      </w:r>
      <w:r>
        <w:rPr>
          <w:spacing w:val="-2"/>
        </w:rPr>
        <w:t>电力设计股份有限公司副总工程师兼数字化技术研发部主任；</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月至今任福建永福电力设计股份有限公司董事、副总</w:t>
      </w:r>
      <w:r>
        <w:rPr>
          <w:spacing w:val="-57"/>
        </w:rPr>
        <w:t> </w:t>
      </w:r>
      <w:r>
        <w:rPr>
          <w:spacing w:val="-57"/>
        </w:rPr>
      </w:r>
      <w:r>
        <w:rPr/>
        <w:t>工程师、数字化技术研发部主任。</w:t>
      </w:r>
    </w:p>
    <w:p>
      <w:pPr>
        <w:spacing w:line="240" w:lineRule="auto" w:before="4"/>
        <w:rPr>
          <w:rFonts w:ascii="宋体" w:hAnsi="宋体" w:cs="宋体" w:eastAsia="宋体" w:hint="default"/>
          <w:sz w:val="14"/>
          <w:szCs w:val="14"/>
        </w:rPr>
      </w:pPr>
    </w:p>
    <w:p>
      <w:pPr>
        <w:pStyle w:val="BodyText"/>
        <w:spacing w:line="300" w:lineRule="auto"/>
        <w:ind w:right="1130" w:firstLine="480"/>
        <w:jc w:val="both"/>
      </w:pPr>
      <w:r>
        <w:rPr>
          <w:rFonts w:ascii="Times New Roman" w:hAnsi="Times New Roman" w:cs="Times New Roman" w:eastAsia="Times New Roman" w:hint="default"/>
          <w:spacing w:val="-4"/>
        </w:rPr>
        <w:t>7</w:t>
      </w:r>
      <w:r>
        <w:rPr>
          <w:spacing w:val="-4"/>
        </w:rPr>
        <w:t>、陈冲先生：</w:t>
      </w:r>
      <w:r>
        <w:rPr>
          <w:rFonts w:ascii="Times New Roman" w:hAnsi="Times New Roman" w:cs="Times New Roman" w:eastAsia="Times New Roman" w:hint="default"/>
          <w:spacing w:val="-4"/>
        </w:rPr>
        <w:t>1954</w:t>
      </w:r>
      <w:r>
        <w:rPr>
          <w:spacing w:val="-4"/>
        </w:rPr>
        <w:t>年</w:t>
      </w:r>
      <w:r>
        <w:rPr>
          <w:rFonts w:ascii="Times New Roman" w:hAnsi="Times New Roman" w:cs="Times New Roman" w:eastAsia="Times New Roman" w:hint="default"/>
          <w:spacing w:val="-4"/>
        </w:rPr>
        <w:t>7</w:t>
      </w:r>
      <w:r>
        <w:rPr>
          <w:spacing w:val="-4"/>
        </w:rPr>
        <w:t>月出生，中国国籍，无永久境外居留权，哈尔滨工业大学自动控制专业博士研究生，教授。</w:t>
      </w:r>
      <w:r>
        <w:rPr>
          <w:rFonts w:ascii="Times New Roman" w:hAnsi="Times New Roman" w:cs="Times New Roman" w:eastAsia="Times New Roman" w:hint="default"/>
          <w:spacing w:val="-4"/>
        </w:rPr>
        <w:t>1985</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月，哈尔滨工业大学副教授；</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8</w:t>
      </w:r>
      <w:r>
        <w:rPr>
          <w:spacing w:val="-2"/>
        </w:rPr>
        <w:t>月至今，福州大学教授、博士生导师；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月至今任福建永福电力</w:t>
      </w:r>
      <w:r>
        <w:rPr>
          <w:spacing w:val="-50"/>
        </w:rPr>
        <w:t> </w:t>
      </w:r>
      <w:r>
        <w:rPr>
          <w:spacing w:val="-50"/>
        </w:rPr>
      </w:r>
      <w:r>
        <w:rPr/>
        <w:t>设计股份有限公司独立董事。</w:t>
      </w:r>
    </w:p>
    <w:p>
      <w:pPr>
        <w:spacing w:line="240" w:lineRule="auto" w:before="4"/>
        <w:rPr>
          <w:rFonts w:ascii="宋体" w:hAnsi="宋体" w:cs="宋体" w:eastAsia="宋体" w:hint="default"/>
          <w:sz w:val="14"/>
          <w:szCs w:val="14"/>
        </w:rPr>
      </w:pPr>
    </w:p>
    <w:p>
      <w:pPr>
        <w:pStyle w:val="BodyText"/>
        <w:spacing w:line="300" w:lineRule="auto"/>
        <w:ind w:right="1129" w:firstLine="480"/>
        <w:jc w:val="both"/>
      </w:pPr>
      <w:r>
        <w:rPr>
          <w:rFonts w:ascii="Times New Roman" w:hAnsi="Times New Roman" w:cs="Times New Roman" w:eastAsia="Times New Roman" w:hint="default"/>
          <w:spacing w:val="-1"/>
        </w:rPr>
        <w:t>8</w:t>
      </w:r>
      <w:r>
        <w:rPr>
          <w:spacing w:val="-1"/>
        </w:rPr>
        <w:t>、胡继荣先生：</w:t>
      </w:r>
      <w:r>
        <w:rPr>
          <w:rFonts w:ascii="Times New Roman" w:hAnsi="Times New Roman" w:cs="Times New Roman" w:eastAsia="Times New Roman" w:hint="default"/>
          <w:spacing w:val="-1"/>
        </w:rPr>
        <w:t>1956</w:t>
      </w:r>
      <w:r>
        <w:rPr>
          <w:spacing w:val="-1"/>
        </w:rPr>
        <w:t>年</w:t>
      </w:r>
      <w:r>
        <w:rPr>
          <w:rFonts w:ascii="Times New Roman" w:hAnsi="Times New Roman" w:cs="Times New Roman" w:eastAsia="Times New Roman" w:hint="default"/>
          <w:spacing w:val="-1"/>
        </w:rPr>
        <w:t>8</w:t>
      </w:r>
      <w:r>
        <w:rPr>
          <w:spacing w:val="-1"/>
        </w:rPr>
        <w:t>月出生，中国国籍，无永久境外居留权，香港公开大学工商管理硕士研究生，教授、注册会</w:t>
      </w:r>
      <w:r>
        <w:rPr/>
        <w:t> </w:t>
      </w:r>
      <w:r>
        <w:rPr>
          <w:spacing w:val="-3"/>
        </w:rPr>
        <w:t>计师。</w:t>
      </w:r>
      <w:r>
        <w:rPr>
          <w:rFonts w:ascii="Times New Roman" w:hAnsi="Times New Roman" w:cs="Times New Roman" w:eastAsia="Times New Roman" w:hint="default"/>
          <w:spacing w:val="-3"/>
        </w:rPr>
        <w:t>1974</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1979</w:t>
      </w:r>
      <w:r>
        <w:rPr>
          <w:spacing w:val="-3"/>
        </w:rPr>
        <w:t>年</w:t>
      </w:r>
      <w:r>
        <w:rPr>
          <w:rFonts w:ascii="Times New Roman" w:hAnsi="Times New Roman" w:cs="Times New Roman" w:eastAsia="Times New Roman" w:hint="default"/>
          <w:spacing w:val="-3"/>
        </w:rPr>
        <w:t>8</w:t>
      </w:r>
      <w:r>
        <w:rPr>
          <w:spacing w:val="-3"/>
        </w:rPr>
        <w:t>月，江西省吉安县文工团演员；</w:t>
      </w:r>
      <w:r>
        <w:rPr>
          <w:rFonts w:ascii="Times New Roman" w:hAnsi="Times New Roman" w:cs="Times New Roman" w:eastAsia="Times New Roman" w:hint="default"/>
          <w:spacing w:val="-3"/>
        </w:rPr>
        <w:t>1979</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1983</w:t>
      </w:r>
      <w:r>
        <w:rPr>
          <w:spacing w:val="-3"/>
        </w:rPr>
        <w:t>年</w:t>
      </w:r>
      <w:r>
        <w:rPr>
          <w:rFonts w:ascii="Times New Roman" w:hAnsi="Times New Roman" w:cs="Times New Roman" w:eastAsia="Times New Roman" w:hint="default"/>
          <w:spacing w:val="-3"/>
        </w:rPr>
        <w:t>6</w:t>
      </w:r>
      <w:r>
        <w:rPr>
          <w:spacing w:val="-3"/>
        </w:rPr>
        <w:t>月，在江西财经大学学习；</w:t>
      </w:r>
      <w:r>
        <w:rPr>
          <w:rFonts w:ascii="Times New Roman" w:hAnsi="Times New Roman" w:cs="Times New Roman" w:eastAsia="Times New Roman" w:hint="default"/>
          <w:spacing w:val="-3"/>
        </w:rPr>
        <w:t>1983</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1986</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年</w:t>
      </w:r>
      <w:r>
        <w:rPr>
          <w:rFonts w:ascii="Times New Roman" w:hAnsi="Times New Roman" w:cs="Times New Roman" w:eastAsia="Times New Roman" w:hint="default"/>
        </w:rPr>
        <w:t>9</w:t>
      </w:r>
      <w:r>
        <w:rPr/>
        <w:t>月，任教于扬州大学水建学院；</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3</w:t>
      </w:r>
      <w:r>
        <w:rPr/>
        <w:t>月，扬州大学理工学院讲师；</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4</w:t>
      </w:r>
      <w:r>
        <w:rPr/>
        <w:t>月至今，福州大学经济与管</w:t>
      </w:r>
      <w:r>
        <w:rPr>
          <w:spacing w:val="-83"/>
        </w:rPr>
        <w:t> </w:t>
      </w:r>
      <w:r>
        <w:rPr>
          <w:spacing w:val="-83"/>
        </w:rPr>
      </w:r>
      <w:r>
        <w:rPr/>
        <w:t>理学院副教授、教授；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月至今，福建永福电力设计股份有限公司独立董事。</w:t>
      </w:r>
    </w:p>
    <w:p>
      <w:pPr>
        <w:spacing w:line="240" w:lineRule="auto" w:before="12"/>
        <w:rPr>
          <w:rFonts w:ascii="宋体" w:hAnsi="宋体" w:cs="宋体" w:eastAsia="宋体" w:hint="default"/>
          <w:sz w:val="12"/>
          <w:szCs w:val="12"/>
        </w:rPr>
      </w:pPr>
    </w:p>
    <w:p>
      <w:pPr>
        <w:pStyle w:val="BodyText"/>
        <w:spacing w:line="300" w:lineRule="auto"/>
        <w:ind w:right="1130" w:firstLine="480"/>
        <w:jc w:val="both"/>
      </w:pPr>
      <w:r>
        <w:rPr>
          <w:rFonts w:ascii="Times New Roman" w:hAnsi="Times New Roman" w:cs="Times New Roman" w:eastAsia="Times New Roman" w:hint="default"/>
        </w:rPr>
        <w:t>9</w:t>
      </w:r>
      <w:r>
        <w:rPr/>
        <w:t>、许永东先生：男，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月生，中国国籍，无境外永久居留权。华东政法学院法学学士，北京大学高级管理人 </w:t>
      </w:r>
      <w:r>
        <w:rPr>
          <w:spacing w:val="-2"/>
        </w:rPr>
        <w:t>员工商管理硕士。</w:t>
      </w:r>
      <w:r>
        <w:rPr>
          <w:rFonts w:ascii="Times New Roman" w:hAnsi="Times New Roman" w:cs="Times New Roman" w:eastAsia="Times New Roman" w:hint="default"/>
          <w:spacing w:val="-2"/>
        </w:rPr>
        <w:t>2010</w:t>
      </w:r>
      <w:r>
        <w:rPr>
          <w:spacing w:val="-2"/>
        </w:rPr>
        <w:t>年至今，任福建拓维律师事务所首席合伙人、律师。</w:t>
      </w:r>
      <w:r>
        <w:rPr>
          <w:rFonts w:ascii="Times New Roman" w:hAnsi="Times New Roman" w:cs="Times New Roman" w:eastAsia="Times New Roman" w:hint="default"/>
          <w:spacing w:val="-2"/>
        </w:rPr>
        <w:t>2013</w:t>
      </w:r>
      <w:r>
        <w:rPr>
          <w:spacing w:val="-2"/>
        </w:rPr>
        <w:t>年至今，任福建省政协委员。</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月至</w:t>
      </w:r>
      <w:r>
        <w:rPr>
          <w:spacing w:val="-53"/>
        </w:rPr>
        <w:t> </w:t>
      </w:r>
      <w:r>
        <w:rPr/>
        <w:t>今，福建永福电力设计股份有限公司独立董事。</w:t>
      </w:r>
    </w:p>
    <w:p>
      <w:pPr>
        <w:spacing w:line="240" w:lineRule="auto" w:before="4"/>
        <w:rPr>
          <w:rFonts w:ascii="宋体" w:hAnsi="宋体" w:cs="宋体" w:eastAsia="宋体" w:hint="default"/>
          <w:sz w:val="14"/>
          <w:szCs w:val="14"/>
        </w:rPr>
      </w:pPr>
    </w:p>
    <w:p>
      <w:pPr>
        <w:pStyle w:val="BodyText"/>
        <w:spacing w:line="240" w:lineRule="auto"/>
        <w:ind w:left="634" w:right="0"/>
        <w:jc w:val="left"/>
      </w:pPr>
      <w:r>
        <w:rPr/>
        <w:t>（二）公司监事任职情况：</w:t>
      </w:r>
    </w:p>
    <w:p>
      <w:pPr>
        <w:spacing w:line="240" w:lineRule="auto" w:before="10"/>
        <w:rPr>
          <w:rFonts w:ascii="宋体" w:hAnsi="宋体" w:cs="宋体" w:eastAsia="宋体" w:hint="default"/>
          <w:sz w:val="17"/>
          <w:szCs w:val="17"/>
        </w:rPr>
      </w:pPr>
    </w:p>
    <w:p>
      <w:pPr>
        <w:pStyle w:val="BodyText"/>
        <w:spacing w:line="300" w:lineRule="auto"/>
        <w:ind w:right="0" w:firstLine="480"/>
        <w:jc w:val="left"/>
      </w:pPr>
      <w:r>
        <w:rPr>
          <w:rFonts w:ascii="Times New Roman" w:hAnsi="Times New Roman" w:cs="Times New Roman" w:eastAsia="Times New Roman" w:hint="default"/>
          <w:spacing w:val="-2"/>
        </w:rPr>
        <w:t>1</w:t>
      </w:r>
      <w:r>
        <w:rPr>
          <w:spacing w:val="-2"/>
        </w:rPr>
        <w:t>、郭泗煊先生：男</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2</w:t>
      </w:r>
      <w:r>
        <w:rPr>
          <w:spacing w:val="-2"/>
        </w:rPr>
        <w:t>月出生，中国国籍，无永久境外居留权，西南交通大学工商管理专业本科学历。</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10</w:t>
      </w:r>
      <w:r>
        <w:rPr>
          <w:rFonts w:ascii="Times New Roman" w:hAnsi="Times New Roman" w:cs="Times New Roman" w:eastAsia="Times New Roman" w:hint="default"/>
        </w:rPr>
        <w:t> </w:t>
      </w:r>
      <w:r>
        <w:rPr>
          <w:spacing w:val="-4"/>
        </w:rPr>
        <w:t>月至</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w:t>
      </w:r>
      <w:r>
        <w:rPr>
          <w:spacing w:val="-4"/>
        </w:rPr>
        <w:t>福建省电力勘测设计院出纳、会计；</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1</w:t>
      </w:r>
      <w:r>
        <w:rPr>
          <w:spacing w:val="-4"/>
        </w:rPr>
        <w:t>月至</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月，福建永福集团有限公司财务部主办、副主任；；</w:t>
      </w:r>
      <w:r>
        <w:rPr>
          <w:spacing w:val="-55"/>
        </w:rPr>
        <w:t> </w:t>
      </w:r>
      <w:r>
        <w:rPr>
          <w:spacing w:val="-55"/>
        </w:rPr>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月，福建永福工程顾问有限公司审计部主任。</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月，福建永福电力设计股份有限公司</w:t>
      </w:r>
      <w:r>
        <w:rPr>
          <w:spacing w:val="-46"/>
        </w:rPr>
        <w:t> </w:t>
      </w:r>
      <w:r>
        <w:rPr>
          <w:spacing w:val="-46"/>
        </w:rPr>
      </w:r>
      <w:r>
        <w:rPr>
          <w:spacing w:val="-5"/>
        </w:rPr>
        <w:t>监事、审计部主任；</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8</w:t>
      </w:r>
      <w:r>
        <w:rPr>
          <w:spacing w:val="-5"/>
        </w:rPr>
        <w:t>月至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月，福建永福电力设计股份有限公司监事会主席、工程部副主任；</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月至今 </w:t>
      </w:r>
      <w:r>
        <w:rPr/>
        <w:t>福</w:t>
      </w:r>
      <w:r>
        <w:rPr>
          <w:spacing w:val="-44"/>
        </w:rPr>
        <w:t> </w:t>
      </w:r>
      <w:r>
        <w:rPr>
          <w:spacing w:val="-44"/>
        </w:rPr>
      </w:r>
      <w:r>
        <w:rPr/>
        <w:t>建永福电力设计股份有限公司监事会主席、采购管理部副主任。</w:t>
      </w:r>
    </w:p>
    <w:p>
      <w:pPr>
        <w:spacing w:line="240" w:lineRule="auto" w:before="4"/>
        <w:rPr>
          <w:rFonts w:ascii="宋体" w:hAnsi="宋体" w:cs="宋体" w:eastAsia="宋体" w:hint="default"/>
          <w:sz w:val="14"/>
          <w:szCs w:val="14"/>
        </w:rPr>
      </w:pPr>
    </w:p>
    <w:p>
      <w:pPr>
        <w:pStyle w:val="BodyText"/>
        <w:spacing w:line="300" w:lineRule="auto"/>
        <w:ind w:right="1129" w:firstLine="480"/>
        <w:jc w:val="both"/>
      </w:pPr>
      <w:r>
        <w:rPr>
          <w:rFonts w:ascii="Times New Roman" w:hAnsi="Times New Roman" w:cs="Times New Roman" w:eastAsia="Times New Roman" w:hint="default"/>
        </w:rPr>
        <w:t>2</w:t>
      </w:r>
      <w:r>
        <w:rPr/>
        <w:t>、李庆先先生：</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11</w:t>
      </w:r>
      <w:r>
        <w:rPr/>
        <w:t>月出生，中国国籍，无永久境外居留权，福州大学电力系统及其自动化专业本科学历，高 </w:t>
      </w:r>
      <w:r>
        <w:rPr>
          <w:spacing w:val="-2"/>
        </w:rPr>
        <w:t>级工程师。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月，福建省电力勘测设计院设计员、副组长、组长；</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w:t>
      </w:r>
      <w:r>
        <w:rPr>
          <w:spacing w:val="-46"/>
        </w:rPr>
        <w:t> </w:t>
      </w:r>
      <w:r>
        <w:rPr>
          <w:spacing w:val="-46"/>
        </w:rPr>
      </w:r>
      <w:r>
        <w:rPr>
          <w:spacing w:val="-2"/>
        </w:rPr>
        <w:t>顾问有限公司副主任、主任、副总工程师；</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月，福建永福电力设计股份有限公司监事，副总工程师、线</w:t>
      </w:r>
      <w:r>
        <w:rPr>
          <w:spacing w:val="-56"/>
        </w:rPr>
        <w:t> </w:t>
      </w:r>
      <w:r>
        <w:rPr>
          <w:spacing w:val="-56"/>
        </w:rPr>
      </w:r>
      <w:r>
        <w:rPr/>
        <w:t>路设计部主任。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月至今，福建永福电力设计股份有限公司监事，总经理助理、电网事业部总经理。</w:t>
      </w:r>
    </w:p>
    <w:p>
      <w:pPr>
        <w:spacing w:line="240" w:lineRule="auto" w:before="12"/>
        <w:rPr>
          <w:rFonts w:ascii="宋体" w:hAnsi="宋体" w:cs="宋体" w:eastAsia="宋体" w:hint="default"/>
          <w:sz w:val="12"/>
          <w:szCs w:val="12"/>
        </w:rPr>
      </w:pPr>
    </w:p>
    <w:p>
      <w:pPr>
        <w:pStyle w:val="BodyText"/>
        <w:spacing w:line="300" w:lineRule="auto"/>
        <w:ind w:right="1129" w:firstLine="480"/>
        <w:jc w:val="both"/>
      </w:pPr>
      <w:r>
        <w:rPr>
          <w:rFonts w:ascii="Times New Roman" w:hAnsi="Times New Roman" w:cs="Times New Roman" w:eastAsia="Times New Roman" w:hint="default"/>
        </w:rPr>
        <w:t>3</w:t>
      </w:r>
      <w:r>
        <w:rPr/>
        <w:t>、张俊财先生：</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22"/>
        </w:rPr>
        <w:t> </w:t>
      </w:r>
      <w:r>
        <w:rPr/>
        <w:t>月出生，中国国籍，无永久境外居留权，华北电力大学热能工程专业本科学历，高级工程 </w:t>
      </w:r>
      <w:r>
        <w:rPr>
          <w:spacing w:val="-2"/>
        </w:rPr>
        <w:t>师，注册公用设备师。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7</w:t>
      </w:r>
      <w:r>
        <w:rPr>
          <w:spacing w:val="-2"/>
        </w:rPr>
        <w:t>月，华阳电业有限公司漳州后石电厂生产运行主值；</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月，福</w:t>
      </w:r>
      <w:r>
        <w:rPr>
          <w:spacing w:val="-46"/>
        </w:rPr>
        <w:t> </w:t>
      </w:r>
      <w:r>
        <w:rPr>
          <w:spacing w:val="-46"/>
        </w:rPr>
      </w:r>
      <w:r>
        <w:rPr>
          <w:spacing w:val="-2"/>
        </w:rPr>
        <w:t>建省电力勘测设计院发电工艺部设计师；</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月福建永福工程顾问有限公司发电部工艺组组长、发电设计部</w:t>
      </w:r>
      <w:r>
        <w:rPr>
          <w:spacing w:val="-54"/>
        </w:rPr>
        <w:t> </w:t>
      </w:r>
      <w:r>
        <w:rPr>
          <w:spacing w:val="-54"/>
        </w:rPr>
      </w:r>
      <w:r>
        <w:rPr/>
        <w:t>副主任；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月，福建永福电力设计股份有限公司发电设计部副主任、主任；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月至今，福建永福电</w:t>
      </w:r>
      <w:r>
        <w:rPr>
          <w:spacing w:val="-82"/>
        </w:rPr>
        <w:t> </w:t>
      </w:r>
      <w:r>
        <w:rPr>
          <w:spacing w:val="-82"/>
        </w:rPr>
      </w:r>
      <w:r>
        <w:rPr/>
        <w:t>力设计股份有限公司发电事业部总经理；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月至今，福建永福电力设计股份有限公司监事。</w:t>
      </w:r>
    </w:p>
    <w:p>
      <w:pPr>
        <w:spacing w:line="240" w:lineRule="auto" w:before="12"/>
        <w:rPr>
          <w:rFonts w:ascii="宋体" w:hAnsi="宋体" w:cs="宋体" w:eastAsia="宋体" w:hint="default"/>
          <w:sz w:val="12"/>
          <w:szCs w:val="12"/>
        </w:rPr>
      </w:pPr>
    </w:p>
    <w:p>
      <w:pPr>
        <w:pStyle w:val="BodyText"/>
        <w:spacing w:line="240" w:lineRule="auto"/>
        <w:ind w:left="634" w:right="0"/>
        <w:jc w:val="left"/>
      </w:pPr>
      <w:r>
        <w:rPr/>
        <w:t>（三）公司高级管理人员任职情况：</w:t>
      </w:r>
    </w:p>
    <w:p>
      <w:pPr>
        <w:spacing w:line="240" w:lineRule="auto" w:before="10"/>
        <w:rPr>
          <w:rFonts w:ascii="宋体" w:hAnsi="宋体" w:cs="宋体" w:eastAsia="宋体" w:hint="default"/>
          <w:sz w:val="17"/>
          <w:szCs w:val="17"/>
        </w:rPr>
      </w:pPr>
    </w:p>
    <w:p>
      <w:pPr>
        <w:pStyle w:val="BodyText"/>
        <w:spacing w:line="240" w:lineRule="auto"/>
        <w:ind w:left="634" w:right="0"/>
        <w:jc w:val="left"/>
      </w:pPr>
      <w:r>
        <w:rPr>
          <w:rFonts w:ascii="Times New Roman" w:hAnsi="Times New Roman" w:cs="Times New Roman" w:eastAsia="Times New Roman" w:hint="default"/>
        </w:rPr>
        <w:t>1</w:t>
      </w:r>
      <w:r>
        <w:rPr/>
        <w:t>、林一文先生：公司总经理（详见董事简历）</w:t>
      </w:r>
    </w:p>
    <w:p>
      <w:pPr>
        <w:spacing w:line="240" w:lineRule="auto" w:before="10"/>
        <w:rPr>
          <w:rFonts w:ascii="宋体" w:hAnsi="宋体" w:cs="宋体" w:eastAsia="宋体" w:hint="default"/>
          <w:sz w:val="16"/>
          <w:szCs w:val="16"/>
        </w:rPr>
      </w:pPr>
    </w:p>
    <w:p>
      <w:pPr>
        <w:pStyle w:val="BodyText"/>
        <w:spacing w:line="240" w:lineRule="auto"/>
        <w:ind w:left="634" w:right="0"/>
        <w:jc w:val="left"/>
      </w:pPr>
      <w:r>
        <w:rPr>
          <w:rFonts w:ascii="Times New Roman" w:hAnsi="Times New Roman" w:cs="Times New Roman" w:eastAsia="Times New Roman" w:hint="default"/>
        </w:rPr>
        <w:t>2</w:t>
      </w:r>
      <w:r>
        <w:rPr/>
        <w:t>、王劲军先生：公司副总经理（详见董事简历）</w:t>
      </w:r>
    </w:p>
    <w:p>
      <w:pPr>
        <w:spacing w:line="240" w:lineRule="auto" w:before="9"/>
        <w:rPr>
          <w:rFonts w:ascii="宋体" w:hAnsi="宋体" w:cs="宋体" w:eastAsia="宋体" w:hint="default"/>
          <w:sz w:val="16"/>
          <w:szCs w:val="16"/>
        </w:rPr>
      </w:pPr>
    </w:p>
    <w:p>
      <w:pPr>
        <w:pStyle w:val="BodyText"/>
        <w:spacing w:line="300" w:lineRule="auto"/>
        <w:ind w:right="1129" w:firstLine="480"/>
        <w:jc w:val="both"/>
      </w:pPr>
      <w:r>
        <w:rPr>
          <w:rFonts w:ascii="Times New Roman" w:hAnsi="Times New Roman" w:cs="Times New Roman" w:eastAsia="Times New Roman" w:hint="default"/>
        </w:rPr>
        <w:t>3</w:t>
      </w:r>
      <w:r>
        <w:rPr/>
        <w:t>、宋发兴先生：</w:t>
      </w:r>
      <w:r>
        <w:rPr>
          <w:rFonts w:ascii="Times New Roman" w:hAnsi="Times New Roman" w:cs="Times New Roman" w:eastAsia="Times New Roman" w:hint="default"/>
        </w:rPr>
        <w:t>1962</w:t>
      </w:r>
      <w:r>
        <w:rPr/>
        <w:t>年</w:t>
      </w:r>
      <w:r>
        <w:rPr>
          <w:rFonts w:ascii="Times New Roman" w:hAnsi="Times New Roman" w:cs="Times New Roman" w:eastAsia="Times New Roman" w:hint="default"/>
        </w:rPr>
        <w:t>11</w:t>
      </w:r>
      <w:r>
        <w:rPr/>
        <w:t>月出生，中国国籍，无永久境外居留权，中共中央党校函授学院本科学历，工程师。</w:t>
      </w:r>
      <w:r>
        <w:rPr>
          <w:rFonts w:ascii="Times New Roman" w:hAnsi="Times New Roman" w:cs="Times New Roman" w:eastAsia="Times New Roman" w:hint="default"/>
        </w:rPr>
        <w:t>1984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月，福建省电力勘测设计院组长、副主任；</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月，福建永福工程顾问有限公司董事、副</w:t>
      </w:r>
      <w:r>
        <w:rPr>
          <w:spacing w:val="-83"/>
        </w:rPr>
        <w:t> </w:t>
      </w:r>
      <w:r>
        <w:rPr>
          <w:spacing w:val="-83"/>
        </w:rPr>
      </w:r>
      <w:r>
        <w:rPr/>
        <w:t>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月至今，福建永福电力设计股份有限公司副总经理。</w:t>
      </w:r>
    </w:p>
    <w:p>
      <w:pPr>
        <w:spacing w:after="0" w:line="300" w:lineRule="auto"/>
        <w:jc w:val="both"/>
        <w:sectPr>
          <w:pgSz w:w="11910" w:h="16840"/>
          <w:pgMar w:header="850" w:footer="1267" w:top="1260" w:bottom="1460" w:left="980" w:right="0"/>
        </w:sectPr>
      </w:pPr>
    </w:p>
    <w:p>
      <w:pPr>
        <w:spacing w:line="240" w:lineRule="auto" w:before="9"/>
        <w:rPr>
          <w:rFonts w:ascii="宋体" w:hAnsi="宋体" w:cs="宋体" w:eastAsia="宋体" w:hint="default"/>
          <w:sz w:val="10"/>
          <w:szCs w:val="10"/>
        </w:rPr>
      </w:pPr>
    </w:p>
    <w:p>
      <w:pPr>
        <w:pStyle w:val="BodyText"/>
        <w:spacing w:line="240" w:lineRule="auto" w:before="44"/>
        <w:ind w:left="634" w:right="0"/>
        <w:jc w:val="left"/>
      </w:pPr>
      <w:r>
        <w:rPr>
          <w:rFonts w:ascii="Times New Roman" w:hAnsi="Times New Roman" w:cs="Times New Roman" w:eastAsia="Times New Roman" w:hint="default"/>
        </w:rPr>
        <w:t>4</w:t>
      </w:r>
      <w:r>
        <w:rPr/>
        <w:t>、钱有武先生：公司副总经理（详见董事简历）</w:t>
      </w:r>
    </w:p>
    <w:p>
      <w:pPr>
        <w:spacing w:line="240" w:lineRule="auto" w:before="9"/>
        <w:rPr>
          <w:rFonts w:ascii="宋体" w:hAnsi="宋体" w:cs="宋体" w:eastAsia="宋体" w:hint="default"/>
          <w:sz w:val="16"/>
          <w:szCs w:val="16"/>
        </w:rPr>
      </w:pPr>
    </w:p>
    <w:p>
      <w:pPr>
        <w:pStyle w:val="BodyText"/>
        <w:spacing w:line="240" w:lineRule="auto"/>
        <w:ind w:left="634" w:right="0"/>
        <w:jc w:val="left"/>
      </w:pPr>
      <w:r>
        <w:rPr>
          <w:rFonts w:ascii="Times New Roman" w:hAnsi="Times New Roman" w:cs="Times New Roman" w:eastAsia="Times New Roman" w:hint="default"/>
        </w:rPr>
        <w:t>5</w:t>
      </w:r>
      <w:r>
        <w:rPr/>
        <w:t>、刘勇先生：公司副总经理、总工程师（详见董事简历）</w:t>
      </w:r>
    </w:p>
    <w:p>
      <w:pPr>
        <w:spacing w:line="240" w:lineRule="auto" w:before="9"/>
        <w:rPr>
          <w:rFonts w:ascii="宋体" w:hAnsi="宋体" w:cs="宋体" w:eastAsia="宋体" w:hint="default"/>
          <w:sz w:val="16"/>
          <w:szCs w:val="16"/>
        </w:rPr>
      </w:pPr>
    </w:p>
    <w:p>
      <w:pPr>
        <w:pStyle w:val="BodyText"/>
        <w:spacing w:line="300" w:lineRule="auto"/>
        <w:ind w:right="1128" w:firstLine="480"/>
        <w:jc w:val="both"/>
      </w:pPr>
      <w:r>
        <w:rPr>
          <w:rFonts w:ascii="Times New Roman" w:hAnsi="Times New Roman" w:cs="Times New Roman" w:eastAsia="Times New Roman" w:hint="default"/>
          <w:spacing w:val="-1"/>
        </w:rPr>
        <w:t>6</w:t>
      </w:r>
      <w:r>
        <w:rPr>
          <w:spacing w:val="-1"/>
        </w:rPr>
        <w:t>、卢庆议先生：</w:t>
      </w:r>
      <w:r>
        <w:rPr>
          <w:rFonts w:ascii="Times New Roman" w:hAnsi="Times New Roman" w:cs="Times New Roman" w:eastAsia="Times New Roman" w:hint="default"/>
          <w:spacing w:val="-1"/>
        </w:rPr>
        <w:t>1975</w:t>
      </w:r>
      <w:r>
        <w:rPr>
          <w:spacing w:val="-1"/>
        </w:rPr>
        <w:t>年</w:t>
      </w:r>
      <w:r>
        <w:rPr>
          <w:rFonts w:ascii="Times New Roman" w:hAnsi="Times New Roman" w:cs="Times New Roman" w:eastAsia="Times New Roman" w:hint="default"/>
          <w:spacing w:val="-1"/>
        </w:rPr>
        <w:t>9</w:t>
      </w:r>
      <w:r>
        <w:rPr>
          <w:spacing w:val="-1"/>
        </w:rPr>
        <w:t>月出生，中国国籍，无永久境外居留权，上海电力学院工业自动化专业本科学历，高级工程</w:t>
      </w:r>
      <w:r>
        <w:rPr/>
        <w:t> </w:t>
      </w:r>
      <w:r>
        <w:rPr>
          <w:spacing w:val="-2"/>
        </w:rPr>
        <w:t>师。</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月，任职福建省电力勘测设计研究院电控设计部；</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月，福建永福工程顾问有</w:t>
      </w:r>
      <w:r>
        <w:rPr>
          <w:spacing w:val="-44"/>
        </w:rPr>
        <w:t> </w:t>
      </w:r>
      <w:r>
        <w:rPr>
          <w:spacing w:val="-44"/>
        </w:rPr>
      </w:r>
      <w:r>
        <w:rPr/>
        <w:t>限公司监事；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月，福建永福集团有限公司工会主席、董事会秘书、监事会主席；</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42"/>
        </w:rPr>
        <w:t> </w:t>
      </w:r>
      <w:r>
        <w:rPr/>
        <w:t>月，福建永福工程顾问有限公司工会主席；</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月，永福工程顾问有限公司副总经理、董事会秘书；</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7</w:t>
      </w:r>
      <w:r>
        <w:rPr/>
        <w:t>月至今，福建永福电力设计股份有限公司副总经理、董事会秘书。</w:t>
      </w:r>
    </w:p>
    <w:p>
      <w:pPr>
        <w:spacing w:line="240" w:lineRule="auto" w:before="12"/>
        <w:rPr>
          <w:rFonts w:ascii="宋体" w:hAnsi="宋体" w:cs="宋体" w:eastAsia="宋体" w:hint="default"/>
          <w:sz w:val="12"/>
          <w:szCs w:val="12"/>
        </w:rPr>
      </w:pPr>
    </w:p>
    <w:p>
      <w:pPr>
        <w:pStyle w:val="BodyText"/>
        <w:spacing w:line="240" w:lineRule="auto"/>
        <w:ind w:left="634" w:right="0"/>
        <w:jc w:val="left"/>
      </w:pPr>
      <w:r>
        <w:rPr>
          <w:rFonts w:ascii="Times New Roman" w:hAnsi="Times New Roman" w:cs="Times New Roman" w:eastAsia="Times New Roman" w:hint="default"/>
        </w:rPr>
        <w:t>7</w:t>
      </w:r>
      <w:r>
        <w:rPr/>
        <w:t>、张善传先生：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10</w:t>
      </w:r>
      <w:r>
        <w:rPr/>
        <w:t>月出生，中国国籍，无永久境外居留权，福州大学会计与审计专业本科学历，高级会计师。</w:t>
      </w:r>
    </w:p>
    <w:p>
      <w:pPr>
        <w:pStyle w:val="BodyText"/>
        <w:spacing w:line="300" w:lineRule="auto" w:before="63"/>
        <w:ind w:right="1131"/>
        <w:jc w:val="both"/>
      </w:pP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月，福建省古田溪水电厂主办会计、多经财务主任、审计部副主任；</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月，福建省瑞</w:t>
      </w:r>
      <w:r>
        <w:rPr>
          <w:spacing w:val="-46"/>
        </w:rPr>
        <w:t> </w:t>
      </w:r>
      <w:r>
        <w:rPr>
          <w:spacing w:val="-46"/>
        </w:rPr>
      </w:r>
      <w:r>
        <w:rPr>
          <w:spacing w:val="-2"/>
        </w:rPr>
        <w:t>新集团有限公司财务主任、财务总监、董事会秘书；</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月，福建永福工程顾问有限公司副总会计师兼财务</w:t>
      </w:r>
      <w:r>
        <w:rPr>
          <w:spacing w:val="-55"/>
        </w:rPr>
        <w:t> </w:t>
      </w:r>
      <w:r>
        <w:rPr>
          <w:spacing w:val="-55"/>
        </w:rPr>
      </w:r>
      <w:r>
        <w:rPr/>
        <w:t>主任、财务总监；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月至今，福建永福电力设计股份有限公司财务总监。</w:t>
      </w:r>
    </w:p>
    <w:p>
      <w:pPr>
        <w:spacing w:line="240" w:lineRule="auto" w:before="12"/>
        <w:rPr>
          <w:rFonts w:ascii="宋体" w:hAnsi="宋体" w:cs="宋体" w:eastAsia="宋体" w:hint="default"/>
          <w:sz w:val="12"/>
          <w:szCs w:val="12"/>
        </w:rPr>
      </w:pPr>
    </w:p>
    <w:p>
      <w:pPr>
        <w:pStyle w:val="BodyText"/>
        <w:spacing w:line="300" w:lineRule="auto"/>
        <w:ind w:right="1128" w:firstLine="480"/>
        <w:jc w:val="both"/>
      </w:pPr>
      <w:r>
        <w:rPr>
          <w:rFonts w:ascii="Times New Roman" w:hAnsi="Times New Roman" w:cs="Times New Roman" w:eastAsia="Times New Roman" w:hint="default"/>
          <w:spacing w:val="-1"/>
        </w:rPr>
        <w:t>8</w:t>
      </w:r>
      <w:r>
        <w:rPr>
          <w:spacing w:val="-1"/>
        </w:rPr>
        <w:t>、罗志青先生：</w:t>
      </w:r>
      <w:r>
        <w:rPr>
          <w:rFonts w:ascii="Times New Roman" w:hAnsi="Times New Roman" w:cs="Times New Roman" w:eastAsia="Times New Roman" w:hint="default"/>
          <w:spacing w:val="-1"/>
        </w:rPr>
        <w:t>1971</w:t>
      </w:r>
      <w:r>
        <w:rPr>
          <w:spacing w:val="-1"/>
        </w:rPr>
        <w:t>年</w:t>
      </w:r>
      <w:r>
        <w:rPr>
          <w:rFonts w:ascii="Times New Roman" w:hAnsi="Times New Roman" w:cs="Times New Roman" w:eastAsia="Times New Roman" w:hint="default"/>
          <w:spacing w:val="-1"/>
        </w:rPr>
        <w:t>5</w:t>
      </w:r>
      <w:r>
        <w:rPr>
          <w:spacing w:val="-1"/>
        </w:rPr>
        <w:t>月出生，中国国籍，无永久境外居留权，福州大学会计系本科学历，湖南大学会计学研究生</w:t>
      </w:r>
      <w:r>
        <w:rPr/>
        <w:t> </w:t>
      </w:r>
      <w:r>
        <w:rPr>
          <w:spacing w:val="-2"/>
        </w:rPr>
        <w:t>班研究生结业，高级会计师。</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9</w:t>
      </w:r>
      <w:r>
        <w:rPr>
          <w:spacing w:val="-2"/>
        </w:rPr>
        <w:t>月，福建省火电工程承包公司财务部出纳、成本会计；</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2001</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3</w:t>
      </w:r>
      <w:r>
        <w:rPr>
          <w:spacing w:val="-2"/>
        </w:rPr>
        <w:t>月，福建省电力有限公司（福建省电力工业局）财务部机关会计、预算管理；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12</w:t>
      </w:r>
      <w:r>
        <w:rPr>
          <w:spacing w:val="-2"/>
        </w:rPr>
        <w:t>月，福建省第一电力</w:t>
      </w:r>
      <w:r>
        <w:rPr>
          <w:spacing w:val="-55"/>
        </w:rPr>
        <w:t> </w:t>
      </w:r>
      <w:r>
        <w:rPr>
          <w:spacing w:val="-55"/>
        </w:rPr>
      </w:r>
      <w:r>
        <w:rPr>
          <w:spacing w:val="-3"/>
        </w:rPr>
        <w:t>建设公司总会计师（委派）；</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6</w:t>
      </w:r>
      <w:r>
        <w:rPr>
          <w:spacing w:val="-3"/>
        </w:rPr>
        <w:t>月，华电集团福建公司财务部副主任；</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12</w:t>
      </w:r>
      <w:r>
        <w:rPr>
          <w:spacing w:val="-3"/>
        </w:rPr>
        <w:t>月至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3</w:t>
      </w:r>
      <w:r>
        <w:rPr>
          <w:spacing w:val="-3"/>
        </w:rPr>
        <w:t>月，中海福建</w:t>
      </w:r>
      <w:r>
        <w:rPr>
          <w:spacing w:val="-70"/>
        </w:rPr>
        <w:t> </w:t>
      </w:r>
      <w:r>
        <w:rPr>
          <w:spacing w:val="-70"/>
        </w:rPr>
      </w:r>
      <w:r>
        <w:rPr/>
        <w:t>燃气发电有限公司财务总监（兼）；</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月，华电福建发电有限公司财务部副主任；</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 </w:t>
      </w:r>
      <w:r>
        <w:rPr>
          <w:spacing w:val="-2"/>
        </w:rPr>
        <w:t>月，中国华电集团财务部会计处副处长（挂职主持工作）；</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6</w:t>
      </w:r>
      <w:r>
        <w:rPr>
          <w:spacing w:val="-2"/>
        </w:rPr>
        <w:t>月，华电福新能源股份有限公司财务管理部</w:t>
      </w:r>
      <w:r>
        <w:rPr>
          <w:spacing w:val="-58"/>
        </w:rPr>
        <w:t> </w:t>
      </w:r>
      <w:r>
        <w:rPr>
          <w:spacing w:val="-58"/>
        </w:rPr>
      </w:r>
      <w:r>
        <w:rPr/>
        <w:t>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月，华电福新能源股份有限公司资本运营及产权管理部主任；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月，上海华</w:t>
      </w:r>
      <w:r>
        <w:rPr>
          <w:spacing w:val="-82"/>
        </w:rPr>
        <w:t> </w:t>
      </w:r>
      <w:r>
        <w:rPr>
          <w:spacing w:val="-82"/>
        </w:rPr>
      </w:r>
      <w:r>
        <w:rPr/>
        <w:t>信国际集团工业装备有限公司副总经理；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月至今，福建永福电力设计股份有限公司副总经理。</w:t>
      </w:r>
    </w:p>
    <w:p>
      <w:pPr>
        <w:spacing w:line="240" w:lineRule="auto" w:before="12"/>
        <w:rPr>
          <w:rFonts w:ascii="宋体" w:hAnsi="宋体" w:cs="宋体" w:eastAsia="宋体" w:hint="default"/>
          <w:sz w:val="12"/>
          <w:szCs w:val="12"/>
        </w:rPr>
      </w:pPr>
    </w:p>
    <w:p>
      <w:pPr>
        <w:pStyle w:val="BodyText"/>
        <w:spacing w:line="300" w:lineRule="auto"/>
        <w:ind w:right="0" w:firstLine="480"/>
        <w:jc w:val="left"/>
      </w:pPr>
      <w:r>
        <w:rPr>
          <w:rFonts w:ascii="Times New Roman" w:hAnsi="Times New Roman" w:cs="Times New Roman" w:eastAsia="Times New Roman" w:hint="default"/>
        </w:rPr>
        <w:t>9</w:t>
      </w:r>
      <w:r>
        <w:rPr/>
        <w:t>、卓秀者女士：</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11</w:t>
      </w:r>
      <w:r>
        <w:rPr/>
        <w:t>月出生，中国国籍，无永久境外居留权，华中科技大学通信工程专业工程硕士研究生，高 </w:t>
      </w:r>
      <w:r>
        <w:rPr>
          <w:spacing w:val="-2"/>
        </w:rPr>
        <w:t>级工程师。</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4</w:t>
      </w:r>
      <w:r>
        <w:rPr>
          <w:spacing w:val="-2"/>
        </w:rPr>
        <w:t>月，供职福建省石狮电力联营公司；</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月，福建省电力勘测设计院职工、</w:t>
      </w:r>
      <w:r>
        <w:rPr>
          <w:spacing w:val="-43"/>
        </w:rPr>
        <w:t> </w:t>
      </w:r>
      <w:r>
        <w:rPr>
          <w:spacing w:val="-43"/>
        </w:rPr>
      </w:r>
      <w:r>
        <w:rPr>
          <w:spacing w:val="-2"/>
        </w:rPr>
        <w:t>副组长；</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月，福建永福电通技术开发有限公司副总经理（主持工作）、总经理；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月至今，福</w:t>
      </w:r>
      <w:r>
        <w:rPr>
          <w:spacing w:val="-46"/>
        </w:rPr>
        <w:t> </w:t>
      </w:r>
      <w:r>
        <w:rPr/>
        <w:t>建永福电通技术开发有限公司总经理；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月，福建永福工程顾问有限公司副总经理；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月至今，福</w:t>
      </w:r>
      <w:r>
        <w:rPr>
          <w:spacing w:val="-83"/>
        </w:rPr>
        <w:t> </w:t>
      </w:r>
      <w:r>
        <w:rPr>
          <w:spacing w:val="-83"/>
        </w:rPr>
      </w:r>
      <w:r>
        <w:rPr/>
        <w:t>建永福电力设计股份有限公司副总经理。</w:t>
      </w:r>
    </w:p>
    <w:p>
      <w:pPr>
        <w:spacing w:line="240" w:lineRule="auto" w:before="4"/>
        <w:rPr>
          <w:rFonts w:ascii="宋体" w:hAnsi="宋体" w:cs="宋体" w:eastAsia="宋体" w:hint="default"/>
          <w:sz w:val="14"/>
          <w:szCs w:val="14"/>
        </w:rPr>
      </w:pPr>
    </w:p>
    <w:p>
      <w:pPr>
        <w:pStyle w:val="BodyText"/>
        <w:spacing w:line="300" w:lineRule="auto"/>
        <w:ind w:right="1129" w:firstLine="480"/>
        <w:jc w:val="both"/>
      </w:pPr>
      <w:r>
        <w:rPr>
          <w:rFonts w:ascii="Times New Roman" w:hAnsi="Times New Roman" w:cs="Times New Roman" w:eastAsia="Times New Roman" w:hint="default"/>
        </w:rPr>
        <w:t>10</w:t>
      </w:r>
      <w:r>
        <w:rPr/>
        <w:t>、陈强先生：</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2</w:t>
      </w:r>
      <w:r>
        <w:rPr/>
        <w:t>月出生，中国国籍，无永久境外居留权，西安理工大学建筑工程专业本科学历，二级注册结 </w:t>
      </w:r>
      <w:r>
        <w:rPr>
          <w:spacing w:val="-3"/>
        </w:rPr>
        <w:t>构师、高级工程师。</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9</w:t>
      </w:r>
      <w:r>
        <w:rPr>
          <w:spacing w:val="-3"/>
        </w:rPr>
        <w:t>月，福建省电力勘测设计研究院线路设计部结构设计师、副组长；</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w:t>
      </w:r>
      <w:r>
        <w:rPr>
          <w:rFonts w:ascii="Times New Roman" w:hAnsi="Times New Roman" w:cs="Times New Roman" w:eastAsia="Times New Roman" w:hint="default"/>
        </w:rPr>
        <w:t>12</w:t>
      </w:r>
      <w:r>
        <w:rPr/>
        <w:t>月，福建永福工程顾问有限公司组长；</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月至今，福建永福铁塔技术开发有限公司副总经理、总经理；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月，福建永福工程顾问有限公司副总经理；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月至今，福建永福电力设计股份有限公司副总经理、工会主</w:t>
      </w:r>
      <w:r>
        <w:rPr>
          <w:spacing w:val="-56"/>
        </w:rPr>
        <w:t> </w:t>
      </w:r>
      <w:r>
        <w:rPr>
          <w:spacing w:val="-56"/>
        </w:rPr>
      </w:r>
      <w:r>
        <w:rPr/>
        <w:t>席，期间兼任福建省新能海上风电研发中心有限公司董事、常务副总经理。</w:t>
      </w:r>
    </w:p>
    <w:p>
      <w:pPr>
        <w:spacing w:line="240" w:lineRule="auto" w:before="5"/>
        <w:rPr>
          <w:rFonts w:ascii="宋体" w:hAnsi="宋体" w:cs="宋体" w:eastAsia="宋体" w:hint="default"/>
          <w:sz w:val="14"/>
          <w:szCs w:val="14"/>
        </w:rPr>
      </w:pPr>
    </w:p>
    <w:p>
      <w:pPr>
        <w:pStyle w:val="BodyText"/>
        <w:spacing w:line="240" w:lineRule="auto"/>
        <w:ind w:right="0"/>
        <w:jc w:val="both"/>
      </w:pPr>
      <w:r>
        <w:rPr/>
        <w:t>在股东单位任职情况</w:t>
      </w:r>
    </w:p>
    <w:p>
      <w:pPr>
        <w:pStyle w:val="BodyText"/>
        <w:spacing w:line="240" w:lineRule="auto" w:before="116"/>
        <w:ind w:right="0"/>
        <w:jc w:val="both"/>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7"/>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8" w:right="15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福州博宏投资管理有限公司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福州博宏投资管理有限公司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福州博宏投资管理有限公司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张俊财</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张俊财</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福州永福恒诚投资管理股份有限公司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5" w:right="144"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02" w:right="143"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2" w:right="16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福建永福铁塔技术开发有限公司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福建永福电通技术开发有限公司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福州新创机电设备有限公司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厦门福思威特工程有限公司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董事长、总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厦门瑞新热电有限公司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南平兴峰水电有限公司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福建和盛高科技产业有限公司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厦门福思威特工程有限公司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福州新创机电设备有限公司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4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福建海上风电运维服务有限公司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福建海源自动化机械股份有限公司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四川福蓉科技股份公司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福建福光股份有限公司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中國綠色食品</w:t>
            </w:r>
            <w:r>
              <w:rPr>
                <w:rFonts w:ascii="Times New Roman" w:hAnsi="Times New Roman" w:cs="Times New Roman" w:eastAsia="Times New Roman" w:hint="default"/>
                <w:sz w:val="18"/>
                <w:szCs w:val="18"/>
              </w:rPr>
              <w:t>(</w:t>
            </w:r>
            <w:r>
              <w:rPr>
                <w:rFonts w:ascii="宋体" w:hAnsi="宋体" w:cs="宋体" w:eastAsia="宋体" w:hint="default"/>
                <w:sz w:val="18"/>
                <w:szCs w:val="18"/>
              </w:rPr>
              <w:t>控股</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独立非执 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许永东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福建拓维律师事务所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首席合伙 人、律师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许永东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福建南平太阳电缆股份有限公司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许永东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福建新大陆通信科技股份有限公司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闽清永盛生态农业综合开发有限公司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漳浦国电投光伏有限公司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卓秀者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福建永福电通技术开发有限公司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4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95"/>
              <w:jc w:val="left"/>
              <w:rPr>
                <w:rFonts w:ascii="宋体" w:hAnsi="宋体" w:cs="宋体" w:eastAsia="宋体" w:hint="default"/>
                <w:sz w:val="18"/>
                <w:szCs w:val="18"/>
              </w:rPr>
            </w:pPr>
            <w:r>
              <w:rPr>
                <w:rFonts w:ascii="宋体" w:hAnsi="宋体" w:cs="宋体" w:eastAsia="宋体" w:hint="default"/>
                <w:sz w:val="18"/>
                <w:szCs w:val="18"/>
              </w:rPr>
              <w:t>福建省新能海上风电研发中心有限公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11"/>
                <w:sz w:val="18"/>
                <w:szCs w:val="18"/>
              </w:rPr>
              <w:t>董事、常务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福建永福铁塔技术开发有限公司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48"/>
              <w:jc w:val="left"/>
              <w:rPr>
                <w:rFonts w:ascii="宋体" w:hAnsi="宋体" w:cs="宋体" w:eastAsia="宋体" w:hint="default"/>
                <w:sz w:val="18"/>
                <w:szCs w:val="18"/>
              </w:rPr>
            </w:pPr>
            <w:r>
              <w:rPr>
                <w:rFonts w:ascii="宋体" w:hAnsi="宋体" w:cs="宋体" w:eastAsia="宋体" w:hint="default"/>
                <w:sz w:val="18"/>
                <w:szCs w:val="18"/>
              </w:rPr>
              <w:t>执行董事、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张善传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福建永帆风电科技有限公司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张善传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福建永帆风电科技有限公司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张善传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张善传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福建海上风电运维服务有限公司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48"/>
              <w:jc w:val="left"/>
              <w:rPr>
                <w:rFonts w:ascii="宋体" w:hAnsi="宋体" w:cs="宋体" w:eastAsia="宋体" w:hint="default"/>
                <w:sz w:val="18"/>
                <w:szCs w:val="18"/>
              </w:rPr>
            </w:pPr>
            <w:r>
              <w:rPr>
                <w:rFonts w:ascii="宋体" w:hAnsi="宋体" w:cs="宋体" w:eastAsia="宋体" w:hint="default"/>
                <w:sz w:val="18"/>
                <w:szCs w:val="18"/>
              </w:rPr>
              <w:t>副董事长、 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福建永帆风电科技有限公司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福建海上风电运维服务有限公司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福建永福新能电力投资有限公司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福建永福创智能源管理有限公司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执行董事 兼总经理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福建永鑫昌电力科技有限公司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黄肇敏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福建华超信息科技有限公司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432" w:lineRule="exact" w:before="60"/>
        <w:ind w:left="514" w:right="0" w:hanging="360"/>
        <w:jc w:val="left"/>
        <w:rPr>
          <w:rFonts w:ascii="宋体" w:hAnsi="宋体" w:cs="宋体" w:eastAsia="宋体" w:hint="default"/>
          <w:sz w:val="18"/>
          <w:szCs w:val="18"/>
        </w:rPr>
      </w:pPr>
      <w:r>
        <w:rPr>
          <w:rFonts w:ascii="宋体" w:hAnsi="宋体" w:cs="宋体" w:eastAsia="宋体" w:hint="default"/>
          <w:b/>
          <w:bCs/>
          <w:sz w:val="18"/>
          <w:szCs w:val="18"/>
        </w:rPr>
        <w:t>（一）董事、监事、高级管理人员报酬的决策程序</w:t>
      </w:r>
      <w:r>
        <w:rPr>
          <w:rFonts w:ascii="宋体" w:hAnsi="宋体" w:cs="宋体" w:eastAsia="宋体" w:hint="default"/>
          <w:b/>
          <w:bCs/>
          <w:w w:val="99"/>
          <w:sz w:val="18"/>
          <w:szCs w:val="18"/>
        </w:rPr>
        <w:t> </w:t>
      </w:r>
      <w:r>
        <w:rPr>
          <w:rFonts w:ascii="宋体" w:hAnsi="宋体" w:cs="宋体" w:eastAsia="宋体" w:hint="default"/>
          <w:spacing w:val="-2"/>
          <w:sz w:val="18"/>
          <w:szCs w:val="18"/>
        </w:rPr>
        <w:t>公司董事、监事薪酬由股东大会决定；总经理薪酬由董事会薪酬与绩效考核委员会考核确定，报董事会批准执行；其他</w:t>
      </w:r>
    </w:p>
    <w:p>
      <w:pPr>
        <w:pStyle w:val="BodyText"/>
        <w:spacing w:line="240" w:lineRule="auto" w:before="15"/>
        <w:ind w:right="0"/>
        <w:jc w:val="left"/>
      </w:pPr>
      <w:r>
        <w:rPr/>
        <w:t>高管薪酬由总经理考核确定，经董事会薪酬与绩效考核委员会审核后报董事会批准执行。</w:t>
      </w:r>
    </w:p>
    <w:p>
      <w:pPr>
        <w:spacing w:line="432" w:lineRule="exact" w:before="61"/>
        <w:ind w:left="514" w:right="1178" w:hanging="360"/>
        <w:jc w:val="left"/>
        <w:rPr>
          <w:rFonts w:ascii="宋体" w:hAnsi="宋体" w:cs="宋体" w:eastAsia="宋体" w:hint="default"/>
          <w:sz w:val="18"/>
          <w:szCs w:val="18"/>
        </w:rPr>
      </w:pPr>
      <w:r>
        <w:rPr>
          <w:rFonts w:ascii="宋体" w:hAnsi="宋体" w:cs="宋体" w:eastAsia="宋体" w:hint="default"/>
          <w:b/>
          <w:bCs/>
          <w:sz w:val="18"/>
          <w:szCs w:val="18"/>
        </w:rPr>
        <w:t>（二）董事、监事、高级管理人员报酬的确定依据</w:t>
      </w:r>
      <w:r>
        <w:rPr>
          <w:rFonts w:ascii="宋体" w:hAnsi="宋体" w:cs="宋体" w:eastAsia="宋体" w:hint="default"/>
          <w:b/>
          <w:bCs/>
          <w:w w:val="99"/>
          <w:sz w:val="18"/>
          <w:szCs w:val="18"/>
        </w:rPr>
        <w:t> </w:t>
      </w:r>
      <w:r>
        <w:rPr>
          <w:rFonts w:ascii="宋体" w:hAnsi="宋体" w:cs="宋体" w:eastAsia="宋体" w:hint="default"/>
          <w:spacing w:val="-2"/>
          <w:sz w:val="18"/>
          <w:szCs w:val="18"/>
        </w:rPr>
        <w:t>不在公司担任职务的董事薪酬（含独立董事）为</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年（含税），在公司担任职务的董事（指公司管理人员或员工兼</w:t>
      </w:r>
    </w:p>
    <w:p>
      <w:pPr>
        <w:pStyle w:val="BodyText"/>
        <w:spacing w:line="316" w:lineRule="auto" w:before="15"/>
        <w:ind w:right="1131"/>
        <w:jc w:val="both"/>
      </w:pPr>
      <w:r>
        <w:rPr>
          <w:spacing w:val="-2"/>
        </w:rPr>
        <w:t>任的董事）领取其职务薪酬，公司不另行支付其作为董事的薪酬；监事在公司领取其原职务薪酬，公司不再另行支付其作为</w:t>
      </w:r>
      <w:r>
        <w:rPr>
          <w:spacing w:val="-66"/>
        </w:rPr>
        <w:t> </w:t>
      </w:r>
      <w:r>
        <w:rPr>
          <w:spacing w:val="-66"/>
        </w:rPr>
      </w:r>
      <w:r>
        <w:rPr>
          <w:spacing w:val="-2"/>
        </w:rPr>
        <w:t>监事的薪酬；总经理薪酬由薪酬与绩效考核委员会根据岗位绩效评价结果及薪酬分配政策确定薪酬数额；其他高级管理人员</w:t>
      </w:r>
      <w:r>
        <w:rPr>
          <w:spacing w:val="-64"/>
        </w:rPr>
        <w:t> </w:t>
      </w:r>
      <w:r>
        <w:rPr>
          <w:spacing w:val="-64"/>
        </w:rPr>
      </w:r>
      <w:r>
        <w:rPr/>
        <w:t>薪酬由总经理根据公司经营完成利润目标的情况及高级管理人员完成工作目标的情况进行考核。</w:t>
      </w:r>
    </w:p>
    <w:p>
      <w:pPr>
        <w:spacing w:line="439" w:lineRule="auto" w:before="139"/>
        <w:ind w:left="514" w:right="3419" w:hanging="360"/>
        <w:jc w:val="left"/>
        <w:rPr>
          <w:rFonts w:ascii="宋体" w:hAnsi="宋体" w:cs="宋体" w:eastAsia="宋体" w:hint="default"/>
          <w:sz w:val="18"/>
          <w:szCs w:val="18"/>
        </w:rPr>
      </w:pPr>
      <w:r>
        <w:rPr>
          <w:rFonts w:ascii="宋体" w:hAnsi="宋体" w:cs="宋体" w:eastAsia="宋体" w:hint="default"/>
          <w:b/>
          <w:bCs/>
          <w:sz w:val="18"/>
          <w:szCs w:val="18"/>
        </w:rPr>
        <w:t>（三）董事、监事、高级管理人员报酬的实际支付情况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公司董事、监事、高级管理人员共</w:t>
      </w:r>
      <w:r>
        <w:rPr>
          <w:rFonts w:ascii="Times New Roman" w:hAnsi="Times New Roman" w:cs="Times New Roman" w:eastAsia="Times New Roman" w:hint="default"/>
          <w:spacing w:val="-2"/>
          <w:sz w:val="18"/>
          <w:szCs w:val="18"/>
        </w:rPr>
        <w:t>21</w:t>
      </w:r>
      <w:r>
        <w:rPr>
          <w:rFonts w:ascii="宋体" w:hAnsi="宋体" w:cs="宋体" w:eastAsia="宋体" w:hint="default"/>
          <w:spacing w:val="-2"/>
          <w:sz w:val="18"/>
          <w:szCs w:val="18"/>
        </w:rPr>
        <w:t>人（含离任</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人），</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年支付薪酬合计</w:t>
      </w:r>
      <w:r>
        <w:rPr>
          <w:rFonts w:ascii="Times New Roman" w:hAnsi="Times New Roman" w:cs="Times New Roman" w:eastAsia="Times New Roman" w:hint="default"/>
          <w:spacing w:val="-2"/>
          <w:sz w:val="18"/>
          <w:szCs w:val="18"/>
        </w:rPr>
        <w:t>787.30</w:t>
      </w:r>
      <w:r>
        <w:rPr>
          <w:rFonts w:ascii="宋体" w:hAnsi="宋体" w:cs="宋体" w:eastAsia="宋体" w:hint="default"/>
          <w:spacing w:val="-2"/>
          <w:sz w:val="18"/>
          <w:szCs w:val="18"/>
        </w:rPr>
        <w:t>万元。</w:t>
      </w:r>
    </w:p>
    <w:p>
      <w:pPr>
        <w:pStyle w:val="BodyText"/>
        <w:spacing w:line="240" w:lineRule="auto" w:before="18"/>
        <w:ind w:right="0"/>
        <w:jc w:val="left"/>
      </w:pPr>
      <w:r>
        <w:rPr/>
        <w:t>公司报告期内董事、监事和高级管理人员报酬情况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林一文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季征南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王劲军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钱有武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董事、副总经 理、总工程师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黄肇敏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董事、副总工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73"/>
              <w:jc w:val="both"/>
              <w:rPr>
                <w:rFonts w:ascii="宋体" w:hAnsi="宋体" w:cs="宋体" w:eastAsia="宋体" w:hint="default"/>
                <w:sz w:val="18"/>
                <w:szCs w:val="18"/>
              </w:rPr>
            </w:pPr>
            <w:r>
              <w:rPr>
                <w:rFonts w:ascii="宋体" w:hAnsi="宋体" w:cs="宋体" w:eastAsia="宋体" w:hint="default"/>
                <w:sz w:val="18"/>
                <w:szCs w:val="18"/>
              </w:rPr>
              <w:t>程师、数字化 技术研发部主 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许永东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李卫国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监事会主席、 职工代表监 事、采购管理 部副主任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监事、总经理 助理、电网事 业部总经理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张俊财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监事、发电事 业部总经理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王建明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监事、总经理 助理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宋发兴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卢庆议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副总经理、董 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张善传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罗志青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卓秀者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787.3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659</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后勤人员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659</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447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3"/>
                <w:sz w:val="18"/>
              </w:rPr>
              <w:t>113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659</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为吸引和留住人才，公司进一步完善薪酬福利体系。根据公司战略规划和业务结构，参照同行业薪酬水平，结合公司实</w:t>
      </w:r>
      <w:r>
        <w:rPr/>
        <w:t> 际，针对不同序列、不同层级的员工制定了相应的薪酬政策和薪酬方案。</w:t>
      </w:r>
    </w:p>
    <w:p>
      <w:pPr>
        <w:pStyle w:val="BodyText"/>
        <w:spacing w:line="309" w:lineRule="auto" w:before="56"/>
        <w:ind w:right="1132" w:firstLine="360"/>
        <w:jc w:val="both"/>
      </w:pPr>
      <w:r>
        <w:rPr>
          <w:spacing w:val="-2"/>
        </w:rPr>
        <w:t>报告期内，为进一步激发员工积极性、提高管理效能及盈利能力，经董事会同意，公司对组织架构进行调整，设立事业</w:t>
      </w:r>
      <w:r>
        <w:rPr/>
        <w:t> </w:t>
      </w:r>
      <w:r>
        <w:rPr>
          <w:spacing w:val="-2"/>
        </w:rPr>
        <w:t>部，形成各事业部生产一经营一体化，设计一总包一体化的管理模式。按照</w:t>
      </w:r>
      <w:r>
        <w:rPr>
          <w:rFonts w:ascii="Times New Roman" w:hAnsi="Times New Roman" w:cs="Times New Roman" w:eastAsia="Times New Roman" w:hint="default"/>
          <w:spacing w:val="-2"/>
        </w:rPr>
        <w:t>“</w:t>
      </w:r>
      <w:r>
        <w:rPr>
          <w:spacing w:val="-2"/>
        </w:rPr>
        <w:t>多劳多得、能者多得、上不封顶</w:t>
      </w:r>
      <w:r>
        <w:rPr>
          <w:rFonts w:ascii="Times New Roman" w:hAnsi="Times New Roman" w:cs="Times New Roman" w:eastAsia="Times New Roman" w:hint="default"/>
          <w:spacing w:val="-2"/>
        </w:rPr>
        <w:t>”</w:t>
      </w:r>
      <w:r>
        <w:rPr>
          <w:spacing w:val="-2"/>
        </w:rPr>
        <w:t>的原则，公司</w:t>
      </w:r>
      <w:r>
        <w:rPr>
          <w:spacing w:val="-45"/>
        </w:rPr>
        <w:t> </w:t>
      </w:r>
      <w:r>
        <w:rPr>
          <w:spacing w:val="-45"/>
        </w:rPr>
      </w:r>
      <w:r>
        <w:rPr/>
        <w:t>研究制定出台了事业部改革考核激励方案和优化薪酬分配机制，以实现公司目标与员工利益一致性。</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04" w:lineRule="auto"/>
        <w:ind w:right="0" w:firstLine="360"/>
        <w:jc w:val="left"/>
      </w:pPr>
      <w:r>
        <w:rPr>
          <w:spacing w:val="-4"/>
        </w:rPr>
        <w:t>为保障公司经营业务发展需要，提高员工专业技能和素质，进一步推进公司教育培训工作有计划、有组织、有重点开展，</w:t>
      </w:r>
      <w:r>
        <w:rPr/>
        <w:t> 每年初，公司组织各部门（分公司</w:t>
      </w:r>
      <w:r>
        <w:rPr>
          <w:rFonts w:ascii="Times New Roman" w:hAnsi="Times New Roman" w:cs="Times New Roman" w:eastAsia="Times New Roman" w:hint="default"/>
        </w:rPr>
        <w:t>/</w:t>
      </w:r>
      <w:r>
        <w:rPr/>
        <w:t>子公司）开展年度培训计划编制工作并以此实施。公司及各部门按照</w:t>
      </w:r>
      <w:r>
        <w:rPr>
          <w:rFonts w:ascii="Times New Roman" w:hAnsi="Times New Roman" w:cs="Times New Roman" w:eastAsia="Times New Roman" w:hint="default"/>
        </w:rPr>
        <w:t>“</w:t>
      </w:r>
      <w:r>
        <w:rPr/>
        <w:t>覆盖全员，突出重 点</w:t>
      </w:r>
      <w:r>
        <w:rPr>
          <w:rFonts w:ascii="Times New Roman" w:hAnsi="Times New Roman" w:cs="Times New Roman" w:eastAsia="Times New Roman" w:hint="default"/>
        </w:rPr>
        <w:t>”</w:t>
      </w:r>
      <w:r>
        <w:rPr/>
        <w:t>的原则，在开展全员培训工作的基础上，重点加强了企业管理人才、项目管理人才、市场营销人才等高层次、急需紧缺 和关键岗位骨干人才的培训。报告期内，全年累计开展培训活动近</w:t>
      </w:r>
      <w:r>
        <w:rPr>
          <w:rFonts w:ascii="Times New Roman" w:hAnsi="Times New Roman" w:cs="Times New Roman" w:eastAsia="Times New Roman" w:hint="default"/>
        </w:rPr>
        <w:t>300</w:t>
      </w:r>
      <w:r>
        <w:rPr/>
        <w:t>场，多渠道、多层次、重实效地开展教育培训，有效 地促进公司人才队伍的知识结构更新和创新能力升级。</w:t>
      </w: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6,685,647.00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spacing w:line="240" w:lineRule="auto"/>
        <w:ind w:right="978"/>
        <w:jc w:val="center"/>
        <w:rPr>
          <w:b w:val="0"/>
          <w:bCs w:val="0"/>
        </w:rPr>
      </w:pPr>
      <w:bookmarkStart w:name="第九节 公司治理" w:id="135"/>
      <w:bookmarkEnd w:id="135"/>
      <w:r>
        <w:rPr>
          <w:b w:val="0"/>
          <w:bCs w:val="0"/>
        </w:rPr>
      </w:r>
      <w:bookmarkStart w:name="_bookmark8" w:id="136"/>
      <w:bookmarkEnd w:id="136"/>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131" w:firstLine="420"/>
        <w:jc w:val="both"/>
      </w:pPr>
      <w:r>
        <w:rPr>
          <w:spacing w:val="-10"/>
        </w:rPr>
        <w:t>公司严格按照《公司法》《证券法》《上市公司治理准则》《深圳证券交易所创业板股票上市规则》《深</w:t>
      </w:r>
      <w:r>
        <w:rPr/>
        <w:t> </w:t>
      </w:r>
      <w:r>
        <w:rPr>
          <w:spacing w:val="-1"/>
        </w:rPr>
        <w:t>圳证券交易所创业板上市公司规范运作指引》等法律、法规和中国证监会有关法律法规的要求，确定了股</w:t>
      </w:r>
      <w:r>
        <w:rPr>
          <w:spacing w:val="-83"/>
        </w:rPr>
        <w:t> </w:t>
      </w:r>
      <w:r>
        <w:rPr>
          <w:spacing w:val="-83"/>
        </w:rPr>
      </w:r>
      <w:r>
        <w:rPr>
          <w:spacing w:val="-1"/>
        </w:rPr>
        <w:t>东大会、董事会、监事会及经营管理层的分层治理结构，不断完善公司法人治理结构，建立健全公司内部</w:t>
      </w:r>
      <w:r>
        <w:rPr>
          <w:spacing w:val="-85"/>
        </w:rPr>
        <w:t> </w:t>
      </w:r>
      <w:r>
        <w:rPr>
          <w:spacing w:val="-85"/>
        </w:rPr>
      </w:r>
      <w:r>
        <w:rPr/>
        <w:t>控制制度，进一步规范公司运作，提高公司治理水平。</w:t>
      </w:r>
    </w:p>
    <w:p>
      <w:pPr>
        <w:pStyle w:val="Heading4"/>
        <w:spacing w:line="273" w:lineRule="auto" w:before="127"/>
        <w:ind w:right="0" w:firstLine="526"/>
        <w:jc w:val="left"/>
      </w:pPr>
      <w:r>
        <w:rPr/>
        <w:t>报告期内，公司股东大会、董事会、监事会以及经理层均按照《公司章程》和各项议事规则、工作 细则规范运作，切实履行各自应尽的职责和义务。为进一步规范公司运作及提高科学决策水平，公司本年 </w:t>
      </w:r>
      <w:r>
        <w:rPr>
          <w:spacing w:val="-12"/>
        </w:rPr>
        <w:t>度修订了《公司章程》《股东大会议事规则》《董事会议事规则》《对外担保决策制度》《投资决策管理制度》</w:t>
      </w:r>
    </w:p>
    <w:p>
      <w:pPr>
        <w:pStyle w:val="Heading4"/>
        <w:spacing w:line="264" w:lineRule="auto" w:before="7"/>
        <w:ind w:right="1023"/>
        <w:jc w:val="left"/>
      </w:pPr>
      <w:r>
        <w:rPr>
          <w:spacing w:val="-10"/>
        </w:rPr>
        <w:t>《信息披露管理办法》《董事会秘书工作细则》《董事会审计委员会工作细则》《总经理工作细则》《董事会</w:t>
      </w:r>
      <w:r>
        <w:rPr>
          <w:spacing w:val="-70"/>
        </w:rPr>
        <w:t> </w:t>
      </w:r>
      <w:r>
        <w:rPr>
          <w:spacing w:val="-70"/>
        </w:rPr>
      </w:r>
      <w:r>
        <w:rPr>
          <w:spacing w:val="-3"/>
        </w:rPr>
        <w:t>薪酬与绩效考核委员会工作细则》《总经理绩效考核办法》</w:t>
      </w:r>
      <w:r>
        <w:rPr>
          <w:rFonts w:ascii="Times New Roman" w:hAnsi="Times New Roman" w:cs="Times New Roman" w:eastAsia="Times New Roman" w:hint="default"/>
          <w:spacing w:val="-3"/>
        </w:rPr>
        <w:t>11</w:t>
      </w:r>
      <w:r>
        <w:rPr>
          <w:spacing w:val="-3"/>
        </w:rPr>
        <w:t>份制度，制定了《经营层副职绩效考核办法》</w:t>
      </w:r>
      <w:r>
        <w:rPr>
          <w:spacing w:val="-88"/>
        </w:rPr>
        <w:t> </w:t>
      </w:r>
      <w:r>
        <w:rPr>
          <w:spacing w:val="-88"/>
        </w:rPr>
      </w:r>
      <w:r>
        <w:rPr>
          <w:rFonts w:ascii="Times New Roman" w:hAnsi="Times New Roman" w:cs="Times New Roman" w:eastAsia="Times New Roman" w:hint="default"/>
        </w:rPr>
        <w:t>1</w:t>
      </w:r>
      <w:r>
        <w:rPr/>
        <w:t>份制度。</w:t>
      </w:r>
    </w:p>
    <w:p>
      <w:pPr>
        <w:spacing w:line="432" w:lineRule="exact" w:before="17"/>
        <w:ind w:left="680" w:right="1206" w:hanging="105"/>
        <w:jc w:val="left"/>
        <w:rPr>
          <w:rFonts w:ascii="宋体" w:hAnsi="宋体" w:cs="宋体" w:eastAsia="宋体" w:hint="default"/>
          <w:sz w:val="21"/>
          <w:szCs w:val="21"/>
        </w:rPr>
      </w:pPr>
      <w:r>
        <w:rPr>
          <w:rFonts w:ascii="宋体" w:hAnsi="宋体" w:cs="宋体" w:eastAsia="宋体" w:hint="default"/>
          <w:b/>
          <w:bCs/>
          <w:sz w:val="21"/>
          <w:szCs w:val="21"/>
        </w:rPr>
        <w:t>（一）关于股东和股东大会</w:t>
      </w:r>
      <w:r>
        <w:rPr>
          <w:rFonts w:ascii="宋体" w:hAnsi="宋体" w:cs="宋体" w:eastAsia="宋体" w:hint="default"/>
          <w:b/>
          <w:bCs/>
          <w:w w:val="99"/>
          <w:sz w:val="21"/>
          <w:szCs w:val="21"/>
        </w:rPr>
        <w:t> </w:t>
      </w:r>
      <w:r>
        <w:rPr>
          <w:rFonts w:ascii="宋体" w:hAnsi="宋体" w:cs="宋体" w:eastAsia="宋体" w:hint="default"/>
          <w:spacing w:val="-5"/>
          <w:sz w:val="21"/>
          <w:szCs w:val="21"/>
        </w:rPr>
        <w:t>公司严格按照《公司法》《上市公司股东大会规则》《公司章程》和《股东大会议事规则》等规定和</w:t>
      </w:r>
    </w:p>
    <w:p>
      <w:pPr>
        <w:pStyle w:val="Heading4"/>
        <w:spacing w:line="255" w:lineRule="exact"/>
        <w:ind w:right="0"/>
        <w:jc w:val="left"/>
      </w:pPr>
      <w:r>
        <w:rPr/>
        <w:t>要求，规范地召集、召开股东大会、平等的对待所有股东，并尽可能为股东参加股东大会提供便利，使其</w:t>
      </w:r>
    </w:p>
    <w:p>
      <w:pPr>
        <w:pStyle w:val="Heading4"/>
        <w:spacing w:line="256" w:lineRule="auto" w:before="37"/>
        <w:ind w:right="1197"/>
        <w:jc w:val="left"/>
      </w:pPr>
      <w:r>
        <w:rPr/>
        <w:t>充分行使股东权利。报告期内，公司共召开</w:t>
      </w:r>
      <w:r>
        <w:rPr>
          <w:rFonts w:ascii="Times New Roman" w:hAnsi="Times New Roman" w:cs="Times New Roman" w:eastAsia="Times New Roman" w:hint="default"/>
        </w:rPr>
        <w:t>5</w:t>
      </w:r>
      <w:r>
        <w:rPr/>
        <w:t>次股东大会，并采用现场表决和网络投票相结合的方式，确 保全体股东特别是中小股东享有平等权利。</w:t>
      </w:r>
    </w:p>
    <w:p>
      <w:pPr>
        <w:spacing w:line="432" w:lineRule="exact" w:before="42"/>
        <w:ind w:left="680" w:right="0" w:firstLine="1"/>
        <w:jc w:val="left"/>
        <w:rPr>
          <w:rFonts w:ascii="宋体" w:hAnsi="宋体" w:cs="宋体" w:eastAsia="宋体" w:hint="default"/>
          <w:sz w:val="21"/>
          <w:szCs w:val="21"/>
        </w:rPr>
      </w:pPr>
      <w:r>
        <w:rPr>
          <w:rFonts w:ascii="宋体" w:hAnsi="宋体" w:cs="宋体" w:eastAsia="宋体" w:hint="default"/>
          <w:b/>
          <w:bCs/>
          <w:sz w:val="21"/>
          <w:szCs w:val="21"/>
        </w:rPr>
        <w:t>（二）关于公司与控股股东</w:t>
      </w:r>
      <w:r>
        <w:rPr>
          <w:rFonts w:ascii="宋体" w:hAnsi="宋体" w:cs="宋体" w:eastAsia="宋体" w:hint="default"/>
          <w:b/>
          <w:bCs/>
          <w:w w:val="99"/>
          <w:sz w:val="21"/>
          <w:szCs w:val="21"/>
        </w:rPr>
        <w:t> </w:t>
      </w:r>
      <w:r>
        <w:rPr>
          <w:rFonts w:ascii="宋体" w:hAnsi="宋体" w:cs="宋体" w:eastAsia="宋体" w:hint="default"/>
          <w:spacing w:val="-3"/>
          <w:sz w:val="21"/>
          <w:szCs w:val="21"/>
        </w:rPr>
        <w:t>公司控股股东和实际控制人严格按照《上市公司治理准则》《深圳证券交易所创业板股票上市规则》</w:t>
      </w:r>
    </w:p>
    <w:p>
      <w:pPr>
        <w:pStyle w:val="Heading4"/>
        <w:spacing w:line="255" w:lineRule="exact"/>
        <w:ind w:right="0"/>
        <w:jc w:val="left"/>
      </w:pPr>
      <w:r>
        <w:rPr/>
        <w:t>《深圳证券交易所创业板上市公司规范运作指引</w:t>
      </w:r>
      <w:r>
        <w:rPr>
          <w:spacing w:val="-105"/>
        </w:rPr>
        <w:t>》</w:t>
      </w:r>
      <w:r>
        <w:rPr/>
        <w:t>《公司</w:t>
      </w:r>
      <w:r>
        <w:rPr>
          <w:spacing w:val="-2"/>
        </w:rPr>
        <w:t>章</w:t>
      </w:r>
      <w:r>
        <w:rPr/>
        <w:t>程》等规定和要求，规范自己的行为，不存在</w:t>
      </w:r>
    </w:p>
    <w:p>
      <w:pPr>
        <w:pStyle w:val="Heading4"/>
        <w:spacing w:line="273" w:lineRule="auto" w:before="37"/>
        <w:ind w:right="1110"/>
        <w:jc w:val="both"/>
      </w:pPr>
      <w:r>
        <w:rPr>
          <w:spacing w:val="-1"/>
        </w:rPr>
        <w:t>超越股东大会直接或间接干预公司的决策和经营活动的行为，未损害公司及其他股东的利益，不存在控股</w:t>
      </w:r>
      <w:r>
        <w:rPr>
          <w:spacing w:val="-81"/>
        </w:rPr>
        <w:t> </w:t>
      </w:r>
      <w:r>
        <w:rPr>
          <w:spacing w:val="-81"/>
        </w:rPr>
      </w:r>
      <w:r>
        <w:rPr/>
        <w:t>股东占用公司资金的现象，亦无为控股股东提供担保的情形。公司拥有独立完整的业务和自主经营能力， 在业务、人员、资产、机构、财务上独立于控股股东，公司董事会、监事会和内部机构独立运作。</w:t>
      </w:r>
    </w:p>
    <w:p>
      <w:pPr>
        <w:spacing w:line="432" w:lineRule="exact" w:before="27"/>
        <w:ind w:left="680" w:right="1196" w:firstLine="2"/>
        <w:jc w:val="left"/>
        <w:rPr>
          <w:rFonts w:ascii="宋体" w:hAnsi="宋体" w:cs="宋体" w:eastAsia="宋体" w:hint="default"/>
          <w:sz w:val="21"/>
          <w:szCs w:val="21"/>
        </w:rPr>
      </w:pPr>
      <w:r>
        <w:rPr>
          <w:rFonts w:ascii="宋体" w:hAnsi="宋体" w:cs="宋体" w:eastAsia="宋体" w:hint="default"/>
          <w:b/>
          <w:bCs/>
          <w:sz w:val="21"/>
          <w:szCs w:val="21"/>
        </w:rPr>
        <w:t>（三）关于董事和董事会</w:t>
      </w:r>
      <w:r>
        <w:rPr>
          <w:rFonts w:ascii="宋体" w:hAnsi="宋体" w:cs="宋体" w:eastAsia="宋体" w:hint="default"/>
          <w:b/>
          <w:bCs/>
          <w:w w:val="99"/>
          <w:sz w:val="21"/>
          <w:szCs w:val="21"/>
        </w:rPr>
        <w:t> </w:t>
      </w:r>
      <w:r>
        <w:rPr>
          <w:rFonts w:ascii="宋体" w:hAnsi="宋体" w:cs="宋体" w:eastAsia="宋体" w:hint="default"/>
          <w:sz w:val="21"/>
          <w:szCs w:val="21"/>
        </w:rPr>
        <w:t>根据《公司章程》规定，董事会由</w:t>
      </w:r>
      <w:r>
        <w:rPr>
          <w:rFonts w:ascii="Times New Roman" w:hAnsi="Times New Roman" w:cs="Times New Roman" w:eastAsia="Times New Roman" w:hint="default"/>
          <w:sz w:val="21"/>
          <w:szCs w:val="21"/>
        </w:rPr>
        <w:t>9</w:t>
      </w:r>
      <w:r>
        <w:rPr>
          <w:rFonts w:ascii="宋体" w:hAnsi="宋体" w:cs="宋体" w:eastAsia="宋体" w:hint="default"/>
          <w:sz w:val="21"/>
          <w:szCs w:val="21"/>
        </w:rPr>
        <w:t>名董事组成，其中</w:t>
      </w:r>
      <w:r>
        <w:rPr>
          <w:rFonts w:ascii="Times New Roman" w:hAnsi="Times New Roman" w:cs="Times New Roman" w:eastAsia="Times New Roman" w:hint="default"/>
          <w:sz w:val="21"/>
          <w:szCs w:val="21"/>
        </w:rPr>
        <w:t>3</w:t>
      </w:r>
      <w:r>
        <w:rPr>
          <w:rFonts w:ascii="宋体" w:hAnsi="宋体" w:cs="宋体" w:eastAsia="宋体" w:hint="default"/>
          <w:sz w:val="21"/>
          <w:szCs w:val="21"/>
        </w:rPr>
        <w:t>名为独立董事。报告期内，公司董事会完成</w:t>
      </w:r>
    </w:p>
    <w:p>
      <w:pPr>
        <w:pStyle w:val="Heading4"/>
        <w:spacing w:line="255" w:lineRule="exact"/>
        <w:ind w:right="0"/>
        <w:jc w:val="left"/>
      </w:pPr>
      <w:r>
        <w:rPr/>
        <w:t>换届，并形成第二届董事会。公司选举董事，董事会人数、构成及任职资格均符合法律、法规和公司相关</w:t>
      </w:r>
    </w:p>
    <w:p>
      <w:pPr>
        <w:pStyle w:val="Heading4"/>
        <w:spacing w:line="266" w:lineRule="auto" w:before="37"/>
        <w:ind w:right="1110"/>
        <w:jc w:val="both"/>
      </w:pPr>
      <w:r>
        <w:rPr>
          <w:spacing w:val="-5"/>
        </w:rPr>
        <w:t>规章制度的规定。公司董事能够依据《公司章程》《董事会议事规则》《独立董事工作细则》等要求开展工</w:t>
      </w:r>
      <w:r>
        <w:rPr/>
        <w:t> 作，出席董事会、董事会专门委员会和股东大会，勤勉尽责地履行职责和义务，同时积极参加相关培训， </w:t>
      </w:r>
      <w:r>
        <w:rPr>
          <w:spacing w:val="-1"/>
        </w:rPr>
        <w:t>促进董事的规范履职和科学决策。报告期内，公司共召开</w:t>
      </w:r>
      <w:r>
        <w:rPr>
          <w:rFonts w:ascii="Times New Roman" w:hAnsi="Times New Roman" w:cs="Times New Roman" w:eastAsia="Times New Roman" w:hint="default"/>
          <w:spacing w:val="-1"/>
        </w:rPr>
        <w:t>11</w:t>
      </w:r>
      <w:r>
        <w:rPr>
          <w:spacing w:val="-1"/>
        </w:rPr>
        <w:t>次董事会，历次董事会均按照有关规定的程序</w:t>
      </w:r>
      <w:r>
        <w:rPr>
          <w:spacing w:val="-81"/>
        </w:rPr>
        <w:t> </w:t>
      </w:r>
      <w:r>
        <w:rPr>
          <w:spacing w:val="-81"/>
        </w:rPr>
      </w:r>
      <w:r>
        <w:rPr/>
        <w:t>召开，并严格履行了相关程序。</w:t>
      </w:r>
    </w:p>
    <w:p>
      <w:pPr>
        <w:spacing w:line="432" w:lineRule="exact" w:before="33"/>
        <w:ind w:left="680" w:right="1019" w:firstLine="0"/>
        <w:jc w:val="left"/>
        <w:rPr>
          <w:rFonts w:ascii="宋体" w:hAnsi="宋体" w:cs="宋体" w:eastAsia="宋体" w:hint="default"/>
          <w:sz w:val="21"/>
          <w:szCs w:val="21"/>
        </w:rPr>
      </w:pPr>
      <w:r>
        <w:rPr>
          <w:rFonts w:ascii="宋体" w:hAnsi="宋体" w:cs="宋体" w:eastAsia="宋体" w:hint="default"/>
          <w:b/>
          <w:bCs/>
          <w:sz w:val="21"/>
          <w:szCs w:val="21"/>
        </w:rPr>
        <w:t>（四）关于监事和监事会</w:t>
      </w:r>
      <w:r>
        <w:rPr>
          <w:rFonts w:ascii="宋体" w:hAnsi="宋体" w:cs="宋体" w:eastAsia="宋体" w:hint="default"/>
          <w:b/>
          <w:bCs/>
          <w:w w:val="99"/>
          <w:sz w:val="21"/>
          <w:szCs w:val="21"/>
        </w:rPr>
        <w:t> </w:t>
      </w:r>
      <w:r>
        <w:rPr>
          <w:rFonts w:ascii="宋体" w:hAnsi="宋体" w:cs="宋体" w:eastAsia="宋体" w:hint="default"/>
          <w:spacing w:val="-3"/>
          <w:sz w:val="21"/>
          <w:szCs w:val="21"/>
        </w:rPr>
        <w:t>根据《公司章程》规定，监事会设</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名监事，其中职工代表监事</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名，非职工代表监事</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名。报告期内，</w:t>
      </w:r>
    </w:p>
    <w:p>
      <w:pPr>
        <w:pStyle w:val="Heading4"/>
        <w:spacing w:line="256" w:lineRule="exact"/>
        <w:ind w:right="0"/>
        <w:jc w:val="left"/>
      </w:pPr>
      <w:r>
        <w:rPr/>
        <w:t>公司监事会完成换届，并形成第二届监事会。公司选举监事，监事会人数、构成及任职资格均符合法律、</w:t>
      </w:r>
    </w:p>
    <w:p>
      <w:pPr>
        <w:pStyle w:val="Heading4"/>
        <w:spacing w:line="273" w:lineRule="auto" w:before="37"/>
        <w:ind w:right="0"/>
        <w:jc w:val="left"/>
      </w:pPr>
      <w:r>
        <w:rPr>
          <w:spacing w:val="-3"/>
        </w:rPr>
        <w:t>法规和公司相关规章制度的规定。公司监事能够按照《公司章程》《监事会议事规则》等规定的要求，认</w:t>
      </w:r>
      <w:r>
        <w:rPr>
          <w:spacing w:val="-74"/>
        </w:rPr>
        <w:t> </w:t>
      </w:r>
      <w:r>
        <w:rPr>
          <w:spacing w:val="-74"/>
        </w:rPr>
      </w:r>
      <w:r>
        <w:rPr>
          <w:spacing w:val="-1"/>
        </w:rPr>
        <w:t>真履行自己的职责，对公司的重大事项、关联交易、财务状况以及董事、高级管理人员履行职责的合法合</w:t>
      </w:r>
      <w:r>
        <w:rPr>
          <w:spacing w:val="-86"/>
        </w:rPr>
        <w:t> </w:t>
      </w:r>
      <w:r>
        <w:rPr>
          <w:spacing w:val="-86"/>
        </w:rPr>
      </w:r>
      <w:r>
        <w:rPr/>
        <w:t>规性进行监督，维护公司及股东的合法权益。报告期内，公司共召开</w:t>
      </w:r>
      <w:r>
        <w:rPr>
          <w:rFonts w:ascii="Times New Roman" w:hAnsi="Times New Roman" w:cs="Times New Roman" w:eastAsia="Times New Roman" w:hint="default"/>
        </w:rPr>
        <w:t>9</w:t>
      </w:r>
      <w:r>
        <w:rPr/>
        <w:t>次监事会，历次监事会均按照有关</w:t>
      </w:r>
    </w:p>
    <w:p>
      <w:pPr>
        <w:spacing w:after="0" w:line="273"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40" w:lineRule="auto" w:before="35"/>
        <w:ind w:right="0"/>
        <w:jc w:val="left"/>
      </w:pPr>
      <w:r>
        <w:rPr/>
        <w:t>规定的程序召开，并严格履行了相关程序。</w:t>
      </w:r>
    </w:p>
    <w:p>
      <w:pPr>
        <w:spacing w:line="430" w:lineRule="atLeast" w:before="2"/>
        <w:ind w:left="680" w:right="1196" w:firstLine="1"/>
        <w:jc w:val="left"/>
        <w:rPr>
          <w:rFonts w:ascii="宋体" w:hAnsi="宋体" w:cs="宋体" w:eastAsia="宋体" w:hint="default"/>
          <w:sz w:val="21"/>
          <w:szCs w:val="21"/>
        </w:rPr>
      </w:pPr>
      <w:r>
        <w:rPr>
          <w:rFonts w:ascii="宋体" w:hAnsi="宋体" w:cs="宋体" w:eastAsia="宋体" w:hint="default"/>
          <w:b/>
          <w:bCs/>
          <w:sz w:val="21"/>
          <w:szCs w:val="21"/>
        </w:rPr>
        <w:t>（五）关于绩效评价与激励约束机制</w:t>
      </w:r>
      <w:r>
        <w:rPr>
          <w:rFonts w:ascii="宋体" w:hAnsi="宋体" w:cs="宋体" w:eastAsia="宋体" w:hint="default"/>
          <w:b/>
          <w:bCs/>
          <w:w w:val="99"/>
          <w:sz w:val="21"/>
          <w:szCs w:val="21"/>
        </w:rPr>
        <w:t> </w:t>
      </w:r>
      <w:r>
        <w:rPr>
          <w:rFonts w:ascii="宋体" w:hAnsi="宋体" w:cs="宋体" w:eastAsia="宋体" w:hint="default"/>
          <w:sz w:val="21"/>
          <w:szCs w:val="21"/>
        </w:rPr>
        <w:t>公司建立了科学有效的激励约束机制，以完善公司高级管理人员绩效考核，规范公司高管人员薪酬</w:t>
      </w:r>
    </w:p>
    <w:p>
      <w:pPr>
        <w:pStyle w:val="Heading4"/>
        <w:spacing w:line="273" w:lineRule="auto" w:before="37"/>
        <w:ind w:right="0"/>
        <w:jc w:val="left"/>
      </w:pPr>
      <w:r>
        <w:rPr>
          <w:spacing w:val="-1"/>
        </w:rPr>
        <w:t>管理，提高公司经营管理水平和核心竞争力。公司以企业经济效益为出发点，由董事会薪酬与绩效考核委</w:t>
      </w:r>
      <w:r>
        <w:rPr>
          <w:spacing w:val="-83"/>
        </w:rPr>
        <w:t> </w:t>
      </w:r>
      <w:r>
        <w:rPr>
          <w:spacing w:val="-83"/>
        </w:rPr>
      </w:r>
      <w:r>
        <w:rPr/>
        <w:t>员会考核确定总经理薪酬，由总经理考核确定公司其他高管的薪酬，高管薪酬均由董事会批准执行。</w:t>
      </w:r>
    </w:p>
    <w:p>
      <w:pPr>
        <w:spacing w:line="432" w:lineRule="exact" w:before="27"/>
        <w:ind w:left="680" w:right="1196" w:firstLine="1"/>
        <w:jc w:val="left"/>
        <w:rPr>
          <w:rFonts w:ascii="宋体" w:hAnsi="宋体" w:cs="宋体" w:eastAsia="宋体" w:hint="default"/>
          <w:sz w:val="21"/>
          <w:szCs w:val="21"/>
        </w:rPr>
      </w:pPr>
      <w:r>
        <w:rPr>
          <w:rFonts w:ascii="宋体" w:hAnsi="宋体" w:cs="宋体" w:eastAsia="宋体" w:hint="default"/>
          <w:b/>
          <w:bCs/>
          <w:sz w:val="21"/>
          <w:szCs w:val="21"/>
        </w:rPr>
        <w:t>（六）关于利益相关者</w:t>
      </w:r>
      <w:r>
        <w:rPr>
          <w:rFonts w:ascii="宋体" w:hAnsi="宋体" w:cs="宋体" w:eastAsia="宋体" w:hint="default"/>
          <w:b/>
          <w:bCs/>
          <w:w w:val="99"/>
          <w:sz w:val="21"/>
          <w:szCs w:val="21"/>
        </w:rPr>
        <w:t> </w:t>
      </w:r>
      <w:r>
        <w:rPr>
          <w:rFonts w:ascii="宋体" w:hAnsi="宋体" w:cs="宋体" w:eastAsia="宋体" w:hint="default"/>
          <w:sz w:val="21"/>
          <w:szCs w:val="21"/>
        </w:rPr>
        <w:t>公司充分尊重和维护利益相关者的合法权益，积极与利益相关者合作，加强与各方的沟通与交流，</w:t>
      </w:r>
    </w:p>
    <w:p>
      <w:pPr>
        <w:pStyle w:val="Heading4"/>
        <w:spacing w:line="255" w:lineRule="exact"/>
        <w:ind w:right="0"/>
        <w:jc w:val="left"/>
      </w:pPr>
      <w:r>
        <w:rPr/>
        <w:t>实现股东、员工、社会等各方利益的协调平衡，共同推动公司持续健康发展。</w:t>
      </w:r>
    </w:p>
    <w:p>
      <w:pPr>
        <w:spacing w:line="430" w:lineRule="atLeast" w:before="2"/>
        <w:ind w:left="680" w:right="1206" w:firstLine="1"/>
        <w:jc w:val="left"/>
        <w:rPr>
          <w:rFonts w:ascii="宋体" w:hAnsi="宋体" w:cs="宋体" w:eastAsia="宋体" w:hint="default"/>
          <w:sz w:val="21"/>
          <w:szCs w:val="21"/>
        </w:rPr>
      </w:pPr>
      <w:r>
        <w:rPr>
          <w:rFonts w:ascii="宋体" w:hAnsi="宋体" w:cs="宋体" w:eastAsia="宋体" w:hint="default"/>
          <w:b/>
          <w:bCs/>
          <w:sz w:val="21"/>
          <w:szCs w:val="21"/>
        </w:rPr>
        <w:t>（七）关于信息披露与透明度</w:t>
      </w:r>
      <w:r>
        <w:rPr>
          <w:rFonts w:ascii="宋体" w:hAnsi="宋体" w:cs="宋体" w:eastAsia="宋体" w:hint="default"/>
          <w:b/>
          <w:bCs/>
          <w:w w:val="99"/>
          <w:sz w:val="21"/>
          <w:szCs w:val="21"/>
        </w:rPr>
        <w:t> </w:t>
      </w:r>
      <w:r>
        <w:rPr>
          <w:rFonts w:ascii="宋体" w:hAnsi="宋体" w:cs="宋体" w:eastAsia="宋体" w:hint="default"/>
          <w:spacing w:val="-5"/>
          <w:sz w:val="21"/>
          <w:szCs w:val="21"/>
        </w:rPr>
        <w:t>公司严格按照《中华人民共和国证券法》《深圳证券交易所创业板股票上市规则》《深圳证券交易所</w:t>
      </w:r>
    </w:p>
    <w:p>
      <w:pPr>
        <w:pStyle w:val="Heading4"/>
        <w:spacing w:line="273" w:lineRule="auto" w:before="37"/>
        <w:ind w:right="0"/>
        <w:jc w:val="left"/>
      </w:pPr>
      <w:r>
        <w:rPr>
          <w:spacing w:val="-3"/>
        </w:rPr>
        <w:t>创业板上市公司规范运作指引》《公司章程》及《信息披露事务管理制度》等法律法规及规范性文件、制</w:t>
      </w:r>
      <w:r>
        <w:rPr>
          <w:spacing w:val="-74"/>
        </w:rPr>
        <w:t> </w:t>
      </w:r>
      <w:r>
        <w:rPr>
          <w:spacing w:val="-74"/>
        </w:rPr>
      </w:r>
      <w:r>
        <w:rPr>
          <w:spacing w:val="-1"/>
        </w:rPr>
        <w:t>度的要求，真实、准确、完整、及时、公平地披露有关信息。公司指定董事会秘书负责信息披露工作，并</w:t>
      </w:r>
      <w:r>
        <w:rPr>
          <w:spacing w:val="-85"/>
        </w:rPr>
        <w:t> </w:t>
      </w:r>
      <w:r>
        <w:rPr>
          <w:spacing w:val="-85"/>
        </w:rPr>
      </w:r>
      <w:r>
        <w:rPr/>
        <w:t>负责接待投资者来访和咨询及投资者关系管理，设立董事会办公室负责信息披露日常事务。</w:t>
      </w:r>
    </w:p>
    <w:p>
      <w:pPr>
        <w:pStyle w:val="BodyText"/>
        <w:spacing w:line="240" w:lineRule="auto" w:before="154"/>
        <w:ind w:right="0"/>
        <w:jc w:val="left"/>
      </w:pPr>
      <w:r>
        <w:rPr/>
        <w:t>公司治理的实际状况与中国证监会发布的有关上市公司治理的规范性文件是否存在重大差异</w:t>
      </w:r>
    </w:p>
    <w:p>
      <w:pPr>
        <w:pStyle w:val="BodyText"/>
        <w:spacing w:line="360" w:lineRule="auto" w:before="116"/>
        <w:ind w:right="3552"/>
        <w:jc w:val="left"/>
      </w:pPr>
      <w:r>
        <w:rPr/>
        <w:t>□ 是 √ 否 公司治理的实际状况与中国证监会发布的有关上市公司治理的规范性文件不存在重大差异。</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9"/>
        <w:rPr>
          <w:rFonts w:ascii="宋体" w:hAnsi="宋体" w:cs="宋体" w:eastAsia="宋体" w:hint="default"/>
          <w:b/>
          <w:bCs/>
          <w:sz w:val="24"/>
          <w:szCs w:val="24"/>
        </w:rPr>
      </w:pPr>
    </w:p>
    <w:p>
      <w:pPr>
        <w:pStyle w:val="Heading4"/>
        <w:spacing w:line="273" w:lineRule="auto"/>
        <w:ind w:right="1133" w:firstLine="360"/>
        <w:jc w:val="both"/>
      </w:pPr>
      <w:r>
        <w:rPr>
          <w:spacing w:val="-4"/>
        </w:rPr>
        <w:t>公司严格按照《公司法》《证券法》等有关法律、法规和《公司章程》的相关规定规范运作，与控股股</w:t>
      </w:r>
      <w:r>
        <w:rPr/>
        <w:t> </w:t>
      </w:r>
      <w:r>
        <w:rPr>
          <w:spacing w:val="-1"/>
        </w:rPr>
        <w:t>东、实际控制人及其控制的其他企业在业务、人员、资产、机构、财务等方面完全分开、独立运行，具有</w:t>
      </w:r>
      <w:r>
        <w:rPr>
          <w:spacing w:val="-85"/>
        </w:rPr>
        <w:t> </w:t>
      </w:r>
      <w:r>
        <w:rPr>
          <w:spacing w:val="-85"/>
        </w:rPr>
      </w:r>
      <w:r>
        <w:rPr/>
        <w:t>完整的业务体系和面向市场独立经营的能力。</w:t>
      </w:r>
    </w:p>
    <w:p>
      <w:pPr>
        <w:pStyle w:val="Heading4"/>
        <w:spacing w:line="307" w:lineRule="auto" w:before="47"/>
        <w:ind w:left="514" w:right="0"/>
        <w:jc w:val="left"/>
      </w:pPr>
      <w:r>
        <w:rPr>
          <w:rFonts w:ascii="宋体" w:hAnsi="宋体" w:cs="宋体" w:eastAsia="宋体" w:hint="default"/>
          <w:b/>
          <w:bCs/>
        </w:rPr>
        <w:t>（一）业务独立情况</w:t>
      </w:r>
      <w:r>
        <w:rPr>
          <w:rFonts w:ascii="宋体" w:hAnsi="宋体" w:cs="宋体" w:eastAsia="宋体" w:hint="default"/>
          <w:b/>
          <w:bCs/>
          <w:w w:val="99"/>
        </w:rPr>
        <w:t> </w:t>
      </w:r>
      <w:r>
        <w:rPr/>
        <w:t>公司主营业务是提供电力工程规划咨询、勘察设计和</w:t>
      </w:r>
      <w:r>
        <w:rPr>
          <w:rFonts w:ascii="Times New Roman" w:hAnsi="Times New Roman" w:cs="Times New Roman" w:eastAsia="Times New Roman" w:hint="default"/>
        </w:rPr>
        <w:t>EPC</w:t>
      </w:r>
      <w:r>
        <w:rPr/>
        <w:t>工程总承包等全寿命周期技术服务，具备了</w:t>
      </w:r>
    </w:p>
    <w:p>
      <w:pPr>
        <w:pStyle w:val="Heading4"/>
        <w:spacing w:line="231" w:lineRule="exact"/>
        <w:ind w:right="0"/>
        <w:jc w:val="left"/>
      </w:pPr>
      <w:r>
        <w:rPr/>
        <w:t>经营所需的相应资质，拥有从事经营业务所必须的和独立完整的业务体系、信息系统及管理系统。公司的</w:t>
      </w:r>
    </w:p>
    <w:p>
      <w:pPr>
        <w:pStyle w:val="Heading4"/>
        <w:spacing w:line="273" w:lineRule="auto" w:before="37"/>
        <w:ind w:right="0"/>
        <w:jc w:val="left"/>
      </w:pPr>
      <w:r>
        <w:rPr>
          <w:spacing w:val="-1"/>
        </w:rPr>
        <w:t>业务独立于控股股东、实际控制人及其控制的其他企业，与控股股东、实际控制人及其控制的其他企业间</w:t>
      </w:r>
      <w:r>
        <w:rPr>
          <w:spacing w:val="-83"/>
        </w:rPr>
        <w:t> </w:t>
      </w:r>
      <w:r>
        <w:rPr>
          <w:spacing w:val="-83"/>
        </w:rPr>
      </w:r>
      <w:r>
        <w:rPr/>
        <w:t>不存在同业竞争或者显失公平的关联交易。</w:t>
      </w:r>
    </w:p>
    <w:p>
      <w:pPr>
        <w:pStyle w:val="Heading4"/>
        <w:spacing w:line="307" w:lineRule="auto" w:before="48"/>
        <w:ind w:left="514" w:right="0"/>
        <w:jc w:val="left"/>
      </w:pPr>
      <w:r>
        <w:rPr>
          <w:rFonts w:ascii="宋体" w:hAnsi="宋体" w:cs="宋体" w:eastAsia="宋体" w:hint="default"/>
          <w:b/>
          <w:bCs/>
        </w:rPr>
        <w:t>（二）人员独立情况</w:t>
      </w:r>
      <w:r>
        <w:rPr>
          <w:rFonts w:ascii="宋体" w:hAnsi="宋体" w:cs="宋体" w:eastAsia="宋体" w:hint="default"/>
          <w:b/>
          <w:bCs/>
          <w:w w:val="99"/>
        </w:rPr>
        <w:t> </w:t>
      </w:r>
      <w:r>
        <w:rPr/>
        <w:t>本公司的人员独立于控股股东、实际控制人及其控制的其他企业。公司独立管理员工的劳动、人事、</w:t>
      </w:r>
    </w:p>
    <w:p>
      <w:pPr>
        <w:pStyle w:val="Heading4"/>
        <w:spacing w:line="253" w:lineRule="exact"/>
        <w:ind w:right="0"/>
        <w:jc w:val="left"/>
      </w:pPr>
      <w:r>
        <w:rPr/>
        <w:t>工资报酬以及相应的社会保障。股东推荐的董事人选均按照《公司章程》规定的程序当选，总经理和其他</w:t>
      </w:r>
    </w:p>
    <w:p>
      <w:pPr>
        <w:pStyle w:val="Heading4"/>
        <w:spacing w:line="273" w:lineRule="auto" w:before="37"/>
        <w:ind w:right="1023"/>
        <w:jc w:val="left"/>
      </w:pPr>
      <w:r>
        <w:rPr>
          <w:spacing w:val="-3"/>
        </w:rPr>
        <w:t>高级管理人员均由董事会聘任。总经理、副总经理、财务总监、董事会秘书等高级管理人员未在控股股东、</w:t>
      </w:r>
      <w:r>
        <w:rPr>
          <w:spacing w:val="-96"/>
        </w:rPr>
        <w:t> </w:t>
      </w:r>
      <w:r>
        <w:rPr>
          <w:spacing w:val="-96"/>
        </w:rPr>
      </w:r>
      <w:r>
        <w:rPr/>
        <w:t>实际控制人及其控制的其他企业中担任除董事、监事以外的其他职务，未在控股股东、实际控制人及其控</w:t>
      </w:r>
      <w:r>
        <w:rPr/>
        <w:t> 制的其他企业处领薪。</w:t>
      </w:r>
    </w:p>
    <w:p>
      <w:pPr>
        <w:pStyle w:val="Heading4"/>
        <w:spacing w:line="307" w:lineRule="auto" w:before="47"/>
        <w:ind w:left="514" w:right="0"/>
        <w:jc w:val="left"/>
      </w:pPr>
      <w:r>
        <w:rPr>
          <w:rFonts w:ascii="宋体" w:hAnsi="宋体" w:cs="宋体" w:eastAsia="宋体" w:hint="default"/>
          <w:b/>
          <w:bCs/>
        </w:rPr>
        <w:t>（三）资产完整情况</w:t>
      </w:r>
      <w:r>
        <w:rPr>
          <w:rFonts w:ascii="宋体" w:hAnsi="宋体" w:cs="宋体" w:eastAsia="宋体" w:hint="default"/>
          <w:b/>
          <w:bCs/>
          <w:w w:val="99"/>
        </w:rPr>
        <w:t> </w:t>
      </w:r>
      <w:r>
        <w:rPr/>
        <w:t>公司合法、独立的拥有与经营相关的房屋、设备、专利等主要资产的所有权或使用权，该等资产不存</w:t>
      </w:r>
    </w:p>
    <w:p>
      <w:pPr>
        <w:pStyle w:val="Heading4"/>
        <w:spacing w:line="254" w:lineRule="exact"/>
        <w:ind w:right="0"/>
        <w:jc w:val="left"/>
      </w:pPr>
      <w:r>
        <w:rPr/>
        <w:t>在法律纠纷或潜在纠纷，与控股股东、实际控制人及其控制的其他企业的资产产权界定明晰。</w:t>
      </w:r>
    </w:p>
    <w:p>
      <w:pPr>
        <w:pStyle w:val="Heading4"/>
        <w:spacing w:line="307" w:lineRule="auto" w:before="77"/>
        <w:ind w:left="514" w:right="0"/>
        <w:jc w:val="left"/>
      </w:pPr>
      <w:r>
        <w:rPr>
          <w:rFonts w:ascii="宋体" w:hAnsi="宋体" w:cs="宋体" w:eastAsia="宋体" w:hint="default"/>
          <w:b/>
          <w:bCs/>
        </w:rPr>
        <w:t>（四）机构独立情况</w:t>
      </w:r>
      <w:r>
        <w:rPr>
          <w:rFonts w:ascii="宋体" w:hAnsi="宋体" w:cs="宋体" w:eastAsia="宋体" w:hint="default"/>
          <w:b/>
          <w:bCs/>
          <w:w w:val="99"/>
        </w:rPr>
        <w:t> </w:t>
      </w:r>
      <w:r>
        <w:rPr/>
        <w:t>公司建立了健全的法人治理结构，设置了股东大会、董事会、监事会等决策及监督机构、同时建立了</w:t>
      </w:r>
    </w:p>
    <w:p>
      <w:pPr>
        <w:pStyle w:val="Heading4"/>
        <w:spacing w:line="253" w:lineRule="exact"/>
        <w:ind w:right="0"/>
        <w:jc w:val="left"/>
      </w:pPr>
      <w:r>
        <w:rPr/>
        <w:t>独立完整的内部组织机构，各机构按照相关规定在各自职责范围内独立决策、规范运作。公司独立行使经</w:t>
      </w:r>
    </w:p>
    <w:p>
      <w:pPr>
        <w:pStyle w:val="Heading4"/>
        <w:spacing w:line="240" w:lineRule="auto" w:before="38"/>
        <w:ind w:right="0"/>
        <w:jc w:val="left"/>
      </w:pPr>
      <w:r>
        <w:rPr/>
        <w:t>营管理权，与控股股东和实际控制人及其控制的其他企业之间不存在机构混同的情形。</w:t>
      </w:r>
    </w:p>
    <w:p>
      <w:pPr>
        <w:spacing w:after="0" w:line="240" w:lineRule="auto"/>
        <w:jc w:val="left"/>
        <w:sectPr>
          <w:pgSz w:w="11910" w:h="16840"/>
          <w:pgMar w:header="850" w:footer="1267" w:top="1260" w:bottom="1460" w:left="980" w:right="0"/>
        </w:sectPr>
      </w:pPr>
    </w:p>
    <w:p>
      <w:pPr>
        <w:spacing w:line="240" w:lineRule="auto" w:before="7"/>
        <w:rPr>
          <w:rFonts w:ascii="宋体" w:hAnsi="宋体" w:cs="宋体" w:eastAsia="宋体" w:hint="default"/>
          <w:sz w:val="9"/>
          <w:szCs w:val="9"/>
        </w:rPr>
      </w:pPr>
    </w:p>
    <w:p>
      <w:pPr>
        <w:pStyle w:val="Heading4"/>
        <w:spacing w:line="307" w:lineRule="auto" w:before="35"/>
        <w:ind w:left="514" w:right="0"/>
        <w:jc w:val="left"/>
      </w:pPr>
      <w:r>
        <w:rPr>
          <w:rFonts w:ascii="宋体" w:hAnsi="宋体" w:cs="宋体" w:eastAsia="宋体" w:hint="default"/>
          <w:b/>
          <w:bCs/>
        </w:rPr>
        <w:t>（五）财务独立情况</w:t>
      </w:r>
      <w:r>
        <w:rPr>
          <w:rFonts w:ascii="宋体" w:hAnsi="宋体" w:cs="宋体" w:eastAsia="宋体" w:hint="default"/>
          <w:b/>
          <w:bCs/>
          <w:w w:val="99"/>
        </w:rPr>
        <w:t> </w:t>
      </w:r>
      <w:r>
        <w:rPr/>
        <w:t>公司设立了独立的财务部门，建立了独立的财务核算体系，能够独立做出财务决策，具有规范的财务</w:t>
      </w:r>
    </w:p>
    <w:p>
      <w:pPr>
        <w:pStyle w:val="Heading4"/>
        <w:spacing w:line="253" w:lineRule="exact"/>
        <w:ind w:right="0"/>
        <w:jc w:val="left"/>
      </w:pPr>
      <w:r>
        <w:rPr/>
        <w:t>会计制度和对子公司的财务管理制度。公司在银行开设了独立账户，独立支配自有资金和资产，不存在与</w:t>
      </w:r>
    </w:p>
    <w:p>
      <w:pPr>
        <w:pStyle w:val="Heading4"/>
        <w:spacing w:line="273" w:lineRule="auto" w:before="37"/>
        <w:ind w:right="0"/>
        <w:jc w:val="left"/>
      </w:pPr>
      <w:r>
        <w:rPr>
          <w:spacing w:val="-1"/>
        </w:rPr>
        <w:t>控股股东、实际控制人及其控制的其他企业共用银行账户的情形。公司作为独立的纳税人进行纳税申报及</w:t>
      </w:r>
      <w:r>
        <w:rPr>
          <w:spacing w:val="-81"/>
        </w:rPr>
        <w:t> </w:t>
      </w:r>
      <w:r>
        <w:rPr>
          <w:spacing w:val="-81"/>
        </w:rPr>
      </w:r>
      <w:r>
        <w:rPr/>
        <w:t>履行纳税义务，不存在与控股股东、实际控制人及其控制的其他企业混合纳税的情形。</w:t>
      </w:r>
    </w:p>
    <w:p>
      <w:pPr>
        <w:spacing w:line="240" w:lineRule="auto" w:before="10"/>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9"/>
      <w:bookmarkEnd w:id="139"/>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left"/>
              <w:rPr>
                <w:rFonts w:ascii="宋体" w:hAnsi="宋体" w:cs="宋体" w:eastAsia="宋体" w:hint="default"/>
                <w:sz w:val="18"/>
                <w:szCs w:val="18"/>
              </w:rPr>
            </w:pPr>
            <w:r>
              <w:rPr>
                <w:rFonts w:ascii="宋体" w:hAnsi="宋体" w:cs="宋体" w:eastAsia="宋体" w:hint="default"/>
                <w:spacing w:val="-12"/>
                <w:sz w:val="18"/>
                <w:szCs w:val="18"/>
              </w:rPr>
              <w:t>巨潮网：《</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第一次临时股东 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2018-007</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103"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left"/>
              <w:rPr>
                <w:rFonts w:ascii="宋体" w:hAnsi="宋体" w:cs="宋体" w:eastAsia="宋体" w:hint="default"/>
                <w:sz w:val="18"/>
                <w:szCs w:val="18"/>
              </w:rPr>
            </w:pPr>
            <w:r>
              <w:rPr>
                <w:rFonts w:ascii="宋体" w:hAnsi="宋体" w:cs="宋体" w:eastAsia="宋体" w:hint="default"/>
                <w:spacing w:val="-17"/>
                <w:sz w:val="18"/>
                <w:szCs w:val="18"/>
              </w:rPr>
              <w:t>巨潮网：《</w:t>
            </w:r>
            <w:r>
              <w:rPr>
                <w:rFonts w:ascii="Times New Roman" w:hAnsi="Times New Roman" w:cs="Times New Roman" w:eastAsia="Times New Roman" w:hint="default"/>
                <w:spacing w:val="-17"/>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 年度股东大会决 </w:t>
            </w:r>
            <w:r>
              <w:rPr>
                <w:rFonts w:ascii="宋体" w:hAnsi="宋体" w:cs="宋体" w:eastAsia="宋体" w:hint="default"/>
                <w:spacing w:val="-8"/>
                <w:sz w:val="18"/>
                <w:szCs w:val="18"/>
              </w:rPr>
              <w:t>议》（</w:t>
            </w:r>
            <w:r>
              <w:rPr>
                <w:rFonts w:ascii="Times New Roman" w:hAnsi="Times New Roman" w:cs="Times New Roman" w:eastAsia="Times New Roman" w:hint="default"/>
                <w:spacing w:val="-8"/>
                <w:sz w:val="18"/>
                <w:szCs w:val="18"/>
              </w:rPr>
              <w:t>2018-032</w:t>
            </w:r>
            <w:r>
              <w:rPr>
                <w:rFonts w:ascii="宋体" w:hAnsi="宋体" w:cs="宋体" w:eastAsia="宋体" w:hint="default"/>
                <w:spacing w:val="-8"/>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left"/>
              <w:rPr>
                <w:rFonts w:ascii="宋体" w:hAnsi="宋体" w:cs="宋体" w:eastAsia="宋体" w:hint="default"/>
                <w:sz w:val="18"/>
                <w:szCs w:val="18"/>
              </w:rPr>
            </w:pPr>
            <w:r>
              <w:rPr>
                <w:rFonts w:ascii="宋体" w:hAnsi="宋体" w:cs="宋体" w:eastAsia="宋体" w:hint="default"/>
                <w:spacing w:val="-12"/>
                <w:sz w:val="18"/>
                <w:szCs w:val="18"/>
              </w:rPr>
              <w:t>巨潮网：《</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第二次临时股东 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2018-033</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left"/>
              <w:rPr>
                <w:rFonts w:ascii="宋体" w:hAnsi="宋体" w:cs="宋体" w:eastAsia="宋体" w:hint="default"/>
                <w:sz w:val="18"/>
                <w:szCs w:val="18"/>
              </w:rPr>
            </w:pPr>
            <w:r>
              <w:rPr>
                <w:rFonts w:ascii="宋体" w:hAnsi="宋体" w:cs="宋体" w:eastAsia="宋体" w:hint="default"/>
                <w:spacing w:val="-12"/>
                <w:sz w:val="18"/>
                <w:szCs w:val="18"/>
              </w:rPr>
              <w:t>巨潮网：《</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第三次临时股东 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2018-058</w:t>
            </w:r>
            <w:r>
              <w:rPr>
                <w:rFonts w:ascii="宋体" w:hAnsi="宋体" w:cs="宋体" w:eastAsia="宋体" w:hint="default"/>
                <w:sz w:val="18"/>
                <w:szCs w:val="18"/>
              </w:rPr>
              <w:t>）</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left"/>
              <w:rPr>
                <w:rFonts w:ascii="宋体" w:hAnsi="宋体" w:cs="宋体" w:eastAsia="宋体" w:hint="default"/>
                <w:sz w:val="18"/>
                <w:szCs w:val="18"/>
              </w:rPr>
            </w:pPr>
            <w:r>
              <w:rPr>
                <w:rFonts w:ascii="宋体" w:hAnsi="宋体" w:cs="宋体" w:eastAsia="宋体" w:hint="default"/>
                <w:spacing w:val="-12"/>
                <w:sz w:val="18"/>
                <w:szCs w:val="18"/>
              </w:rPr>
              <w:t>巨潮网：《</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第四次临时股东 大会决议公告》</w:t>
            </w:r>
          </w:p>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2018-066</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850" w:footer="1267" w:top="1260" w:bottom="1460" w:left="980" w:right="0"/>
        </w:sectPr>
      </w:pPr>
    </w:p>
    <w:p>
      <w:pPr>
        <w:spacing w:line="240" w:lineRule="auto" w:before="5"/>
        <w:rPr>
          <w:rFonts w:ascii="宋体" w:hAnsi="宋体" w:cs="宋体" w:eastAsia="宋体" w:hint="default"/>
          <w:sz w:val="8"/>
          <w:szCs w:val="8"/>
        </w:rPr>
      </w:pPr>
    </w:p>
    <w:p>
      <w:pPr>
        <w:pStyle w:val="Heading2"/>
        <w:spacing w:line="240" w:lineRule="auto" w:before="26"/>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5" w:right="125"/>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305"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陈冲</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8"/>
                <w:sz w:val="18"/>
                <w:szCs w:val="18"/>
              </w:rPr>
              <w:t>林雁（任期届满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离职）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8"/>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16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许永东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51"/>
        <w:ind w:right="4812"/>
        <w:jc w:val="left"/>
      </w:pPr>
      <w:r>
        <w:rPr/>
        <w:t>连续两次未亲自出席董事会的说明 报告期内，公司所有独立董事均不存在连续两次未亲自出席董事会的情形。</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57" w:lineRule="auto" w:before="117"/>
        <w:ind w:right="6972"/>
        <w:jc w:val="left"/>
      </w:pPr>
      <w:r>
        <w:rPr/>
        <w:t>□ 是 √ 否 报告期内独立董事对公司有关事项未提出异议。</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60" w:lineRule="auto" w:before="116"/>
        <w:ind w:right="6792"/>
        <w:jc w:val="left"/>
      </w:pPr>
      <w:r>
        <w:rPr/>
        <w:t>√ 是 □ 否 独立董事对公司有关建议被采纳或未被采纳的说明</w:t>
      </w:r>
    </w:p>
    <w:p>
      <w:pPr>
        <w:pStyle w:val="BodyText"/>
        <w:spacing w:line="316" w:lineRule="auto" w:before="25"/>
        <w:ind w:right="0" w:firstLine="360"/>
        <w:jc w:val="left"/>
      </w:pPr>
      <w:r>
        <w:rPr>
          <w:spacing w:val="-6"/>
        </w:rPr>
        <w:t>独立董事在任职期间严格按照《公司法》《深圳证券交易所创业板上市公司规范运作指引》《上市公司治理准则》《关于</w:t>
      </w:r>
      <w:r>
        <w:rPr/>
        <w:t> </w:t>
      </w:r>
      <w:r>
        <w:rPr>
          <w:spacing w:val="-4"/>
        </w:rPr>
        <w:t>在上市公司建立独立董事制度的指导意见》等相关法律、法规、规章制度及规范性文件的规定和要求，认真行权，依法履职，</w:t>
      </w:r>
      <w:r>
        <w:rPr>
          <w:spacing w:val="-44"/>
        </w:rPr>
        <w:t> </w:t>
      </w:r>
      <w:r>
        <w:rPr>
          <w:spacing w:val="-44"/>
        </w:rPr>
      </w:r>
      <w:r>
        <w:rPr>
          <w:spacing w:val="-2"/>
        </w:rPr>
        <w:t>充分发挥独立董事的作用，对公司聘用会计师事务所、对外担保、利润分配、募集资金存放与实际使用情况等事项均发表了</w:t>
      </w:r>
      <w:r>
        <w:rPr>
          <w:spacing w:val="-66"/>
        </w:rPr>
        <w:t> </w:t>
      </w:r>
      <w:r>
        <w:rPr>
          <w:spacing w:val="-66"/>
        </w:rPr>
      </w:r>
      <w:r>
        <w:rPr/>
        <w:t>事前认可或者独立意见，对此意见公司均予以采纳。</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574" w:right="0"/>
        <w:jc w:val="left"/>
      </w:pPr>
      <w:r>
        <w:rPr/>
        <w:t>公司董事会下设有审计委员会，薪酬与绩效考核委员会，提名委员会和战略委员会四个专门委员会。</w:t>
      </w:r>
    </w:p>
    <w:p>
      <w:pPr>
        <w:spacing w:line="432" w:lineRule="exact" w:before="57"/>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（一）审计委员会的履职情况</w:t>
      </w:r>
      <w:r>
        <w:rPr>
          <w:rFonts w:ascii="宋体" w:hAnsi="宋体" w:cs="宋体" w:eastAsia="宋体" w:hint="default"/>
          <w:b/>
          <w:bCs/>
          <w:w w:val="99"/>
          <w:sz w:val="21"/>
          <w:szCs w:val="21"/>
        </w:rPr>
        <w:t> </w:t>
      </w:r>
      <w:r>
        <w:rPr>
          <w:rFonts w:ascii="宋体" w:hAnsi="宋体" w:cs="宋体" w:eastAsia="宋体" w:hint="default"/>
          <w:spacing w:val="-3"/>
          <w:sz w:val="21"/>
          <w:szCs w:val="21"/>
        </w:rPr>
        <w:t>公司董事会审计委员会严格按照相关法律法规、《公司章程》及《董事会审计委员会工作细则》等有</w:t>
      </w:r>
    </w:p>
    <w:p>
      <w:pPr>
        <w:pStyle w:val="Heading4"/>
        <w:spacing w:line="255" w:lineRule="exact"/>
        <w:ind w:right="0"/>
        <w:jc w:val="left"/>
      </w:pPr>
      <w:r>
        <w:rPr/>
        <w:t>关规定，认真履行职责，审核公司财务信息，审查公司内控，协调公司内、外审计的沟通、监督和核查工</w:t>
      </w:r>
    </w:p>
    <w:p>
      <w:pPr>
        <w:pStyle w:val="Heading4"/>
        <w:spacing w:line="256" w:lineRule="auto" w:before="37"/>
        <w:ind w:right="1197"/>
        <w:jc w:val="left"/>
      </w:pPr>
      <w:r>
        <w:rPr/>
        <w:t>作等。报告期内，审计委员会共召开工作会议</w:t>
      </w:r>
      <w:r>
        <w:rPr>
          <w:rFonts w:ascii="Times New Roman" w:hAnsi="Times New Roman" w:cs="Times New Roman" w:eastAsia="Times New Roman" w:hint="default"/>
        </w:rPr>
        <w:t>7</w:t>
      </w:r>
      <w:r>
        <w:rPr/>
        <w:t>次，讨论并审议了年度审计工作安排，定期财务报告、内 部控制、会计师事务所选聘、利润分配方案、关联交易事项和募集资金使用管理等事项。</w:t>
      </w:r>
    </w:p>
    <w:p>
      <w:pPr>
        <w:spacing w:after="0" w:line="256"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left="576" w:right="0"/>
        <w:jc w:val="left"/>
        <w:rPr>
          <w:b w:val="0"/>
          <w:bCs w:val="0"/>
        </w:rPr>
      </w:pPr>
      <w:r>
        <w:rPr/>
        <w:t>（二）薪酬与绩效考核委员会的履职情况</w:t>
      </w:r>
      <w:r>
        <w:rPr>
          <w:b w:val="0"/>
          <w:bCs w:val="0"/>
        </w:rPr>
      </w:r>
    </w:p>
    <w:p>
      <w:pPr>
        <w:pStyle w:val="Heading4"/>
        <w:spacing w:line="271" w:lineRule="auto" w:before="157"/>
        <w:ind w:right="0" w:firstLine="420"/>
        <w:jc w:val="left"/>
      </w:pPr>
      <w:r>
        <w:rPr>
          <w:spacing w:val="-3"/>
        </w:rPr>
        <w:t>公司董事会薪酬与绩效考核委员会严格按照相关法律法规、《公司章程》及《董事会薪酬与绩效考核</w:t>
      </w:r>
      <w:r>
        <w:rPr/>
        <w:t> </w:t>
      </w:r>
      <w:r>
        <w:rPr>
          <w:spacing w:val="-1"/>
        </w:rPr>
        <w:t>委员会工作细则》等有关规定，认真履行职责，拟定公司董事、高级管理人员的薪酬方案，并对董事会提</w:t>
      </w:r>
      <w:r>
        <w:rPr>
          <w:spacing w:val="-83"/>
        </w:rPr>
        <w:t> </w:t>
      </w:r>
      <w:r>
        <w:rPr>
          <w:spacing w:val="-83"/>
        </w:rPr>
      </w:r>
      <w:r>
        <w:rPr>
          <w:spacing w:val="-1"/>
        </w:rPr>
        <w:t>出建议；审查公司董事、总经理的履职情况并进行考核，审核总经理提交的其他高级管理人员的履职情况</w:t>
      </w:r>
      <w:r>
        <w:rPr>
          <w:spacing w:val="-83"/>
        </w:rPr>
        <w:t> </w:t>
      </w:r>
      <w:r>
        <w:rPr>
          <w:spacing w:val="-83"/>
        </w:rPr>
      </w:r>
      <w:r>
        <w:rPr>
          <w:spacing w:val="-1"/>
        </w:rPr>
        <w:t>和绩效考评结果，并依据有关规定，报董事会或者股东大会批准实施。报告期内，薪酬与绩效考核委员会</w:t>
      </w:r>
      <w:r>
        <w:rPr>
          <w:spacing w:val="-85"/>
        </w:rPr>
        <w:t> </w:t>
      </w:r>
      <w:r>
        <w:rPr>
          <w:spacing w:val="-85"/>
        </w:rPr>
      </w:r>
      <w:r>
        <w:rPr/>
        <w:t>召开工作会议</w:t>
      </w:r>
      <w:r>
        <w:rPr>
          <w:rFonts w:ascii="Times New Roman" w:hAnsi="Times New Roman" w:cs="Times New Roman" w:eastAsia="Times New Roman" w:hint="default"/>
        </w:rPr>
        <w:t>2</w:t>
      </w:r>
      <w:r>
        <w:rPr/>
        <w:t>次，讨论并审议了高管薪酬、董事薪酬、独立董事津贴等事项。为进一步加强对董事和公 </w:t>
      </w:r>
      <w:r>
        <w:rPr>
          <w:spacing w:val="-3"/>
        </w:rPr>
        <w:t>司高级管理人员的考核及激励，报告期内公司修订了《董事会薪酬与绩效考核委员会工作细则》《总经理</w:t>
      </w:r>
      <w:r>
        <w:rPr>
          <w:spacing w:val="-72"/>
        </w:rPr>
        <w:t> </w:t>
      </w:r>
      <w:r>
        <w:rPr>
          <w:spacing w:val="-72"/>
        </w:rPr>
      </w:r>
      <w:r>
        <w:rPr>
          <w:spacing w:val="-7"/>
        </w:rPr>
        <w:t>绩效考核办法》《经营层副职绩效考核办法》，并经董事会审议通过。</w:t>
      </w:r>
    </w:p>
    <w:p>
      <w:pPr>
        <w:spacing w:line="432" w:lineRule="exact" w:before="29"/>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（三）提名委员会履职情况</w:t>
      </w:r>
      <w:r>
        <w:rPr>
          <w:rFonts w:ascii="宋体" w:hAnsi="宋体" w:cs="宋体" w:eastAsia="宋体" w:hint="default"/>
          <w:b/>
          <w:bCs/>
          <w:w w:val="99"/>
          <w:sz w:val="21"/>
          <w:szCs w:val="21"/>
        </w:rPr>
        <w:t> </w:t>
      </w:r>
      <w:r>
        <w:rPr>
          <w:rFonts w:ascii="宋体" w:hAnsi="宋体" w:cs="宋体" w:eastAsia="宋体" w:hint="default"/>
          <w:spacing w:val="-3"/>
          <w:sz w:val="21"/>
          <w:szCs w:val="21"/>
        </w:rPr>
        <w:t>公司董事会提名委员会依照相关法规及《公司章程》《董事会提名委员会工作细则》等有关规定，认</w:t>
      </w:r>
    </w:p>
    <w:p>
      <w:pPr>
        <w:pStyle w:val="Heading4"/>
        <w:spacing w:line="271" w:lineRule="exact"/>
        <w:ind w:right="0"/>
        <w:jc w:val="left"/>
      </w:pPr>
      <w:r>
        <w:rPr/>
        <w:t>真履行职责。报告期内，提名委员会召开工作会议</w:t>
      </w:r>
      <w:r>
        <w:rPr>
          <w:rFonts w:ascii="Times New Roman" w:hAnsi="Times New Roman" w:cs="Times New Roman" w:eastAsia="Times New Roman" w:hint="default"/>
        </w:rPr>
        <w:t>2</w:t>
      </w:r>
      <w:r>
        <w:rPr/>
        <w:t>次，讨论并审议了公司第二届董事会董事候选人及总</w:t>
      </w:r>
    </w:p>
    <w:p>
      <w:pPr>
        <w:pStyle w:val="Heading4"/>
        <w:spacing w:line="240" w:lineRule="auto" w:before="21"/>
        <w:ind w:right="0"/>
        <w:jc w:val="left"/>
      </w:pPr>
      <w:r>
        <w:rPr/>
        <w:t>经理候选人，并就人选向董事会提出了建议。</w:t>
      </w:r>
    </w:p>
    <w:p>
      <w:pPr>
        <w:spacing w:line="430" w:lineRule="atLeast" w:before="2"/>
        <w:ind w:left="574" w:right="1017" w:firstLine="2"/>
        <w:jc w:val="left"/>
        <w:rPr>
          <w:rFonts w:ascii="宋体" w:hAnsi="宋体" w:cs="宋体" w:eastAsia="宋体" w:hint="default"/>
          <w:sz w:val="21"/>
          <w:szCs w:val="21"/>
        </w:rPr>
      </w:pPr>
      <w:r>
        <w:rPr>
          <w:rFonts w:ascii="宋体" w:hAnsi="宋体" w:cs="宋体" w:eastAsia="宋体" w:hint="default"/>
          <w:b/>
          <w:bCs/>
          <w:sz w:val="21"/>
          <w:szCs w:val="21"/>
        </w:rPr>
        <w:t>（四）战略委员会履职情况</w:t>
      </w:r>
      <w:r>
        <w:rPr>
          <w:rFonts w:ascii="宋体" w:hAnsi="宋体" w:cs="宋体" w:eastAsia="宋体" w:hint="default"/>
          <w:b/>
          <w:bCs/>
          <w:w w:val="99"/>
          <w:sz w:val="21"/>
          <w:szCs w:val="21"/>
        </w:rPr>
        <w:t> </w:t>
      </w:r>
      <w:r>
        <w:rPr>
          <w:rFonts w:ascii="宋体" w:hAnsi="宋体" w:cs="宋体" w:eastAsia="宋体" w:hint="default"/>
          <w:spacing w:val="-3"/>
          <w:sz w:val="21"/>
          <w:szCs w:val="21"/>
        </w:rPr>
        <w:t>公司战略委员会严格按照相关法律法规及《董事会战略委员会工作细则》等有关规定，认真履行职责，</w:t>
      </w:r>
    </w:p>
    <w:p>
      <w:pPr>
        <w:pStyle w:val="Heading4"/>
        <w:spacing w:line="240" w:lineRule="auto" w:before="37"/>
        <w:ind w:right="0"/>
        <w:jc w:val="left"/>
      </w:pPr>
      <w:r>
        <w:rPr/>
        <w:t>对公司发展战略进行研究并提出建议。</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60" w:lineRule="auto" w:before="116"/>
        <w:ind w:right="7332"/>
        <w:jc w:val="left"/>
      </w:pPr>
      <w:r>
        <w:rPr/>
        <w:t>□ 是 √ 否 公司监事会对报告期内的监督事项无异议。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公司建立了科学有效的激励约束机制，以完善公司高管人员绩效考核，规范公司高管人员薪酬管理，提高公司经营管理</w:t>
      </w:r>
      <w:r>
        <w:rPr/>
        <w:t> </w:t>
      </w:r>
      <w:r>
        <w:rPr>
          <w:spacing w:val="-5"/>
        </w:rPr>
        <w:t>水平和核心竞争力。依据《公司章程》，公司制定了《高管薪酬管理规定》《总经理绩效考核办法》和《经营层副职绩效考核</w:t>
      </w:r>
      <w:r>
        <w:rPr>
          <w:spacing w:val="-84"/>
        </w:rPr>
        <w:t> </w:t>
      </w:r>
      <w:r>
        <w:rPr>
          <w:spacing w:val="-84"/>
        </w:rPr>
      </w:r>
      <w:r>
        <w:rPr>
          <w:spacing w:val="-23"/>
        </w:rPr>
        <w:t>办法》。</w:t>
      </w:r>
    </w:p>
    <w:p>
      <w:pPr>
        <w:spacing w:line="240" w:lineRule="auto" w:before="5"/>
        <w:rPr>
          <w:rFonts w:ascii="宋体" w:hAnsi="宋体" w:cs="宋体" w:eastAsia="宋体" w:hint="default"/>
          <w:sz w:val="13"/>
          <w:szCs w:val="13"/>
        </w:rPr>
      </w:pPr>
    </w:p>
    <w:p>
      <w:pPr>
        <w:pStyle w:val="BodyText"/>
        <w:spacing w:line="314" w:lineRule="auto"/>
        <w:ind w:right="1032" w:firstLine="360"/>
        <w:jc w:val="left"/>
      </w:pPr>
      <w:r>
        <w:rPr>
          <w:spacing w:val="-2"/>
        </w:rPr>
        <w:t>公司以企业经济效益为出发点，根据公司经营完成利润目标的情况及高管完成工作目标的情况，由董事会薪酬与绩效考</w:t>
      </w:r>
      <w:r>
        <w:rPr/>
        <w:t> </w:t>
      </w:r>
      <w:r>
        <w:rPr>
          <w:spacing w:val="-2"/>
        </w:rPr>
        <w:t>核委员会考核确定总经理薪酬，报董事会批准执行，由总经理考核确定公司其他高级管理人员薪酬，经董事会薪酬与绩效考</w:t>
      </w:r>
      <w:r>
        <w:rPr>
          <w:spacing w:val="-66"/>
        </w:rPr>
        <w:t> </w:t>
      </w:r>
      <w:r>
        <w:rPr>
          <w:spacing w:val="-66"/>
        </w:rPr>
      </w:r>
      <w:r>
        <w:rPr>
          <w:spacing w:val="-2"/>
        </w:rPr>
        <w:t>核委员会审核后报董事会批准执行。公司则根据绩效考核结果兑现其年薪。公司董事会薪酬与绩效考核委员会根据实际情况</w:t>
      </w:r>
      <w:r>
        <w:rPr>
          <w:spacing w:val="-64"/>
        </w:rPr>
        <w:t> </w:t>
      </w:r>
      <w:r>
        <w:rPr>
          <w:spacing w:val="-64"/>
        </w:rPr>
      </w:r>
      <w:r>
        <w:rPr/>
        <w:t>对公司高级管理人员进行考核或审核后，一致认为</w:t>
      </w:r>
      <w:r>
        <w:rPr>
          <w:rFonts w:ascii="Times New Roman" w:hAnsi="Times New Roman" w:cs="Times New Roman" w:eastAsia="Times New Roman" w:hint="default"/>
        </w:rPr>
        <w:t>2018</w:t>
      </w:r>
      <w:r>
        <w:rPr/>
        <w:t>年度公司高级管理人员薪酬方案严格执行了公司高管薪酬管理规定， 起到了应有的激励和约束作用。</w:t>
      </w:r>
    </w:p>
    <w:p>
      <w:pPr>
        <w:spacing w:line="240" w:lineRule="auto" w:before="7"/>
        <w:rPr>
          <w:rFonts w:ascii="宋体" w:hAnsi="宋体" w:cs="宋体" w:eastAsia="宋体" w:hint="default"/>
          <w:sz w:val="13"/>
          <w:szCs w:val="13"/>
        </w:rPr>
      </w:pPr>
    </w:p>
    <w:p>
      <w:pPr>
        <w:pStyle w:val="BodyText"/>
        <w:spacing w:line="307" w:lineRule="auto"/>
        <w:ind w:right="0" w:firstLine="360"/>
        <w:jc w:val="left"/>
      </w:pPr>
      <w:r>
        <w:rPr>
          <w:spacing w:val="-4"/>
        </w:rPr>
        <w:t>报告期内，为建立长期人才激励机制，进一步完善公司治理结构，吸引和保留优秀管理人才和业务骨干，根据相关法律、</w:t>
      </w:r>
      <w:r>
        <w:rPr/>
        <w:t> </w:t>
      </w:r>
      <w:r>
        <w:rPr>
          <w:spacing w:val="-2"/>
        </w:rPr>
        <w:t>法规、规范性文件的相关规定，公司推出了《公司第一期员工持股计划》，并经</w:t>
      </w:r>
      <w:r>
        <w:rPr>
          <w:rFonts w:ascii="Times New Roman" w:hAnsi="Times New Roman" w:cs="Times New Roman" w:eastAsia="Times New Roman" w:hint="default"/>
          <w:spacing w:val="-2"/>
        </w:rPr>
        <w:t>2018</w:t>
      </w:r>
      <w:r>
        <w:rPr>
          <w:spacing w:val="-2"/>
        </w:rPr>
        <w:t>年第三次临时股东大会审议通过后开始</w:t>
      </w:r>
      <w:r>
        <w:rPr>
          <w:spacing w:val="-68"/>
        </w:rPr>
        <w:t> </w:t>
      </w:r>
      <w:r>
        <w:rPr/>
        <w:t>执行，共有</w:t>
      </w:r>
      <w:r>
        <w:rPr>
          <w:rFonts w:ascii="Times New Roman" w:hAnsi="Times New Roman" w:cs="Times New Roman" w:eastAsia="Times New Roman" w:hint="default"/>
        </w:rPr>
        <w:t>8</w:t>
      </w:r>
      <w:r>
        <w:rPr/>
        <w:t>位高级管理人员参与认购。本次员工持股计划的实施，使高级管理人员自身利益与公司利益更加紧密地联系在 一起，进一步提升工作积极性，实现个人与公司的共同发展。</w:t>
      </w:r>
    </w:p>
    <w:p>
      <w:pPr>
        <w:spacing w:after="0" w:line="307" w:lineRule="auto"/>
        <w:jc w:val="left"/>
        <w:sectPr>
          <w:pgSz w:w="11910" w:h="16840"/>
          <w:pgMar w:header="850" w:footer="1267" w:top="1260" w:bottom="1460" w:left="980" w:right="0"/>
        </w:sectPr>
      </w:pPr>
    </w:p>
    <w:p>
      <w:pPr>
        <w:spacing w:line="240" w:lineRule="auto" w:before="7"/>
        <w:rPr>
          <w:rFonts w:ascii="宋体" w:hAnsi="宋体" w:cs="宋体" w:eastAsia="宋体" w:hint="default"/>
          <w:sz w:val="8"/>
          <w:szCs w:val="8"/>
        </w:rPr>
      </w:pPr>
    </w:p>
    <w:p>
      <w:pPr>
        <w:pStyle w:val="Heading2"/>
        <w:spacing w:line="240" w:lineRule="auto" w:before="26"/>
        <w:ind w:right="0"/>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5"/>
        <w:gridCol w:w="3324"/>
        <w:gridCol w:w="3051"/>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816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）财务报告内部控制重大缺陷包括：</w:t>
            </w:r>
          </w:p>
          <w:p>
            <w:pPr>
              <w:pStyle w:val="TableParagraph"/>
              <w:spacing w:line="316" w:lineRule="auto" w:before="61"/>
              <w:ind w:left="103" w:right="149"/>
              <w:jc w:val="both"/>
              <w:rPr>
                <w:rFonts w:ascii="宋体" w:hAnsi="宋体" w:cs="宋体" w:eastAsia="宋体" w:hint="default"/>
                <w:sz w:val="18"/>
                <w:szCs w:val="18"/>
              </w:rPr>
            </w:pPr>
            <w:r>
              <w:rPr>
                <w:rFonts w:ascii="宋体" w:hAnsi="宋体" w:cs="宋体" w:eastAsia="宋体" w:hint="default"/>
                <w:sz w:val="18"/>
                <w:szCs w:val="18"/>
              </w:rPr>
              <w:t>①控制环境无效，审计委员会及内部审 计部门对内控的监督无效；②董事、监 事和高级管理人员舞弊，或员工存在串 通舞弊的情形并给公司造成损失或不利 影响；③公司更正已公布的财务报告， 注册会计师发现当期财务报告存在重大 错报而内控在运行过程中未能发现；④ 沟通后的重大缺陷没有在合理的期限得 </w:t>
            </w:r>
            <w:r>
              <w:rPr>
                <w:rFonts w:ascii="宋体" w:hAnsi="宋体" w:cs="宋体" w:eastAsia="宋体" w:hint="default"/>
                <w:spacing w:val="-5"/>
                <w:sz w:val="18"/>
                <w:szCs w:val="18"/>
              </w:rPr>
              <w:t>到纠正。（</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）财务报告内部控制重要缺</w:t>
            </w:r>
            <w:r>
              <w:rPr>
                <w:rFonts w:ascii="宋体" w:hAnsi="宋体" w:cs="宋体" w:eastAsia="宋体" w:hint="default"/>
                <w:sz w:val="18"/>
                <w:szCs w:val="18"/>
              </w:rPr>
              <w:t> 陷包括：①未依照公认会计准则选择和 应用会计政策；②未建立反舞弊程序和 控制措施；③期末财务报告流程的内控 问题，对于期末财务报告过程的控制存 在一项或多项缺陷且不能合理保证编制 的财务报表达到真实、准确的目标；④ 对于非常规或特殊交易的账务处理没有 建立相应的控制机制或没有实施相应的 </w:t>
            </w:r>
            <w:r>
              <w:rPr>
                <w:rFonts w:ascii="宋体" w:hAnsi="宋体" w:cs="宋体" w:eastAsia="宋体" w:hint="default"/>
                <w:spacing w:val="-5"/>
                <w:sz w:val="18"/>
                <w:szCs w:val="18"/>
              </w:rPr>
              <w:t>补偿性控制。（</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）财务报告内部控制一</w:t>
            </w:r>
            <w:r>
              <w:rPr>
                <w:rFonts w:ascii="宋体" w:hAnsi="宋体" w:cs="宋体" w:eastAsia="宋体" w:hint="default"/>
                <w:sz w:val="18"/>
                <w:szCs w:val="18"/>
              </w:rPr>
              <w:t> 般缺陷包括：其他不属于重大缺陷、重 要缺陷判断标准范畴的缺陷。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5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）非财务报告内部控制重大缺陷 </w:t>
            </w:r>
            <w:r>
              <w:rPr>
                <w:rFonts w:ascii="宋体" w:hAnsi="宋体" w:cs="宋体" w:eastAsia="宋体" w:hint="default"/>
                <w:spacing w:val="-3"/>
                <w:sz w:val="18"/>
                <w:szCs w:val="18"/>
              </w:rPr>
              <w:t>包括：①项目违规操作，出现重大质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量事故，造成重大经济损失或重大人</w:t>
            </w:r>
            <w:r>
              <w:rPr>
                <w:rFonts w:ascii="宋体" w:hAnsi="宋体" w:cs="宋体" w:eastAsia="宋体" w:hint="default"/>
                <w:sz w:val="18"/>
                <w:szCs w:val="18"/>
              </w:rPr>
              <w:t> </w:t>
            </w:r>
            <w:r>
              <w:rPr>
                <w:rFonts w:ascii="宋体" w:hAnsi="宋体" w:cs="宋体" w:eastAsia="宋体" w:hint="default"/>
                <w:spacing w:val="-3"/>
                <w:sz w:val="18"/>
                <w:szCs w:val="18"/>
              </w:rPr>
              <w:t>员伤亡事故，引起政府、监管机构调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查或引发诉讼；②公司经营活动严重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违反国家法律法规；③重要业务缺乏</w:t>
            </w:r>
            <w:r>
              <w:rPr>
                <w:rFonts w:ascii="宋体" w:hAnsi="宋体" w:cs="宋体" w:eastAsia="宋体" w:hint="default"/>
                <w:sz w:val="18"/>
                <w:szCs w:val="18"/>
              </w:rPr>
              <w:t> </w:t>
            </w:r>
            <w:r>
              <w:rPr>
                <w:rFonts w:ascii="宋体" w:hAnsi="宋体" w:cs="宋体" w:eastAsia="宋体" w:hint="default"/>
                <w:spacing w:val="-3"/>
                <w:sz w:val="18"/>
                <w:szCs w:val="18"/>
              </w:rPr>
              <w:t>制度、流程控制或系统失效；④内部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控制重大缺陷未得到整改；⑤中高级</w:t>
            </w:r>
            <w:r>
              <w:rPr>
                <w:rFonts w:ascii="宋体" w:hAnsi="宋体" w:cs="宋体" w:eastAsia="宋体" w:hint="default"/>
                <w:sz w:val="18"/>
                <w:szCs w:val="18"/>
              </w:rPr>
              <w:t> 管理人员和高级技术人员严重流失；</w:t>
            </w:r>
          </w:p>
          <w:p>
            <w:pPr>
              <w:pStyle w:val="TableParagraph"/>
              <w:spacing w:line="314" w:lineRule="auto" w:before="19"/>
              <w:ind w:left="103" w:right="57"/>
              <w:jc w:val="both"/>
              <w:rPr>
                <w:rFonts w:ascii="宋体" w:hAnsi="宋体" w:cs="宋体" w:eastAsia="宋体" w:hint="default"/>
                <w:sz w:val="18"/>
                <w:szCs w:val="18"/>
              </w:rPr>
            </w:pPr>
            <w:r>
              <w:rPr>
                <w:rFonts w:ascii="宋体" w:hAnsi="宋体" w:cs="宋体" w:eastAsia="宋体" w:hint="default"/>
                <w:spacing w:val="-3"/>
                <w:sz w:val="18"/>
                <w:szCs w:val="18"/>
              </w:rPr>
              <w:t>⑥媒体负面新闻频频曝光，对公司声</w:t>
            </w:r>
            <w:r>
              <w:rPr>
                <w:rFonts w:ascii="宋体" w:hAnsi="宋体" w:cs="宋体" w:eastAsia="宋体" w:hint="default"/>
                <w:sz w:val="18"/>
                <w:szCs w:val="18"/>
              </w:rPr>
              <w:t> </w:t>
            </w:r>
            <w:r>
              <w:rPr>
                <w:rFonts w:ascii="宋体" w:hAnsi="宋体" w:cs="宋体" w:eastAsia="宋体" w:hint="default"/>
                <w:spacing w:val="-8"/>
                <w:sz w:val="18"/>
                <w:szCs w:val="18"/>
              </w:rPr>
              <w:t>誉造成重大损害。（</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）非财务报告内</w:t>
            </w:r>
            <w:r>
              <w:rPr>
                <w:rFonts w:ascii="宋体" w:hAnsi="宋体" w:cs="宋体" w:eastAsia="宋体" w:hint="default"/>
                <w:sz w:val="18"/>
                <w:szCs w:val="18"/>
              </w:rPr>
              <w:t> </w:t>
            </w:r>
            <w:r>
              <w:rPr>
                <w:rFonts w:ascii="宋体" w:hAnsi="宋体" w:cs="宋体" w:eastAsia="宋体" w:hint="default"/>
                <w:spacing w:val="-3"/>
                <w:sz w:val="18"/>
                <w:szCs w:val="18"/>
              </w:rPr>
              <w:t>部控制重要缺陷包括：①大型项目管</w:t>
            </w:r>
            <w:r>
              <w:rPr>
                <w:rFonts w:ascii="宋体" w:hAnsi="宋体" w:cs="宋体" w:eastAsia="宋体" w:hint="default"/>
                <w:sz w:val="18"/>
                <w:szCs w:val="18"/>
              </w:rPr>
              <w:t> </w:t>
            </w:r>
            <w:r>
              <w:rPr>
                <w:rFonts w:ascii="宋体" w:hAnsi="宋体" w:cs="宋体" w:eastAsia="宋体" w:hint="default"/>
                <w:spacing w:val="-3"/>
                <w:sz w:val="18"/>
                <w:szCs w:val="18"/>
              </w:rPr>
              <w:t>理不善，出现一般质量事故，造成经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济损失或人员伤亡事故，引发业主书</w:t>
            </w:r>
            <w:r>
              <w:rPr>
                <w:rFonts w:ascii="宋体" w:hAnsi="宋体" w:cs="宋体" w:eastAsia="宋体" w:hint="default"/>
                <w:sz w:val="18"/>
                <w:szCs w:val="18"/>
              </w:rPr>
              <w:t> </w:t>
            </w:r>
            <w:r>
              <w:rPr>
                <w:rFonts w:ascii="宋体" w:hAnsi="宋体" w:cs="宋体" w:eastAsia="宋体" w:hint="default"/>
                <w:spacing w:val="-3"/>
                <w:sz w:val="18"/>
                <w:szCs w:val="18"/>
              </w:rPr>
              <w:t>面投诉；②公司违反国家法律法规受</w:t>
            </w:r>
            <w:r>
              <w:rPr>
                <w:rFonts w:ascii="宋体" w:hAnsi="宋体" w:cs="宋体" w:eastAsia="宋体" w:hint="default"/>
                <w:sz w:val="18"/>
                <w:szCs w:val="18"/>
              </w:rPr>
              <w:t> </w:t>
            </w:r>
            <w:r>
              <w:rPr>
                <w:rFonts w:ascii="宋体" w:hAnsi="宋体" w:cs="宋体" w:eastAsia="宋体" w:hint="default"/>
                <w:spacing w:val="-3"/>
                <w:sz w:val="18"/>
                <w:szCs w:val="18"/>
              </w:rPr>
              <w:t>到轻微处罚；③重要业务制度、流程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或系统存在缺陷；④内部控制重要缺</w:t>
            </w:r>
            <w:r>
              <w:rPr>
                <w:rFonts w:ascii="宋体" w:hAnsi="宋体" w:cs="宋体" w:eastAsia="宋体" w:hint="default"/>
                <w:sz w:val="18"/>
                <w:szCs w:val="18"/>
              </w:rPr>
              <w:t> </w:t>
            </w:r>
            <w:r>
              <w:rPr>
                <w:rFonts w:ascii="宋体" w:hAnsi="宋体" w:cs="宋体" w:eastAsia="宋体" w:hint="default"/>
                <w:spacing w:val="-3"/>
                <w:sz w:val="18"/>
                <w:szCs w:val="18"/>
              </w:rPr>
              <w:t>陷未得到整改；⑤关键岗位业务人员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流失严重；⑥媒体出现负面新闻，波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及局部区域。（</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）非财务报告内部控</w:t>
            </w:r>
            <w:r>
              <w:rPr>
                <w:rFonts w:ascii="宋体" w:hAnsi="宋体" w:cs="宋体" w:eastAsia="宋体" w:hint="default"/>
                <w:sz w:val="18"/>
                <w:szCs w:val="18"/>
              </w:rPr>
              <w:t> </w:t>
            </w:r>
            <w:r>
              <w:rPr>
                <w:rFonts w:ascii="宋体" w:hAnsi="宋体" w:cs="宋体" w:eastAsia="宋体" w:hint="default"/>
                <w:spacing w:val="-3"/>
                <w:sz w:val="18"/>
                <w:szCs w:val="18"/>
              </w:rPr>
              <w:t>制一般缺陷包括：①项目管理存在漏</w:t>
            </w:r>
            <w:r>
              <w:rPr>
                <w:rFonts w:ascii="宋体" w:hAnsi="宋体" w:cs="宋体" w:eastAsia="宋体" w:hint="default"/>
                <w:sz w:val="18"/>
                <w:szCs w:val="18"/>
              </w:rPr>
              <w:t> </w:t>
            </w:r>
            <w:r>
              <w:rPr>
                <w:rFonts w:ascii="宋体" w:hAnsi="宋体" w:cs="宋体" w:eastAsia="宋体" w:hint="default"/>
                <w:spacing w:val="-3"/>
                <w:sz w:val="18"/>
                <w:szCs w:val="18"/>
              </w:rPr>
              <w:t>洞，造成项目延期时间较长或存在一</w:t>
            </w:r>
            <w:r>
              <w:rPr>
                <w:rFonts w:ascii="宋体" w:hAnsi="宋体" w:cs="宋体" w:eastAsia="宋体" w:hint="default"/>
                <w:sz w:val="18"/>
                <w:szCs w:val="18"/>
              </w:rPr>
              <w:t> 定质量、安全隐患，引发业主不满；</w:t>
            </w:r>
          </w:p>
          <w:p>
            <w:pPr>
              <w:pStyle w:val="TableParagraph"/>
              <w:spacing w:line="316" w:lineRule="auto" w:before="20"/>
              <w:ind w:left="103" w:right="101"/>
              <w:jc w:val="left"/>
              <w:rPr>
                <w:rFonts w:ascii="宋体" w:hAnsi="宋体" w:cs="宋体" w:eastAsia="宋体" w:hint="default"/>
                <w:sz w:val="18"/>
                <w:szCs w:val="18"/>
              </w:rPr>
            </w:pPr>
            <w:r>
              <w:rPr>
                <w:rFonts w:ascii="宋体" w:hAnsi="宋体" w:cs="宋体" w:eastAsia="宋体" w:hint="default"/>
                <w:sz w:val="18"/>
                <w:szCs w:val="18"/>
              </w:rPr>
              <w:t>②违反企业内部规章，但未形成损 </w:t>
            </w:r>
            <w:r>
              <w:rPr>
                <w:rFonts w:ascii="宋体" w:hAnsi="宋体" w:cs="宋体" w:eastAsia="宋体" w:hint="default"/>
                <w:spacing w:val="-3"/>
                <w:sz w:val="18"/>
                <w:szCs w:val="18"/>
              </w:rPr>
              <w:t>失；③一般业务制度、流程或系统存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在缺陷；④内部控制一般缺陷未得到</w:t>
            </w:r>
          </w:p>
        </w:tc>
      </w:tr>
    </w:tbl>
    <w:p>
      <w:pPr>
        <w:spacing w:after="0" w:line="316"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整改；⑤一般岗位业务人员流动频 </w:t>
            </w:r>
            <w:r>
              <w:rPr>
                <w:rFonts w:ascii="宋体" w:hAnsi="宋体" w:cs="宋体" w:eastAsia="宋体" w:hint="default"/>
                <w:spacing w:val="-3"/>
                <w:sz w:val="18"/>
                <w:szCs w:val="18"/>
              </w:rPr>
              <w:t>繁；⑥媒体出现负面新闻，但影响不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w:t>
            </w:r>
          </w:p>
        </w:tc>
      </w:tr>
      <w:tr>
        <w:trPr>
          <w:trHeight w:val="477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）资产总额影响程度：①一般缺陷： 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；②重 要缺陷：合并资产总额的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 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；③重大缺陷： 错报金额≥合并资产总额的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26"/>
                <w:sz w:val="18"/>
                <w:szCs w:val="18"/>
              </w:rPr>
              <w:t>1%</w:t>
            </w:r>
            <w:r>
              <w:rPr>
                <w:rFonts w:ascii="宋体" w:hAnsi="宋体" w:cs="宋体" w:eastAsia="宋体" w:hint="default"/>
                <w:spacing w:val="-26"/>
                <w:sz w:val="18"/>
                <w:szCs w:val="18"/>
              </w:rPr>
              <w:t>。（</w:t>
            </w:r>
            <w:r>
              <w:rPr>
                <w:rFonts w:ascii="Times New Roman" w:hAnsi="Times New Roman" w:cs="Times New Roman" w:eastAsia="Times New Roman" w:hint="default"/>
                <w:spacing w:val="-26"/>
                <w:sz w:val="18"/>
                <w:szCs w:val="18"/>
              </w:rPr>
              <w:t>2</w:t>
            </w:r>
            <w:r>
              <w:rPr>
                <w:rFonts w:ascii="宋体" w:hAnsi="宋体" w:cs="宋体" w:eastAsia="宋体" w:hint="default"/>
                <w:spacing w:val="-26"/>
                <w:sz w:val="18"/>
                <w:szCs w:val="18"/>
              </w:rPr>
              <w:t>）营</w:t>
            </w:r>
            <w:r>
              <w:rPr>
                <w:rFonts w:ascii="宋体" w:hAnsi="宋体" w:cs="宋体" w:eastAsia="宋体" w:hint="default"/>
                <w:spacing w:val="-87"/>
                <w:sz w:val="18"/>
                <w:szCs w:val="18"/>
              </w:rPr>
              <w:t> </w:t>
            </w:r>
            <w:r>
              <w:rPr>
                <w:rFonts w:ascii="宋体" w:hAnsi="宋体" w:cs="宋体" w:eastAsia="宋体" w:hint="default"/>
                <w:sz w:val="18"/>
                <w:szCs w:val="18"/>
              </w:rPr>
              <w:t>业收入影响程度：①一般缺陷：错报金</w:t>
            </w:r>
            <w:r>
              <w:rPr>
                <w:rFonts w:ascii="宋体" w:hAnsi="宋体" w:cs="宋体" w:eastAsia="宋体" w:hint="default"/>
                <w:sz w:val="18"/>
                <w:szCs w:val="18"/>
              </w:rPr>
              <w:t> 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合并营业收入的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；②重要缺陷：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合并营业收入的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 营业收入的</w:t>
            </w:r>
            <w:r>
              <w:rPr>
                <w:rFonts w:ascii="宋体" w:hAnsi="宋体" w:cs="宋体" w:eastAsia="宋体" w:hint="default"/>
                <w:spacing w:val="-39"/>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；③重大缺陷：错报金额</w:t>
            </w:r>
          </w:p>
          <w:p>
            <w:pPr>
              <w:pStyle w:val="TableParagraph"/>
              <w:spacing w:line="300" w:lineRule="auto" w:before="11"/>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≥合并营业收入的</w:t>
            </w:r>
            <w:r>
              <w:rPr>
                <w:rFonts w:ascii="宋体" w:hAnsi="宋体" w:cs="宋体" w:eastAsia="宋体" w:hint="default"/>
                <w:spacing w:val="-42"/>
                <w:sz w:val="18"/>
                <w:szCs w:val="18"/>
              </w:rPr>
              <w:t> </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）利润总额影</w:t>
            </w:r>
            <w:r>
              <w:rPr>
                <w:rFonts w:ascii="宋体" w:hAnsi="宋体" w:cs="宋体" w:eastAsia="宋体" w:hint="default"/>
                <w:sz w:val="18"/>
                <w:szCs w:val="18"/>
              </w:rPr>
              <w:t> </w:t>
            </w:r>
            <w:r>
              <w:rPr>
                <w:rFonts w:ascii="宋体" w:hAnsi="宋体" w:cs="宋体" w:eastAsia="宋体" w:hint="default"/>
                <w:spacing w:val="-4"/>
                <w:sz w:val="18"/>
                <w:szCs w:val="18"/>
              </w:rPr>
              <w:t>响程度：①一般缺陷：错报金额</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合并利</w:t>
            </w:r>
            <w:r>
              <w:rPr>
                <w:rFonts w:ascii="宋体" w:hAnsi="宋体" w:cs="宋体" w:eastAsia="宋体" w:hint="default"/>
                <w:spacing w:val="-74"/>
                <w:sz w:val="18"/>
                <w:szCs w:val="18"/>
              </w:rPr>
              <w:t> </w:t>
            </w:r>
            <w:r>
              <w:rPr>
                <w:rFonts w:ascii="宋体" w:hAnsi="宋体" w:cs="宋体" w:eastAsia="宋体" w:hint="default"/>
                <w:sz w:val="18"/>
                <w:szCs w:val="18"/>
              </w:rPr>
              <w:t>润总额的</w:t>
            </w:r>
            <w:r>
              <w:rPr>
                <w:rFonts w:ascii="宋体" w:hAnsi="宋体" w:cs="宋体" w:eastAsia="宋体" w:hint="default"/>
                <w:spacing w:val="-37"/>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；②重要缺陷：合并利润总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合并利润总额的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；③重大缺陷：错报金额≥合并利 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）一般缺陷：直接财产损失金额</w:t>
            </w:r>
          </w:p>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&lt;100 </w:t>
            </w:r>
            <w:r>
              <w:rPr>
                <w:rFonts w:ascii="宋体" w:hAnsi="宋体" w:cs="宋体" w:eastAsia="宋体" w:hint="default"/>
                <w:sz w:val="18"/>
                <w:szCs w:val="18"/>
              </w:rPr>
              <w:t>万元</w:t>
            </w:r>
            <w:r>
              <w:rPr>
                <w:rFonts w:ascii="宋体" w:hAnsi="宋体" w:cs="宋体" w:eastAsia="宋体" w:hint="default"/>
                <w:spacing w:val="-11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0"/>
                <w:sz w:val="18"/>
                <w:szCs w:val="18"/>
              </w:rPr>
              <w:t>）</w:t>
            </w:r>
            <w:r>
              <w:rPr>
                <w:rFonts w:ascii="宋体" w:hAnsi="宋体" w:cs="宋体" w:eastAsia="宋体" w:hint="default"/>
                <w:sz w:val="18"/>
                <w:szCs w:val="18"/>
              </w:rPr>
              <w:t>重要缺陷</w:t>
            </w:r>
            <w:r>
              <w:rPr>
                <w:rFonts w:ascii="宋体" w:hAnsi="宋体" w:cs="宋体" w:eastAsia="宋体" w:hint="default"/>
                <w:spacing w:val="-20"/>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0" w:lineRule="auto" w:before="63"/>
              <w:ind w:left="103" w:right="11"/>
              <w:jc w:val="left"/>
              <w:rPr>
                <w:rFonts w:ascii="宋体" w:hAnsi="宋体" w:cs="宋体" w:eastAsia="宋体" w:hint="default"/>
                <w:sz w:val="18"/>
                <w:szCs w:val="18"/>
              </w:rPr>
            </w:pPr>
            <w:r>
              <w:rPr>
                <w:rFonts w:ascii="宋体" w:hAnsi="宋体" w:cs="宋体" w:eastAsia="宋体" w:hint="default"/>
                <w:sz w:val="18"/>
                <w:szCs w:val="18"/>
              </w:rPr>
              <w:t>≤直接财产损失金额</w:t>
            </w:r>
            <w:r>
              <w:rPr>
                <w:rFonts w:ascii="Times New Roman" w:hAnsi="Times New Roman" w:cs="Times New Roman" w:eastAsia="Times New Roman" w:hint="default"/>
                <w:sz w:val="18"/>
                <w:szCs w:val="18"/>
              </w:rPr>
              <w:t>&lt;500</w:t>
            </w:r>
            <w:r>
              <w:rPr>
                <w:rFonts w:ascii="Times New Roman" w:hAnsi="Times New Roman" w:cs="Times New Roman" w:eastAsia="Times New Roman" w:hint="default"/>
                <w:spacing w:val="2"/>
                <w:sz w:val="18"/>
                <w:szCs w:val="18"/>
              </w:rPr>
              <w:t> </w:t>
            </w:r>
            <w:r>
              <w:rPr>
                <w:rFonts w:ascii="宋体" w:hAnsi="宋体" w:cs="宋体" w:eastAsia="宋体" w:hint="default"/>
                <w:spacing w:val="-18"/>
                <w:sz w:val="18"/>
                <w:szCs w:val="18"/>
              </w:rPr>
              <w:t>万元；（</w:t>
            </w: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w:t>
            </w:r>
            <w:r>
              <w:rPr>
                <w:rFonts w:ascii="宋体" w:hAnsi="宋体" w:cs="宋体" w:eastAsia="宋体" w:hint="default"/>
                <w:sz w:val="18"/>
                <w:szCs w:val="18"/>
              </w:rPr>
              <w:t> 重大缺陷：直接财产损失金额≥</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850" w:footer="1267" w:top="1260" w:bottom="14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spacing w:line="240" w:lineRule="auto"/>
        <w:ind w:left="3126" w:right="0"/>
        <w:jc w:val="left"/>
        <w:rPr>
          <w:b w:val="0"/>
          <w:bCs w:val="0"/>
        </w:rPr>
      </w:pPr>
      <w:bookmarkStart w:name="第十节 公司债券相关情况" w:id="154"/>
      <w:bookmarkEnd w:id="154"/>
      <w:r>
        <w:rPr>
          <w:b w:val="0"/>
          <w:bCs w:val="0"/>
        </w:rPr>
      </w:r>
      <w:bookmarkStart w:name="_bookmark9" w:id="155"/>
      <w:bookmarkEnd w:id="155"/>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50" w:footer="1267" w:top="1260" w:bottom="14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Heading1"/>
        <w:spacing w:line="240" w:lineRule="auto"/>
        <w:ind w:left="3608" w:right="0"/>
        <w:jc w:val="left"/>
        <w:rPr>
          <w:b w:val="0"/>
          <w:bCs w:val="0"/>
        </w:rPr>
      </w:pPr>
      <w:bookmarkStart w:name="第十一节 财务报告" w:id="156"/>
      <w:bookmarkEnd w:id="156"/>
      <w:r>
        <w:rPr>
          <w:b w:val="0"/>
          <w:bCs w:val="0"/>
        </w:rPr>
      </w:r>
      <w:bookmarkStart w:name="_bookmark10" w:id="157"/>
      <w:bookmarkEnd w:id="15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ZA12649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杨志平、瞿玉敏</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10"/>
        <w:rPr>
          <w:rFonts w:ascii="宋体" w:hAnsi="宋体" w:cs="宋体" w:eastAsia="宋体" w:hint="default"/>
          <w:b/>
          <w:bCs/>
          <w:sz w:val="28"/>
          <w:szCs w:val="28"/>
        </w:rPr>
      </w:pPr>
    </w:p>
    <w:p>
      <w:pPr>
        <w:pStyle w:val="Heading3"/>
        <w:spacing w:line="240" w:lineRule="auto"/>
        <w:ind w:right="0"/>
        <w:jc w:val="left"/>
        <w:rPr>
          <w:b w:val="0"/>
          <w:bCs w:val="0"/>
        </w:rPr>
      </w:pPr>
      <w:r>
        <w:rPr>
          <w:w w:val="95"/>
        </w:rPr>
        <w:t>福建永福电力设计股份有限公司全体股东：</w:t>
      </w:r>
      <w:r>
        <w:rPr>
          <w:b w:val="0"/>
          <w:bCs w:val="0"/>
        </w:rPr>
      </w:r>
    </w:p>
    <w:p>
      <w:pPr>
        <w:pStyle w:val="Heading3"/>
        <w:spacing w:line="240" w:lineRule="auto" w:before="37"/>
        <w:ind w:left="274"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审计意见</w:t>
      </w:r>
      <w:r>
        <w:rPr>
          <w:b w:val="0"/>
          <w:bCs w:val="0"/>
        </w:rPr>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580" w:bottom="700" w:left="980" w:right="0"/>
          <w:cols w:num="2" w:equalWidth="0">
            <w:col w:w="4157" w:space="123"/>
            <w:col w:w="6650"/>
          </w:cols>
        </w:sectPr>
      </w:pPr>
    </w:p>
    <w:p>
      <w:pPr>
        <w:pStyle w:val="Heading4"/>
        <w:spacing w:line="256" w:lineRule="auto" w:before="21"/>
        <w:ind w:right="1130" w:firstLine="568"/>
        <w:jc w:val="both"/>
      </w:pPr>
      <w:r>
        <w:rPr>
          <w:spacing w:val="-4"/>
        </w:rPr>
        <w:t>我们审计了福建永福电力设计股份有限公司（以下简称“永福股份”）财务报表，包括</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rFonts w:ascii="Times New Roman" w:hAnsi="Times New Roman" w:cs="Times New Roman" w:eastAsia="Times New Roman" w:hint="default"/>
          <w:spacing w:val="-1"/>
        </w:rPr>
        <w:t> </w:t>
      </w:r>
      <w:r>
        <w:rPr>
          <w:spacing w:val="-1"/>
        </w:rPr>
        <w:t>日的合并及母公司资产负债表，</w:t>
      </w:r>
      <w:r>
        <w:rPr>
          <w:rFonts w:ascii="Times New Roman" w:hAnsi="Times New Roman" w:cs="Times New Roman" w:eastAsia="Times New Roman" w:hint="default"/>
          <w:spacing w:val="-1"/>
        </w:rPr>
        <w:t>2018</w:t>
      </w:r>
      <w:r>
        <w:rPr>
          <w:spacing w:val="-1"/>
        </w:rPr>
        <w:t>年度的合并及母公司利润表、合并及母公司现金流量表、合并及母公</w:t>
      </w:r>
      <w:r>
        <w:rPr>
          <w:spacing w:val="-82"/>
        </w:rPr>
        <w:t> </w:t>
      </w:r>
      <w:r>
        <w:rPr>
          <w:spacing w:val="-82"/>
        </w:rPr>
      </w:r>
      <w:r>
        <w:rPr/>
        <w:t>司股东权益变动表以及相关财务报表附注。</w:t>
      </w:r>
    </w:p>
    <w:p>
      <w:pPr>
        <w:pStyle w:val="Heading4"/>
        <w:spacing w:line="256" w:lineRule="auto" w:before="22"/>
        <w:ind w:right="1129" w:firstLine="568"/>
        <w:jc w:val="both"/>
      </w:pPr>
      <w:r>
        <w:rPr>
          <w:spacing w:val="-4"/>
        </w:rPr>
        <w:t>我们认为，后附的财务报表在所有重大方面按照企业会计准则的规定编制，公允反映了永福股份</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2018</w:t>
      </w:r>
      <w:r>
        <w:rPr/>
        <w:t>年度的合并及母公司经营成果和现金流量。</w:t>
      </w:r>
    </w:p>
    <w:p>
      <w:pPr>
        <w:spacing w:line="256" w:lineRule="auto" w:before="5"/>
        <w:ind w:left="721" w:right="1155" w:hanging="44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形成审计意见的基础</w:t>
      </w:r>
      <w:r>
        <w:rPr>
          <w:rFonts w:ascii="宋体" w:hAnsi="宋体" w:cs="宋体" w:eastAsia="宋体" w:hint="default"/>
          <w:b/>
          <w:bCs/>
          <w:w w:val="99"/>
          <w:sz w:val="21"/>
          <w:szCs w:val="21"/>
        </w:rPr>
        <w:t> </w:t>
      </w:r>
      <w:r>
        <w:rPr>
          <w:rFonts w:ascii="宋体" w:hAnsi="宋体" w:cs="宋体" w:eastAsia="宋体" w:hint="default"/>
          <w:sz w:val="21"/>
          <w:szCs w:val="21"/>
        </w:rPr>
        <w:t>我们按照中国注册会计师审计准则的规定执行了审计工作。审计报告的“注册会计师对财务报表审</w:t>
      </w:r>
    </w:p>
    <w:p>
      <w:pPr>
        <w:pStyle w:val="Heading4"/>
        <w:spacing w:line="273" w:lineRule="auto" w:before="22"/>
        <w:ind w:right="1131"/>
        <w:jc w:val="both"/>
      </w:pPr>
      <w:r>
        <w:rPr>
          <w:spacing w:val="-1"/>
        </w:rPr>
        <w:t>计的责任”部分进一步阐述了我们在这些准则下的责任。按照中国注册会计师职业道德守则，我们独立于</w:t>
      </w:r>
      <w:r>
        <w:rPr>
          <w:spacing w:val="-83"/>
        </w:rPr>
        <w:t> </w:t>
      </w:r>
      <w:r>
        <w:rPr>
          <w:spacing w:val="-83"/>
        </w:rPr>
      </w:r>
      <w:r>
        <w:rPr>
          <w:spacing w:val="-1"/>
        </w:rPr>
        <w:t>永福股份，并履行了职业道德方面的其他责任。我们相信，我们获取的审计证据是充分、适当的，为发表</w:t>
      </w:r>
      <w:r>
        <w:rPr>
          <w:spacing w:val="-83"/>
        </w:rPr>
        <w:t> </w:t>
      </w:r>
      <w:r>
        <w:rPr>
          <w:spacing w:val="-83"/>
        </w:rPr>
      </w:r>
      <w:r>
        <w:rPr/>
        <w:t>审计意见提供了基础。</w:t>
      </w:r>
    </w:p>
    <w:p>
      <w:pPr>
        <w:pStyle w:val="Heading3"/>
        <w:spacing w:line="240" w:lineRule="auto" w:before="7"/>
        <w:ind w:right="0"/>
        <w:jc w:val="both"/>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关键审计事项</w:t>
      </w:r>
      <w:r>
        <w:rPr>
          <w:b w:val="0"/>
          <w:bCs w:val="0"/>
        </w:rPr>
      </w:r>
    </w:p>
    <w:p>
      <w:pPr>
        <w:pStyle w:val="Heading4"/>
        <w:spacing w:line="273" w:lineRule="auto" w:before="21"/>
        <w:ind w:right="1131" w:firstLine="568"/>
        <w:jc w:val="both"/>
      </w:pPr>
      <w:r>
        <w:rPr/>
        <w:t>关键审计事项是我们根据职业判断，认为对本期财务报表审计最为重要的事项。这些事项的应对以 </w:t>
      </w:r>
      <w:r>
        <w:rPr>
          <w:spacing w:val="-1"/>
        </w:rPr>
        <w:t>对财务报表整体进行审计并形成审计意见为背景，我们不对这些事项单独发表意见。我们确定下列事项是</w:t>
      </w:r>
      <w:r>
        <w:rPr>
          <w:spacing w:val="-81"/>
        </w:rPr>
        <w:t> </w:t>
      </w:r>
      <w:r>
        <w:rPr>
          <w:spacing w:val="-81"/>
        </w:rPr>
      </w:r>
      <w:r>
        <w:rPr/>
        <w:t>需要在审计报告中沟通的关键审计事项。</w:t>
      </w:r>
    </w:p>
    <w:tbl>
      <w:tblPr>
        <w:tblW w:w="0" w:type="auto"/>
        <w:jc w:val="left"/>
        <w:tblInd w:w="146" w:type="dxa"/>
        <w:tblLayout w:type="fixed"/>
        <w:tblCellMar>
          <w:top w:w="0" w:type="dxa"/>
          <w:left w:w="0" w:type="dxa"/>
          <w:bottom w:w="0" w:type="dxa"/>
          <w:right w:w="0" w:type="dxa"/>
        </w:tblCellMar>
        <w:tblLook w:val="01E0"/>
      </w:tblPr>
      <w:tblGrid>
        <w:gridCol w:w="4140"/>
        <w:gridCol w:w="4049"/>
      </w:tblGrid>
      <w:tr>
        <w:trPr>
          <w:trHeight w:val="347"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42"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8" w:hRule="exact"/>
        </w:trPr>
        <w:tc>
          <w:tcPr>
            <w:tcW w:w="8189" w:type="dxa"/>
            <w:gridSpan w:val="2"/>
            <w:tcBorders>
              <w:top w:val="single" w:sz="6" w:space="0" w:color="000000"/>
              <w:left w:val="single" w:sz="6" w:space="0" w:color="000000"/>
              <w:bottom w:val="single" w:sz="6" w:space="0" w:color="000000"/>
              <w:right w:val="single" w:sz="6" w:space="0" w:color="000000"/>
            </w:tcBorders>
          </w:tcPr>
          <w:p>
            <w:pPr>
              <w:pStyle w:val="TableParagraph"/>
              <w:tabs>
                <w:tab w:pos="842" w:val="left" w:leader="none"/>
              </w:tabs>
              <w:spacing w:line="240" w:lineRule="auto" w:before="21"/>
              <w:ind w:left="2" w:right="0"/>
              <w:jc w:val="left"/>
              <w:rPr>
                <w:rFonts w:ascii="宋体" w:hAnsi="宋体" w:cs="宋体" w:eastAsia="宋体" w:hint="default"/>
                <w:sz w:val="18"/>
                <w:szCs w:val="18"/>
              </w:rPr>
            </w:pPr>
            <w:r>
              <w:rPr>
                <w:rFonts w:ascii="宋体" w:hAnsi="宋体" w:cs="宋体" w:eastAsia="宋体" w:hint="default"/>
                <w:b/>
                <w:bCs/>
                <w:w w:val="95"/>
                <w:sz w:val="18"/>
                <w:szCs w:val="18"/>
              </w:rPr>
              <w:t>（一）</w:t>
              <w:tab/>
            </w:r>
            <w:r>
              <w:rPr>
                <w:rFonts w:ascii="宋体" w:hAnsi="宋体" w:cs="宋体" w:eastAsia="宋体" w:hint="default"/>
                <w:b/>
                <w:bCs/>
                <w:sz w:val="18"/>
                <w:szCs w:val="18"/>
              </w:rPr>
              <w:t>应收账款的可回收性及坏账准备的计提</w:t>
            </w:r>
            <w:r>
              <w:rPr>
                <w:rFonts w:ascii="宋体" w:hAnsi="宋体" w:cs="宋体" w:eastAsia="宋体" w:hint="default"/>
                <w:sz w:val="18"/>
                <w:szCs w:val="18"/>
              </w:rPr>
            </w:r>
          </w:p>
        </w:tc>
      </w:tr>
      <w:tr>
        <w:trPr>
          <w:trHeight w:val="3155"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7"/>
              <w:jc w:val="left"/>
              <w:rPr>
                <w:rFonts w:ascii="宋体" w:hAnsi="宋体" w:cs="宋体" w:eastAsia="宋体" w:hint="default"/>
                <w:sz w:val="18"/>
                <w:szCs w:val="18"/>
              </w:rPr>
            </w:pPr>
            <w:r>
              <w:rPr>
                <w:rFonts w:ascii="宋体" w:hAnsi="宋体" w:cs="宋体" w:eastAsia="宋体" w:hint="default"/>
                <w:spacing w:val="-8"/>
                <w:sz w:val="18"/>
                <w:szCs w:val="18"/>
              </w:rPr>
              <w:t>请参阅财务报表附注“五、（</w:t>
            </w:r>
            <w:r>
              <w:rPr>
                <w:rFonts w:ascii="Times New Roman" w:hAnsi="Times New Roman" w:cs="Times New Roman" w:eastAsia="Times New Roman" w:hint="default"/>
                <w:spacing w:val="-8"/>
                <w:sz w:val="18"/>
                <w:szCs w:val="18"/>
              </w:rPr>
              <w:t>11</w:t>
            </w:r>
            <w:r>
              <w:rPr>
                <w:rFonts w:ascii="宋体" w:hAnsi="宋体" w:cs="宋体" w:eastAsia="宋体" w:hint="default"/>
                <w:spacing w:val="-8"/>
                <w:sz w:val="18"/>
                <w:szCs w:val="18"/>
              </w:rPr>
              <w:t>）应收账款坏账准备”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所述的会计政策及“七、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）应收账款”注释。 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日，永福股份合并财务报表中应收账 款的原值为</w:t>
            </w:r>
            <w:r>
              <w:rPr>
                <w:rFonts w:ascii="Times New Roman" w:hAnsi="Times New Roman" w:cs="Times New Roman" w:eastAsia="Times New Roman" w:hint="default"/>
                <w:sz w:val="18"/>
                <w:szCs w:val="18"/>
              </w:rPr>
              <w:t>427,492,071.04</w:t>
            </w:r>
            <w:r>
              <w:rPr>
                <w:rFonts w:ascii="宋体" w:hAnsi="宋体" w:cs="宋体" w:eastAsia="宋体" w:hint="default"/>
                <w:sz w:val="18"/>
                <w:szCs w:val="18"/>
              </w:rPr>
              <w:t>元，坏帐准备合计为 </w:t>
            </w:r>
            <w:r>
              <w:rPr>
                <w:rFonts w:ascii="Times New Roman" w:hAnsi="Times New Roman" w:cs="Times New Roman" w:eastAsia="Times New Roman" w:hint="default"/>
                <w:sz w:val="18"/>
                <w:szCs w:val="18"/>
              </w:rPr>
              <w:t>36,599,610.31</w:t>
            </w:r>
            <w:r>
              <w:rPr>
                <w:rFonts w:ascii="宋体" w:hAnsi="宋体" w:cs="宋体" w:eastAsia="宋体" w:hint="default"/>
                <w:sz w:val="18"/>
                <w:szCs w:val="18"/>
              </w:rPr>
              <w:t>元。</w:t>
            </w:r>
          </w:p>
          <w:p>
            <w:pPr>
              <w:pStyle w:val="TableParagraph"/>
              <w:spacing w:line="316" w:lineRule="auto" w:before="13"/>
              <w:ind w:left="2" w:right="3"/>
              <w:jc w:val="left"/>
              <w:rPr>
                <w:rFonts w:ascii="宋体" w:hAnsi="宋体" w:cs="宋体" w:eastAsia="宋体" w:hint="default"/>
                <w:sz w:val="18"/>
                <w:szCs w:val="18"/>
              </w:rPr>
            </w:pPr>
            <w:r>
              <w:rPr>
                <w:rFonts w:ascii="宋体" w:hAnsi="宋体" w:cs="宋体" w:eastAsia="宋体" w:hint="default"/>
                <w:sz w:val="18"/>
                <w:szCs w:val="18"/>
              </w:rPr>
              <w:t>由于应收账款可回收金额涉及管理层运用重大会计 </w:t>
            </w:r>
            <w:r>
              <w:rPr>
                <w:rFonts w:ascii="宋体" w:hAnsi="宋体" w:cs="宋体" w:eastAsia="宋体" w:hint="default"/>
                <w:spacing w:val="-1"/>
                <w:sz w:val="18"/>
                <w:szCs w:val="18"/>
              </w:rPr>
              <w:t>估计和判断，为此我们将应收账款的可回收性为关键</w:t>
            </w:r>
            <w:r>
              <w:rPr>
                <w:rFonts w:ascii="宋体" w:hAnsi="宋体" w:cs="宋体" w:eastAsia="宋体" w:hint="default"/>
                <w:sz w:val="18"/>
                <w:szCs w:val="18"/>
              </w:rPr>
              <w:t> 审计事项。</w:t>
            </w:r>
          </w:p>
        </w:tc>
        <w:tc>
          <w:tcPr>
            <w:tcW w:w="4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、了解并评价公司关于销售与收款的内部控制；</w:t>
            </w:r>
          </w:p>
          <w:p>
            <w:pPr>
              <w:pStyle w:val="TableParagraph"/>
              <w:spacing w:line="309" w:lineRule="auto" w:before="63"/>
              <w:ind w:left="2" w:right="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、获取公司的坏账准备政策，检查本期坏账准备计</w:t>
            </w:r>
            <w:r>
              <w:rPr>
                <w:rFonts w:ascii="宋体" w:hAnsi="宋体" w:cs="宋体" w:eastAsia="宋体" w:hint="default"/>
                <w:sz w:val="18"/>
                <w:szCs w:val="18"/>
              </w:rPr>
              <w:t> 提政策是否与上期保持一致；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、获取应收款项账龄，关注账龄划分的准确性，根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据管理层的坏账计提政策及客户信誉情况，关注管 理层是否充分识别已发生减值的项目；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、实施函证程序，并将函证结果与管理层记录的金</w:t>
            </w:r>
            <w:r>
              <w:rPr>
                <w:rFonts w:ascii="宋体" w:hAnsi="宋体" w:cs="宋体" w:eastAsia="宋体" w:hint="default"/>
                <w:sz w:val="18"/>
                <w:szCs w:val="18"/>
              </w:rPr>
              <w:t> 额进行了核对；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、结合期后回款情况检查，评价管理层坏账准备计</w:t>
            </w:r>
            <w:r>
              <w:rPr>
                <w:rFonts w:ascii="宋体" w:hAnsi="宋体" w:cs="宋体" w:eastAsia="宋体" w:hint="default"/>
                <w:sz w:val="18"/>
                <w:szCs w:val="18"/>
              </w:rPr>
              <w:t> 提的合理性。</w:t>
            </w:r>
          </w:p>
        </w:tc>
      </w:tr>
      <w:tr>
        <w:trPr>
          <w:trHeight w:val="347" w:hRule="exact"/>
        </w:trPr>
        <w:tc>
          <w:tcPr>
            <w:tcW w:w="81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（二）主营业务收入的确认</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44"/>
        <w:ind w:left="0" w:right="2502"/>
        <w:jc w:val="right"/>
      </w:pPr>
      <w:r>
        <w:rPr/>
        <w:pict>
          <v:shape style="position:absolute;margin-left:56.34pt;margin-top:-93.208282pt;width:410.55pt;height:330.1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40"/>
                    <w:gridCol w:w="4049"/>
                  </w:tblGrid>
                  <w:tr>
                    <w:trPr>
                      <w:trHeight w:val="6588" w:hRule="exact"/>
                    </w:trPr>
                    <w:tc>
                      <w:tcPr>
                        <w:tcW w:w="414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2"/>
                          <w:jc w:val="left"/>
                          <w:rPr>
                            <w:rFonts w:ascii="宋体" w:hAnsi="宋体" w:cs="宋体" w:eastAsia="宋体" w:hint="default"/>
                            <w:sz w:val="18"/>
                            <w:szCs w:val="18"/>
                          </w:rPr>
                        </w:pPr>
                        <w:r>
                          <w:rPr>
                            <w:rFonts w:ascii="宋体" w:hAnsi="宋体" w:cs="宋体" w:eastAsia="宋体" w:hint="default"/>
                            <w:spacing w:val="-4"/>
                            <w:sz w:val="18"/>
                            <w:szCs w:val="18"/>
                          </w:rPr>
                          <w:t>请参阅财务报表附注“五、（</w:t>
                        </w:r>
                        <w:r>
                          <w:rPr>
                            <w:rFonts w:ascii="Times New Roman" w:hAnsi="Times New Roman" w:cs="Times New Roman" w:eastAsia="Times New Roman" w:hint="default"/>
                            <w:spacing w:val="-4"/>
                            <w:sz w:val="18"/>
                            <w:szCs w:val="18"/>
                          </w:rPr>
                          <w:t>28</w:t>
                        </w:r>
                        <w:r>
                          <w:rPr>
                            <w:rFonts w:ascii="宋体" w:hAnsi="宋体" w:cs="宋体" w:eastAsia="宋体" w:hint="default"/>
                            <w:spacing w:val="-4"/>
                            <w:sz w:val="18"/>
                            <w:szCs w:val="18"/>
                          </w:rPr>
                          <w:t>）收入”所述的会计</w:t>
                        </w:r>
                        <w:r>
                          <w:rPr>
                            <w:rFonts w:ascii="宋体" w:hAnsi="宋体" w:cs="宋体" w:eastAsia="宋体" w:hint="default"/>
                            <w:spacing w:val="-84"/>
                            <w:sz w:val="18"/>
                            <w:szCs w:val="18"/>
                          </w:rPr>
                          <w:t> </w:t>
                        </w:r>
                        <w:r>
                          <w:rPr>
                            <w:rFonts w:ascii="宋体" w:hAnsi="宋体" w:cs="宋体" w:eastAsia="宋体" w:hint="default"/>
                            <w:spacing w:val="-4"/>
                            <w:sz w:val="18"/>
                            <w:szCs w:val="18"/>
                          </w:rPr>
                          <w:t>政策及“七、（</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）营业收入和营业成本”注释。</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年度永福股份主营业务收入金额</w:t>
                        </w:r>
                        <w:r>
                          <w:rPr>
                            <w:rFonts w:ascii="Times New Roman" w:hAnsi="Times New Roman" w:cs="Times New Roman" w:eastAsia="Times New Roman" w:hint="default"/>
                            <w:sz w:val="18"/>
                            <w:szCs w:val="18"/>
                          </w:rPr>
                          <w:t>682,950,203.40 </w:t>
                        </w:r>
                        <w:r>
                          <w:rPr>
                            <w:rFonts w:ascii="宋体" w:hAnsi="宋体" w:cs="宋体" w:eastAsia="宋体" w:hint="default"/>
                            <w:spacing w:val="-1"/>
                            <w:sz w:val="18"/>
                            <w:szCs w:val="18"/>
                          </w:rPr>
                          <w:t>元，公司主营业务包括勘查设计业务与工程总承包业</w:t>
                        </w:r>
                        <w:r>
                          <w:rPr>
                            <w:rFonts w:ascii="宋体" w:hAnsi="宋体" w:cs="宋体" w:eastAsia="宋体" w:hint="default"/>
                            <w:sz w:val="18"/>
                            <w:szCs w:val="18"/>
                          </w:rPr>
                          <w:t> </w:t>
                        </w:r>
                        <w:r>
                          <w:rPr>
                            <w:rFonts w:ascii="宋体" w:hAnsi="宋体" w:cs="宋体" w:eastAsia="宋体" w:hint="default"/>
                            <w:spacing w:val="-1"/>
                            <w:sz w:val="18"/>
                            <w:szCs w:val="18"/>
                          </w:rPr>
                          <w:t>务，该两项业务分别根据提供劳务收入的收入确认政</w:t>
                        </w:r>
                        <w:r>
                          <w:rPr>
                            <w:rFonts w:ascii="宋体" w:hAnsi="宋体" w:cs="宋体" w:eastAsia="宋体" w:hint="default"/>
                            <w:sz w:val="18"/>
                            <w:szCs w:val="18"/>
                          </w:rPr>
                          <w:t> </w:t>
                        </w:r>
                        <w:r>
                          <w:rPr>
                            <w:rFonts w:ascii="宋体" w:hAnsi="宋体" w:cs="宋体" w:eastAsia="宋体" w:hint="default"/>
                            <w:spacing w:val="-1"/>
                            <w:sz w:val="18"/>
                            <w:szCs w:val="18"/>
                          </w:rPr>
                          <w:t>策以及建造合同的收入确认政策，采用完工百分比法</w:t>
                        </w:r>
                        <w:r>
                          <w:rPr>
                            <w:rFonts w:ascii="宋体" w:hAnsi="宋体" w:cs="宋体" w:eastAsia="宋体" w:hint="default"/>
                            <w:sz w:val="18"/>
                            <w:szCs w:val="18"/>
                          </w:rPr>
                          <w:t> 确认收入。 根据完工百分比法确认的收入涉及管理层的重大判 </w:t>
                        </w:r>
                        <w:r>
                          <w:rPr>
                            <w:rFonts w:ascii="宋体" w:hAnsi="宋体" w:cs="宋体" w:eastAsia="宋体" w:hint="default"/>
                            <w:spacing w:val="-1"/>
                            <w:sz w:val="18"/>
                            <w:szCs w:val="18"/>
                          </w:rPr>
                          <w:t>断和估计，因此我们将主营业务收入的确认列为关键</w:t>
                        </w:r>
                        <w:r>
                          <w:rPr>
                            <w:rFonts w:ascii="宋体" w:hAnsi="宋体" w:cs="宋体" w:eastAsia="宋体" w:hint="default"/>
                            <w:sz w:val="18"/>
                            <w:szCs w:val="18"/>
                          </w:rPr>
                          <w:t> 审计事项。</w:t>
                        </w:r>
                      </w:p>
                    </w:tc>
                    <w:tc>
                      <w:tcPr>
                        <w:tcW w:w="4049"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、了解并评价与收入确认相关的关键内部控制，复 核相关的会计政策是否正确且一贯地运行； </w:t>
                        </w:r>
                        <w:r>
                          <w:rPr>
                            <w:rFonts w:ascii="Times New Roman" w:hAnsi="Times New Roman" w:cs="Times New Roman" w:eastAsia="Times New Roman" w:hint="default"/>
                            <w:sz w:val="18"/>
                            <w:szCs w:val="18"/>
                          </w:rPr>
                          <w:t>2</w:t>
                        </w:r>
                        <w:r>
                          <w:rPr>
                            <w:rFonts w:ascii="宋体" w:hAnsi="宋体" w:cs="宋体" w:eastAsia="宋体" w:hint="default"/>
                            <w:sz w:val="18"/>
                            <w:szCs w:val="18"/>
                          </w:rPr>
                          <w:t>、获取公司项目销售合同，检查合同中所列示的重 要信息，包括客户名称、项目名称、业务类型及金 额、结算依据、项目进度、签订双方盖章签字等； 根据合同金额、项目进度、结算依据测算应确认收 入金额，并逐一与公司财务账面记载内容进行核对 </w:t>
                        </w:r>
                        <w:r>
                          <w:rPr>
                            <w:rFonts w:ascii="Times New Roman" w:hAnsi="Times New Roman" w:cs="Times New Roman" w:eastAsia="Times New Roman" w:hint="default"/>
                            <w:sz w:val="18"/>
                            <w:szCs w:val="18"/>
                          </w:rPr>
                          <w:t>3</w:t>
                        </w:r>
                        <w:r>
                          <w:rPr>
                            <w:rFonts w:ascii="宋体" w:hAnsi="宋体" w:cs="宋体" w:eastAsia="宋体" w:hint="default"/>
                            <w:sz w:val="18"/>
                            <w:szCs w:val="18"/>
                          </w:rPr>
                          <w:t>、获取公司各项目收入确认依据，包括评审文件、 资料交付确认证明等收入确认依据，核查文件或证 明中所列示的包括客户名称、合同名称、合同编号 项目名称、确认信息、文件或证明日期、评审方或 接收方签章，并逐一与公司财务账面记载内容进行 核对； </w:t>
                        </w:r>
                        <w:r>
                          <w:rPr>
                            <w:rFonts w:ascii="Times New Roman" w:hAnsi="Times New Roman" w:cs="Times New Roman" w:eastAsia="Times New Roman" w:hint="default"/>
                            <w:sz w:val="18"/>
                            <w:szCs w:val="18"/>
                          </w:rPr>
                          <w:t>4</w:t>
                        </w:r>
                        <w:r>
                          <w:rPr>
                            <w:rFonts w:ascii="宋体" w:hAnsi="宋体" w:cs="宋体" w:eastAsia="宋体" w:hint="default"/>
                            <w:sz w:val="18"/>
                            <w:szCs w:val="18"/>
                          </w:rPr>
                          <w:t>、获取客户、施工方、监理单位、公司项目部共同 出具总承包工程进度完成签证单，分析比对各期总 承包工程完工进度，根据完工进度重新计算确认工 程总承包业务收入金额是否准确； </w:t>
                        </w:r>
                        <w:r>
                          <w:rPr>
                            <w:rFonts w:ascii="Times New Roman" w:hAnsi="Times New Roman" w:cs="Times New Roman" w:eastAsia="Times New Roman" w:hint="default"/>
                            <w:sz w:val="18"/>
                            <w:szCs w:val="18"/>
                          </w:rPr>
                          <w:t>5</w:t>
                        </w:r>
                        <w:r>
                          <w:rPr>
                            <w:rFonts w:ascii="宋体" w:hAnsi="宋体" w:cs="宋体" w:eastAsia="宋体" w:hint="default"/>
                            <w:sz w:val="18"/>
                            <w:szCs w:val="18"/>
                          </w:rPr>
                          <w:t>、实施分析性程序，分析评价公司综合毛利率、业 务毛利率、项目毛利率的波动情况； </w:t>
                        </w:r>
                        <w:r>
                          <w:rPr>
                            <w:rFonts w:ascii="Times New Roman" w:hAnsi="Times New Roman" w:cs="Times New Roman" w:eastAsia="Times New Roman" w:hint="default"/>
                            <w:sz w:val="18"/>
                            <w:szCs w:val="18"/>
                          </w:rPr>
                          <w:t>6</w:t>
                        </w:r>
                        <w:r>
                          <w:rPr>
                            <w:rFonts w:ascii="宋体" w:hAnsi="宋体" w:cs="宋体" w:eastAsia="宋体" w:hint="default"/>
                            <w:sz w:val="18"/>
                            <w:szCs w:val="18"/>
                          </w:rPr>
                          <w:t>、针对大额收入及应收款项实施函证程序，函证内 容包括合同约定条款、总包项目的完工进度等。</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250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3"/>
        <w:spacing w:line="240" w:lineRule="auto" w:before="35"/>
        <w:ind w:left="274" w:right="0"/>
        <w:jc w:val="left"/>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其他信息</w:t>
      </w:r>
      <w:r>
        <w:rPr>
          <w:b w:val="0"/>
          <w:bCs w:val="0"/>
        </w:rPr>
      </w:r>
    </w:p>
    <w:p>
      <w:pPr>
        <w:pStyle w:val="Heading4"/>
        <w:spacing w:line="256" w:lineRule="auto" w:before="21"/>
        <w:ind w:right="1128" w:firstLine="568"/>
        <w:jc w:val="left"/>
      </w:pPr>
      <w:r>
        <w:rPr>
          <w:spacing w:val="-4"/>
        </w:rPr>
        <w:t>永福股份管理层（以下简称“管理层”）对其他信息负责。其他信息包括永福股份</w:t>
      </w:r>
      <w:r>
        <w:rPr>
          <w:rFonts w:ascii="Times New Roman" w:hAnsi="Times New Roman" w:cs="Times New Roman" w:eastAsia="Times New Roman" w:hint="default"/>
          <w:spacing w:val="-4"/>
        </w:rPr>
        <w:t>2018</w:t>
      </w:r>
      <w:r>
        <w:rPr>
          <w:spacing w:val="-4"/>
        </w:rPr>
        <w:t>年年度报告中</w:t>
      </w:r>
      <w:r>
        <w:rPr/>
        <w:t> 涵盖的信息，但不包括财务报表和我们的审计报告。</w:t>
      </w:r>
    </w:p>
    <w:p>
      <w:pPr>
        <w:pStyle w:val="Heading4"/>
        <w:spacing w:line="273" w:lineRule="auto" w:before="22"/>
        <w:ind w:left="721" w:right="1155"/>
        <w:jc w:val="left"/>
      </w:pPr>
      <w:r>
        <w:rPr/>
        <w:t>我们对财务报表发表的审计意见不涵盖其他信息，我们也不对其他信息发表任何形式的鉴证结论。 结合我们对财务报表的审计，我们的责任是阅读其他信息，在此过程中，考虑其他信息是否与财务</w:t>
      </w:r>
    </w:p>
    <w:p>
      <w:pPr>
        <w:pStyle w:val="Heading4"/>
        <w:spacing w:line="273" w:lineRule="auto" w:before="7"/>
        <w:ind w:left="721" w:right="1155" w:hanging="568"/>
        <w:jc w:val="left"/>
      </w:pPr>
      <w:r>
        <w:rPr/>
        <w:t>报表或我们在审计过程中了解到的情况存在重大不一致或者似乎存在重大错报。 基于我们已执行的工作，如果我们确定其他信息存在重大错报，我们应当报告该事实。在这方面，</w:t>
      </w:r>
    </w:p>
    <w:p>
      <w:pPr>
        <w:pStyle w:val="Heading4"/>
        <w:spacing w:line="240" w:lineRule="auto" w:before="7"/>
        <w:ind w:right="0"/>
        <w:jc w:val="left"/>
      </w:pPr>
      <w:r>
        <w:rPr/>
        <w:t>我们无任何事项需要报告。</w:t>
      </w:r>
    </w:p>
    <w:p>
      <w:pPr>
        <w:spacing w:line="256" w:lineRule="auto" w:before="37"/>
        <w:ind w:left="721" w:right="1155" w:hanging="44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 </w:t>
      </w:r>
      <w:r>
        <w:rPr>
          <w:rFonts w:ascii="宋体" w:hAnsi="宋体" w:cs="宋体" w:eastAsia="宋体" w:hint="default"/>
          <w:b/>
          <w:bCs/>
          <w:sz w:val="21"/>
          <w:szCs w:val="21"/>
        </w:rPr>
        <w:t>管理层和治理层对财务报表的责任</w:t>
      </w:r>
      <w:r>
        <w:rPr>
          <w:rFonts w:ascii="宋体" w:hAnsi="宋体" w:cs="宋体" w:eastAsia="宋体" w:hint="default"/>
          <w:b/>
          <w:bCs/>
          <w:w w:val="99"/>
          <w:sz w:val="21"/>
          <w:szCs w:val="21"/>
        </w:rPr>
        <w:t> </w:t>
      </w:r>
      <w:r>
        <w:rPr>
          <w:rFonts w:ascii="宋体" w:hAnsi="宋体" w:cs="宋体" w:eastAsia="宋体" w:hint="default"/>
          <w:sz w:val="21"/>
          <w:szCs w:val="21"/>
        </w:rPr>
        <w:t>管理层负责按照企业会计准则的规定编制财务报表，使其实现公允反映，并设计、执行和维护必要</w:t>
      </w:r>
    </w:p>
    <w:p>
      <w:pPr>
        <w:pStyle w:val="Heading4"/>
        <w:spacing w:line="273" w:lineRule="auto" w:before="22"/>
        <w:ind w:left="721" w:right="1155" w:hanging="568"/>
        <w:jc w:val="left"/>
      </w:pPr>
      <w:r>
        <w:rPr/>
        <w:t>的内部控制，以使财务报表不存在由于舞弊或错误导致的重大错报。 在编制财务报表时，管理层负责评估永福股份的持续经营能力，披露与持续经营相关的事项（如适</w:t>
      </w:r>
    </w:p>
    <w:p>
      <w:pPr>
        <w:pStyle w:val="Heading4"/>
        <w:spacing w:line="273" w:lineRule="auto" w:before="7"/>
        <w:ind w:left="721" w:right="3094" w:hanging="568"/>
        <w:jc w:val="left"/>
      </w:pPr>
      <w:r>
        <w:rPr>
          <w:spacing w:val="-3"/>
        </w:rPr>
        <w:t>用），并运用持续经营假设，除非计划进行清算、终止运营或别无其他现实的选择。</w:t>
      </w:r>
      <w:r>
        <w:rPr>
          <w:spacing w:val="-101"/>
        </w:rPr>
        <w:t> </w:t>
      </w:r>
      <w:r>
        <w:rPr>
          <w:spacing w:val="-101"/>
        </w:rPr>
      </w:r>
      <w:r>
        <w:rPr/>
        <w:t>治理层负责监督永福股份的财务报告过程。</w:t>
      </w:r>
    </w:p>
    <w:p>
      <w:pPr>
        <w:spacing w:line="240" w:lineRule="auto" w:before="6"/>
        <w:rPr>
          <w:rFonts w:ascii="宋体" w:hAnsi="宋体" w:cs="宋体" w:eastAsia="宋体" w:hint="default"/>
          <w:sz w:val="24"/>
          <w:szCs w:val="24"/>
        </w:rPr>
      </w:pPr>
    </w:p>
    <w:p>
      <w:pPr>
        <w:spacing w:line="256" w:lineRule="auto" w:before="0"/>
        <w:ind w:left="721" w:right="1155" w:hanging="56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t>我们的目标是对财务报表整体是否不存在由于舞弊或错误导致的重大错报获取合理保证，并出具包</w:t>
      </w:r>
    </w:p>
    <w:p>
      <w:pPr>
        <w:pStyle w:val="Heading4"/>
        <w:spacing w:line="273" w:lineRule="auto" w:before="22"/>
        <w:ind w:right="1131"/>
        <w:jc w:val="both"/>
      </w:pPr>
      <w:r>
        <w:rPr>
          <w:spacing w:val="-1"/>
        </w:rPr>
        <w:t>含审计意见的审计报告。合理保证是高水平的保证，但并不能保证按照审计准则执行的审计在某一重大错</w:t>
      </w:r>
      <w:r>
        <w:rPr>
          <w:spacing w:val="-81"/>
        </w:rPr>
        <w:t> </w:t>
      </w:r>
      <w:r>
        <w:rPr>
          <w:spacing w:val="-81"/>
        </w:rPr>
      </w:r>
      <w:r>
        <w:rPr>
          <w:spacing w:val="-1"/>
        </w:rPr>
        <w:t>报存在时总能发现。错报可能由于舞弊或错误导致，如果合理预期错报单独或汇总起来可能影响财务报表</w:t>
      </w:r>
      <w:r>
        <w:rPr>
          <w:spacing w:val="-81"/>
        </w:rPr>
        <w:t> </w:t>
      </w:r>
      <w:r>
        <w:rPr>
          <w:spacing w:val="-81"/>
        </w:rPr>
      </w:r>
      <w:r>
        <w:rPr/>
        <w:t>使用者依据财务报表作出的经济决策，则通常认为错报是重大的。</w:t>
      </w:r>
    </w:p>
    <w:p>
      <w:pPr>
        <w:pStyle w:val="Heading4"/>
        <w:spacing w:line="273" w:lineRule="auto" w:before="7"/>
        <w:ind w:right="1154" w:firstLine="568"/>
        <w:jc w:val="left"/>
      </w:pPr>
      <w:r>
        <w:rPr/>
        <w:t>在按照审计准则执行审计工作的过程中，我们运用职业判断，并保持职业怀疑。同时，我们也执行 以下工作：</w:t>
      </w:r>
    </w:p>
    <w:p>
      <w:pPr>
        <w:pStyle w:val="Heading4"/>
        <w:spacing w:line="240" w:lineRule="auto" w:before="7"/>
        <w:ind w:left="721" w:right="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73" w:lineRule="auto" w:before="35"/>
        <w:ind w:right="1023"/>
        <w:jc w:val="left"/>
      </w:pP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Heading4"/>
        <w:spacing w:line="240" w:lineRule="auto" w:before="7"/>
        <w:ind w:left="721"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w:t>
      </w:r>
    </w:p>
    <w:p>
      <w:pPr>
        <w:pStyle w:val="Heading4"/>
        <w:spacing w:line="240" w:lineRule="auto" w:before="21"/>
        <w:ind w:right="0"/>
        <w:jc w:val="left"/>
      </w:pPr>
      <w:r>
        <w:rPr/>
        <w:t>见。</w:t>
      </w:r>
    </w:p>
    <w:p>
      <w:pPr>
        <w:pStyle w:val="Heading4"/>
        <w:spacing w:line="240" w:lineRule="auto" w:before="37"/>
        <w:ind w:left="721"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Heading4"/>
        <w:spacing w:line="240" w:lineRule="auto" w:before="21"/>
        <w:ind w:left="721" w:right="0"/>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）对管理层使用持续经营假设的恰当性得出结论。同时，根据获取的审计证据，就可能导致对永</w:t>
      </w:r>
    </w:p>
    <w:p>
      <w:pPr>
        <w:pStyle w:val="Heading4"/>
        <w:spacing w:line="273" w:lineRule="auto" w:before="21"/>
        <w:ind w:right="1131"/>
        <w:jc w:val="both"/>
      </w:pPr>
      <w:r>
        <w:rPr>
          <w:spacing w:val="-1"/>
        </w:rPr>
        <w:t>福股份持续经营能力产生重大疑虑的事项或情况是否存在重大不确定性得出结论。如果我们得出结论认为</w:t>
      </w:r>
      <w:r>
        <w:rPr>
          <w:spacing w:val="-81"/>
        </w:rPr>
        <w:t> </w:t>
      </w:r>
      <w:r>
        <w:rPr>
          <w:spacing w:val="-81"/>
        </w:rPr>
      </w:r>
      <w:r>
        <w:rPr>
          <w:spacing w:val="-1"/>
        </w:rPr>
        <w:t>存在重大不确定性，审计准则要求我们在审计报告中提请报表使用者注意财务报表中的相关披露；如果披</w:t>
      </w:r>
      <w:r>
        <w:rPr>
          <w:spacing w:val="-81"/>
        </w:rPr>
        <w:t> </w:t>
      </w:r>
      <w:r>
        <w:rPr>
          <w:spacing w:val="-81"/>
        </w:rPr>
      </w:r>
      <w:r>
        <w:rPr>
          <w:spacing w:val="-1"/>
        </w:rPr>
        <w:t>露不充分，我们应当发表非无保留意见。我们的结论基于截至审计报告日可获得的信息。然而，未来的事</w:t>
      </w:r>
      <w:r>
        <w:rPr>
          <w:spacing w:val="-86"/>
        </w:rPr>
        <w:t> </w:t>
      </w:r>
      <w:r>
        <w:rPr>
          <w:spacing w:val="-86"/>
        </w:rPr>
      </w:r>
      <w:r>
        <w:rPr/>
        <w:t>项或情况可能导致永福股份不能持续经营。</w:t>
      </w:r>
    </w:p>
    <w:p>
      <w:pPr>
        <w:pStyle w:val="Heading4"/>
        <w:spacing w:line="256" w:lineRule="auto" w:before="7"/>
        <w:ind w:right="1173" w:firstLine="568"/>
        <w:jc w:val="both"/>
      </w:pPr>
      <w:r>
        <w:rPr>
          <w:spacing w:val="-3"/>
        </w:rPr>
        <w:t>（</w:t>
      </w:r>
      <w:r>
        <w:rPr>
          <w:rFonts w:ascii="Times New Roman" w:hAnsi="Times New Roman" w:cs="Times New Roman" w:eastAsia="Times New Roman" w:hint="default"/>
          <w:spacing w:val="-3"/>
        </w:rPr>
        <w:t>5</w:t>
      </w:r>
      <w:r>
        <w:rPr>
          <w:spacing w:val="-3"/>
        </w:rPr>
        <w:t>）评价财务报表的总体列报、结构和内容（包括披露），并评价财务报表是否公允反映相关交易</w:t>
      </w:r>
      <w:r>
        <w:rPr/>
        <w:t> 和事项。</w:t>
      </w:r>
    </w:p>
    <w:p>
      <w:pPr>
        <w:pStyle w:val="Heading4"/>
        <w:spacing w:line="256" w:lineRule="auto" w:before="22"/>
        <w:ind w:right="1131" w:firstLine="568"/>
        <w:jc w:val="both"/>
      </w:pPr>
      <w:r>
        <w:rPr>
          <w:spacing w:val="-2"/>
        </w:rPr>
        <w:t>（</w:t>
      </w:r>
      <w:r>
        <w:rPr>
          <w:rFonts w:ascii="Times New Roman" w:hAnsi="Times New Roman" w:cs="Times New Roman" w:eastAsia="Times New Roman" w:hint="default"/>
          <w:spacing w:val="-2"/>
        </w:rPr>
        <w:t>6</w:t>
      </w:r>
      <w:r>
        <w:rPr>
          <w:spacing w:val="-2"/>
        </w:rPr>
        <w:t>）就永福股份中实体或业务活动的财务信息获取充分、适当的审计证据，以对财务报表发表审计</w:t>
      </w:r>
      <w:r>
        <w:rPr/>
        <w:t> 意见。我们负责指导、监督和执行集团审计，并对审计意见承担全部责任。</w:t>
      </w:r>
    </w:p>
    <w:p>
      <w:pPr>
        <w:pStyle w:val="Heading4"/>
        <w:spacing w:line="273" w:lineRule="auto" w:before="22"/>
        <w:ind w:right="1172" w:firstLine="568"/>
        <w:jc w:val="both"/>
      </w:pPr>
      <w:r>
        <w:rPr/>
        <w:t>我们与治理层就计划的审计范围、时间安排和重大审计发现等事项进行沟通，包括沟通我们在审计 中识别出的值得关注的内部控制缺陷。</w:t>
      </w:r>
    </w:p>
    <w:p>
      <w:pPr>
        <w:pStyle w:val="Heading4"/>
        <w:spacing w:line="273" w:lineRule="auto" w:before="7"/>
        <w:ind w:right="1172" w:firstLine="568"/>
        <w:jc w:val="both"/>
      </w:pPr>
      <w:r>
        <w:rPr/>
        <w:t>我们还就已遵守与独立性相关的职业道德要求向治理层提供声明，并与治理层沟通可能被合理认为 </w:t>
      </w:r>
      <w:r>
        <w:rPr>
          <w:spacing w:val="-4"/>
        </w:rPr>
        <w:t>影响我们独立性的所有关系和其他事项，以及相关的防范措施（如适用）。</w:t>
      </w:r>
    </w:p>
    <w:p>
      <w:pPr>
        <w:pStyle w:val="Heading4"/>
        <w:spacing w:line="273" w:lineRule="auto" w:before="7"/>
        <w:ind w:right="1132" w:firstLine="568"/>
        <w:jc w:val="both"/>
      </w:pPr>
      <w:r>
        <w:rPr/>
        <w:t>从与治理层沟通过的事项中，我们确定哪些事项对本期财务报表审计最为重要，因而构成关键审计 </w:t>
      </w:r>
      <w:r>
        <w:rPr>
          <w:spacing w:val="-1"/>
        </w:rPr>
        <w:t>事项。我们在审计报告中描述这些事项，除非法律法规禁止公开披露这些事项，或在极少数情形下，如果</w:t>
      </w:r>
      <w:r>
        <w:rPr>
          <w:spacing w:val="-86"/>
        </w:rPr>
        <w:t> </w:t>
      </w:r>
      <w:r>
        <w:rPr>
          <w:spacing w:val="-86"/>
        </w:rPr>
      </w:r>
      <w:r>
        <w:rPr>
          <w:spacing w:val="-1"/>
        </w:rPr>
        <w:t>合理预期在审计报告中沟通某事项造成的负面后果超过在公众利益方面产生的益处，我们确定不应在审计</w:t>
      </w:r>
      <w:r>
        <w:rPr>
          <w:spacing w:val="-81"/>
        </w:rPr>
        <w:t> </w:t>
      </w:r>
      <w:r>
        <w:rPr>
          <w:spacing w:val="-81"/>
        </w:rPr>
      </w:r>
      <w:r>
        <w:rPr/>
        <w:t>报告中沟通该事项。</w:t>
      </w:r>
    </w:p>
    <w:p>
      <w:pPr>
        <w:pStyle w:val="Heading3"/>
        <w:tabs>
          <w:tab w:pos="6049" w:val="left" w:leader="none"/>
        </w:tabs>
        <w:spacing w:line="240" w:lineRule="auto" w:before="7"/>
        <w:ind w:left="428" w:right="0"/>
        <w:jc w:val="left"/>
        <w:rPr>
          <w:b w:val="0"/>
          <w:bCs w:val="0"/>
        </w:rPr>
      </w:pPr>
      <w:r>
        <w:rPr>
          <w:w w:val="95"/>
        </w:rPr>
        <w:t>立信会计师事务所</w:t>
        <w:tab/>
      </w:r>
      <w:r>
        <w:rPr/>
        <w:t>中国注册会计师：杨志平（项目合伙人）</w:t>
      </w:r>
      <w:r>
        <w:rPr>
          <w:b w:val="0"/>
          <w:bCs w:val="0"/>
        </w:rPr>
      </w:r>
    </w:p>
    <w:p>
      <w:pPr>
        <w:pStyle w:val="Heading3"/>
        <w:spacing w:line="240" w:lineRule="auto" w:before="37"/>
        <w:ind w:left="428" w:right="0"/>
        <w:jc w:val="left"/>
        <w:rPr>
          <w:b w:val="0"/>
          <w:bCs w:val="0"/>
        </w:rPr>
      </w:pPr>
      <w:r>
        <w:rPr/>
        <w:t>（特殊普通合伙）</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37"/>
        <w:ind w:left="6468" w:right="0"/>
        <w:jc w:val="left"/>
        <w:rPr>
          <w:b w:val="0"/>
          <w:bCs w:val="0"/>
        </w:rPr>
      </w:pPr>
      <w:r>
        <w:rPr/>
        <w:t>中国注册会计师：瞿玉敏</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tabs>
          <w:tab w:pos="2465" w:val="left" w:leader="none"/>
        </w:tabs>
        <w:spacing w:line="240" w:lineRule="auto" w:before="137"/>
        <w:ind w:right="0"/>
        <w:jc w:val="both"/>
        <w:rPr>
          <w:b w:val="0"/>
          <w:bCs w:val="0"/>
        </w:rPr>
      </w:pPr>
      <w:r>
        <w:rPr>
          <w:w w:val="95"/>
        </w:rPr>
        <w:t>中国</w:t>
      </w:r>
      <w:r>
        <w:rPr>
          <w:rFonts w:ascii="Times New Roman" w:hAnsi="Times New Roman" w:cs="Times New Roman" w:eastAsia="Times New Roman" w:hint="default"/>
          <w:w w:val="95"/>
        </w:rPr>
        <w:t>•</w:t>
      </w:r>
      <w:r>
        <w:rPr>
          <w:w w:val="95"/>
        </w:rPr>
        <w:t>上海</w:t>
        <w:tab/>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6"/>
          <w:szCs w:val="26"/>
        </w:rPr>
      </w:pPr>
    </w:p>
    <w:p>
      <w:pPr>
        <w:pStyle w:val="Heading2"/>
        <w:spacing w:line="240" w:lineRule="auto"/>
        <w:ind w:right="0"/>
        <w:jc w:val="both"/>
        <w:rPr>
          <w:b w:val="0"/>
          <w:bCs w:val="0"/>
        </w:rPr>
      </w:pPr>
      <w:bookmarkStart w:name="二、财务报表" w:id="159"/>
      <w:bookmarkEnd w:id="15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7"/>
          <w:pgSz w:w="11910" w:h="16840"/>
          <w:pgMar w:footer="1267" w:header="850" w:top="1260" w:bottom="1460" w:left="980" w:right="0"/>
        </w:sectPr>
      </w:pPr>
    </w:p>
    <w:p>
      <w:pPr>
        <w:pStyle w:val="BodyText"/>
        <w:spacing w:line="240" w:lineRule="auto" w:before="44"/>
        <w:ind w:right="-20"/>
        <w:jc w:val="left"/>
      </w:pPr>
      <w:r>
        <w:rPr/>
        <w:t>编制单位：福建永福电力设计股份有限公司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580" w:bottom="70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580" w:bottom="70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329,091,525.27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202,617,016.85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391,102,460.73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296,365,867.14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390,892,460.73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296,065,867.14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4,977,014.97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7,162,993.34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7,192,211.39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4,675,266.89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275,690,691.60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143,126,022.64</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120,623,336.12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300,296,629.67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1,128,677,240.08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954,243,796.53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5,700,000.00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21,386,140.47</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6,004,645.67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7,357,650.79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228,362,775.40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215,769,432.68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617,047.66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1267" w:header="850" w:top="1260" w:bottom="1460" w:left="980" w:right="0"/>
          <w:pgNumType w:start="101"/>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15,117,488.98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14,025,343.26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110,330.42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6,135,280.09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5,033,300.61</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291,923,378.27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247,996,057.76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1,420,600,618.35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1,202,239,854.29</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134,410,000.00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331,666,296.81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150,649,890.16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9,021,554.14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10,454,808.66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8,635,145.37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7,492,959.53</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14,397,277.32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17,998,718.50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21,232,300.71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10,835,061.17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107,786.81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181,311.16</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7"/>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489,952,574.35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331,841,438.02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195"/>
        <w:gridCol w:w="3406"/>
        <w:gridCol w:w="296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724,294.34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724,294.34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490,676,868.69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331,841,438.02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140,080,000.00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140,080,000.00</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506,922,843.17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506,922,843.17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25,995,462.37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19,026,071.82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256,925,444.12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204,369,501.28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929,923,749.66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870,398,416.27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929,923,749.66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870,398,416.27</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1,420,600,618.35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1,202,239,854.29</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法定代表人：林一文</w:t>
        <w:tab/>
        <w:t>主管会计工作负责人：张善传</w:t>
        <w:tab/>
        <w:t>会计机构负责人：张玉科</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294,019,013.44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190,833,057.40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340,184,693.47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269,626,761.46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210,000.00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339,974,693.47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269,326,761.46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4,629,214.85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7,010,169.00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62,597,334.62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81,214,538.24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263,148,590.05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132,702,475.18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120,058,487.80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300,078,044.32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1,084,637,334.23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981,465,045.60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64,106,140.47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42,720,000.00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6,004,645.67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7,357,650.79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227,616,733.49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214,793,815.89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617,047.66</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15,059,434.73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13,922,618.65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110,330.42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4,630,584.44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4,181,093.88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332,334,586.46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288,785,509.63</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1,416,971,920.69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1,270,250,555.23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134,410,000.00</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2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402,400,628.54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199,349,814.20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8,741,484.76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10,213,759.61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8,054,227.07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6,777,462.67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13,208,363.76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16,268,085.47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31,032,844.74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81,107,261.34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107,786.81</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538,437,548.87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448,126,383.29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724,294.34</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724,294.34</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539,161,843.21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448,126,383.29</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140,080,000.00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140,080,000.00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302"/>
        <w:gridCol w:w="3302"/>
        <w:gridCol w:w="296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506,922,843.17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506,922,843.17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25,995,462.37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19,026,071.82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204,811,771.94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156,095,256.95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877,810,077.48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822,124,171.94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1,416,971,920.69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1,270,250,555.23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685,964,228.70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564,396,520.28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685,964,228.70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564,396,520.28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607,497,578.00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477,319,027.49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490,385,673.65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375,680,094.32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9"/>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4,268,249.02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4,301,806.94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22,797,379.29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18,309,322.09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52,346,221.89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48,343,560.12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19,239,363.96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14,855,522.17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9"/>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7,066,562.31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10,062,830.59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2"/>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6,377,957.41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8,795,336.05</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1,232,390.29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585,730.53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11,394,127.88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5,765,891.26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1,303,501.75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307,611.52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6,626,296.42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-2,613,859.53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14,817.29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2,341,154.17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86,411,266.16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89,726,258.48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20,363.68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177,461.57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172,794.14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5,670.58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86,258,835.70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89,898,049.47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12,725,502.31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12,931,931.01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73,533,333.39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76,966,118.46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73,533,333.39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76,966,118.46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73,533,333.39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76,966,118.46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7"/>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73,533,333.39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76,966,118.46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73,533,333.39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76,966,118.46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8"/>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0.5249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0.6940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0.5249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0.6940</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法定代表人：林一文</w:t>
        <w:tab/>
        <w:t>主管会计工作负责人：张善传</w:t>
        <w:tab/>
        <w:t>会计机构负责人：张玉科</w:t>
      </w:r>
    </w:p>
    <w:p>
      <w:pPr>
        <w:pStyle w:val="Heading3"/>
        <w:spacing w:line="240" w:lineRule="auto" w:before="63"/>
        <w:ind w:right="0"/>
        <w:jc w:val="left"/>
        <w:rPr>
          <w:b w:val="0"/>
          <w:bCs w:val="0"/>
        </w:rPr>
      </w:pPr>
      <w:bookmarkStart w:name="4、母公司利润表" w:id="163"/>
      <w:bookmarkEnd w:id="16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614,302,393.87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462,941,664.98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434,466,831.89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293,540,040.46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3,099,861.71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3,874,767.00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21,031,167.19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16,195,559.49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49,551,039.65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43,618,463.55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19,239,363.96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14,855,522.17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5,629,438.74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9,555,483.16</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5,316,290.77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8,649,787.38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1,163,913.78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499,119.11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8,424,278.77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5,636,494.41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1,208,501.75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307,611.52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6,626,296.42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-2,613,859.53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14,817.29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2,335,945.93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80,710,027.42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78,308,892.19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20,363.68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172,794.14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4,994.76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80,557,596.96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78,387,897.43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10,863,691.42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11,055,609.56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69,693,905.54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67,332,287.87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69,693,905.54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67,332,287.87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允价值变动损益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4" w:right="0"/>
              <w:jc w:val="left"/>
              <w:rPr>
                <w:rFonts w:ascii="Times New Roman" w:hAnsi="Times New Roman" w:cs="Times New Roman" w:eastAsia="Times New Roman" w:hint="default"/>
                <w:sz w:val="18"/>
                <w:szCs w:val="18"/>
              </w:rPr>
            </w:pPr>
            <w:r>
              <w:rPr>
                <w:rFonts w:ascii="Times New Roman"/>
                <w:sz w:val="18"/>
              </w:rPr>
              <w:t>69,693,905.54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67,332,287.87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517,373,359.95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485,682,426.51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8,437,651.80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2,947,029.25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3,501,821.80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4,825,207.23</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529,312,833.55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493,454,662.99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316,441,541.14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264,895,324.44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121,393,169.83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99,375,471.74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37,493,512.25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41,473,772.98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33,860,866.52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31,344,379.90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509,189,089.74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437,088,949.06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20,123,743.81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56,365,713.93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9,240,155.95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102,948.00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7,681,783.00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844,343,103.95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7,681,783.00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27,530,156.82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4,623,728.98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682,600,000.00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301,900,000.00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710,130,156.82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306,523,728.98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134,212,947.13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-298,841,945.98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386,166,415.09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159,170,000.00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545,336,415.09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174,410,000.00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181,959,746.78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20,459,481.76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8,876,872.77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9,126,367.39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194,869,481.76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199,962,986.94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-49,869,481.76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345,373,428.15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-34,088.00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-27,143.47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104,433,121.18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102,870,052.63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184,767,479.08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81,897,426.45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289,200,600.26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184,767,479.08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474,557,094.05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353,979,754.95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34,995,566.39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55,707,309.10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509,552,660.44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409,687,064.05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251,091,685.83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187,362,352.33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108,580,045.90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84,526,806.92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31,613,963.27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33,902,923.81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89,125,252.03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26,989,125.77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480,410,947.03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332,781,208.83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29,141,713.41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76,905,855.22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9,240,155.95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102,948.00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7,648,783.00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844,343,103.95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7,648,783.00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27,492,393.82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4,097,035.20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682,600,000.00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326,900,000.00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710,092,393.82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330,997,035.20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134,250,710.13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-323,348,252.20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386,166,415.09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159,170,000.00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545,336,415.09</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174,410,000.00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181,959,746.78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19,397,815.12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8,731,324.10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9,126,367.39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193,807,815.12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199,817,438.27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-78,807,815.12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345,518,976.82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-17,791.24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-27,130.04</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84,566,817.18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99,049,449.80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172,983,519.63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73,934,069.83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257,550,336.81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172,983,519.63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5"/>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080,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506,9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22,84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19,02</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6,071</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.82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204,3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69,50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1.28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870,3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98,41</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6.27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4"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4"/>
              <w:ind w:left="134" w:right="0"/>
              <w:jc w:val="left"/>
              <w:rPr>
                <w:rFonts w:ascii="Times New Roman" w:hAnsi="Times New Roman" w:cs="Times New Roman" w:eastAsia="Times New Roman" w:hint="default"/>
                <w:sz w:val="18"/>
                <w:szCs w:val="18"/>
              </w:rPr>
            </w:pPr>
            <w:r>
              <w:rPr>
                <w:rFonts w:ascii="Times New Roman"/>
                <w:sz w:val="18"/>
              </w:rPr>
              <w:t>080,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506,9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22,84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19,02</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6,071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6" w:right="0"/>
              <w:jc w:val="left"/>
              <w:rPr>
                <w:rFonts w:ascii="Times New Roman" w:hAnsi="Times New Roman" w:cs="Times New Roman" w:eastAsia="Times New Roman" w:hint="default"/>
                <w:sz w:val="18"/>
                <w:szCs w:val="18"/>
              </w:rPr>
            </w:pPr>
            <w:r>
              <w:rPr>
                <w:rFonts w:ascii="Times New Roman"/>
                <w:sz w:val="18"/>
              </w:rPr>
              <w:t>204,3</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69,50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1" w:right="0"/>
              <w:jc w:val="left"/>
              <w:rPr>
                <w:rFonts w:ascii="Times New Roman" w:hAnsi="Times New Roman" w:cs="Times New Roman" w:eastAsia="Times New Roman" w:hint="default"/>
                <w:sz w:val="18"/>
                <w:szCs w:val="18"/>
              </w:rPr>
            </w:pPr>
            <w:r>
              <w:rPr>
                <w:rFonts w:ascii="Times New Roman"/>
                <w:sz w:val="18"/>
              </w:rPr>
              <w:t>870,3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98,41</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6" w:right="0"/>
              <w:jc w:val="left"/>
              <w:rPr>
                <w:rFonts w:ascii="Times New Roman" w:hAnsi="Times New Roman" w:cs="Times New Roman" w:eastAsia="Times New Roman" w:hint="default"/>
                <w:sz w:val="18"/>
                <w:szCs w:val="18"/>
              </w:rPr>
            </w:pPr>
            <w:r>
              <w:rPr>
                <w:rFonts w:ascii="Times New Roman"/>
                <w:sz w:val="18"/>
              </w:rPr>
              <w:t>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6" w:right="0"/>
              <w:jc w:val="left"/>
              <w:rPr>
                <w:rFonts w:ascii="Times New Roman" w:hAnsi="Times New Roman" w:cs="Times New Roman" w:eastAsia="Times New Roman" w:hint="default"/>
                <w:sz w:val="18"/>
                <w:szCs w:val="18"/>
              </w:rPr>
            </w:pPr>
            <w:r>
              <w:rPr>
                <w:rFonts w:ascii="Times New Roman"/>
                <w:sz w:val="18"/>
              </w:rPr>
              <w:t>.82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6" w:right="0"/>
              <w:jc w:val="left"/>
              <w:rPr>
                <w:rFonts w:ascii="Times New Roman" w:hAnsi="Times New Roman" w:cs="Times New Roman" w:eastAsia="Times New Roman" w:hint="default"/>
                <w:sz w:val="18"/>
                <w:szCs w:val="18"/>
              </w:rPr>
            </w:pPr>
            <w:r>
              <w:rPr>
                <w:rFonts w:ascii="Times New Roman"/>
                <w:sz w:val="18"/>
              </w:rPr>
              <w:t>1.28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1" w:right="0"/>
              <w:jc w:val="left"/>
              <w:rPr>
                <w:rFonts w:ascii="Times New Roman" w:hAnsi="Times New Roman" w:cs="Times New Roman" w:eastAsia="Times New Roman" w:hint="default"/>
                <w:sz w:val="18"/>
                <w:szCs w:val="18"/>
              </w:rPr>
            </w:pPr>
            <w:r>
              <w:rPr>
                <w:rFonts w:ascii="Times New Roman"/>
                <w:sz w:val="18"/>
              </w:rPr>
              <w:t>6.27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6,969</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,390.</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52,55</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5,942</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59,52</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5,333</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.39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73,53</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3,333</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73,53</w:t>
            </w:r>
          </w:p>
          <w:p>
            <w:pPr>
              <w:pStyle w:val="TableParagraph"/>
              <w:spacing w:line="240" w:lineRule="auto" w:before="104"/>
              <w:ind w:left="39" w:right="0"/>
              <w:jc w:val="center"/>
              <w:rPr>
                <w:rFonts w:ascii="Times New Roman" w:hAnsi="Times New Roman" w:cs="Times New Roman" w:eastAsia="Times New Roman" w:hint="default"/>
                <w:sz w:val="18"/>
                <w:szCs w:val="18"/>
              </w:rPr>
            </w:pPr>
            <w:r>
              <w:rPr>
                <w:rFonts w:ascii="Times New Roman"/>
                <w:sz w:val="18"/>
              </w:rPr>
              <w:t>3,333</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.39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6,969</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,390.</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77,39</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08,00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6,969</w:t>
            </w:r>
          </w:p>
          <w:p>
            <w:pPr>
              <w:pStyle w:val="TableParagraph"/>
              <w:spacing w:line="240" w:lineRule="auto" w:before="104"/>
              <w:ind w:left="87" w:right="0"/>
              <w:jc w:val="center"/>
              <w:rPr>
                <w:rFonts w:ascii="Times New Roman" w:hAnsi="Times New Roman" w:cs="Times New Roman" w:eastAsia="Times New Roman" w:hint="default"/>
                <w:sz w:val="18"/>
                <w:szCs w:val="18"/>
              </w:rPr>
            </w:pPr>
            <w:r>
              <w:rPr>
                <w:rFonts w:ascii="Times New Roman"/>
                <w:sz w:val="18"/>
              </w:rPr>
              <w:t>,390.</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55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-6,96</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9,390</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08,00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08,00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080,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4"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506,9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22,84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25,99</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5,462</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.37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256,9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25,44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4.12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929,9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23,74</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9.66</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4" w:right="185"/>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tcBorders>
              <w:left w:val="single" w:sz="4" w:space="0" w:color="000000"/>
              <w:right w:val="single" w:sz="4" w:space="0" w:color="000000"/>
            </w:tcBorders>
            <w:shd w:val="clear" w:color="auto" w:fill="D2D2D2"/>
          </w:tcPr>
          <w:p>
            <w:pPr/>
          </w:p>
        </w:tc>
      </w:tr>
      <w:tr>
        <w:trPr>
          <w:trHeight w:val="102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060,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167,8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52,84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12,29</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2,843</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4"/>
              <w:ind w:left="166" w:right="0"/>
              <w:jc w:val="left"/>
              <w:rPr>
                <w:rFonts w:ascii="Times New Roman" w:hAnsi="Times New Roman" w:cs="Times New Roman" w:eastAsia="Times New Roman" w:hint="default"/>
                <w:sz w:val="18"/>
                <w:szCs w:val="18"/>
              </w:rPr>
            </w:pPr>
            <w:r>
              <w:rPr>
                <w:rFonts w:ascii="Times New Roman"/>
                <w:sz w:val="18"/>
              </w:rPr>
              <w:t>36,61</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1.61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419,3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42,29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7.81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42"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03"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center"/>
              <w:rPr>
                <w:rFonts w:ascii="Times New Roman" w:hAnsi="Times New Roman" w:cs="Times New Roman" w:eastAsia="Times New Roman" w:hint="default"/>
                <w:sz w:val="18"/>
                <w:szCs w:val="18"/>
              </w:rPr>
            </w:pPr>
            <w:r>
              <w:rPr>
                <w:rFonts w:ascii="Times New Roman"/>
                <w:sz w:val="18"/>
              </w:rPr>
              <w:t>105,</w:t>
            </w:r>
          </w:p>
          <w:p>
            <w:pPr>
              <w:pStyle w:val="TableParagraph"/>
              <w:spacing w:line="240" w:lineRule="auto" w:before="104"/>
              <w:ind w:left="29" w:right="0"/>
              <w:jc w:val="center"/>
              <w:rPr>
                <w:rFonts w:ascii="Times New Roman" w:hAnsi="Times New Roman" w:cs="Times New Roman" w:eastAsia="Times New Roman" w:hint="default"/>
                <w:sz w:val="18"/>
                <w:szCs w:val="18"/>
              </w:rPr>
            </w:pPr>
            <w:r>
              <w:rPr>
                <w:rFonts w:ascii="Times New Roman"/>
                <w:sz w:val="18"/>
              </w:rPr>
              <w:t>060,</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167,8</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52,84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12,29</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2,843</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4"/>
              <w:ind w:left="166" w:right="0"/>
              <w:jc w:val="left"/>
              <w:rPr>
                <w:rFonts w:ascii="Times New Roman" w:hAnsi="Times New Roman" w:cs="Times New Roman" w:eastAsia="Times New Roman" w:hint="default"/>
                <w:sz w:val="18"/>
                <w:szCs w:val="18"/>
              </w:rPr>
            </w:pPr>
            <w:r>
              <w:rPr>
                <w:rFonts w:ascii="Times New Roman"/>
                <w:sz w:val="18"/>
              </w:rPr>
              <w:t>36,61</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1.61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419,3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42,29</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7.81</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62"/>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339,0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6,733</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,228.</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70,23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2,889.</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67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451,0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56,11</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8.46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 w:right="0"/>
              <w:jc w:val="left"/>
              <w:rPr>
                <w:rFonts w:ascii="Times New Roman" w:hAnsi="Times New Roman" w:cs="Times New Roman" w:eastAsia="Times New Roman" w:hint="default"/>
                <w:sz w:val="18"/>
                <w:szCs w:val="18"/>
              </w:rPr>
            </w:pPr>
            <w:r>
              <w:rPr>
                <w:rFonts w:ascii="Times New Roman"/>
                <w:sz w:val="18"/>
              </w:rPr>
              <w:t>76,96</w:t>
            </w:r>
          </w:p>
          <w:p>
            <w:pPr>
              <w:pStyle w:val="TableParagraph"/>
              <w:spacing w:line="240" w:lineRule="auto" w:before="105"/>
              <w:ind w:left="122" w:right="0"/>
              <w:jc w:val="left"/>
              <w:rPr>
                <w:rFonts w:ascii="Times New Roman" w:hAnsi="Times New Roman" w:cs="Times New Roman" w:eastAsia="Times New Roman" w:hint="default"/>
                <w:sz w:val="18"/>
                <w:szCs w:val="18"/>
              </w:rPr>
            </w:pPr>
            <w:r>
              <w:rPr>
                <w:rFonts w:ascii="Times New Roman"/>
                <w:sz w:val="18"/>
              </w:rPr>
              <w:t>6,118.</w:t>
            </w:r>
          </w:p>
          <w:p>
            <w:pPr>
              <w:pStyle w:val="TableParagraph"/>
              <w:spacing w:line="240" w:lineRule="auto" w:before="106"/>
              <w:ind w:left="385" w:right="0"/>
              <w:jc w:val="left"/>
              <w:rPr>
                <w:rFonts w:ascii="Times New Roman" w:hAnsi="Times New Roman" w:cs="Times New Roman" w:eastAsia="Times New Roman" w:hint="default"/>
                <w:sz w:val="18"/>
                <w:szCs w:val="18"/>
              </w:rPr>
            </w:pPr>
            <w:r>
              <w:rPr>
                <w:rFonts w:ascii="Times New Roman"/>
                <w:sz w:val="18"/>
              </w:rPr>
              <w:t>46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76,96</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6,118</w:t>
            </w:r>
          </w:p>
          <w:p>
            <w:pPr>
              <w:pStyle w:val="TableParagraph"/>
              <w:spacing w:line="240" w:lineRule="auto" w:before="106"/>
              <w:ind w:left="219" w:right="0"/>
              <w:jc w:val="center"/>
              <w:rPr>
                <w:rFonts w:ascii="Times New Roman" w:hAnsi="Times New Roman" w:cs="Times New Roman" w:eastAsia="Times New Roman" w:hint="default"/>
                <w:sz w:val="18"/>
                <w:szCs w:val="18"/>
              </w:rPr>
            </w:pPr>
            <w:r>
              <w:rPr>
                <w:rFonts w:ascii="Times New Roman"/>
                <w:sz w:val="18"/>
              </w:rPr>
              <w:t>.46</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339,0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374,0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35,0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20,0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339,0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374,0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6,733</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,228.</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-6,73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3,228.</w:t>
            </w:r>
          </w:p>
          <w:p>
            <w:pPr>
              <w:pStyle w:val="TableParagraph"/>
              <w:spacing w:line="240" w:lineRule="auto" w:before="106"/>
              <w:ind w:left="281" w:right="0"/>
              <w:jc w:val="center"/>
              <w:rPr>
                <w:rFonts w:ascii="Times New Roman" w:hAnsi="Times New Roman" w:cs="Times New Roman" w:eastAsia="Times New Roman" w:hint="default"/>
                <w:sz w:val="18"/>
                <w:szCs w:val="18"/>
              </w:rPr>
            </w:pPr>
            <w:r>
              <w:rPr>
                <w:rFonts w:ascii="Times New Roman"/>
                <w:sz w:val="18"/>
              </w:rPr>
              <w:t>79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6,733</w:t>
            </w:r>
          </w:p>
          <w:p>
            <w:pPr>
              <w:pStyle w:val="TableParagraph"/>
              <w:spacing w:line="240" w:lineRule="auto" w:before="105"/>
              <w:ind w:left="86" w:right="0"/>
              <w:jc w:val="center"/>
              <w:rPr>
                <w:rFonts w:ascii="Times New Roman" w:hAnsi="Times New Roman" w:cs="Times New Roman" w:eastAsia="Times New Roman" w:hint="default"/>
                <w:sz w:val="18"/>
                <w:szCs w:val="18"/>
              </w:rPr>
            </w:pPr>
            <w:r>
              <w:rPr>
                <w:rFonts w:ascii="Times New Roman"/>
                <w:sz w:val="18"/>
              </w:rPr>
              <w:t>,228.</w:t>
            </w:r>
          </w:p>
          <w:p>
            <w:pPr>
              <w:pStyle w:val="TableParagraph"/>
              <w:spacing w:line="240" w:lineRule="auto" w:before="106"/>
              <w:ind w:left="266" w:right="0"/>
              <w:jc w:val="center"/>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-6,73</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3,228.</w:t>
            </w:r>
          </w:p>
          <w:p>
            <w:pPr>
              <w:pStyle w:val="TableParagraph"/>
              <w:spacing w:line="240" w:lineRule="auto" w:before="106"/>
              <w:ind w:left="281" w:right="0"/>
              <w:jc w:val="center"/>
              <w:rPr>
                <w:rFonts w:ascii="Times New Roman" w:hAnsi="Times New Roman" w:cs="Times New Roman" w:eastAsia="Times New Roman" w:hint="default"/>
                <w:sz w:val="18"/>
                <w:szCs w:val="18"/>
              </w:rPr>
            </w:pPr>
            <w:r>
              <w:rPr>
                <w:rFonts w:ascii="Times New Roman"/>
                <w:sz w:val="18"/>
              </w:rPr>
              <w:t>79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4"/>
              <w:ind w:left="30" w:right="0"/>
              <w:jc w:val="center"/>
              <w:rPr>
                <w:rFonts w:ascii="Times New Roman" w:hAnsi="Times New Roman" w:cs="Times New Roman" w:eastAsia="Times New Roman" w:hint="default"/>
                <w:sz w:val="18"/>
                <w:szCs w:val="18"/>
              </w:rPr>
            </w:pPr>
            <w:r>
              <w:rPr>
                <w:rFonts w:ascii="Times New Roman"/>
                <w:sz w:val="18"/>
              </w:rPr>
              <w:t>080,</w:t>
            </w:r>
          </w:p>
          <w:p>
            <w:pPr>
              <w:pStyle w:val="TableParagraph"/>
              <w:spacing w:line="240" w:lineRule="auto" w:before="105"/>
              <w:ind w:left="30"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6"/>
              <w:ind w:left="163" w:right="0"/>
              <w:jc w:val="center"/>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506,9</w:t>
            </w:r>
          </w:p>
          <w:p>
            <w:pPr>
              <w:pStyle w:val="TableParagraph"/>
              <w:spacing w:line="240" w:lineRule="auto" w:before="104"/>
              <w:ind w:left="146" w:right="0"/>
              <w:jc w:val="left"/>
              <w:rPr>
                <w:rFonts w:ascii="Times New Roman" w:hAnsi="Times New Roman" w:cs="Times New Roman" w:eastAsia="Times New Roman" w:hint="default"/>
                <w:sz w:val="18"/>
                <w:szCs w:val="18"/>
              </w:rPr>
            </w:pPr>
            <w:r>
              <w:rPr>
                <w:rFonts w:ascii="Times New Roman"/>
                <w:sz w:val="18"/>
              </w:rPr>
              <w:t>22,84</w:t>
            </w:r>
          </w:p>
          <w:p>
            <w:pPr>
              <w:pStyle w:val="TableParagraph"/>
              <w:spacing w:line="240" w:lineRule="auto" w:before="106"/>
              <w:ind w:left="236" w:right="0"/>
              <w:jc w:val="left"/>
              <w:rPr>
                <w:rFonts w:ascii="Times New Roman" w:hAnsi="Times New Roman" w:cs="Times New Roman" w:eastAsia="Times New Roman" w:hint="default"/>
                <w:sz w:val="18"/>
                <w:szCs w:val="18"/>
              </w:rPr>
            </w:pPr>
            <w:r>
              <w:rPr>
                <w:rFonts w:ascii="Times New Roman"/>
                <w:sz w:val="18"/>
              </w:rPr>
              <w:t>3.17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19,02</w:t>
            </w:r>
          </w:p>
          <w:p>
            <w:pPr>
              <w:pStyle w:val="TableParagraph"/>
              <w:spacing w:line="240" w:lineRule="auto" w:before="104"/>
              <w:ind w:left="42" w:right="0"/>
              <w:jc w:val="center"/>
              <w:rPr>
                <w:rFonts w:ascii="Times New Roman" w:hAnsi="Times New Roman" w:cs="Times New Roman" w:eastAsia="Times New Roman" w:hint="default"/>
                <w:sz w:val="18"/>
                <w:szCs w:val="18"/>
              </w:rPr>
            </w:pPr>
            <w:r>
              <w:rPr>
                <w:rFonts w:ascii="Times New Roman"/>
                <w:sz w:val="18"/>
              </w:rPr>
              <w:t>6,071</w:t>
            </w:r>
          </w:p>
          <w:p>
            <w:pPr>
              <w:pStyle w:val="TableParagraph"/>
              <w:spacing w:line="240" w:lineRule="auto" w:before="106"/>
              <w:ind w:left="222" w:right="0"/>
              <w:jc w:val="center"/>
              <w:rPr>
                <w:rFonts w:ascii="Times New Roman" w:hAnsi="Times New Roman" w:cs="Times New Roman" w:eastAsia="Times New Roman" w:hint="default"/>
                <w:sz w:val="18"/>
                <w:szCs w:val="18"/>
              </w:rPr>
            </w:pPr>
            <w:r>
              <w:rPr>
                <w:rFonts w:ascii="Times New Roman"/>
                <w:sz w:val="18"/>
              </w:rPr>
              <w:t>.82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204,3</w:t>
            </w:r>
          </w:p>
          <w:p>
            <w:pPr>
              <w:pStyle w:val="TableParagraph"/>
              <w:spacing w:line="240" w:lineRule="auto" w:before="104"/>
              <w:ind w:left="160" w:right="0"/>
              <w:jc w:val="left"/>
              <w:rPr>
                <w:rFonts w:ascii="Times New Roman" w:hAnsi="Times New Roman" w:cs="Times New Roman" w:eastAsia="Times New Roman" w:hint="default"/>
                <w:sz w:val="18"/>
                <w:szCs w:val="18"/>
              </w:rPr>
            </w:pPr>
            <w:r>
              <w:rPr>
                <w:rFonts w:ascii="Times New Roman"/>
                <w:sz w:val="18"/>
              </w:rPr>
              <w:t>69,50</w:t>
            </w:r>
          </w:p>
          <w:p>
            <w:pPr>
              <w:pStyle w:val="TableParagraph"/>
              <w:spacing w:line="240" w:lineRule="auto" w:before="106"/>
              <w:ind w:left="250" w:right="0"/>
              <w:jc w:val="left"/>
              <w:rPr>
                <w:rFonts w:ascii="Times New Roman" w:hAnsi="Times New Roman" w:cs="Times New Roman" w:eastAsia="Times New Roman" w:hint="default"/>
                <w:sz w:val="18"/>
                <w:szCs w:val="18"/>
              </w:rPr>
            </w:pPr>
            <w:r>
              <w:rPr>
                <w:rFonts w:ascii="Times New Roman"/>
                <w:sz w:val="18"/>
              </w:rPr>
              <w:t>1.28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870,3</w:t>
            </w:r>
          </w:p>
          <w:p>
            <w:pPr>
              <w:pStyle w:val="TableParagraph"/>
              <w:spacing w:line="240" w:lineRule="auto" w:before="104"/>
              <w:ind w:left="141" w:right="0"/>
              <w:jc w:val="left"/>
              <w:rPr>
                <w:rFonts w:ascii="Times New Roman" w:hAnsi="Times New Roman" w:cs="Times New Roman" w:eastAsia="Times New Roman" w:hint="default"/>
                <w:sz w:val="18"/>
                <w:szCs w:val="18"/>
              </w:rPr>
            </w:pPr>
            <w:r>
              <w:rPr>
                <w:rFonts w:ascii="Times New Roman"/>
                <w:sz w:val="18"/>
              </w:rPr>
              <w:t>98,41</w:t>
            </w:r>
          </w:p>
          <w:p>
            <w:pPr>
              <w:pStyle w:val="TableParagraph"/>
              <w:spacing w:line="240" w:lineRule="auto" w:before="106"/>
              <w:ind w:left="231" w:right="0"/>
              <w:jc w:val="left"/>
              <w:rPr>
                <w:rFonts w:ascii="Times New Roman" w:hAnsi="Times New Roman" w:cs="Times New Roman" w:eastAsia="Times New Roman" w:hint="default"/>
                <w:sz w:val="18"/>
                <w:szCs w:val="18"/>
              </w:rPr>
            </w:pPr>
            <w:r>
              <w:rPr>
                <w:rFonts w:ascii="Times New Roman"/>
                <w:sz w:val="18"/>
              </w:rPr>
              <w:t>6.27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506,92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2,843.1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19,026,</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071.82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156,0</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95,25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822,12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4,171.9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506,92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2,843.1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19,026,</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071.82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156,0</w:t>
            </w:r>
          </w:p>
          <w:p>
            <w:pPr>
              <w:pStyle w:val="TableParagraph"/>
              <w:spacing w:line="240" w:lineRule="auto" w:before="104"/>
              <w:ind w:left="158" w:right="0"/>
              <w:jc w:val="left"/>
              <w:rPr>
                <w:rFonts w:ascii="Times New Roman" w:hAnsi="Times New Roman" w:cs="Times New Roman" w:eastAsia="Times New Roman" w:hint="default"/>
                <w:sz w:val="18"/>
                <w:szCs w:val="18"/>
              </w:rPr>
            </w:pPr>
            <w:r>
              <w:rPr>
                <w:rFonts w:ascii="Times New Roman"/>
                <w:sz w:val="18"/>
              </w:rPr>
              <w:t>95,25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822,12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4,171.9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6,969,3</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90.55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48,71</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6,514.</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55,685,</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905.54</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69,69</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3,905.</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69,693,</w:t>
            </w:r>
          </w:p>
          <w:p>
            <w:pPr>
              <w:pStyle w:val="TableParagraph"/>
              <w:spacing w:line="240" w:lineRule="auto" w:before="106"/>
              <w:ind w:left="173" w:right="0"/>
              <w:jc w:val="left"/>
              <w:rPr>
                <w:rFonts w:ascii="Times New Roman" w:hAnsi="Times New Roman" w:cs="Times New Roman" w:eastAsia="Times New Roman" w:hint="default"/>
                <w:sz w:val="18"/>
                <w:szCs w:val="18"/>
              </w:rPr>
            </w:pPr>
            <w:r>
              <w:rPr>
                <w:rFonts w:ascii="Times New Roman"/>
                <w:sz w:val="18"/>
              </w:rPr>
              <w:t>905.54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6,969,3</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90.55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77,39</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-14,008</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6,969,3</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90.55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-6,96</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9,390.</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55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08,00</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-14,008</w:t>
            </w:r>
          </w:p>
          <w:p>
            <w:pPr>
              <w:pStyle w:val="TableParagraph"/>
              <w:spacing w:line="240" w:lineRule="auto" w:before="106"/>
              <w:ind w:left="128"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506,92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2,843.1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25,995,</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462.37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204,8</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11,77</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1.94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877,81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0,077.4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2"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3"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7" w:right="145"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105,0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167,85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2,843.1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12,292,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843.03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95,49</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6,197.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380,70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1,884.0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105,0</w:t>
            </w:r>
          </w:p>
          <w:p>
            <w:pPr>
              <w:pStyle w:val="TableParagraph"/>
              <w:spacing w:line="240" w:lineRule="auto" w:before="104"/>
              <w:ind w:left="173"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167,85</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2,843.1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12,292,</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843.03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95,49</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6,197.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380,70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1,884.0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66"/>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35,02</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339,07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6,733,2</w:t>
            </w:r>
          </w:p>
          <w:p>
            <w:pPr>
              <w:pStyle w:val="TableParagraph"/>
              <w:spacing w:line="240" w:lineRule="auto" w:before="105"/>
              <w:ind w:left="174" w:right="0"/>
              <w:jc w:val="center"/>
              <w:rPr>
                <w:rFonts w:ascii="Times New Roman" w:hAnsi="Times New Roman" w:cs="Times New Roman" w:eastAsia="Times New Roman" w:hint="default"/>
                <w:sz w:val="18"/>
                <w:szCs w:val="18"/>
              </w:rPr>
            </w:pPr>
            <w:r>
              <w:rPr>
                <w:rFonts w:ascii="Times New Roman"/>
                <w:sz w:val="18"/>
              </w:rPr>
              <w:t>28.79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60,59</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9,059.</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441,42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2,287.8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8" w:right="0"/>
              <w:jc w:val="left"/>
              <w:rPr>
                <w:rFonts w:ascii="Times New Roman" w:hAnsi="Times New Roman" w:cs="Times New Roman" w:eastAsia="Times New Roman" w:hint="default"/>
                <w:sz w:val="18"/>
                <w:szCs w:val="18"/>
              </w:rPr>
            </w:pPr>
            <w:r>
              <w:rPr>
                <w:rFonts w:ascii="Times New Roman"/>
                <w:sz w:val="18"/>
              </w:rPr>
              <w:t>67,33</w:t>
            </w:r>
          </w:p>
          <w:p>
            <w:pPr>
              <w:pStyle w:val="TableParagraph"/>
              <w:spacing w:line="240" w:lineRule="auto" w:before="104"/>
              <w:ind w:left="112" w:right="0"/>
              <w:jc w:val="left"/>
              <w:rPr>
                <w:rFonts w:ascii="Times New Roman" w:hAnsi="Times New Roman" w:cs="Times New Roman" w:eastAsia="Times New Roman" w:hint="default"/>
                <w:sz w:val="18"/>
                <w:szCs w:val="18"/>
              </w:rPr>
            </w:pPr>
            <w:r>
              <w:rPr>
                <w:rFonts w:ascii="Times New Roman"/>
                <w:sz w:val="18"/>
              </w:rPr>
              <w:t>2,287.</w:t>
            </w:r>
          </w:p>
          <w:p>
            <w:pPr>
              <w:pStyle w:val="TableParagraph"/>
              <w:spacing w:line="240" w:lineRule="auto" w:before="106"/>
              <w:ind w:left="382" w:right="0"/>
              <w:jc w:val="left"/>
              <w:rPr>
                <w:rFonts w:ascii="Times New Roman" w:hAnsi="Times New Roman" w:cs="Times New Roman" w:eastAsia="Times New Roman" w:hint="default"/>
                <w:sz w:val="18"/>
                <w:szCs w:val="18"/>
              </w:rPr>
            </w:pPr>
            <w:r>
              <w:rPr>
                <w:rFonts w:ascii="Times New Roman"/>
                <w:sz w:val="18"/>
              </w:rPr>
              <w:t>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67,332,</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287.87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35,02</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339,07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374,09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35,02</w:t>
            </w:r>
          </w:p>
          <w:p>
            <w:pPr>
              <w:pStyle w:val="TableParagraph"/>
              <w:spacing w:line="240" w:lineRule="auto" w:before="104"/>
              <w:ind w:left="128"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98" w:right="0"/>
              <w:jc w:val="lef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339,07</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374,09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6,733,2</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28.79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-6,73</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3,228.</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79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6,733,2</w:t>
            </w:r>
          </w:p>
          <w:p>
            <w:pPr>
              <w:pStyle w:val="TableParagraph"/>
              <w:spacing w:line="240" w:lineRule="auto" w:before="106"/>
              <w:ind w:left="174" w:right="0"/>
              <w:jc w:val="center"/>
              <w:rPr>
                <w:rFonts w:ascii="Times New Roman" w:hAnsi="Times New Roman" w:cs="Times New Roman" w:eastAsia="Times New Roman" w:hint="default"/>
                <w:sz w:val="18"/>
                <w:szCs w:val="18"/>
              </w:rPr>
            </w:pPr>
            <w:r>
              <w:rPr>
                <w:rFonts w:ascii="Times New Roman"/>
                <w:sz w:val="18"/>
              </w:rPr>
              <w:t>28.79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-6,73</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3,228.</w:t>
            </w:r>
          </w:p>
          <w:p>
            <w:pPr>
              <w:pStyle w:val="TableParagraph"/>
              <w:spacing w:line="240" w:lineRule="auto" w:before="106"/>
              <w:ind w:left="279" w:right="0"/>
              <w:jc w:val="center"/>
              <w:rPr>
                <w:rFonts w:ascii="Times New Roman" w:hAnsi="Times New Roman" w:cs="Times New Roman" w:eastAsia="Times New Roman" w:hint="default"/>
                <w:sz w:val="18"/>
                <w:szCs w:val="18"/>
              </w:rPr>
            </w:pPr>
            <w:r>
              <w:rPr>
                <w:rFonts w:ascii="Times New Roman"/>
                <w:sz w:val="18"/>
              </w:rPr>
              <w:t>79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3"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140,0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6"/>
              <w:ind w:left="26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506,92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2,843.1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19,026,</w:t>
            </w:r>
          </w:p>
          <w:p>
            <w:pPr>
              <w:pStyle w:val="TableParagraph"/>
              <w:spacing w:line="240" w:lineRule="auto" w:before="106"/>
              <w:ind w:left="188" w:right="0"/>
              <w:jc w:val="left"/>
              <w:rPr>
                <w:rFonts w:ascii="Times New Roman" w:hAnsi="Times New Roman" w:cs="Times New Roman" w:eastAsia="Times New Roman" w:hint="default"/>
                <w:sz w:val="18"/>
                <w:szCs w:val="18"/>
              </w:rPr>
            </w:pPr>
            <w:r>
              <w:rPr>
                <w:rFonts w:ascii="Times New Roman"/>
                <w:sz w:val="18"/>
              </w:rPr>
              <w:t>071.82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156,0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95,25</w:t>
            </w:r>
          </w:p>
          <w:p>
            <w:pPr>
              <w:pStyle w:val="TableParagraph"/>
              <w:spacing w:line="240" w:lineRule="auto" w:before="106"/>
              <w:ind w:left="248" w:right="0"/>
              <w:jc w:val="left"/>
              <w:rPr>
                <w:rFonts w:ascii="Times New Roman" w:hAnsi="Times New Roman" w:cs="Times New Roman" w:eastAsia="Times New Roman" w:hint="default"/>
                <w:sz w:val="18"/>
                <w:szCs w:val="18"/>
              </w:rPr>
            </w:pPr>
            <w:r>
              <w:rPr>
                <w:rFonts w:ascii="Times New Roman"/>
                <w:sz w:val="18"/>
              </w:rPr>
              <w:t>6.95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822,12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4,171.9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8"/>
      <w:bookmarkEnd w:id="168"/>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Heading5"/>
        <w:spacing w:line="240" w:lineRule="auto"/>
        <w:ind w:right="0"/>
        <w:jc w:val="left"/>
        <w:rPr>
          <w:b w:val="0"/>
          <w:bCs w:val="0"/>
        </w:rPr>
      </w:pPr>
      <w:r>
        <w:rPr/>
        <w:t>公司概况</w:t>
      </w:r>
      <w:r>
        <w:rPr>
          <w:b w:val="0"/>
          <w:bCs w:val="0"/>
        </w:rPr>
      </w:r>
    </w:p>
    <w:p>
      <w:pPr>
        <w:pStyle w:val="BodyText"/>
        <w:spacing w:line="240" w:lineRule="auto" w:before="116"/>
        <w:ind w:left="514" w:right="0"/>
        <w:jc w:val="left"/>
      </w:pPr>
      <w:r>
        <w:rPr/>
        <w:t>福建永福电力设计股份有限公</w:t>
      </w:r>
      <w:r>
        <w:rPr>
          <w:spacing w:val="-29"/>
        </w:rPr>
        <w:t>司</w:t>
      </w:r>
      <w:r>
        <w:rPr/>
        <w:t>（以下简</w:t>
      </w:r>
      <w:r>
        <w:rPr>
          <w:spacing w:val="-29"/>
        </w:rPr>
        <w:t>称</w:t>
      </w:r>
      <w:r>
        <w:rPr/>
        <w:t>“永福股份</w:t>
      </w:r>
      <w:r>
        <w:rPr>
          <w:spacing w:val="-29"/>
        </w:rPr>
        <w:t>”或</w:t>
      </w:r>
      <w:r>
        <w:rPr/>
        <w:t>“本公司</w:t>
      </w:r>
      <w:r>
        <w:rPr>
          <w:spacing w:val="-90"/>
        </w:rPr>
        <w:t>”</w:t>
      </w:r>
      <w:r>
        <w:rPr>
          <w:spacing w:val="-29"/>
        </w:rPr>
        <w:t>）</w:t>
      </w:r>
      <w:r>
        <w:rPr/>
        <w:t>系是经中华人民共和国对外贸易经济合作</w:t>
      </w:r>
      <w:r>
        <w:rPr>
          <w:spacing w:val="-29"/>
        </w:rPr>
        <w:t>部</w:t>
      </w:r>
      <w:r>
        <w:rPr/>
        <w:t>（以</w:t>
      </w:r>
    </w:p>
    <w:p>
      <w:pPr>
        <w:spacing w:after="0" w:line="240" w:lineRule="auto"/>
        <w:jc w:val="left"/>
        <w:sectPr>
          <w:pgSz w:w="11910" w:h="16840"/>
          <w:pgMar w:header="850" w:footer="1267" w:top="1260" w:bottom="1460" w:left="980" w:right="0"/>
        </w:sectPr>
      </w:pPr>
    </w:p>
    <w:p>
      <w:pPr>
        <w:spacing w:line="240" w:lineRule="auto" w:before="9"/>
        <w:rPr>
          <w:rFonts w:ascii="宋体" w:hAnsi="宋体" w:cs="宋体" w:eastAsia="宋体" w:hint="default"/>
          <w:sz w:val="10"/>
          <w:szCs w:val="10"/>
        </w:rPr>
      </w:pPr>
    </w:p>
    <w:p>
      <w:pPr>
        <w:pStyle w:val="BodyText"/>
        <w:spacing w:line="309" w:lineRule="auto" w:before="44"/>
        <w:ind w:right="1109"/>
        <w:jc w:val="both"/>
      </w:pPr>
      <w:r>
        <w:rPr/>
        <w:t>下简称“外经贸部</w:t>
      </w:r>
      <w:r>
        <w:rPr>
          <w:spacing w:val="-90"/>
        </w:rPr>
        <w:t>”</w:t>
      </w:r>
      <w:r>
        <w:rPr/>
        <w:t>）于</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日以</w:t>
      </w:r>
      <w:r>
        <w:rPr>
          <w:rFonts w:ascii="Times New Roman" w:hAnsi="Times New Roman" w:cs="Times New Roman" w:eastAsia="Times New Roman" w:hint="default"/>
        </w:rPr>
        <w:t>[1994</w:t>
      </w:r>
      <w:r>
        <w:rPr>
          <w:rFonts w:ascii="Times New Roman" w:hAnsi="Times New Roman" w:cs="Times New Roman" w:eastAsia="Times New Roman" w:hint="default"/>
          <w:spacing w:val="-2"/>
        </w:rPr>
        <w:t>]</w:t>
      </w:r>
      <w:r>
        <w:rPr/>
        <w:t>外经贸</w:t>
      </w:r>
      <w:r>
        <w:rPr>
          <w:spacing w:val="1"/>
        </w:rPr>
        <w:t>资</w:t>
      </w:r>
      <w:r>
        <w:rPr/>
        <w:t>一函字第</w:t>
      </w:r>
      <w:r>
        <w:rPr>
          <w:rFonts w:ascii="Times New Roman" w:hAnsi="Times New Roman" w:cs="Times New Roman" w:eastAsia="Times New Roman" w:hint="default"/>
        </w:rPr>
        <w:t>46</w:t>
      </w:r>
      <w:r>
        <w:rPr/>
        <w:t>号《关于设立中外合资“福建永福工程顾问有限公司” 的批复》批</w:t>
      </w:r>
      <w:r>
        <w:rPr>
          <w:spacing w:val="1"/>
        </w:rPr>
        <w:t>准</w:t>
      </w:r>
      <w:r>
        <w:rPr/>
        <w:t>，由福建省</w:t>
      </w:r>
      <w:r>
        <w:rPr>
          <w:spacing w:val="1"/>
        </w:rPr>
        <w:t>电</w:t>
      </w:r>
      <w:r>
        <w:rPr/>
        <w:t>力勘测设计</w:t>
      </w:r>
      <w:r>
        <w:rPr>
          <w:spacing w:val="1"/>
        </w:rPr>
        <w:t>院</w:t>
      </w:r>
      <w:r>
        <w:rPr/>
        <w:t>、香港永沛</w:t>
      </w:r>
      <w:r>
        <w:rPr>
          <w:spacing w:val="1"/>
        </w:rPr>
        <w:t>工</w:t>
      </w:r>
      <w:r>
        <w:rPr/>
        <w:t>程管理顾问</w:t>
      </w:r>
      <w:r>
        <w:rPr>
          <w:spacing w:val="1"/>
        </w:rPr>
        <w:t>有</w:t>
      </w:r>
      <w:r>
        <w:rPr/>
        <w:t>限公司（下</w:t>
      </w:r>
      <w:r>
        <w:rPr>
          <w:spacing w:val="1"/>
        </w:rPr>
        <w:t>称</w:t>
      </w:r>
      <w:r>
        <w:rPr/>
        <w:t>“永沛公司</w:t>
      </w:r>
      <w:r>
        <w:rPr>
          <w:spacing w:val="-90"/>
        </w:rPr>
        <w:t>”</w:t>
      </w:r>
      <w:r>
        <w:rPr>
          <w:spacing w:val="1"/>
        </w:rPr>
        <w:t>）</w:t>
      </w:r>
      <w:r>
        <w:rPr/>
        <w:t>共同发起设</w:t>
      </w:r>
      <w:r>
        <w:rPr>
          <w:spacing w:val="1"/>
        </w:rPr>
        <w:t>立</w:t>
      </w:r>
      <w:r>
        <w:rPr/>
        <w:t>的股份有限</w:t>
      </w:r>
      <w:r>
        <w:rPr/>
        <w:t> 公司，并于</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日，获取由国家工商行政管理局核发的注册号为工商企合闽字第</w:t>
      </w:r>
      <w:r>
        <w:rPr>
          <w:rFonts w:ascii="Times New Roman" w:hAnsi="Times New Roman" w:cs="Times New Roman" w:eastAsia="Times New Roman" w:hint="default"/>
        </w:rPr>
        <w:t>02495</w:t>
      </w:r>
      <w:r>
        <w:rPr/>
        <w:t>号《企业法人营业执照</w:t>
      </w:r>
      <w:r>
        <w:rPr>
          <w:spacing w:val="-90"/>
        </w:rPr>
        <w:t>》</w:t>
      </w:r>
      <w:r>
        <w:rPr/>
        <w:t>。</w:t>
      </w:r>
    </w:p>
    <w:p>
      <w:pPr>
        <w:pStyle w:val="BodyText"/>
        <w:spacing w:line="300" w:lineRule="auto" w:before="43"/>
        <w:ind w:right="1098" w:firstLine="360"/>
        <w:jc w:val="both"/>
      </w:pPr>
      <w:r>
        <w:rPr>
          <w:spacing w:val="2"/>
        </w:rPr>
        <w:t>经过数次股权变动及增资，截至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日止，公司注册资本为人民币</w:t>
      </w:r>
      <w:r>
        <w:rPr>
          <w:rFonts w:ascii="Times New Roman" w:hAnsi="Times New Roman" w:cs="Times New Roman" w:eastAsia="Times New Roman" w:hint="default"/>
          <w:spacing w:val="2"/>
        </w:rPr>
        <w:t>10,506</w:t>
      </w:r>
      <w:r>
        <w:rPr>
          <w:spacing w:val="2"/>
        </w:rPr>
        <w:t>万元，公司的统一社会信用代码为</w:t>
      </w:r>
      <w:r>
        <w:rPr/>
        <w:t> </w:t>
      </w:r>
      <w:r>
        <w:rPr>
          <w:rFonts w:ascii="Times New Roman" w:hAnsi="Times New Roman" w:cs="Times New Roman" w:eastAsia="Times New Roman" w:hint="default"/>
        </w:rPr>
        <w:t>91350000611005994M</w:t>
      </w:r>
      <w:r>
        <w:rPr/>
        <w:t>。</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日，经中国证券监督管理委员会以证监许可</w:t>
      </w:r>
      <w:r>
        <w:rPr>
          <w:rFonts w:ascii="Times New Roman" w:hAnsi="Times New Roman" w:cs="Times New Roman" w:eastAsia="Times New Roman" w:hint="default"/>
        </w:rPr>
        <w:t>[2017]1780</w:t>
      </w:r>
      <w:r>
        <w:rPr/>
        <w:t>号《关于核准福建永福电力设 计股份有限公司首次公开发行股票的批复》核准，公司向社会公开发行人民币普通股（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3,502</w:t>
      </w:r>
      <w:r>
        <w:rPr/>
        <w:t>万股，每股面值</w:t>
      </w:r>
      <w:r>
        <w:rPr>
          <w:rFonts w:ascii="Times New Roman" w:hAnsi="Times New Roman" w:cs="Times New Roman" w:eastAsia="Times New Roman" w:hint="default"/>
        </w:rPr>
        <w:t>1.00</w:t>
      </w:r>
      <w:r>
        <w:rPr/>
        <w:t>元。 新增注册资本人民币</w:t>
      </w:r>
      <w:r>
        <w:rPr>
          <w:rFonts w:ascii="Times New Roman" w:hAnsi="Times New Roman" w:cs="Times New Roman" w:eastAsia="Times New Roman" w:hint="default"/>
        </w:rPr>
        <w:t>3,502</w:t>
      </w:r>
      <w:r>
        <w:rPr/>
        <w:t>万元。公司于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日在深圳证券交易所上市，所属行业为专业技术服务业。</w:t>
      </w:r>
    </w:p>
    <w:p>
      <w:pPr>
        <w:pStyle w:val="BodyText"/>
        <w:spacing w:line="312" w:lineRule="auto" w:before="52"/>
        <w:ind w:right="1032" w:firstLine="36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日止，本公司累计发行股本总数</w:t>
      </w:r>
      <w:r>
        <w:rPr>
          <w:rFonts w:ascii="Times New Roman" w:hAnsi="Times New Roman" w:cs="Times New Roman" w:eastAsia="Times New Roman" w:hint="default"/>
        </w:rPr>
        <w:t>14,008</w:t>
      </w:r>
      <w:r>
        <w:rPr/>
        <w:t>万股，注册资本为</w:t>
      </w:r>
      <w:r>
        <w:rPr>
          <w:rFonts w:ascii="Times New Roman" w:hAnsi="Times New Roman" w:cs="Times New Roman" w:eastAsia="Times New Roman" w:hint="default"/>
        </w:rPr>
        <w:t>14,008</w:t>
      </w:r>
      <w:r>
        <w:rPr/>
        <w:t>万元，注册地：福建省福州市闽侯县 上街镇海西科技园高新大道</w:t>
      </w:r>
      <w:r>
        <w:rPr>
          <w:rFonts w:ascii="Times New Roman" w:hAnsi="Times New Roman" w:cs="Times New Roman" w:eastAsia="Times New Roman" w:hint="default"/>
        </w:rPr>
        <w:t>3</w:t>
      </w:r>
      <w:r>
        <w:rPr/>
        <w:t>号。本公司主要经营活动为：电力工程设计服务；工程勘察设计；工程管理服务；地质勘察技</w:t>
      </w:r>
      <w:r>
        <w:rPr>
          <w:spacing w:val="-83"/>
        </w:rPr>
        <w:t> </w:t>
      </w:r>
      <w:r>
        <w:rPr>
          <w:spacing w:val="-83"/>
        </w:rPr>
      </w:r>
      <w:r>
        <w:rPr/>
        <w:t>术服务；基础地质勘查；测绘服务；信息系统集成服务；信息技术咨询服务；水污染治理；大气污染治理；固体废物治理； </w:t>
      </w:r>
      <w:r>
        <w:rPr>
          <w:spacing w:val="-4"/>
        </w:rPr>
        <w:t>能源科学技术研究服务；电力技术研发；储能装置及其管理系统研发；储能装置材料及器材研发；合同能源管理；电力工程、</w:t>
      </w:r>
      <w:r>
        <w:rPr>
          <w:spacing w:val="-44"/>
        </w:rPr>
        <w:t> </w:t>
      </w:r>
      <w:r>
        <w:rPr>
          <w:spacing w:val="-44"/>
        </w:rPr>
      </w:r>
      <w:r>
        <w:rPr>
          <w:spacing w:val="-2"/>
        </w:rPr>
        <w:t>建筑工程、市政公用工程的施工；对电力、热力、燃气及水生产和供应业、信息传输、软件和信息技术服务业、制造业、科</w:t>
      </w:r>
      <w:r>
        <w:rPr>
          <w:spacing w:val="-68"/>
        </w:rPr>
        <w:t> </w:t>
      </w:r>
      <w:r>
        <w:rPr>
          <w:spacing w:val="-68"/>
        </w:rPr>
      </w:r>
      <w:r>
        <w:rPr>
          <w:spacing w:val="-2"/>
        </w:rPr>
        <w:t>学研究和技术服务的投资；电子产品、机械设备、电线电缆、建材、室内装饰材料、仪器仪表、通讯设备、计算机、软件及</w:t>
      </w:r>
      <w:r>
        <w:rPr>
          <w:spacing w:val="-69"/>
        </w:rPr>
        <w:t> </w:t>
      </w:r>
      <w:r>
        <w:rPr>
          <w:spacing w:val="-69"/>
        </w:rPr>
      </w:r>
      <w:r>
        <w:rPr>
          <w:spacing w:val="-2"/>
        </w:rPr>
        <w:t>辅助设备的销售；承包与其实力、规模、业绩相适应的国外工程项目。（依法须经批准的项目，经相关部门批准后方可开展</w:t>
      </w:r>
      <w:r>
        <w:rPr>
          <w:spacing w:val="-64"/>
        </w:rPr>
        <w:t> </w:t>
      </w:r>
      <w:r>
        <w:rPr>
          <w:spacing w:val="-64"/>
        </w:rPr>
      </w:r>
      <w:r>
        <w:rPr>
          <w:spacing w:val="-15"/>
        </w:rPr>
        <w:t>经营活动）。</w:t>
      </w:r>
    </w:p>
    <w:p>
      <w:pPr>
        <w:pStyle w:val="BodyText"/>
        <w:spacing w:line="319" w:lineRule="auto" w:before="61"/>
        <w:ind w:right="0" w:firstLine="360"/>
        <w:jc w:val="left"/>
      </w:pPr>
      <w:r>
        <w:rPr>
          <w:spacing w:val="-2"/>
        </w:rPr>
        <w:t>本公司控股股东为福建省永福博发投资股份有限公司、福州永福恒诚投资管理股份有限公司、福州博宏投资管理有限公</w:t>
      </w:r>
      <w:r>
        <w:rPr/>
        <w:t> 司，实际控制人为林一文、季征南、王劲军、宋发兴、钱有武、卓秀者、陈强、卢庆议。</w:t>
      </w:r>
    </w:p>
    <w:p>
      <w:pPr>
        <w:pStyle w:val="BodyText"/>
        <w:spacing w:line="348" w:lineRule="auto" w:before="56"/>
        <w:ind w:left="694" w:right="4992" w:hanging="181"/>
        <w:jc w:val="left"/>
      </w:pP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日批准报出。 合并财务报表范围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tbl>
      <w:tblPr>
        <w:tblW w:w="0" w:type="auto"/>
        <w:jc w:val="left"/>
        <w:tblInd w:w="146" w:type="dxa"/>
        <w:tblLayout w:type="fixed"/>
        <w:tblCellMar>
          <w:top w:w="0" w:type="dxa"/>
          <w:left w:w="0" w:type="dxa"/>
          <w:bottom w:w="0" w:type="dxa"/>
          <w:right w:w="0" w:type="dxa"/>
        </w:tblCellMar>
        <w:tblLook w:val="01E0"/>
      </w:tblPr>
      <w:tblGrid>
        <w:gridCol w:w="7616"/>
      </w:tblGrid>
      <w:tr>
        <w:trPr>
          <w:trHeight w:val="347" w:hRule="exact"/>
        </w:trPr>
        <w:tc>
          <w:tcPr>
            <w:tcW w:w="7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8" w:hRule="exact"/>
        </w:trPr>
        <w:tc>
          <w:tcPr>
            <w:tcW w:w="7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福建永福铁塔技术开发有限公司</w:t>
            </w:r>
          </w:p>
        </w:tc>
      </w:tr>
      <w:tr>
        <w:trPr>
          <w:trHeight w:val="347" w:hRule="exact"/>
        </w:trPr>
        <w:tc>
          <w:tcPr>
            <w:tcW w:w="7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福建永福电通技术开发有限公司</w:t>
            </w:r>
          </w:p>
        </w:tc>
      </w:tr>
      <w:tr>
        <w:trPr>
          <w:trHeight w:val="347" w:hRule="exact"/>
        </w:trPr>
        <w:tc>
          <w:tcPr>
            <w:tcW w:w="7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福州新创机电设备有限公司</w:t>
            </w:r>
          </w:p>
        </w:tc>
      </w:tr>
      <w:tr>
        <w:trPr>
          <w:trHeight w:val="347" w:hRule="exact"/>
        </w:trPr>
        <w:tc>
          <w:tcPr>
            <w:tcW w:w="7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厦门福思威特工程有限公司</w:t>
            </w:r>
          </w:p>
        </w:tc>
      </w:tr>
      <w:tr>
        <w:trPr>
          <w:trHeight w:val="348" w:hRule="exact"/>
        </w:trPr>
        <w:tc>
          <w:tcPr>
            <w:tcW w:w="7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福建永福新能电力投资有限公司</w:t>
            </w:r>
          </w:p>
        </w:tc>
      </w:tr>
    </w:tbl>
    <w:p>
      <w:pPr>
        <w:pStyle w:val="BodyText"/>
        <w:spacing w:line="240" w:lineRule="auto" w:before="51"/>
        <w:ind w:left="514"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4"/>
        <w:spacing w:line="261" w:lineRule="auto"/>
        <w:ind w:right="1092"/>
        <w:jc w:val="left"/>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 </w:t>
      </w:r>
      <w:r>
        <w:rPr>
          <w:spacing w:val="-1"/>
        </w:rPr>
        <w:t>和各项具体会计准则、企业会计准则应用指南、企业会计准则解释及其他相关规定（以下合称“企业会计</w:t>
      </w:r>
      <w:r>
        <w:rPr>
          <w:spacing w:val="-86"/>
        </w:rPr>
        <w:t> </w:t>
      </w:r>
      <w:r>
        <w:rPr>
          <w:spacing w:val="-86"/>
        </w:rPr>
      </w:r>
      <w:r>
        <w:rPr>
          <w:spacing w:val="-6"/>
        </w:rPr>
        <w:t>准则”），以及中国证券监督管理委员会《公开发行证券的公司信息披露编报规则第</w:t>
      </w:r>
      <w:r>
        <w:rPr>
          <w:rFonts w:ascii="Times New Roman" w:hAnsi="Times New Roman" w:cs="Times New Roman" w:eastAsia="Times New Roman" w:hint="default"/>
          <w:spacing w:val="-6"/>
        </w:rPr>
        <w:t>15</w:t>
      </w:r>
      <w:r>
        <w:rPr>
          <w:rFonts w:ascii="Times New Roman" w:hAnsi="Times New Roman" w:cs="Times New Roman" w:eastAsia="Times New Roman" w:hint="default"/>
        </w:rPr>
        <w:t> </w:t>
      </w:r>
      <w:r>
        <w:rPr>
          <w:spacing w:val="-1"/>
        </w:rPr>
        <w:t>号</w:t>
      </w:r>
      <w:r>
        <w:rPr>
          <w:rFonts w:ascii="Times New Roman" w:hAnsi="Times New Roman" w:cs="Times New Roman" w:eastAsia="Times New Roman" w:hint="default"/>
          <w:spacing w:val="-1"/>
        </w:rPr>
        <w:t>——</w:t>
      </w:r>
      <w:r>
        <w:rPr>
          <w:spacing w:val="-1"/>
        </w:rPr>
        <w:t>财务报告的</w:t>
      </w:r>
      <w:r>
        <w:rPr>
          <w:spacing w:val="-76"/>
        </w:rPr>
        <w:t> </w:t>
      </w:r>
      <w:r>
        <w:rPr/>
        <w:t>一般规定》的披露规定编制财务报表。</w:t>
      </w:r>
    </w:p>
    <w:p>
      <w:pPr>
        <w:spacing w:after="0" w:line="261" w:lineRule="auto"/>
        <w:jc w:val="left"/>
        <w:sectPr>
          <w:pgSz w:w="11910" w:h="16840"/>
          <w:pgMar w:header="850" w:footer="1267" w:top="1260" w:bottom="1460" w:left="980" w:right="0"/>
        </w:sectPr>
      </w:pPr>
    </w:p>
    <w:p>
      <w:pPr>
        <w:spacing w:line="240" w:lineRule="auto" w:before="7"/>
        <w:rPr>
          <w:rFonts w:ascii="宋体" w:hAnsi="宋体" w:cs="宋体" w:eastAsia="宋体" w:hint="default"/>
          <w:sz w:val="9"/>
          <w:szCs w:val="9"/>
        </w:rPr>
      </w:pPr>
    </w:p>
    <w:p>
      <w:pPr>
        <w:pStyle w:val="Heading3"/>
        <w:spacing w:line="240" w:lineRule="auto" w:before="35"/>
        <w:ind w:right="0"/>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092"/>
        <w:jc w:val="left"/>
      </w:pPr>
      <w:r>
        <w:rPr/>
        <w:t>公司综合考虑宏观政策风险、市场经营风险、企业目前或长期的盈利能力、偿债能力、财务弹性等因素， 认为公司具有自报告期末起至少</w:t>
      </w:r>
      <w:r>
        <w:rPr>
          <w:rFonts w:ascii="Times New Roman" w:hAnsi="Times New Roman" w:cs="Times New Roman" w:eastAsia="Times New Roman" w:hint="default"/>
        </w:rPr>
        <w:t>12</w:t>
      </w:r>
      <w:r>
        <w:rPr/>
        <w:t>个月的持续经营能力。</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57" w:lineRule="auto" w:before="29"/>
        <w:ind w:right="8092"/>
        <w:jc w:val="left"/>
      </w:pPr>
      <w:r>
        <w:rPr/>
        <w:t>具体会计政策和会计估计提示：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7"/>
        <w:rPr>
          <w:rFonts w:ascii="宋体" w:hAnsi="宋体" w:cs="宋体" w:eastAsia="宋体" w:hint="default"/>
          <w:sz w:val="22"/>
          <w:szCs w:val="22"/>
        </w:rPr>
      </w:pPr>
    </w:p>
    <w:p>
      <w:pPr>
        <w:spacing w:line="506" w:lineRule="auto" w:before="0"/>
        <w:ind w:left="154" w:right="6552" w:firstLine="0"/>
        <w:jc w:val="left"/>
        <w:rPr>
          <w:rFonts w:ascii="宋体" w:hAnsi="宋体" w:cs="宋体" w:eastAsia="宋体" w:hint="default"/>
          <w:sz w:val="21"/>
          <w:szCs w:val="21"/>
        </w:rPr>
      </w:pPr>
      <w:bookmarkStart w:name="2、会计期间" w:id="174"/>
      <w:bookmarkEnd w:id="17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line="240" w:lineRule="auto" w:before="10"/>
        <w:rPr>
          <w:rFonts w:ascii="宋体" w:hAnsi="宋体" w:cs="宋体" w:eastAsia="宋体" w:hint="default"/>
          <w:sz w:val="28"/>
          <w:szCs w:val="28"/>
        </w:rPr>
      </w:pPr>
    </w:p>
    <w:p>
      <w:pPr>
        <w:spacing w:line="506" w:lineRule="auto" w:before="0"/>
        <w:ind w:left="154" w:right="7602" w:firstLine="0"/>
        <w:jc w:val="left"/>
        <w:rPr>
          <w:rFonts w:ascii="宋体" w:hAnsi="宋体" w:cs="宋体" w:eastAsia="宋体" w:hint="default"/>
          <w:sz w:val="21"/>
          <w:szCs w:val="21"/>
        </w:rPr>
      </w:pPr>
      <w:bookmarkStart w:name="3、营业周期" w:id="175"/>
      <w:bookmarkEnd w:id="17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 </w:t>
      </w:r>
      <w:bookmarkStart w:name="4、记账本位币" w:id="176"/>
      <w:bookmarkEnd w:id="176"/>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Heading3"/>
        <w:spacing w:line="240" w:lineRule="auto" w:before="105"/>
        <w:ind w:right="0"/>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73" w:lineRule="auto"/>
        <w:ind w:right="1023"/>
        <w:jc w:val="left"/>
      </w:pPr>
      <w:r>
        <w:rPr/>
        <w:t>同一控制下企业合并：本公司在企业合并中取得的资产和负债，按照合并日被合并方资产、负债（包括最 终控制方收购被合并方而形成的商誉）在最终控制方合并财务报表中的账面价值计量。在合并中取得的净 资产账面价值与支付的合并对价账面价值（或发行股份面值总额）的差额，调整资本公积中的股本溢价， 资本公积中的股本溢价不足冲减的，调整留存收益。 非同一控制下企业合并：本公司在购买日对作为企业合并对价付出的资产、发生或承担的负债按照公允价 值计量，公允价值与其账面价值的差额，计入当期损益。本公司对合并成本大于合并中取得的被购买方可 辨认净资产公允价值份额的差额，确认为商誉；合并成本小于合并中取得的被购买方可辨认净资产公允价 值份额的差额，经复核后，计入当期损益。 </w:t>
      </w:r>
      <w:r>
        <w:rPr>
          <w:spacing w:val="-3"/>
        </w:rPr>
        <w:t>为企业合并发生的审计、法律服务、评估咨询等中介费用以及其他直接相关费用，于发生时计入当期损益；</w:t>
      </w:r>
      <w:r>
        <w:rPr>
          <w:spacing w:val="-90"/>
        </w:rPr>
        <w:t> </w:t>
      </w:r>
      <w:r>
        <w:rPr>
          <w:spacing w:val="-90"/>
        </w:rPr>
      </w:r>
      <w:r>
        <w:rPr/>
        <w:t>为企业合并而发行权益性证券的交易费用，冲减权益。</w:t>
      </w:r>
    </w:p>
    <w:p>
      <w:pPr>
        <w:spacing w:after="0" w:line="273" w:lineRule="auto"/>
        <w:jc w:val="left"/>
        <w:sectPr>
          <w:pgSz w:w="11910" w:h="16840"/>
          <w:pgMar w:header="850" w:footer="1267" w:top="1260" w:bottom="1460" w:left="980" w:right="0"/>
        </w:sectPr>
      </w:pPr>
    </w:p>
    <w:p>
      <w:pPr>
        <w:spacing w:line="240" w:lineRule="auto" w:before="7"/>
        <w:rPr>
          <w:rFonts w:ascii="宋体" w:hAnsi="宋体" w:cs="宋体" w:eastAsia="宋体" w:hint="default"/>
          <w:sz w:val="9"/>
          <w:szCs w:val="9"/>
        </w:rPr>
      </w:pPr>
    </w:p>
    <w:p>
      <w:pPr>
        <w:pStyle w:val="Heading3"/>
        <w:spacing w:line="240" w:lineRule="auto" w:before="35"/>
        <w:ind w:right="0"/>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4"/>
        <w:spacing w:line="266" w:lineRule="auto"/>
        <w:ind w:right="112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1"/>
        </w:rPr>
        <w:t> </w:t>
      </w:r>
      <w:r>
        <w:rPr>
          <w:rFonts w:ascii="宋体" w:hAnsi="宋体" w:cs="宋体" w:eastAsia="宋体" w:hint="default"/>
          <w:b/>
          <w:bCs/>
        </w:rPr>
        <w:t>合并范围</w:t>
      </w:r>
      <w:r>
        <w:rPr>
          <w:rFonts w:ascii="宋体" w:hAnsi="宋体" w:cs="宋体" w:eastAsia="宋体" w:hint="default"/>
          <w:b/>
          <w:bCs/>
          <w:w w:val="99"/>
        </w:rPr>
        <w:t> </w:t>
      </w:r>
      <w:r>
        <w:rPr>
          <w:spacing w:val="-1"/>
        </w:rPr>
        <w:t>本公司合并财务报表的合并范围以控制为基础确定，所有子公司（包括本公司所控制的被投资方可分割的</w:t>
      </w:r>
      <w:r>
        <w:rPr>
          <w:spacing w:val="-81"/>
        </w:rPr>
        <w:t> </w:t>
      </w:r>
      <w:r>
        <w:rPr>
          <w:spacing w:val="-81"/>
        </w:rPr>
      </w:r>
      <w:r>
        <w:rPr/>
        <w:t>部分）均纳入合并财务报表。</w:t>
      </w:r>
    </w:p>
    <w:p>
      <w:pPr>
        <w:spacing w:line="240" w:lineRule="auto" w:before="12"/>
        <w:rPr>
          <w:rFonts w:ascii="宋体" w:hAnsi="宋体" w:cs="宋体" w:eastAsia="宋体" w:hint="default"/>
          <w:sz w:val="24"/>
          <w:szCs w:val="24"/>
        </w:rPr>
      </w:pPr>
    </w:p>
    <w:p>
      <w:pPr>
        <w:pStyle w:val="Heading4"/>
        <w:spacing w:line="271" w:lineRule="auto"/>
        <w:ind w:right="112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1"/>
        </w:rPr>
        <w:t> </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本公司以自身和各子公司的财务报表为基础，根据其他有关资料，编制合并财务报表。本公司编制合并财</w:t>
      </w:r>
      <w:r>
        <w:rPr>
          <w:spacing w:val="-83"/>
        </w:rPr>
        <w:t> </w:t>
      </w:r>
      <w:r>
        <w:rPr>
          <w:spacing w:val="-83"/>
        </w:rPr>
      </w:r>
      <w:r>
        <w:rPr>
          <w:spacing w:val="-1"/>
        </w:rPr>
        <w:t>务报表，将整个企业集团视为一个会计主体，依据相关企业会计准则的确认、计量和列报要求，按照统一</w:t>
      </w:r>
      <w:r>
        <w:rPr>
          <w:spacing w:val="-86"/>
        </w:rPr>
        <w:t> </w:t>
      </w:r>
      <w:r>
        <w:rPr>
          <w:spacing w:val="-86"/>
        </w:rPr>
      </w:r>
      <w:r>
        <w:rPr/>
        <w:t>的会计政策，反映本企业集团整体财务状况、经营成果和现金流量。 </w:t>
      </w:r>
      <w:r>
        <w:rPr>
          <w:spacing w:val="-1"/>
        </w:rPr>
        <w:t>所有纳入合并财务报表合并范围的子公司所采用的会计政策、会计期间与本公司一致，如子公司采用的会</w:t>
      </w:r>
      <w:r>
        <w:rPr>
          <w:spacing w:val="-81"/>
        </w:rPr>
        <w:t> </w:t>
      </w:r>
      <w:r>
        <w:rPr>
          <w:spacing w:val="-81"/>
        </w:rPr>
      </w:r>
      <w:r>
        <w:rPr>
          <w:spacing w:val="-1"/>
        </w:rPr>
        <w:t>计政策、会计期间与本公司不一致的，在编制合并财务报表时，按本公司的会计政策、会计期间进行必要</w:t>
      </w:r>
      <w:r>
        <w:rPr>
          <w:spacing w:val="-86"/>
        </w:rPr>
        <w:t> </w:t>
      </w:r>
      <w:r>
        <w:rPr>
          <w:spacing w:val="-86"/>
        </w:rPr>
      </w:r>
      <w:r>
        <w:rPr>
          <w:spacing w:val="-1"/>
        </w:rPr>
        <w:t>的调整。对于非同一控制下企业合并取得的子公司，以购买日可辨认净资产公允价值为基础对其财务报表</w:t>
      </w:r>
      <w:r>
        <w:rPr>
          <w:spacing w:val="-81"/>
        </w:rPr>
        <w:t> </w:t>
      </w:r>
      <w:r>
        <w:rPr>
          <w:spacing w:val="-81"/>
        </w:rPr>
      </w:r>
      <w:r>
        <w:rPr>
          <w:spacing w:val="-1"/>
        </w:rPr>
        <w:t>进行调整。对于同一控制下企业合并取得的子公司，以其资产、负债（包括最终控制方收购该子公司而形</w:t>
      </w:r>
      <w:r>
        <w:rPr>
          <w:spacing w:val="-86"/>
        </w:rPr>
        <w:t> </w:t>
      </w:r>
      <w:r>
        <w:rPr>
          <w:spacing w:val="-86"/>
        </w:rPr>
      </w:r>
      <w:r>
        <w:rPr/>
        <w:t>成的商誉）在最终控制方财务报表中的账面价值为基础对其财务报表进行调整。 </w:t>
      </w:r>
      <w:r>
        <w:rPr>
          <w:spacing w:val="-1"/>
        </w:rPr>
        <w:t>子公司所有者权益、当期净损益和当期综合收益中属于少数股东的份额分别在合并资产负债表中所有者权</w:t>
      </w:r>
      <w:r>
        <w:rPr>
          <w:spacing w:val="-81"/>
        </w:rPr>
        <w:t> </w:t>
      </w:r>
      <w:r>
        <w:rPr>
          <w:spacing w:val="-81"/>
        </w:rPr>
      </w:r>
      <w:r>
        <w:rPr>
          <w:spacing w:val="-1"/>
        </w:rPr>
        <w:t>益项目下、合并利润表中净利润项目下和综合收益总额项目下单独列示。子公司少数股东分担的当期亏损</w:t>
      </w:r>
      <w:r>
        <w:rPr>
          <w:spacing w:val="-81"/>
        </w:rPr>
        <w:t> </w:t>
      </w:r>
      <w:r>
        <w:rPr>
          <w:spacing w:val="-81"/>
        </w:rPr>
      </w:r>
      <w:r>
        <w:rPr/>
        <w:t>超过了少数股东在该子公司期初所有者权益中所享有份额而形成的余额，冲减少数股东权益。</w:t>
      </w:r>
    </w:p>
    <w:p>
      <w:pPr>
        <w:pStyle w:val="Heading4"/>
        <w:spacing w:line="271" w:lineRule="auto" w:before="10"/>
        <w:ind w:right="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在报告期内，若因同一控制下企业合并增加子公司或业务的，则调整合并资产负债表的期初数；将子公司</w:t>
      </w:r>
      <w:r>
        <w:rPr>
          <w:spacing w:val="-83"/>
        </w:rPr>
        <w:t> </w:t>
      </w:r>
      <w:r>
        <w:rPr>
          <w:spacing w:val="-83"/>
        </w:rPr>
      </w:r>
      <w:r>
        <w:rPr>
          <w:spacing w:val="-1"/>
        </w:rPr>
        <w:t>或业务合并当期期初至报告期末的收入、费用、利润纳入合并利润表；将子公司或业务合并当期期初至报</w:t>
      </w:r>
      <w:r>
        <w:rPr>
          <w:spacing w:val="-83"/>
        </w:rPr>
        <w:t> </w:t>
      </w:r>
      <w:r>
        <w:rPr>
          <w:spacing w:val="-83"/>
        </w:rPr>
      </w:r>
      <w:r>
        <w:rPr>
          <w:spacing w:val="-1"/>
        </w:rPr>
        <w:t>告期末的现金流量纳入合并现金流量表，同时对比较报表的相关项目进行调整，视同合并后的报告主体自</w:t>
      </w:r>
      <w:r>
        <w:rPr>
          <w:spacing w:val="-81"/>
        </w:rPr>
        <w:t> </w:t>
      </w:r>
      <w:r>
        <w:rPr>
          <w:spacing w:val="-81"/>
        </w:rPr>
      </w:r>
      <w:r>
        <w:rPr/>
        <w:t>最终控制方开始控制时点起一直存在。 </w:t>
      </w:r>
      <w:r>
        <w:rPr>
          <w:spacing w:val="-1"/>
        </w:rPr>
        <w:t>在报告期内，若因非同一控制下企业合并增加子公司或业务的，则不调整合并资产负债表期初数；将该子</w:t>
      </w:r>
      <w:r>
        <w:rPr>
          <w:spacing w:val="-83"/>
        </w:rPr>
        <w:t> </w:t>
      </w:r>
      <w:r>
        <w:rPr>
          <w:spacing w:val="-83"/>
        </w:rPr>
      </w:r>
      <w:r>
        <w:rPr>
          <w:spacing w:val="-1"/>
        </w:rPr>
        <w:t>公司或业务自购买日至报告期末的收入、费用、利润纳入合并利润表；该子公司或业务自购买日至报告期</w:t>
      </w:r>
      <w:r>
        <w:rPr>
          <w:spacing w:val="-83"/>
        </w:rPr>
        <w:t> </w:t>
      </w:r>
      <w:r>
        <w:rPr>
          <w:spacing w:val="-83"/>
        </w:rPr>
      </w:r>
      <w:r>
        <w:rPr/>
        <w:t>末的现金流量纳入合并现金流量表。</w:t>
      </w:r>
    </w:p>
    <w:p>
      <w:pPr>
        <w:pStyle w:val="Heading4"/>
        <w:spacing w:line="240" w:lineRule="auto" w:before="10"/>
        <w:ind w:right="0"/>
        <w:jc w:val="left"/>
      </w:pPr>
      <w:r>
        <w:rPr/>
        <w:t>（</w:t>
      </w:r>
      <w:r>
        <w:rPr>
          <w:rFonts w:ascii="Times New Roman" w:hAnsi="Times New Roman" w:cs="Times New Roman" w:eastAsia="Times New Roman" w:hint="default"/>
        </w:rPr>
        <w:t>2</w:t>
      </w:r>
      <w:r>
        <w:rPr/>
        <w:t>）处置子公司或业务</w:t>
      </w:r>
    </w:p>
    <w:p>
      <w:pPr>
        <w:pStyle w:val="Heading4"/>
        <w:spacing w:line="273" w:lineRule="auto" w:before="21"/>
        <w:ind w:right="1092"/>
        <w:jc w:val="left"/>
      </w:pPr>
      <w:r>
        <w:rPr/>
        <w:t>①一般处理方法 </w:t>
      </w:r>
      <w:r>
        <w:rPr>
          <w:spacing w:val="-1"/>
        </w:rPr>
        <w:t>在报告期内，本公司处置子公司或业务，则该子公司或业务期初至处置日的收入、费用、利润纳入合并利</w:t>
      </w:r>
      <w:r>
        <w:rPr>
          <w:spacing w:val="-86"/>
        </w:rPr>
        <w:t> </w:t>
      </w:r>
      <w:r>
        <w:rPr>
          <w:spacing w:val="-86"/>
        </w:rPr>
      </w:r>
      <w:r>
        <w:rPr/>
        <w:t>润表；该子公司或业务期初至处置日的现金流量纳入合并现金流量表。 </w:t>
      </w:r>
      <w:r>
        <w:rPr>
          <w:spacing w:val="-1"/>
        </w:rPr>
        <w:t>因处置部分股权投资或其他原因丧失了对被投资方控制权时，对于处置后的剩余股权投资，本公司按照其</w:t>
      </w:r>
      <w:r>
        <w:rPr>
          <w:spacing w:val="-81"/>
        </w:rPr>
        <w:t> </w:t>
      </w:r>
      <w:r>
        <w:rPr>
          <w:spacing w:val="-81"/>
        </w:rPr>
      </w:r>
      <w:r>
        <w:rPr>
          <w:spacing w:val="-1"/>
        </w:rPr>
        <w:t>在丧失控制权日的公允价值进行重新计量。处置股权取得的对价与剩余股权公允价值之和，减去按原持股</w:t>
      </w:r>
      <w:r>
        <w:rPr>
          <w:spacing w:val="-81"/>
        </w:rPr>
        <w:t> </w:t>
      </w:r>
      <w:r>
        <w:rPr>
          <w:spacing w:val="-81"/>
        </w:rPr>
      </w:r>
      <w:r>
        <w:rPr>
          <w:spacing w:val="-1"/>
        </w:rPr>
        <w:t>比例计算应享有原有子公司自购买日或合并日开始持续计算的净资产的份额与商誉之和的差额，计入丧失</w:t>
      </w:r>
      <w:r>
        <w:rPr>
          <w:spacing w:val="-81"/>
        </w:rPr>
        <w:t> </w:t>
      </w:r>
      <w:r>
        <w:rPr>
          <w:spacing w:val="-81"/>
        </w:rPr>
      </w:r>
      <w:r>
        <w:rPr>
          <w:spacing w:val="-1"/>
        </w:rPr>
        <w:t>控制权当期的投资收益。与原有子公司股权投资相关的其他综合收益或除净损益、其他综合收益及利润分</w:t>
      </w:r>
      <w:r>
        <w:rPr>
          <w:spacing w:val="-81"/>
        </w:rPr>
        <w:t> </w:t>
      </w:r>
      <w:r>
        <w:rPr>
          <w:spacing w:val="-81"/>
        </w:rPr>
      </w:r>
      <w:r>
        <w:rPr>
          <w:spacing w:val="-1"/>
        </w:rPr>
        <w:t>配之外的其他所有者权益变动，在丧失控制权时转为当期投资收益，由于被投资方重新计量设定受益计划</w:t>
      </w:r>
      <w:r>
        <w:rPr>
          <w:spacing w:val="-81"/>
        </w:rPr>
        <w:t> </w:t>
      </w:r>
      <w:r>
        <w:rPr>
          <w:spacing w:val="-81"/>
        </w:rPr>
      </w:r>
      <w:r>
        <w:rPr/>
        <w:t>净负债或净资产变动而产生的其他综合收益除外。 因其他投资方对子公司增资而导致本公司持股比例下降从而丧失控制权的，按照上述原则进行会计处理。</w:t>
      </w:r>
    </w:p>
    <w:p>
      <w:pPr>
        <w:pStyle w:val="Heading4"/>
        <w:spacing w:line="273" w:lineRule="auto" w:before="7"/>
        <w:ind w:right="1092"/>
        <w:jc w:val="left"/>
      </w:pPr>
      <w:r>
        <w:rPr/>
        <w:t>②分步处置子公司 通过多次交易分步处置对子公司股权投资直至丧失控制权的，处置对子公司股权投资的各项交易的条款、 条件以及经济影响符合以下一种或多种情况，通常表明应将多次交易事项作为一揽子交易进行会计处理： ⅰ．这些交易是同时或者在考虑了彼此影响的情况下订立的； ⅱ．这些交易整体才能达成一项完整的商业结果；</w:t>
      </w:r>
    </w:p>
    <w:p>
      <w:pPr>
        <w:pStyle w:val="Heading4"/>
        <w:spacing w:line="273" w:lineRule="auto" w:before="7"/>
        <w:ind w:right="4032"/>
        <w:jc w:val="left"/>
      </w:pPr>
      <w:r>
        <w:rPr/>
        <w:t>ⅲ．一项交易的发生取决于其他至少一项交易的发生； ⅳ．一项交易单独看是不经济的，但是和其他交易一并考虑时是经济的。</w:t>
      </w:r>
    </w:p>
    <w:p>
      <w:pPr>
        <w:spacing w:after="0" w:line="273"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73" w:lineRule="auto" w:before="35"/>
        <w:ind w:right="0"/>
        <w:jc w:val="left"/>
      </w:pPr>
      <w:r>
        <w:rPr>
          <w:spacing w:val="-1"/>
        </w:rPr>
        <w:t>处置对子公司股权投资直至丧失控制权的各项交易属于一揽子交易的，本公司将各项交易作为一项处置子</w:t>
      </w:r>
      <w:r>
        <w:rPr>
          <w:spacing w:val="-81"/>
        </w:rPr>
        <w:t> </w:t>
      </w:r>
      <w:r>
        <w:rPr>
          <w:spacing w:val="-81"/>
        </w:rPr>
      </w:r>
      <w:r>
        <w:rPr>
          <w:spacing w:val="-1"/>
        </w:rPr>
        <w:t>公司并丧失控制权的交易进行会计处理；但是，在丧失控制权之前每一次处置价款与处置投资对应的享有</w:t>
      </w:r>
      <w:r>
        <w:rPr>
          <w:spacing w:val="-81"/>
        </w:rPr>
        <w:t> </w:t>
      </w:r>
      <w:r>
        <w:rPr>
          <w:spacing w:val="-81"/>
        </w:rPr>
      </w:r>
      <w:r>
        <w:rPr>
          <w:spacing w:val="-1"/>
        </w:rPr>
        <w:t>该子公司净资产份额的差额，在合并财务报表中确认为其他综合收益，在丧失控制权时一并转入丧失控制</w:t>
      </w:r>
      <w:r>
        <w:rPr>
          <w:spacing w:val="-81"/>
        </w:rPr>
        <w:t> </w:t>
      </w:r>
      <w:r>
        <w:rPr>
          <w:spacing w:val="-81"/>
        </w:rPr>
      </w:r>
      <w:r>
        <w:rPr/>
        <w:t>权当期的损益。 </w:t>
      </w:r>
      <w:r>
        <w:rPr>
          <w:spacing w:val="-1"/>
        </w:rPr>
        <w:t>处置对子公司股权投资直至丧失控制权的各项交易不属于一揽子交易的，在丧失控制权之前，按不丧失控</w:t>
      </w:r>
      <w:r>
        <w:rPr>
          <w:spacing w:val="-81"/>
        </w:rPr>
        <w:t> </w:t>
      </w:r>
      <w:r>
        <w:rPr>
          <w:spacing w:val="-81"/>
        </w:rPr>
      </w:r>
      <w:r>
        <w:rPr>
          <w:spacing w:val="-1"/>
        </w:rPr>
        <w:t>制权的情况下部分处置对子公司的股权投资的相关政策进行会计处理；在丧失控制权时，按处置子公司一</w:t>
      </w:r>
      <w:r>
        <w:rPr>
          <w:spacing w:val="-81"/>
        </w:rPr>
        <w:t> </w:t>
      </w:r>
      <w:r>
        <w:rPr>
          <w:spacing w:val="-81"/>
        </w:rPr>
      </w:r>
      <w:r>
        <w:rPr/>
        <w:t>般处理方法进行会计处理。</w:t>
      </w:r>
    </w:p>
    <w:p>
      <w:pPr>
        <w:pStyle w:val="Heading4"/>
        <w:spacing w:line="266" w:lineRule="auto" w:before="7"/>
        <w:ind w:right="0"/>
        <w:jc w:val="left"/>
      </w:pPr>
      <w:r>
        <w:rPr/>
        <w:t>（</w:t>
      </w:r>
      <w:r>
        <w:rPr>
          <w:rFonts w:ascii="Times New Roman" w:hAnsi="Times New Roman" w:cs="Times New Roman" w:eastAsia="Times New Roman" w:hint="default"/>
        </w:rPr>
        <w:t>3</w:t>
      </w:r>
      <w:r>
        <w:rPr/>
        <w:t>）购买子公司少数股权 </w:t>
      </w:r>
      <w:r>
        <w:rPr>
          <w:spacing w:val="3"/>
        </w:rPr>
        <w:t>本公司因购买少数股权新取得的长期股权投资与按照新增持股比例计算应享有子公司自购买日（或合并</w:t>
      </w:r>
      <w:r>
        <w:rPr>
          <w:spacing w:val="-80"/>
        </w:rPr>
        <w:t> </w:t>
      </w:r>
      <w:r>
        <w:rPr>
          <w:spacing w:val="-80"/>
        </w:rPr>
      </w:r>
      <w:r>
        <w:rPr>
          <w:spacing w:val="-1"/>
        </w:rPr>
        <w:t>日）开始持续计算的净资产份额之间的差额，调整合并资产负债表中的资本公积中的股本溢价，资本公积</w:t>
      </w:r>
      <w:r>
        <w:rPr>
          <w:spacing w:val="-83"/>
        </w:rPr>
        <w:t> </w:t>
      </w:r>
      <w:r>
        <w:rPr>
          <w:spacing w:val="-83"/>
        </w:rPr>
      </w:r>
      <w:r>
        <w:rPr/>
        <w:t>中的股本溢价不足冲减的，调整留存收益。</w:t>
      </w:r>
    </w:p>
    <w:p>
      <w:pPr>
        <w:pStyle w:val="Heading4"/>
        <w:spacing w:line="266" w:lineRule="auto" w:before="14"/>
        <w:ind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在不丧失控制权的情况下因部分处置对子公司的长期股权投资而取得的处置价款与处置长期股权投资相</w:t>
      </w:r>
      <w:r>
        <w:rPr>
          <w:spacing w:val="-82"/>
        </w:rPr>
        <w:t> </w:t>
      </w:r>
      <w:r>
        <w:rPr>
          <w:spacing w:val="-82"/>
        </w:rPr>
      </w:r>
      <w:r>
        <w:rPr>
          <w:spacing w:val="-1"/>
        </w:rPr>
        <w:t>对应享有子公司自购买日或合并日开始持续计算的净资产份额之间的差额，调整合并资产负债表中的资本</w:t>
      </w:r>
      <w:r>
        <w:rPr>
          <w:spacing w:val="-81"/>
        </w:rPr>
        <w:t> </w:t>
      </w:r>
      <w:r>
        <w:rPr>
          <w:spacing w:val="-81"/>
        </w:rPr>
      </w:r>
      <w:r>
        <w:rPr/>
        <w:t>公积中的股本溢价，资本公积中的股本溢价不足冲减的，调整留存收益。</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117"/>
        <w:jc w:val="left"/>
      </w:pPr>
      <w:r>
        <w:rPr>
          <w:spacing w:val="-5"/>
        </w:rPr>
        <w:t>在编制现金流量表时，将本公司库存现金以及可以随时用于支付的存款确认为现金。将同时具备期限短（从</w:t>
      </w:r>
      <w:r>
        <w:rPr>
          <w:spacing w:val="-101"/>
        </w:rPr>
        <w:t> </w:t>
      </w:r>
      <w:r>
        <w:rPr>
          <w:spacing w:val="-101"/>
        </w:rPr>
      </w:r>
      <w:r>
        <w:rPr>
          <w:spacing w:val="-3"/>
        </w:rPr>
        <w:t>购买日起三个月内到期）、流动性强、易于转换为已知现金、价值变动风险很小四个条件的投资，确定为</w:t>
      </w:r>
      <w:r>
        <w:rPr>
          <w:spacing w:val="-73"/>
        </w:rPr>
        <w:t> </w:t>
      </w:r>
      <w:r>
        <w:rPr>
          <w:spacing w:val="-73"/>
        </w:rPr>
      </w:r>
      <w:r>
        <w:rPr/>
        <w:t>现金等价物。</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122"/>
        <w:jc w:val="left"/>
      </w:pPr>
      <w:r>
        <w:rPr/>
        <w:t>外币业务采用交易发生日的即期汇率作为折算汇率将外币金额折合成人民币记账。 </w:t>
      </w:r>
      <w:r>
        <w:rPr>
          <w:spacing w:val="-1"/>
        </w:rPr>
        <w:t>资产负债表日外币货币性项目余额按资产负债表日即期汇率折算，由此产生的汇兑差额，除属于与购建符</w:t>
      </w:r>
      <w:r>
        <w:rPr>
          <w:spacing w:val="-81"/>
        </w:rPr>
        <w:t> </w:t>
      </w:r>
      <w:r>
        <w:rPr>
          <w:spacing w:val="-81"/>
        </w:rPr>
      </w:r>
      <w:r>
        <w:rPr>
          <w:spacing w:val="-1"/>
        </w:rPr>
        <w:t>合资本化条件的资产相关的外币专门借款产生的汇兑差额按照借款费用资本化的原则处理外，均计入当期</w:t>
      </w:r>
      <w:r>
        <w:rPr>
          <w:spacing w:val="-81"/>
        </w:rPr>
        <w:t> </w:t>
      </w:r>
      <w:r>
        <w:rPr>
          <w:spacing w:val="-81"/>
        </w:rPr>
      </w:r>
      <w:r>
        <w:rPr/>
        <w:t>损益。</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金融工具包括金融资产、金融负债和权益工具。</w:t>
      </w:r>
    </w:p>
    <w:p>
      <w:pPr>
        <w:pStyle w:val="BodyText"/>
        <w:spacing w:line="324" w:lineRule="auto" w:before="117"/>
        <w:ind w:right="103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45"/>
        </w:rPr>
        <w:t> </w:t>
      </w:r>
      <w:r>
        <w:rPr>
          <w:rFonts w:ascii="宋体" w:hAnsi="宋体" w:cs="宋体" w:eastAsia="宋体" w:hint="default"/>
          <w:b/>
          <w:bCs/>
        </w:rPr>
        <w:t>金融工具的分类</w:t>
      </w:r>
      <w:r>
        <w:rPr>
          <w:rFonts w:ascii="宋体" w:hAnsi="宋体" w:cs="宋体" w:eastAsia="宋体" w:hint="default"/>
          <w:b/>
          <w:bCs/>
          <w:w w:val="99"/>
        </w:rPr>
        <w:t> </w:t>
      </w: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 可供出售金融资产；其他金融负债等。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5"/>
        <w:spacing w:line="240" w:lineRule="auto"/>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金融工具的确认依据和计量方法</w:t>
      </w:r>
      <w:r>
        <w:rPr>
          <w:b w:val="0"/>
          <w:bCs w:val="0"/>
        </w:rPr>
      </w:r>
    </w:p>
    <w:p>
      <w:pPr>
        <w:pStyle w:val="BodyText"/>
        <w:spacing w:line="328" w:lineRule="auto" w:before="103"/>
        <w:ind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240" w:lineRule="auto" w:before="50"/>
        <w:ind w:right="0"/>
        <w:jc w:val="left"/>
      </w:pPr>
      <w:r>
        <w:rPr/>
        <w:t>持有期间将取得的利息或现金股利确认为投资收益，期末将公允价值变动计入当期损益。</w:t>
      </w:r>
    </w:p>
    <w:p>
      <w:pPr>
        <w:spacing w:after="0" w:line="240" w:lineRule="auto"/>
        <w:jc w:val="left"/>
        <w:sectPr>
          <w:pgSz w:w="11910" w:h="16840"/>
          <w:pgMar w:header="850" w:footer="1267" w:top="1260" w:bottom="1460" w:left="980" w:right="0"/>
        </w:sectPr>
      </w:pPr>
    </w:p>
    <w:p>
      <w:pPr>
        <w:spacing w:line="240" w:lineRule="auto" w:before="10"/>
        <w:rPr>
          <w:rFonts w:ascii="宋体" w:hAnsi="宋体" w:cs="宋体" w:eastAsia="宋体" w:hint="default"/>
          <w:sz w:val="10"/>
          <w:szCs w:val="10"/>
        </w:rPr>
      </w:pPr>
    </w:p>
    <w:p>
      <w:pPr>
        <w:pStyle w:val="BodyText"/>
        <w:spacing w:line="240" w:lineRule="auto" w:before="44"/>
        <w:ind w:right="0"/>
        <w:jc w:val="left"/>
      </w:pPr>
      <w:r>
        <w:rPr/>
        <w:t>处置时，其公允价值与初始入账金额之间的差额确认为投资收益，同时调整公允价值变动损益。</w:t>
      </w:r>
    </w:p>
    <w:p>
      <w:pPr>
        <w:pStyle w:val="BodyText"/>
        <w:spacing w:line="338" w:lineRule="auto" w:before="116"/>
        <w:ind w:right="1122"/>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持有期间按照摊余成本和实际利率计算确认利息收入，计入投资收益。实际利率在取得时确定，在该预期存续期间或适用的</w:t>
      </w:r>
      <w:r>
        <w:rPr>
          <w:spacing w:val="-66"/>
        </w:rPr>
        <w:t> </w:t>
      </w:r>
      <w:r>
        <w:rPr>
          <w:spacing w:val="-66"/>
        </w:rPr>
      </w:r>
      <w:r>
        <w:rPr/>
        <w:t>更短期间内保持不变。 </w:t>
      </w:r>
      <w:r>
        <w:rPr>
          <w:spacing w:val="-2"/>
        </w:rPr>
        <w:t>处置时，将所取得价款与该投资账面价值之间的差额计入投资收益。处置时，将所取得价款与该投资账面价值之间的差额计</w:t>
      </w:r>
      <w:r>
        <w:rPr>
          <w:spacing w:val="-66"/>
        </w:rPr>
        <w:t> </w:t>
      </w:r>
      <w:r>
        <w:rPr>
          <w:spacing w:val="-66"/>
        </w:rPr>
      </w:r>
      <w:r>
        <w:rPr/>
        <w:t>入投资收益。</w:t>
      </w:r>
    </w:p>
    <w:p>
      <w:pPr>
        <w:pStyle w:val="BodyText"/>
        <w:spacing w:line="324" w:lineRule="auto" w:before="43"/>
        <w:ind w:right="1032"/>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6"/>
        </w:rPr>
        <w:t> </w:t>
      </w:r>
      <w:r>
        <w:rPr>
          <w:spacing w:val="-66"/>
        </w:rPr>
      </w:r>
      <w:r>
        <w:rPr/>
        <w:t>确认。</w:t>
      </w:r>
    </w:p>
    <w:p>
      <w:pPr>
        <w:pStyle w:val="BodyText"/>
        <w:spacing w:line="240" w:lineRule="auto" w:before="53"/>
        <w:ind w:right="0"/>
        <w:jc w:val="left"/>
      </w:pPr>
      <w:r>
        <w:rPr/>
        <w:t>收回或处置时，将取得的价款与该应收款项账面价值之间的差额计入当期损益。</w:t>
      </w:r>
    </w:p>
    <w:p>
      <w:pPr>
        <w:pStyle w:val="BodyText"/>
        <w:spacing w:line="328" w:lineRule="auto" w:before="117"/>
        <w:ind w:right="1122"/>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w:t>
      </w:r>
    </w:p>
    <w:p>
      <w:pPr>
        <w:pStyle w:val="BodyText"/>
        <w:spacing w:line="319" w:lineRule="auto" w:before="48"/>
        <w:ind w:right="1131"/>
        <w:jc w:val="both"/>
      </w:pPr>
      <w:r>
        <w:rPr>
          <w:spacing w:val="-2"/>
        </w:rPr>
        <w:t>持有期间将取得的利息或现金股利确认为投资收益。期末以公允价值计量且将公允价值变动计入其他综合收益。但是，在活</w:t>
      </w:r>
      <w:r>
        <w:rPr>
          <w:spacing w:val="-66"/>
        </w:rPr>
        <w:t> </w:t>
      </w:r>
      <w:r>
        <w:rPr>
          <w:spacing w:val="-66"/>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w:t>
      </w:r>
    </w:p>
    <w:p>
      <w:pPr>
        <w:pStyle w:val="BodyText"/>
        <w:spacing w:line="319" w:lineRule="auto" w:before="56"/>
        <w:ind w:right="0"/>
        <w:jc w:val="left"/>
      </w:pPr>
      <w:r>
        <w:rPr>
          <w:spacing w:val="-2"/>
        </w:rPr>
        <w:t>处置时，将取得的价款与该金融资产账面价值之间的差额，计入投资损益；同时，将原直接计入其他综合收益的公允价值变</w:t>
      </w:r>
      <w:r>
        <w:rPr>
          <w:spacing w:val="-66"/>
        </w:rPr>
        <w:t> </w:t>
      </w:r>
      <w:r>
        <w:rPr>
          <w:spacing w:val="-66"/>
        </w:rPr>
      </w:r>
      <w:r>
        <w:rPr/>
        <w:t>动累计额对应处置部分的金额转出，计入当期损益。</w:t>
      </w:r>
    </w:p>
    <w:p>
      <w:pPr>
        <w:pStyle w:val="BodyText"/>
        <w:spacing w:line="338" w:lineRule="auto" w:before="56"/>
        <w:ind w:right="4092"/>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0"/>
        <w:rPr>
          <w:rFonts w:ascii="宋体" w:hAnsi="宋体" w:cs="宋体" w:eastAsia="宋体" w:hint="default"/>
          <w:sz w:val="18"/>
          <w:szCs w:val="18"/>
        </w:rPr>
      </w:pPr>
    </w:p>
    <w:p>
      <w:pPr>
        <w:pStyle w:val="BodyText"/>
        <w:spacing w:line="328" w:lineRule="auto" w:before="159"/>
        <w:ind w:right="0"/>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44"/>
        </w:rPr>
        <w:t> </w:t>
      </w:r>
      <w:r>
        <w:rPr>
          <w:rFonts w:ascii="宋体" w:hAnsi="宋体" w:cs="宋体" w:eastAsia="宋体" w:hint="default"/>
          <w:b/>
          <w:bCs/>
        </w:rPr>
        <w:t>金融资产转移的确认依据和计量方法</w:t>
      </w:r>
      <w:r>
        <w:rPr>
          <w:rFonts w:ascii="宋体" w:hAnsi="宋体" w:cs="宋体" w:eastAsia="宋体" w:hint="default"/>
          <w:b/>
          <w:bCs/>
          <w:w w:val="99"/>
        </w:rPr>
        <w:t> </w:t>
      </w: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w:t>
      </w:r>
    </w:p>
    <w:p>
      <w:pPr>
        <w:pStyle w:val="BodyText"/>
        <w:spacing w:line="319" w:lineRule="auto" w:before="49"/>
        <w:ind w:right="0"/>
        <w:jc w:val="left"/>
      </w:pP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56"/>
        <w:ind w:right="0"/>
        <w:jc w:val="left"/>
      </w:pPr>
      <w:r>
        <w:rPr/>
        <w:t>（</w:t>
      </w:r>
      <w:r>
        <w:rPr>
          <w:rFonts w:ascii="Times New Roman" w:hAnsi="Times New Roman" w:cs="Times New Roman" w:eastAsia="Times New Roman" w:hint="default"/>
        </w:rPr>
        <w:t>1</w:t>
      </w:r>
      <w:r>
        <w:rPr/>
        <w:t>）所转移金融资产的账面价值；</w:t>
      </w:r>
    </w:p>
    <w:p>
      <w:pPr>
        <w:pStyle w:val="BodyText"/>
        <w:spacing w:line="302" w:lineRule="auto" w:before="101"/>
        <w:ind w:right="1122"/>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w:t>
      </w:r>
      <w:r>
        <w:rPr>
          <w:spacing w:val="-83"/>
        </w:rPr>
        <w:t> </w:t>
      </w:r>
      <w:r>
        <w:rPr>
          <w:spacing w:val="-83"/>
        </w:rPr>
      </w:r>
      <w:r>
        <w:rPr/>
        <w:t>情形）之和。</w:t>
      </w:r>
    </w:p>
    <w:p>
      <w:pPr>
        <w:pStyle w:val="BodyText"/>
        <w:spacing w:line="319" w:lineRule="auto" w:before="69"/>
        <w:ind w:right="0"/>
        <w:jc w:val="left"/>
      </w:pPr>
      <w:r>
        <w:rPr>
          <w:spacing w:val="-2"/>
        </w:rPr>
        <w:t>金融资产部分转移满足终止确认条件的，将所转移金融资产整体的账面价值，在终止确认部分和未终止确认部分之间，按照</w:t>
      </w:r>
      <w:r>
        <w:rPr>
          <w:spacing w:val="-66"/>
        </w:rPr>
        <w:t> </w:t>
      </w:r>
      <w:r>
        <w:rPr>
          <w:spacing w:val="-66"/>
        </w:rPr>
      </w:r>
      <w:r>
        <w:rPr/>
        <w:t>各自的相对公允价值进行分摊，并将下列两项金额的差额计入当期损益：</w:t>
      </w:r>
    </w:p>
    <w:p>
      <w:pPr>
        <w:pStyle w:val="BodyText"/>
        <w:spacing w:line="240" w:lineRule="auto" w:before="56"/>
        <w:ind w:right="0"/>
        <w:jc w:val="left"/>
      </w:pPr>
      <w:r>
        <w:rPr/>
        <w:t>（</w:t>
      </w:r>
      <w:r>
        <w:rPr>
          <w:rFonts w:ascii="Times New Roman" w:hAnsi="Times New Roman" w:cs="Times New Roman" w:eastAsia="Times New Roman" w:hint="default"/>
        </w:rPr>
        <w:t>1</w:t>
      </w:r>
      <w:r>
        <w:rPr/>
        <w:t>）终止确认部分的账面价值；</w:t>
      </w:r>
    </w:p>
    <w:p>
      <w:pPr>
        <w:pStyle w:val="BodyText"/>
        <w:spacing w:line="302" w:lineRule="auto" w:before="101"/>
        <w:ind w:right="112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w:t>
      </w:r>
      <w:r>
        <w:rPr>
          <w:spacing w:val="-83"/>
        </w:rPr>
        <w:t> </w:t>
      </w:r>
      <w:r>
        <w:rPr>
          <w:spacing w:val="-83"/>
        </w:rPr>
      </w:r>
      <w:r>
        <w:rPr/>
        <w:t>资产为可供出售金融资产的情形）之和。</w:t>
      </w:r>
    </w:p>
    <w:p>
      <w:pPr>
        <w:pStyle w:val="BodyText"/>
        <w:spacing w:line="240" w:lineRule="auto" w:before="70"/>
        <w:ind w:right="0"/>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28" w:lineRule="auto"/>
        <w:ind w:right="0"/>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45"/>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金融负债的现时义务全部或部分已经解除的，则终止确认该金融负债或其一部分；本公司若与债权人签定协议，以承担新金</w:t>
      </w:r>
      <w:r>
        <w:rPr>
          <w:spacing w:val="-66"/>
        </w:rPr>
        <w:t> </w:t>
      </w:r>
      <w:r>
        <w:rPr>
          <w:spacing w:val="-66"/>
        </w:rPr>
      </w:r>
      <w:r>
        <w:rPr>
          <w:spacing w:val="-2"/>
        </w:rPr>
        <w:t>融负债方式替换现存金融负债，且新金融负债与现存金融负债的合同条款实质上不同的，则终止确认现存金融负债，并同时</w:t>
      </w:r>
    </w:p>
    <w:p>
      <w:pPr>
        <w:spacing w:after="0" w:line="328" w:lineRule="auto"/>
        <w:jc w:val="left"/>
        <w:sectPr>
          <w:footerReference w:type="default" r:id="rId19"/>
          <w:pgSz w:w="11910" w:h="16840"/>
          <w:pgMar w:footer="1267" w:header="850" w:top="1260" w:bottom="1460" w:left="980" w:right="0"/>
          <w:pgNumType w:start="126"/>
        </w:sectPr>
      </w:pPr>
    </w:p>
    <w:p>
      <w:pPr>
        <w:spacing w:line="240" w:lineRule="auto" w:before="10"/>
        <w:rPr>
          <w:rFonts w:ascii="宋体" w:hAnsi="宋体" w:cs="宋体" w:eastAsia="宋体" w:hint="default"/>
          <w:sz w:val="10"/>
          <w:szCs w:val="10"/>
        </w:rPr>
      </w:pPr>
    </w:p>
    <w:p>
      <w:pPr>
        <w:pStyle w:val="BodyText"/>
        <w:spacing w:line="338" w:lineRule="auto" w:before="44"/>
        <w:ind w:right="0"/>
        <w:jc w:val="left"/>
      </w:pPr>
      <w:r>
        <w:rPr/>
        <w:t>确认新金融负债。 </w:t>
      </w: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w:t>
      </w:r>
    </w:p>
    <w:p>
      <w:pPr>
        <w:pStyle w:val="BodyText"/>
        <w:spacing w:line="319" w:lineRule="auto" w:before="42"/>
        <w:ind w:right="1032"/>
        <w:jc w:val="left"/>
      </w:pPr>
      <w:r>
        <w:rPr/>
        <w:t>金融负债全部或部分终止确认时，终止确认的金融负债账面价值与支付对价（包括转出的非现金资产或承担的新金融负债） 之间的差额，计入当期损益。</w:t>
      </w:r>
    </w:p>
    <w:p>
      <w:pPr>
        <w:pStyle w:val="BodyText"/>
        <w:spacing w:line="319" w:lineRule="auto" w:before="55"/>
        <w:ind w:right="1131"/>
        <w:jc w:val="both"/>
      </w:pP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6"/>
        </w:rPr>
        <w:t> </w:t>
      </w:r>
      <w:r>
        <w:rPr>
          <w:spacing w:val="-66"/>
        </w:rPr>
      </w:r>
      <w:r>
        <w:rPr/>
        <w:t>当期损益。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24" w:lineRule="auto"/>
        <w:ind w:right="0"/>
        <w:jc w:val="left"/>
      </w:pPr>
      <w:r>
        <w:rPr>
          <w:rFonts w:ascii="Times New Roman" w:hAnsi="Times New Roman" w:cs="Times New Roman" w:eastAsia="Times New Roman" w:hint="default"/>
          <w:b/>
          <w:bCs/>
        </w:rPr>
        <w:t>5.</w:t>
      </w:r>
      <w:r>
        <w:rPr>
          <w:rFonts w:ascii="Times New Roman" w:hAnsi="Times New Roman" w:cs="Times New Roman" w:eastAsia="Times New Roman" w:hint="default"/>
          <w:b/>
          <w:bCs/>
          <w:spacing w:val="44"/>
        </w:rPr>
        <w:t> </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2"/>
        </w:rPr>
        <w:t>存在活跃市场的金融工具，以活跃市场中的报价确定其公允价值。不存在活跃市场的金融工具，采用估值技术确定其公允价</w:t>
      </w:r>
      <w:r>
        <w:rPr>
          <w:spacing w:val="-66"/>
        </w:rPr>
        <w:t> </w:t>
      </w:r>
      <w:r>
        <w:rPr>
          <w:spacing w:val="-66"/>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spacing w:line="328" w:lineRule="auto"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除以公允价值计量且其变动计入当期损益的金融资产外，本公司于资产负债表日对金融资产的账面价值进行检查，如果有客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观证据表明某项金融资产发生减值的，计提减值准备。</w:t>
      </w:r>
    </w:p>
    <w:p>
      <w:pPr>
        <w:pStyle w:val="BodyText"/>
        <w:spacing w:line="333" w:lineRule="auto" w:before="49"/>
        <w:ind w:right="1032"/>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40" w:lineRule="auto" w:before="46"/>
        <w:ind w:right="0"/>
        <w:jc w:val="left"/>
      </w:pPr>
      <w:r>
        <w:rPr/>
        <w:t>可供出售权益工具投资发生的减值损失，不通过损益转回。</w:t>
      </w:r>
    </w:p>
    <w:p>
      <w:pPr>
        <w:pStyle w:val="BodyText"/>
        <w:spacing w:line="338" w:lineRule="auto" w:before="117"/>
        <w:ind w:right="5172"/>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11、应收票据及应收账款" w:id="183"/>
      <w:bookmarkEnd w:id="183"/>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4"/>
      <w:bookmarkEnd w:id="18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6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103"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pacing w:val="-3"/>
                <w:sz w:val="18"/>
                <w:szCs w:val="18"/>
              </w:rPr>
              <w:t>应收账款单项金额重大标准：</w:t>
            </w:r>
            <w:r>
              <w:rPr>
                <w:rFonts w:ascii="Times New Roman" w:hAnsi="Times New Roman" w:cs="Times New Roman" w:eastAsia="Times New Roman" w:hint="default"/>
                <w:spacing w:val="-3"/>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万元以上（含</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4"/>
                <w:sz w:val="18"/>
                <w:szCs w:val="18"/>
              </w:rPr>
              <w:t> </w:t>
            </w:r>
            <w:r>
              <w:rPr>
                <w:rFonts w:ascii="宋体" w:hAnsi="宋体" w:cs="宋体" w:eastAsia="宋体" w:hint="default"/>
                <w:spacing w:val="-23"/>
                <w:sz w:val="18"/>
                <w:szCs w:val="18"/>
              </w:rPr>
              <w:t>万元）；</w:t>
            </w:r>
            <w:r>
              <w:rPr>
                <w:rFonts w:ascii="宋体" w:hAnsi="宋体" w:cs="宋体" w:eastAsia="宋体" w:hint="default"/>
                <w:sz w:val="18"/>
                <w:szCs w:val="18"/>
              </w:rPr>
              <w:t> 其他应收款单项金额重大的标准：</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万元以上（含</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 </w:t>
            </w:r>
            <w:r>
              <w:rPr>
                <w:rFonts w:ascii="宋体" w:hAnsi="宋体" w:cs="宋体" w:eastAsia="宋体" w:hint="default"/>
                <w:spacing w:val="-30"/>
                <w:sz w:val="18"/>
                <w:szCs w:val="18"/>
              </w:rPr>
              <w:t>元）。</w:t>
            </w:r>
          </w:p>
        </w:tc>
      </w:tr>
      <w:tr>
        <w:trPr>
          <w:trHeight w:val="169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103" w:right="168"/>
              <w:jc w:val="left"/>
              <w:rPr>
                <w:rFonts w:ascii="宋体" w:hAnsi="宋体" w:cs="宋体" w:eastAsia="宋体" w:hint="default"/>
                <w:sz w:val="18"/>
                <w:szCs w:val="18"/>
              </w:rPr>
            </w:pPr>
            <w:r>
              <w:rPr>
                <w:rFonts w:ascii="宋体" w:hAnsi="宋体" w:cs="宋体" w:eastAsia="宋体" w:hint="default"/>
                <w:sz w:val="18"/>
                <w:szCs w:val="18"/>
              </w:rPr>
              <w:t>单项金额重大并单独计提坏账准备的计提方法： 单独进行减值测试，按预计未来现金流量现值低于其账面 价值的差额计提坏账准备，计入当期损益。单独测试未发</w:t>
            </w:r>
          </w:p>
          <w:p>
            <w:pPr>
              <w:pStyle w:val="TableParagraph"/>
              <w:spacing w:line="319" w:lineRule="auto" w:before="2"/>
              <w:ind w:left="103" w:right="168"/>
              <w:jc w:val="left"/>
              <w:rPr>
                <w:rFonts w:ascii="宋体" w:hAnsi="宋体" w:cs="宋体" w:eastAsia="宋体" w:hint="default"/>
                <w:sz w:val="18"/>
                <w:szCs w:val="18"/>
              </w:rPr>
            </w:pPr>
            <w:r>
              <w:rPr>
                <w:rFonts w:ascii="宋体" w:hAnsi="宋体" w:cs="宋体" w:eastAsia="宋体" w:hint="default"/>
                <w:sz w:val="18"/>
                <w:szCs w:val="18"/>
              </w:rPr>
              <w:t>生减值的应收账款和其他应收款，包括在具有类似信用风 险特征的应收款项组合中再进行减值测试。</w:t>
            </w:r>
          </w:p>
        </w:tc>
      </w:tr>
    </w:tbl>
    <w:p>
      <w:pPr>
        <w:spacing w:after="0" w:line="319"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7"/>
        <w:rPr>
          <w:rFonts w:ascii="宋体" w:hAnsi="宋体" w:cs="宋体" w:eastAsia="宋体" w:hint="default"/>
          <w:b/>
          <w:bCs/>
          <w:sz w:val="9"/>
          <w:szCs w:val="9"/>
        </w:rPr>
      </w:pPr>
    </w:p>
    <w:p>
      <w:pPr>
        <w:pStyle w:val="Heading3"/>
        <w:spacing w:line="240" w:lineRule="auto" w:before="35"/>
        <w:ind w:right="0"/>
        <w:jc w:val="left"/>
        <w:rPr>
          <w:b w:val="0"/>
          <w:bCs w:val="0"/>
        </w:rPr>
      </w:pPr>
      <w:bookmarkStart w:name="（2）按信用风险特征组合计提坏账准备的应收款项" w:id="185"/>
      <w:bookmarkEnd w:id="18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合并关联方组合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60" w:lineRule="auto" w:before="116"/>
        <w:ind w:right="7512"/>
        <w:jc w:val="left"/>
      </w:pPr>
      <w:r>
        <w:rPr/>
        <w:t>□ 适用 √ 不适用 组合中，采用其他方法计提坏账准备的：</w:t>
      </w:r>
    </w:p>
    <w:p>
      <w:pPr>
        <w:pStyle w:val="BodyText"/>
        <w:spacing w:line="240" w:lineRule="auto" w:before="26"/>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单项金额不重大但单独计提坏账准备的应收款项" w:id="186"/>
      <w:bookmarkEnd w:id="18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8"/>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有客观证据表明单项金额虽不重大，但存在重大减值风险 的应收款项进行单项减值测试。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结合现时情况分析法确认坏账准备计提的比例。</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12、存货" w:id="187"/>
      <w:bookmarkEnd w:id="187"/>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spacing w:line="340" w:lineRule="auto" w:before="28"/>
        <w:ind w:left="154" w:right="553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45"/>
          <w:sz w:val="18"/>
          <w:szCs w:val="18"/>
        </w:rPr>
        <w:t> </w:t>
      </w:r>
      <w:r>
        <w:rPr>
          <w:rFonts w:ascii="宋体" w:hAnsi="宋体" w:cs="宋体" w:eastAsia="宋体" w:hint="default"/>
          <w:b/>
          <w:bCs/>
          <w:sz w:val="18"/>
          <w:szCs w:val="18"/>
        </w:rPr>
        <w:t>存货的分类</w:t>
      </w:r>
      <w:r>
        <w:rPr>
          <w:rFonts w:ascii="宋体" w:hAnsi="宋体" w:cs="宋体" w:eastAsia="宋体" w:hint="default"/>
          <w:b/>
          <w:bCs/>
          <w:w w:val="99"/>
          <w:sz w:val="18"/>
          <w:szCs w:val="18"/>
        </w:rPr>
        <w:t> </w:t>
      </w:r>
      <w:r>
        <w:rPr>
          <w:rFonts w:ascii="宋体" w:hAnsi="宋体" w:cs="宋体" w:eastAsia="宋体" w:hint="default"/>
          <w:sz w:val="18"/>
          <w:szCs w:val="18"/>
        </w:rPr>
        <w:t>存货分类为：未完工项目成本、工程施工、发出商品、库存商品等</w:t>
      </w:r>
    </w:p>
    <w:p>
      <w:pPr>
        <w:spacing w:line="240" w:lineRule="auto" w:before="0"/>
        <w:rPr>
          <w:rFonts w:ascii="宋体" w:hAnsi="宋体" w:cs="宋体" w:eastAsia="宋体" w:hint="default"/>
          <w:sz w:val="18"/>
          <w:szCs w:val="18"/>
        </w:rPr>
      </w:pPr>
    </w:p>
    <w:p>
      <w:pPr>
        <w:pStyle w:val="BodyText"/>
        <w:spacing w:line="338" w:lineRule="auto" w:before="156"/>
        <w:ind w:right="0"/>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44"/>
        </w:rPr>
        <w:t> </w:t>
      </w:r>
      <w:r>
        <w:rPr>
          <w:rFonts w:ascii="宋体" w:hAnsi="宋体" w:cs="宋体" w:eastAsia="宋体" w:hint="default"/>
          <w:b/>
          <w:bCs/>
        </w:rPr>
        <w:t>未完工项目成本核算方法</w:t>
      </w:r>
      <w:r>
        <w:rPr>
          <w:rFonts w:ascii="宋体" w:hAnsi="宋体" w:cs="宋体" w:eastAsia="宋体" w:hint="default"/>
          <w:b/>
          <w:bCs/>
          <w:w w:val="99"/>
        </w:rPr>
        <w:t> </w:t>
      </w:r>
      <w:r>
        <w:rPr>
          <w:spacing w:val="-2"/>
        </w:rPr>
        <w:t>未完工项目成本按照单个项目为核算对象，分别核算各个项目的实际成本。项目未完工前，按单个项目归集所发生的实际成</w:t>
      </w:r>
      <w:r>
        <w:rPr>
          <w:spacing w:val="-66"/>
        </w:rPr>
        <w:t> </w:t>
      </w:r>
      <w:r>
        <w:rPr>
          <w:spacing w:val="-66"/>
        </w:rPr>
      </w:r>
      <w:r>
        <w:rPr/>
        <w:t>本，包括人工薪酬成本、服务采购成本、其他直接成本及其他间接费用等。项目完工时结转该项目相应进度的项目成本。 </w:t>
      </w:r>
      <w:r>
        <w:rPr>
          <w:spacing w:val="-2"/>
        </w:rPr>
        <w:t>资产负债表日，存货按照成本与可变现净值孰低计量。对于未完工项目成本，期末按照预计项目总成本超过项目预计总收入</w:t>
      </w:r>
    </w:p>
    <w:p>
      <w:pPr>
        <w:pStyle w:val="BodyText"/>
        <w:spacing w:line="240" w:lineRule="auto" w:before="4"/>
        <w:ind w:right="0"/>
        <w:jc w:val="left"/>
      </w:pPr>
      <w:r>
        <w:rPr/>
        <w:t>（扣除相关税费）的部分，计提存货跌价准备；在项目完工时，转销存货跌价准备，计入当期损益。</w:t>
      </w:r>
    </w:p>
    <w:p>
      <w:pPr>
        <w:spacing w:after="0" w:line="240" w:lineRule="auto"/>
        <w:jc w:val="left"/>
        <w:sectPr>
          <w:pgSz w:w="11910" w:h="16840"/>
          <w:pgMar w:header="850" w:footer="1267" w:top="1260" w:bottom="1460" w:left="980" w:right="0"/>
        </w:sectPr>
      </w:pPr>
    </w:p>
    <w:p>
      <w:pPr>
        <w:spacing w:line="240" w:lineRule="auto" w:before="10"/>
        <w:rPr>
          <w:rFonts w:ascii="宋体" w:hAnsi="宋体" w:cs="宋体" w:eastAsia="宋体" w:hint="default"/>
          <w:sz w:val="10"/>
          <w:szCs w:val="10"/>
        </w:rPr>
      </w:pPr>
    </w:p>
    <w:p>
      <w:pPr>
        <w:pStyle w:val="BodyText"/>
        <w:spacing w:line="324" w:lineRule="auto" w:before="44"/>
        <w:ind w:right="0"/>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45"/>
        </w:rPr>
        <w:t> </w:t>
      </w:r>
      <w:r>
        <w:rPr>
          <w:rFonts w:ascii="宋体" w:hAnsi="宋体" w:cs="宋体" w:eastAsia="宋体" w:hint="default"/>
          <w:b/>
          <w:bCs/>
        </w:rPr>
        <w:t>工程施工的核算方法</w:t>
      </w:r>
      <w:r>
        <w:rPr>
          <w:rFonts w:ascii="宋体" w:hAnsi="宋体" w:cs="宋体" w:eastAsia="宋体" w:hint="default"/>
          <w:b/>
          <w:bCs/>
          <w:w w:val="99"/>
        </w:rPr>
        <w:t> </w:t>
      </w:r>
      <w:r>
        <w:rPr/>
        <w:t>建造合同的施工项目累计已发生的成本和累计已确认的毛利之和大于累计已办理结算的合同价款的差额为施工项目的已施</w:t>
      </w:r>
      <w:r>
        <w:rPr>
          <w:spacing w:val="-9"/>
        </w:rPr>
        <w:t> </w:t>
      </w:r>
      <w:r>
        <w:rPr>
          <w:spacing w:val="-9"/>
        </w:rPr>
      </w:r>
      <w:r>
        <w:rPr>
          <w:spacing w:val="-2"/>
        </w:rPr>
        <w:t>工未结算款，在存货中列示；累计已发生的施工成本和累计已确认的毛利之和小于累计已办理结算的合同价款的差额为已结</w:t>
      </w:r>
      <w:r>
        <w:rPr>
          <w:spacing w:val="-64"/>
        </w:rPr>
        <w:t> </w:t>
      </w:r>
      <w:r>
        <w:rPr>
          <w:spacing w:val="-64"/>
        </w:rPr>
      </w:r>
      <w:r>
        <w:rPr/>
        <w:t>算未完工款，在预收账款中反映。</w:t>
      </w:r>
    </w:p>
    <w:p>
      <w:pPr>
        <w:pStyle w:val="BodyText"/>
        <w:spacing w:line="319" w:lineRule="auto" w:before="53"/>
        <w:ind w:right="1122"/>
        <w:jc w:val="left"/>
      </w:pPr>
      <w:r>
        <w:rPr>
          <w:spacing w:val="-2"/>
        </w:rPr>
        <w:t>资产负债表日，如果合同预计总成本超过合同预计总收入的部分，计提存货跌价准备；合同完工时，转销存货跌价准备，计</w:t>
      </w:r>
      <w:r>
        <w:rPr>
          <w:spacing w:val="-66"/>
        </w:rPr>
        <w:t> </w:t>
      </w:r>
      <w:r>
        <w:rPr>
          <w:spacing w:val="-66"/>
        </w:rPr>
      </w:r>
      <w:r>
        <w:rPr/>
        <w:t>入当期损益。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28" w:lineRule="auto"/>
        <w:ind w:right="1122"/>
        <w:jc w:val="left"/>
      </w:pPr>
      <w:r>
        <w:rPr>
          <w:rFonts w:ascii="Times New Roman" w:hAnsi="Times New Roman" w:cs="Times New Roman" w:eastAsia="Times New Roman" w:hint="default"/>
          <w:b/>
          <w:bCs/>
        </w:rPr>
        <w:t>4.</w:t>
      </w:r>
      <w:r>
        <w:rPr>
          <w:rFonts w:ascii="Times New Roman" w:hAnsi="Times New Roman" w:cs="Times New Roman" w:eastAsia="Times New Roman" w:hint="default"/>
          <w:b/>
          <w:bCs/>
          <w:spacing w:val="45"/>
        </w:rPr>
        <w:t> </w:t>
      </w:r>
      <w:r>
        <w:rPr>
          <w:rFonts w:ascii="宋体" w:hAnsi="宋体" w:cs="宋体" w:eastAsia="宋体" w:hint="default"/>
          <w:b/>
          <w:bCs/>
        </w:rPr>
        <w:t>发出商品的核算方法</w:t>
      </w:r>
      <w:r>
        <w:rPr>
          <w:rFonts w:ascii="宋体" w:hAnsi="宋体" w:cs="宋体" w:eastAsia="宋体" w:hint="default"/>
          <w:b/>
          <w:bCs/>
          <w:w w:val="99"/>
        </w:rPr>
        <w:t> </w:t>
      </w:r>
      <w:r>
        <w:rPr>
          <w:spacing w:val="-2"/>
        </w:rPr>
        <w:t>发出商品在取得时，按成本进行初始计量包括采购成本和其他相关费用；发出商品结转时，采用个别计价法确定结转存货的</w:t>
      </w:r>
      <w:r>
        <w:rPr>
          <w:spacing w:val="-66"/>
        </w:rPr>
        <w:t> </w:t>
      </w:r>
      <w:r>
        <w:rPr>
          <w:spacing w:val="-66"/>
        </w:rPr>
      </w:r>
      <w:r>
        <w:rPr/>
        <w:t>实际成本。</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13、持有待售资产" w:id="188"/>
      <w:bookmarkEnd w:id="188"/>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4、长期股权投资" w:id="189"/>
      <w:bookmarkEnd w:id="18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初始投资成本的确定</w:t>
      </w:r>
      <w:r>
        <w:rPr>
          <w:b w:val="0"/>
          <w:bCs w:val="0"/>
        </w:rPr>
      </w:r>
    </w:p>
    <w:p>
      <w:pPr>
        <w:pStyle w:val="BodyText"/>
        <w:spacing w:line="338" w:lineRule="auto" w:before="102"/>
        <w:ind w:right="0"/>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同一控制下的企业合并：公司以支付现金、转让非现金资产或承担债务方式以及以发行权益性证券作为合并对价的，在合并</w:t>
      </w:r>
      <w:r>
        <w:rPr>
          <w:spacing w:val="-66"/>
        </w:rPr>
        <w:t> </w:t>
      </w:r>
      <w:r>
        <w:rPr>
          <w:spacing w:val="-66"/>
        </w:rPr>
      </w:r>
      <w:r>
        <w:rPr/>
        <w:t>日按照取得被合并方所有者权益在最终控制方合并财务报表中的账面价值的份额作为长期股权投资的初始投资成本。 非同一控制下的企业合并：公司按照购买日确定的合并成本作为长期股权投资的初始投资成本。</w:t>
      </w:r>
    </w:p>
    <w:p>
      <w:pPr>
        <w:pStyle w:val="BodyText"/>
        <w:spacing w:line="350" w:lineRule="auto" w:before="42"/>
        <w:ind w:right="3372"/>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spacing w:line="240" w:lineRule="auto" w:before="0"/>
        <w:rPr>
          <w:rFonts w:ascii="宋体" w:hAnsi="宋体" w:cs="宋体" w:eastAsia="宋体" w:hint="default"/>
          <w:sz w:val="18"/>
          <w:szCs w:val="18"/>
        </w:rPr>
      </w:pPr>
    </w:p>
    <w:p>
      <w:pPr>
        <w:pStyle w:val="Heading5"/>
        <w:spacing w:line="240" w:lineRule="auto" w:before="149"/>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后续计量及损益确认方法</w:t>
      </w:r>
      <w:r>
        <w:rPr>
          <w:b w:val="0"/>
          <w:bCs w:val="0"/>
        </w:rPr>
      </w:r>
    </w:p>
    <w:p>
      <w:pPr>
        <w:pStyle w:val="BodyText"/>
        <w:spacing w:line="328" w:lineRule="auto" w:before="103"/>
        <w:ind w:right="0"/>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26" w:lineRule="auto" w:before="49"/>
        <w:ind w:right="0"/>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w:t>
      </w:r>
    </w:p>
    <w:p>
      <w:pPr>
        <w:pStyle w:val="BodyText"/>
        <w:spacing w:line="319" w:lineRule="auto" w:before="50"/>
        <w:ind w:right="1131"/>
        <w:jc w:val="both"/>
      </w:pP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6"/>
        </w:rPr>
        <w:t> </w:t>
      </w:r>
      <w:r>
        <w:rPr>
          <w:spacing w:val="-66"/>
        </w:rPr>
      </w:r>
      <w:r>
        <w:rPr/>
        <w:t>所有者权益。</w:t>
      </w:r>
    </w:p>
    <w:p>
      <w:pPr>
        <w:pStyle w:val="BodyText"/>
        <w:spacing w:line="319" w:lineRule="auto" w:before="55"/>
        <w:ind w:right="1130"/>
        <w:jc w:val="both"/>
      </w:pP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5"/>
        </w:rPr>
        <w:t> </w:t>
      </w:r>
      <w:r>
        <w:rPr>
          <w:spacing w:val="-65"/>
        </w:rPr>
      </w:r>
      <w:r>
        <w:rPr/>
        <w:t>表中的净利润、其他综合收益和其他所有者权益变动中归属于被投资单位的金额为基础进行核算。</w:t>
      </w:r>
    </w:p>
    <w:p>
      <w:pPr>
        <w:pStyle w:val="BodyText"/>
        <w:spacing w:line="316" w:lineRule="auto" w:before="56"/>
        <w:ind w:right="1131"/>
        <w:jc w:val="both"/>
      </w:pPr>
      <w:r>
        <w:rPr>
          <w:spacing w:val="-2"/>
        </w:rPr>
        <w:t>在公司确认应分担被投资单位发生的亏损时，按照以下顺序进行处理：首先，冲减长期股权投资的账面价值。其次，长期股</w:t>
      </w:r>
      <w:r>
        <w:rPr>
          <w:spacing w:val="-66"/>
        </w:rPr>
        <w:t> </w:t>
      </w:r>
      <w:r>
        <w:rPr>
          <w:spacing w:val="-66"/>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p>
    <w:p>
      <w:pPr>
        <w:spacing w:after="0" w:line="316" w:lineRule="auto"/>
        <w:jc w:val="both"/>
        <w:sectPr>
          <w:pgSz w:w="11910" w:h="16840"/>
          <w:pgMar w:header="850" w:footer="1267" w:top="1260" w:bottom="1460" w:left="980" w:right="0"/>
        </w:sectPr>
      </w:pPr>
    </w:p>
    <w:p>
      <w:pPr>
        <w:spacing w:line="240" w:lineRule="auto" w:before="10"/>
        <w:rPr>
          <w:rFonts w:ascii="宋体" w:hAnsi="宋体" w:cs="宋体" w:eastAsia="宋体" w:hint="default"/>
          <w:sz w:val="10"/>
          <w:szCs w:val="10"/>
        </w:rPr>
      </w:pPr>
    </w:p>
    <w:p>
      <w:pPr>
        <w:pStyle w:val="BodyText"/>
        <w:spacing w:line="240" w:lineRule="auto" w:before="44"/>
        <w:ind w:right="0"/>
        <w:jc w:val="left"/>
      </w:pPr>
      <w:r>
        <w:rPr/>
        <w:t>认预计负债，计入当期投资损失。</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5、投资性房地产" w:id="190"/>
      <w:bookmarkEnd w:id="19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Heading4"/>
        <w:spacing w:line="273" w:lineRule="auto"/>
        <w:ind w:right="0"/>
        <w:jc w:val="left"/>
      </w:pPr>
      <w:r>
        <w:rPr>
          <w:spacing w:val="-1"/>
        </w:rPr>
        <w:t>投资性房地产是指为赚取租金或资本增值，或两者兼有而持有的房地产，包括已出租的土地使用权、持有</w:t>
      </w:r>
      <w:r>
        <w:rPr>
          <w:spacing w:val="-83"/>
        </w:rPr>
        <w:t> </w:t>
      </w:r>
      <w:r>
        <w:rPr>
          <w:spacing w:val="-83"/>
        </w:rPr>
      </w:r>
      <w:r>
        <w:rPr>
          <w:spacing w:val="-1"/>
        </w:rPr>
        <w:t>并准备增值后转让的土地使用权、已出租的建筑物（含自行建造或开发活动完成后用于出租的建筑物以及</w:t>
      </w:r>
      <w:r>
        <w:rPr>
          <w:spacing w:val="-81"/>
        </w:rPr>
        <w:t> </w:t>
      </w:r>
      <w:r>
        <w:rPr>
          <w:spacing w:val="-81"/>
        </w:rPr>
      </w:r>
      <w:r>
        <w:rPr>
          <w:spacing w:val="-5"/>
        </w:rPr>
        <w:t>正在建造或开发过程中将来用于出租的建筑物）。</w:t>
      </w:r>
      <w:r>
        <w:rPr>
          <w:spacing w:val="-101"/>
        </w:rPr>
        <w:t> </w:t>
      </w:r>
      <w:r>
        <w:rPr>
          <w:spacing w:val="-101"/>
        </w:rPr>
      </w:r>
      <w:r>
        <w:rPr>
          <w:spacing w:val="-1"/>
        </w:rPr>
        <w:t>公司对现有投资性房地产采用成本模式计量。对按照成本模式计量的投资性房地产－出租用建筑物采用与</w:t>
      </w:r>
      <w:r>
        <w:rPr>
          <w:spacing w:val="-81"/>
        </w:rPr>
        <w:t> </w:t>
      </w:r>
      <w:r>
        <w:rPr>
          <w:spacing w:val="-81"/>
        </w:rPr>
      </w:r>
      <w:r>
        <w:rPr/>
        <w:t>本公司固定资产相同的折旧政策，出租用土地使用权按与无形资产相同的摊销政策执行。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16、固定资产" w:id="191"/>
      <w:bookmarkEnd w:id="19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2"/>
      <w:bookmarkEnd w:id="19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t>满足下列条件时予以确认：</w:t>
      </w:r>
    </w:p>
    <w:p>
      <w:pPr>
        <w:pStyle w:val="BodyText"/>
        <w:spacing w:line="240" w:lineRule="auto" w:before="58"/>
        <w:ind w:right="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02"/>
        <w:ind w:right="0"/>
        <w:jc w:val="left"/>
      </w:pPr>
      <w:r>
        <w:rPr/>
        <w:t>（</w:t>
      </w:r>
      <w:r>
        <w:rPr>
          <w:rFonts w:ascii="Times New Roman" w:hAnsi="Times New Roman" w:cs="Times New Roman" w:eastAsia="Times New Roman" w:hint="default"/>
        </w:rPr>
        <w:t>2</w:t>
      </w:r>
      <w:r>
        <w:rPr/>
        <w:t>）该固定资产的成本能够可靠地计量。</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折旧方法" w:id="193"/>
      <w:bookmarkEnd w:id="19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4.75-2.38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20.00-10.00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3）融资租入固定资产的认定依据、计价和折旧方法" w:id="194"/>
      <w:bookmarkEnd w:id="19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7、在建工程" w:id="195"/>
      <w:bookmarkEnd w:id="19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4"/>
        <w:spacing w:line="273" w:lineRule="auto"/>
        <w:ind w:right="1131"/>
        <w:jc w:val="both"/>
      </w:pPr>
      <w:r>
        <w:rPr>
          <w:spacing w:val="-1"/>
        </w:rPr>
        <w:t>在建工程项目按建造该项资产达到预定可使用状态前所发生的必要支出，作为固定资产的入账价值。所建</w:t>
      </w:r>
      <w:r>
        <w:rPr>
          <w:spacing w:val="-81"/>
        </w:rPr>
        <w:t> </w:t>
      </w:r>
      <w:r>
        <w:rPr>
          <w:spacing w:val="-81"/>
        </w:rPr>
      </w:r>
      <w:r>
        <w:rPr>
          <w:spacing w:val="-1"/>
        </w:rPr>
        <w:t>造的固定资产在工程已达到预定可使用状态，但尚未办理竣工决算的，自达到预定可使用状态之日起，根</w:t>
      </w:r>
      <w:r>
        <w:rPr>
          <w:spacing w:val="-83"/>
        </w:rPr>
        <w:t> </w:t>
      </w:r>
      <w:r>
        <w:rPr>
          <w:spacing w:val="-83"/>
        </w:rPr>
      </w:r>
      <w:r>
        <w:rPr>
          <w:spacing w:val="-1"/>
        </w:rPr>
        <w:t>据工程预算、造价或者工程实际成本等，按估计的价值转入固定资产，并按本公司固定资产折旧政策计提</w:t>
      </w:r>
    </w:p>
    <w:p>
      <w:pPr>
        <w:spacing w:after="0" w:line="273" w:lineRule="auto"/>
        <w:jc w:val="both"/>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40" w:lineRule="auto" w:before="35"/>
        <w:ind w:right="0"/>
        <w:jc w:val="left"/>
      </w:pPr>
      <w:r>
        <w:rPr/>
        <w:t>固定资产的折旧，待办理竣工决算后，再按实际成本调整原来的暂估价值，但不调整原已计提的折旧额。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0"/>
        <w:jc w:val="left"/>
        <w:rPr>
          <w:b w:val="0"/>
          <w:bCs w:val="0"/>
        </w:rPr>
      </w:pPr>
      <w:bookmarkStart w:name="18、借款费用" w:id="196"/>
      <w:bookmarkEnd w:id="19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9、生物资产" w:id="197"/>
      <w:bookmarkEnd w:id="19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0、油气资产" w:id="198"/>
      <w:bookmarkEnd w:id="19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1、无形资产" w:id="199"/>
      <w:bookmarkEnd w:id="19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00"/>
      <w:bookmarkEnd w:id="20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3"/>
        <w:spacing w:line="290" w:lineRule="exact"/>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无形资产的计价方法</w:t>
      </w:r>
      <w:r>
        <w:rPr>
          <w:b w:val="0"/>
          <w:bCs w:val="0"/>
        </w:rPr>
      </w:r>
    </w:p>
    <w:p>
      <w:pPr>
        <w:pStyle w:val="Heading4"/>
        <w:spacing w:line="256" w:lineRule="auto" w:before="21"/>
        <w:ind w:right="1197"/>
        <w:jc w:val="left"/>
      </w:pPr>
      <w:r>
        <w:rPr/>
        <w:t>（</w:t>
      </w:r>
      <w:r>
        <w:rPr>
          <w:rFonts w:ascii="Times New Roman" w:hAnsi="Times New Roman" w:cs="Times New Roman" w:eastAsia="Times New Roman" w:hint="default"/>
        </w:rPr>
        <w:t>1</w:t>
      </w:r>
      <w:r>
        <w:rPr/>
        <w:t>）公司取得无形资产时按成本进行初始计量外购无形资产的成本，包括购买价款、相关税费以及直接 归属于使该项资产达到预定用途所发生的其他支出。</w:t>
      </w:r>
    </w:p>
    <w:p>
      <w:pPr>
        <w:spacing w:line="240" w:lineRule="auto" w:before="7"/>
        <w:rPr>
          <w:rFonts w:ascii="宋体" w:hAnsi="宋体" w:cs="宋体" w:eastAsia="宋体" w:hint="default"/>
          <w:sz w:val="25"/>
          <w:szCs w:val="25"/>
        </w:rPr>
      </w:pPr>
    </w:p>
    <w:p>
      <w:pPr>
        <w:pStyle w:val="Heading4"/>
        <w:spacing w:line="256" w:lineRule="auto"/>
        <w:ind w:right="6972"/>
        <w:jc w:val="left"/>
      </w:pPr>
      <w:r>
        <w:rPr/>
        <w:t>（</w:t>
      </w:r>
      <w:r>
        <w:rPr>
          <w:rFonts w:ascii="Times New Roman" w:hAnsi="Times New Roman" w:cs="Times New Roman" w:eastAsia="Times New Roman" w:hint="default"/>
        </w:rPr>
        <w:t>2</w:t>
      </w:r>
      <w:r>
        <w:rPr/>
        <w:t>）后续计量 在取得无形资产时分析判断其使用寿命。</w:t>
      </w:r>
    </w:p>
    <w:p>
      <w:pPr>
        <w:pStyle w:val="Heading4"/>
        <w:spacing w:line="273" w:lineRule="auto" w:before="22"/>
        <w:ind w:right="0"/>
        <w:jc w:val="left"/>
      </w:pPr>
      <w:r>
        <w:rPr>
          <w:spacing w:val="-1"/>
        </w:rPr>
        <w:t>对于使用寿命有限的无形资产，在为企业带来经济利益的期限内按直线法摊销；无法预见无形资产为企业</w:t>
      </w:r>
      <w:r>
        <w:rPr>
          <w:spacing w:val="-81"/>
        </w:rPr>
        <w:t> </w:t>
      </w:r>
      <w:r>
        <w:rPr>
          <w:spacing w:val="-81"/>
        </w:rPr>
      </w:r>
      <w:r>
        <w:rPr/>
        <w:t>带来经济利益期限的，视为使用寿命不确定的无形资产，不予摊销。</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151" w:type="dxa"/>
        <w:tblLayout w:type="fixed"/>
        <w:tblCellMar>
          <w:top w:w="0" w:type="dxa"/>
          <w:left w:w="0" w:type="dxa"/>
          <w:bottom w:w="0" w:type="dxa"/>
          <w:right w:w="0" w:type="dxa"/>
        </w:tblCellMar>
        <w:tblLook w:val="01E0"/>
      </w:tblPr>
      <w:tblGrid>
        <w:gridCol w:w="2979"/>
        <w:gridCol w:w="1864"/>
        <w:gridCol w:w="2774"/>
      </w:tblGrid>
      <w:tr>
        <w:trPr>
          <w:trHeight w:val="427" w:hRule="exact"/>
        </w:trPr>
        <w:tc>
          <w:tcPr>
            <w:tcW w:w="297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77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50</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土地出让合同约定</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设计软件</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5</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427"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w:t>
            </w:r>
          </w:p>
        </w:tc>
        <w:tc>
          <w:tcPr>
            <w:tcW w:w="2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预计可使用年限</w:t>
            </w:r>
          </w:p>
        </w:tc>
      </w:tr>
    </w:tbl>
    <w:p>
      <w:pPr>
        <w:spacing w:line="240" w:lineRule="auto" w:before="0"/>
        <w:rPr>
          <w:rFonts w:ascii="宋体" w:hAnsi="宋体" w:cs="宋体" w:eastAsia="宋体" w:hint="default"/>
          <w:b/>
          <w:bCs/>
          <w:sz w:val="20"/>
          <w:szCs w:val="20"/>
        </w:rPr>
      </w:pPr>
    </w:p>
    <w:p>
      <w:pPr>
        <w:pStyle w:val="Heading4"/>
        <w:spacing w:line="273" w:lineRule="auto" w:before="35"/>
        <w:ind w:right="3822"/>
        <w:jc w:val="left"/>
      </w:pPr>
      <w:r>
        <w:rPr/>
        <w:t>每年度终了，对使用寿命有限的无形资产的使用寿命及摊销方法进行复核。 经复核，本年期末无形资产的使用寿命及摊销方法与以前估计未有不同。</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内部研究开发支出会计政策" w:id="201"/>
      <w:bookmarkEnd w:id="20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0"/>
        <w:jc w:val="left"/>
      </w:pP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3"/>
        </w:rPr>
        <w:t> </w:t>
      </w:r>
      <w:r>
        <w:rPr>
          <w:spacing w:val="-83"/>
        </w:rPr>
      </w:r>
      <w:r>
        <w:rPr/>
        <w:t>具有实质性改进的材料、装置、产品等活动的阶段。</w:t>
      </w:r>
    </w:p>
    <w:p>
      <w:pPr>
        <w:pStyle w:val="Heading4"/>
        <w:spacing w:line="590" w:lineRule="atLeast" w:before="10"/>
        <w:ind w:right="0"/>
        <w:jc w:val="left"/>
      </w:pPr>
      <w:bookmarkStart w:name="22、长期资产减值" w:id="202"/>
      <w:bookmarkEnd w:id="202"/>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长期股权投资、采用成本模式计量的投资性房地产、固定资产、在建工程、使用寿命有限的无形资产等长</w:t>
      </w:r>
    </w:p>
    <w:p>
      <w:pPr>
        <w:spacing w:after="0" w:line="590" w:lineRule="atLeast"/>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73" w:lineRule="auto" w:before="35"/>
        <w:ind w:right="1122"/>
        <w:jc w:val="left"/>
      </w:pPr>
      <w:r>
        <w:rPr>
          <w:spacing w:val="-1"/>
        </w:rPr>
        <w:t>期资产，于资产负债表日存在减值迹象的，进行减值测试。减值测试结果表明资产的可收回金额低于其账</w:t>
      </w:r>
      <w:r>
        <w:rPr>
          <w:spacing w:val="-83"/>
        </w:rPr>
        <w:t> </w:t>
      </w:r>
      <w:r>
        <w:rPr>
          <w:spacing w:val="-83"/>
        </w:rPr>
      </w:r>
      <w:r>
        <w:rPr>
          <w:spacing w:val="-1"/>
        </w:rPr>
        <w:t>面价值的，按其差额计提减值准备并计入减值损失。可收回金额为资产的公允价值减去处置费用后的净额</w:t>
      </w:r>
      <w:r>
        <w:rPr>
          <w:spacing w:val="-81"/>
        </w:rPr>
        <w:t> </w:t>
      </w:r>
      <w:r>
        <w:rPr>
          <w:spacing w:val="-81"/>
        </w:rPr>
      </w:r>
      <w:r>
        <w:rPr>
          <w:spacing w:val="-1"/>
        </w:rPr>
        <w:t>与资产预计未来现金流量的现值两者之间的较高者。资产减值准备按单项资产为基础计算并确认，如果难</w:t>
      </w:r>
      <w:r>
        <w:rPr>
          <w:spacing w:val="-81"/>
        </w:rPr>
        <w:t> </w:t>
      </w:r>
      <w:r>
        <w:rPr>
          <w:spacing w:val="-81"/>
        </w:rPr>
      </w:r>
      <w:r>
        <w:rPr>
          <w:spacing w:val="-1"/>
        </w:rPr>
        <w:t>以对单项资产的可收回金额进行估计的，以该资产所属的资产组确定资产组的可收回金额。资产组是能够</w:t>
      </w:r>
      <w:r>
        <w:rPr>
          <w:spacing w:val="-81"/>
        </w:rPr>
        <w:t> </w:t>
      </w:r>
      <w:r>
        <w:rPr>
          <w:spacing w:val="-81"/>
        </w:rPr>
      </w:r>
      <w:r>
        <w:rPr/>
        <w:t>独立产生现金流入的最小资产组合。 商誉和使用寿命不确定的无形资产至少在每年年度终了进行减值测试。 </w:t>
      </w:r>
      <w:r>
        <w:rPr>
          <w:spacing w:val="-1"/>
        </w:rPr>
        <w:t>本公司进行商誉减值测试，对于因企业合并形成的商誉的账面价值，自购买日起按照合理的方法分摊至相</w:t>
      </w:r>
      <w:r>
        <w:rPr>
          <w:spacing w:val="-81"/>
        </w:rPr>
        <w:t> </w:t>
      </w:r>
      <w:r>
        <w:rPr>
          <w:spacing w:val="-81"/>
        </w:rPr>
      </w:r>
      <w:r>
        <w:rPr>
          <w:spacing w:val="-1"/>
        </w:rPr>
        <w:t>关的资产组；难以分摊至相关的资产组的，将其分摊至相关的资产组组合。在将商誉的账面价值分摊至相</w:t>
      </w:r>
      <w:r>
        <w:rPr>
          <w:spacing w:val="-83"/>
        </w:rPr>
        <w:t> </w:t>
      </w:r>
      <w:r>
        <w:rPr>
          <w:spacing w:val="-83"/>
        </w:rPr>
      </w:r>
      <w:r>
        <w:rPr>
          <w:spacing w:val="-1"/>
        </w:rPr>
        <w:t>关的资产组或者资产组组合时，按照各资产组或者资产组组合的公允价值占相关资产组或者资产组组合公</w:t>
      </w:r>
      <w:r>
        <w:rPr>
          <w:spacing w:val="-81"/>
        </w:rPr>
        <w:t> </w:t>
      </w:r>
      <w:r>
        <w:rPr>
          <w:spacing w:val="-81"/>
        </w:rPr>
      </w:r>
      <w:r>
        <w:rPr>
          <w:spacing w:val="-1"/>
        </w:rPr>
        <w:t>允价值总额的比例进行分摊。公允价值难以可靠计量的，按照各资产组或者资产组组合的账面价值占相关</w:t>
      </w:r>
      <w:r>
        <w:rPr>
          <w:spacing w:val="-81"/>
        </w:rPr>
        <w:t> </w:t>
      </w:r>
      <w:r>
        <w:rPr>
          <w:spacing w:val="-81"/>
        </w:rPr>
      </w:r>
      <w:r>
        <w:rPr/>
        <w:t>资产组或者资产组组合账面价值总额的比例进行分摊。 </w:t>
      </w: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r>
        <w:rPr>
          <w:spacing w:val="-83"/>
        </w:rPr>
        <w:t> </w:t>
      </w:r>
      <w:r>
        <w:rPr>
          <w:spacing w:val="-83"/>
        </w:rPr>
      </w:r>
      <w:r>
        <w:rPr/>
        <w:t>者资产组组合的可收回金额低于其账面价值的，确认商誉的减值损失。 上述资产减值损失一经确认，在以后会计期间不予转回。</w:t>
      </w:r>
    </w:p>
    <w:p>
      <w:pPr>
        <w:spacing w:line="240" w:lineRule="auto" w:before="8"/>
        <w:rPr>
          <w:rFonts w:ascii="宋体" w:hAnsi="宋体" w:cs="宋体" w:eastAsia="宋体" w:hint="default"/>
          <w:sz w:val="24"/>
          <w:szCs w:val="24"/>
        </w:rPr>
      </w:pPr>
    </w:p>
    <w:p>
      <w:pPr>
        <w:spacing w:line="590" w:lineRule="atLeast" w:before="0"/>
        <w:ind w:left="154" w:right="2562" w:firstLine="0"/>
        <w:jc w:val="left"/>
        <w:rPr>
          <w:rFonts w:ascii="宋体" w:hAnsi="宋体" w:cs="宋体" w:eastAsia="宋体" w:hint="default"/>
          <w:sz w:val="21"/>
          <w:szCs w:val="21"/>
        </w:rPr>
      </w:pPr>
      <w:bookmarkStart w:name="23、长期待摊费用" w:id="203"/>
      <w:bookmarkEnd w:id="203"/>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长期待摊费用为已经发生但应由本期和以后各期负担的分摊期限在一年以上的各项费用。</w:t>
      </w:r>
    </w:p>
    <w:p>
      <w:pPr>
        <w:spacing w:line="290" w:lineRule="auto" w:before="77"/>
        <w:ind w:left="154" w:right="76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 </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spacing w:line="240" w:lineRule="auto" w:before="5"/>
        <w:rPr>
          <w:rFonts w:ascii="宋体" w:hAnsi="宋体" w:cs="宋体" w:eastAsia="宋体" w:hint="default"/>
          <w:sz w:val="29"/>
          <w:szCs w:val="29"/>
        </w:rPr>
      </w:pPr>
    </w:p>
    <w:p>
      <w:pPr>
        <w:pStyle w:val="Heading3"/>
        <w:spacing w:line="240" w:lineRule="auto"/>
        <w:ind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摊销年限</w:t>
      </w:r>
      <w:r>
        <w:rPr>
          <w:b w:val="0"/>
          <w:bCs w:val="0"/>
        </w:rPr>
      </w:r>
    </w:p>
    <w:p>
      <w:pPr>
        <w:spacing w:line="240" w:lineRule="auto" w:before="10"/>
        <w:rPr>
          <w:rFonts w:ascii="宋体" w:hAnsi="宋体" w:cs="宋体" w:eastAsia="宋体" w:hint="default"/>
          <w:b/>
          <w:bCs/>
          <w:sz w:val="5"/>
          <w:szCs w:val="5"/>
        </w:rPr>
      </w:pPr>
    </w:p>
    <w:tbl>
      <w:tblPr>
        <w:tblW w:w="0" w:type="auto"/>
        <w:jc w:val="left"/>
        <w:tblInd w:w="151" w:type="dxa"/>
        <w:tblLayout w:type="fixed"/>
        <w:tblCellMar>
          <w:top w:w="0" w:type="dxa"/>
          <w:left w:w="0" w:type="dxa"/>
          <w:bottom w:w="0" w:type="dxa"/>
          <w:right w:w="0" w:type="dxa"/>
        </w:tblCellMar>
        <w:tblLook w:val="01E0"/>
      </w:tblPr>
      <w:tblGrid>
        <w:gridCol w:w="2540"/>
        <w:gridCol w:w="2540"/>
        <w:gridCol w:w="2537"/>
      </w:tblGrid>
      <w:tr>
        <w:trPr>
          <w:trHeight w:val="422" w:hRule="exact"/>
        </w:trPr>
        <w:tc>
          <w:tcPr>
            <w:tcW w:w="254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54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53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33" w:hRule="exact"/>
        </w:trPr>
        <w:tc>
          <w:tcPr>
            <w:tcW w:w="25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厂区房屋装饰</w:t>
            </w:r>
          </w:p>
        </w:tc>
        <w:tc>
          <w:tcPr>
            <w:tcW w:w="25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53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24、职工薪酬" w:id="204"/>
      <w:bookmarkEnd w:id="204"/>
      <w:r>
        <w:rPr>
          <w:b w:val="0"/>
          <w:bCs w:val="0"/>
        </w:rPr>
      </w:r>
      <w:r>
        <w:rPr>
          <w:rFonts w:ascii="Times New Roman" w:hAnsi="Times New Roman" w:cs="Times New Roman" w:eastAsia="Times New Roman" w:hint="default"/>
        </w:rPr>
        <w:t>24</w:t>
      </w:r>
      <w:r>
        <w:rPr/>
        <w:t>、职工薪酬</w:t>
      </w:r>
      <w:r>
        <w:rPr>
          <w:b w:val="0"/>
          <w:bCs w:val="0"/>
        </w:rPr>
      </w:r>
    </w:p>
    <w:p>
      <w:pPr>
        <w:pStyle w:val="Heading3"/>
        <w:spacing w:line="590" w:lineRule="atLeast" w:before="23"/>
        <w:ind w:right="7906"/>
        <w:jc w:val="left"/>
        <w:rPr>
          <w:b w:val="0"/>
          <w:bCs w:val="0"/>
        </w:rPr>
      </w:pPr>
      <w:bookmarkStart w:name="（1）短期薪酬的会计处理方法" w:id="205"/>
      <w:bookmarkEnd w:id="205"/>
      <w:r>
        <w:rPr>
          <w:b w:val="0"/>
          <w:bCs w:val="0"/>
        </w:rPr>
      </w:r>
      <w:r>
        <w:rPr/>
        <w:t>（</w:t>
      </w:r>
      <w:r>
        <w:rPr>
          <w:rFonts w:ascii="Times New Roman" w:hAnsi="Times New Roman" w:cs="Times New Roman" w:eastAsia="Times New Roman" w:hint="default"/>
        </w:rPr>
        <w:t>1</w:t>
      </w:r>
      <w:r>
        <w:rPr/>
        <w:t>）短期薪酬的会计处理方法</w:t>
      </w:r>
      <w:r>
        <w:rPr>
          <w:w w:val="99"/>
        </w:rPr>
        <w:t> </w:t>
      </w:r>
      <w:r>
        <w:rPr/>
        <w:t>短期薪酬的会计处理方法</w:t>
      </w:r>
      <w:r>
        <w:rPr>
          <w:b w:val="0"/>
          <w:bCs w:val="0"/>
        </w:rPr>
      </w:r>
    </w:p>
    <w:p>
      <w:pPr>
        <w:pStyle w:val="Heading4"/>
        <w:spacing w:line="273" w:lineRule="auto" w:before="37"/>
        <w:ind w:right="1122"/>
        <w:jc w:val="left"/>
      </w:pPr>
      <w:r>
        <w:rPr>
          <w:spacing w:val="-1"/>
        </w:rPr>
        <w:t>本公司在职工为本公司提供服务的会计期间，将实际发生的短期薪酬确认为负债，并计入当期损益或相关</w:t>
      </w:r>
      <w:r>
        <w:rPr>
          <w:spacing w:val="-81"/>
        </w:rPr>
        <w:t> </w:t>
      </w:r>
      <w:r>
        <w:rPr>
          <w:spacing w:val="-81"/>
        </w:rPr>
      </w:r>
      <w:r>
        <w:rPr/>
        <w:t>资产成本。 </w:t>
      </w:r>
      <w:r>
        <w:rPr>
          <w:spacing w:val="-1"/>
        </w:rPr>
        <w:t>本公司为职工缴纳的社会保险费和住房公积金，以及按规定提取的工会经费和职工教育经费，在职工为本</w:t>
      </w:r>
      <w:r>
        <w:rPr>
          <w:spacing w:val="-81"/>
        </w:rPr>
        <w:t> </w:t>
      </w:r>
      <w:r>
        <w:rPr>
          <w:spacing w:val="-81"/>
        </w:rPr>
      </w:r>
      <w:r>
        <w:rPr/>
        <w:t>公司提供服务的会计期间，根据规定的计提基础和计提比例计算确定相应的职工薪酬金额。 职工福利费为非货币性福利的，如能够可靠计量的，按照公允价值计量。</w:t>
      </w:r>
    </w:p>
    <w:p>
      <w:pPr>
        <w:spacing w:after="0" w:line="273" w:lineRule="auto"/>
        <w:jc w:val="left"/>
        <w:sectPr>
          <w:pgSz w:w="11910" w:h="16840"/>
          <w:pgMar w:header="850" w:footer="1267" w:top="1260" w:bottom="1460" w:left="980" w:right="0"/>
        </w:sectPr>
      </w:pPr>
    </w:p>
    <w:p>
      <w:pPr>
        <w:spacing w:line="240" w:lineRule="auto" w:before="7"/>
        <w:rPr>
          <w:rFonts w:ascii="宋体" w:hAnsi="宋体" w:cs="宋体" w:eastAsia="宋体" w:hint="default"/>
          <w:sz w:val="9"/>
          <w:szCs w:val="9"/>
        </w:rPr>
      </w:pPr>
    </w:p>
    <w:p>
      <w:pPr>
        <w:pStyle w:val="Heading3"/>
        <w:spacing w:line="240" w:lineRule="auto" w:before="35"/>
        <w:ind w:right="0"/>
        <w:jc w:val="left"/>
        <w:rPr>
          <w:b w:val="0"/>
          <w:bCs w:val="0"/>
        </w:rPr>
      </w:pPr>
      <w:bookmarkStart w:name="（2）离职后福利的会计处理方法" w:id="206"/>
      <w:bookmarkEnd w:id="20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66" w:lineRule="auto"/>
        <w:ind w:right="1302"/>
        <w:jc w:val="left"/>
      </w:pPr>
      <w:r>
        <w:rPr/>
        <w:t>（</w:t>
      </w:r>
      <w:r>
        <w:rPr>
          <w:rFonts w:ascii="Times New Roman" w:hAnsi="Times New Roman" w:cs="Times New Roman" w:eastAsia="Times New Roman" w:hint="default"/>
        </w:rPr>
        <w:t>1</w:t>
      </w:r>
      <w:r>
        <w:rPr/>
        <w:t>）设定提存计划 本公司按当地政府的相关规定为职工缴纳基本养老保险和失业保险，在职工为本公司提供服务的会计期 间，按以当地规定的缴纳基数和比例计算应缴纳金额，确认为负债，并计入当期损益或相关资产成本</w:t>
      </w:r>
    </w:p>
    <w:p>
      <w:pPr>
        <w:pStyle w:val="Heading4"/>
        <w:spacing w:line="256" w:lineRule="auto" w:before="14"/>
        <w:ind w:right="8442"/>
        <w:jc w:val="left"/>
      </w:pPr>
      <w:r>
        <w:rPr/>
        <w:t>（</w:t>
      </w:r>
      <w:r>
        <w:rPr>
          <w:rFonts w:ascii="Times New Roman" w:hAnsi="Times New Roman" w:cs="Times New Roman" w:eastAsia="Times New Roman" w:hint="default"/>
        </w:rPr>
        <w:t>2</w:t>
      </w:r>
      <w:r>
        <w:rPr/>
        <w:t>）设定受益计划 本公司无设定受益计划。</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3"/>
        <w:spacing w:line="240" w:lineRule="auto"/>
        <w:ind w:right="0"/>
        <w:jc w:val="left"/>
        <w:rPr>
          <w:b w:val="0"/>
          <w:bCs w:val="0"/>
        </w:rPr>
      </w:pPr>
      <w:bookmarkStart w:name="（3）辞退福利的会计处理方法" w:id="207"/>
      <w:bookmarkEnd w:id="20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0"/>
        <w:jc w:val="left"/>
      </w:pPr>
      <w:r>
        <w:rPr>
          <w:spacing w:val="-1"/>
        </w:rPr>
        <w:t>本公司在不能单方面撤回因解除劳动关系计划或裁减建议所提供的辞退福利时，或确认与涉及支付辞退福</w:t>
      </w:r>
      <w:r>
        <w:rPr>
          <w:spacing w:val="-81"/>
        </w:rPr>
        <w:t> </w:t>
      </w:r>
      <w:r>
        <w:rPr>
          <w:spacing w:val="-81"/>
        </w:rPr>
      </w:r>
      <w:r>
        <w:rPr>
          <w:spacing w:val="-3"/>
        </w:rPr>
        <w:t>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3"/>
        <w:spacing w:line="240" w:lineRule="auto"/>
        <w:ind w:right="0"/>
        <w:jc w:val="left"/>
        <w:rPr>
          <w:b w:val="0"/>
          <w:bCs w:val="0"/>
        </w:rPr>
      </w:pPr>
      <w:bookmarkStart w:name="（4）其他长期职工福利的会计处理方法" w:id="208"/>
      <w:bookmarkEnd w:id="20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5、预计负债" w:id="209"/>
      <w:bookmarkEnd w:id="20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6、股份支付" w:id="210"/>
      <w:bookmarkEnd w:id="21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7、优先股、永续债等其他金融工具" w:id="211"/>
      <w:bookmarkEnd w:id="21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8、收入" w:id="212"/>
      <w:bookmarkEnd w:id="212"/>
      <w:r>
        <w:rPr>
          <w:b w:val="0"/>
          <w:bCs w:val="0"/>
        </w:rPr>
      </w:r>
      <w:r>
        <w:rPr>
          <w:rFonts w:ascii="Times New Roman" w:hAnsi="Times New Roman" w:cs="Times New Roman" w:eastAsia="Times New Roman" w:hint="default"/>
        </w:rPr>
        <w:t>28</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28" w:lineRule="auto" w:before="28"/>
        <w:ind w:right="0"/>
        <w:jc w:val="left"/>
      </w:pPr>
      <w:r>
        <w:rPr>
          <w:rFonts w:ascii="Times New Roman" w:hAnsi="Times New Roman" w:cs="Times New Roman" w:eastAsia="Times New Roman" w:hint="default"/>
          <w:b/>
          <w:bCs/>
        </w:rPr>
        <w:t>1</w:t>
      </w:r>
      <w:r>
        <w:rPr>
          <w:rFonts w:ascii="宋体" w:hAnsi="宋体" w:cs="宋体" w:eastAsia="宋体" w:hint="default"/>
          <w:b/>
          <w:bCs/>
        </w:rPr>
        <w:t>、提供劳务收入</w:t>
      </w:r>
      <w:r>
        <w:rPr>
          <w:rFonts w:ascii="宋体" w:hAnsi="宋体" w:cs="宋体" w:eastAsia="宋体" w:hint="default"/>
          <w:b/>
          <w:bCs/>
          <w:w w:val="99"/>
        </w:rPr>
        <w:t> </w:t>
      </w:r>
      <w:r>
        <w:rPr>
          <w:spacing w:val="-2"/>
        </w:rPr>
        <w:t>公司专业技术服务包括为电力（发电、输变电）领域建设工程提供勘察设计、规划和咨询等技术服务。相关技术服务区分以</w:t>
      </w:r>
      <w:r>
        <w:rPr>
          <w:spacing w:val="-66"/>
        </w:rPr>
        <w:t> </w:t>
      </w:r>
      <w:r>
        <w:rPr>
          <w:spacing w:val="-66"/>
        </w:rPr>
      </w:r>
      <w:r>
        <w:rPr/>
        <w:t>下不同情况进行收入确认：</w:t>
      </w:r>
    </w:p>
    <w:p>
      <w:pPr>
        <w:pStyle w:val="BodyText"/>
        <w:spacing w:line="240" w:lineRule="auto" w:before="49"/>
        <w:ind w:right="0"/>
        <w:jc w:val="left"/>
      </w:pPr>
      <w:r>
        <w:rPr>
          <w:rFonts w:ascii="Times New Roman" w:hAnsi="Times New Roman" w:cs="Times New Roman" w:eastAsia="Times New Roman" w:hint="default"/>
        </w:rPr>
        <w:t>A</w:t>
      </w:r>
      <w:r>
        <w:rPr/>
        <w:t>、勘察设计服务</w:t>
      </w:r>
    </w:p>
    <w:p>
      <w:pPr>
        <w:pStyle w:val="BodyText"/>
        <w:spacing w:line="326" w:lineRule="auto" w:before="102"/>
        <w:ind w:right="0"/>
        <w:jc w:val="left"/>
      </w:pPr>
      <w:r>
        <w:rPr/>
        <w:t>（</w:t>
      </w:r>
      <w:r>
        <w:rPr>
          <w:rFonts w:ascii="Times New Roman" w:hAnsi="Times New Roman" w:cs="Times New Roman" w:eastAsia="Times New Roman" w:hint="default"/>
        </w:rPr>
        <w:t>1</w:t>
      </w:r>
      <w:r>
        <w:rPr/>
        <w:t>）收入确认原则 </w:t>
      </w:r>
      <w:r>
        <w:rPr>
          <w:spacing w:val="-2"/>
        </w:rPr>
        <w:t>提供劳务服务的结果在资产负债表日能够可靠估计的，采用完工百分比法确认提供劳务收入。在资产负债表日，根据成果的</w:t>
      </w:r>
      <w:r>
        <w:rPr>
          <w:spacing w:val="-66"/>
        </w:rPr>
        <w:t> </w:t>
      </w:r>
      <w:r>
        <w:rPr>
          <w:spacing w:val="-66"/>
        </w:rPr>
      </w:r>
      <w:r>
        <w:rPr>
          <w:spacing w:val="-2"/>
        </w:rPr>
        <w:t>交付和取得经客户确认的进度确认文件或证明，并以此确认文件或证明确定已提供劳务完工程度，按照应收的合同或协议价</w:t>
      </w:r>
      <w:r>
        <w:rPr>
          <w:spacing w:val="-64"/>
        </w:rPr>
        <w:t> </w:t>
      </w:r>
      <w:r>
        <w:rPr>
          <w:spacing w:val="-64"/>
        </w:rPr>
      </w:r>
      <w:r>
        <w:rPr/>
        <w:t>款确定当期提供劳务收入。</w:t>
      </w:r>
    </w:p>
    <w:p>
      <w:pPr>
        <w:pStyle w:val="BodyText"/>
        <w:spacing w:line="240" w:lineRule="auto" w:before="51"/>
        <w:ind w:right="0"/>
        <w:jc w:val="left"/>
      </w:pPr>
      <w:r>
        <w:rPr/>
        <w:t>在资产负债表日提供劳务交易结果不能够可靠估计的，分别下列情况处理：</w:t>
      </w:r>
    </w:p>
    <w:p>
      <w:pPr>
        <w:pStyle w:val="BodyText"/>
        <w:spacing w:line="240" w:lineRule="auto" w:before="116"/>
        <w:ind w:right="0"/>
        <w:jc w:val="left"/>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p>
    <w:p>
      <w:pPr>
        <w:pStyle w:val="BodyText"/>
        <w:spacing w:line="240" w:lineRule="auto" w:before="117"/>
        <w:ind w:right="0"/>
        <w:jc w:val="left"/>
      </w:pPr>
      <w:r>
        <w:rPr/>
        <w:t>②已经发生的劳务成本预计不能够得到补偿的，将已经发生的劳务成本计入当期损益，不确认提供劳务收入。</w:t>
      </w:r>
    </w:p>
    <w:p>
      <w:pPr>
        <w:pStyle w:val="BodyText"/>
        <w:spacing w:line="240" w:lineRule="auto" w:before="116"/>
        <w:ind w:right="0"/>
        <w:jc w:val="left"/>
      </w:pPr>
      <w:r>
        <w:rPr/>
        <w:t>（</w:t>
      </w:r>
      <w:r>
        <w:rPr>
          <w:rFonts w:ascii="Times New Roman" w:hAnsi="Times New Roman" w:cs="Times New Roman" w:eastAsia="Times New Roman" w:hint="default"/>
        </w:rPr>
        <w:t>2</w:t>
      </w:r>
      <w:r>
        <w:rPr/>
        <w:t>）收入确认方法</w:t>
      </w:r>
    </w:p>
    <w:p>
      <w:pPr>
        <w:pStyle w:val="BodyText"/>
        <w:spacing w:line="338" w:lineRule="auto" w:before="103"/>
        <w:ind w:right="1122"/>
        <w:jc w:val="left"/>
      </w:pPr>
      <w:r>
        <w:rPr/>
        <w:t>①签订合同阶段 </w:t>
      </w:r>
      <w:r>
        <w:rPr>
          <w:spacing w:val="-2"/>
        </w:rPr>
        <w:t>该阶段公司与委托方签订设计合同后，委托方支付首期款，由于该款项属于预收款，因此公司收到时作为项目预收款，不确</w:t>
      </w:r>
      <w:r>
        <w:rPr>
          <w:spacing w:val="-66"/>
        </w:rPr>
        <w:t> </w:t>
      </w:r>
      <w:r>
        <w:rPr>
          <w:spacing w:val="-66"/>
        </w:rPr>
      </w:r>
      <w:r>
        <w:rPr/>
        <w:t>认收入。</w:t>
      </w:r>
    </w:p>
    <w:p>
      <w:pPr>
        <w:pStyle w:val="BodyText"/>
        <w:spacing w:line="240" w:lineRule="auto" w:before="43"/>
        <w:ind w:right="0"/>
        <w:jc w:val="left"/>
      </w:pPr>
      <w:r>
        <w:rPr/>
        <w:t>②初步设计阶段</w:t>
      </w:r>
    </w:p>
    <w:p>
      <w:pPr>
        <w:spacing w:after="0" w:line="240" w:lineRule="auto"/>
        <w:jc w:val="left"/>
        <w:sectPr>
          <w:pgSz w:w="11910" w:h="16840"/>
          <w:pgMar w:header="850" w:footer="1267" w:top="1260" w:bottom="1460" w:left="980" w:right="0"/>
        </w:sectPr>
      </w:pPr>
    </w:p>
    <w:p>
      <w:pPr>
        <w:spacing w:line="240" w:lineRule="auto" w:before="9"/>
        <w:rPr>
          <w:rFonts w:ascii="宋体" w:hAnsi="宋体" w:cs="宋体" w:eastAsia="宋体" w:hint="default"/>
          <w:sz w:val="10"/>
          <w:szCs w:val="10"/>
        </w:rPr>
      </w:pPr>
    </w:p>
    <w:p>
      <w:pPr>
        <w:pStyle w:val="BodyText"/>
        <w:spacing w:line="319" w:lineRule="auto" w:before="44"/>
        <w:ind w:right="1131"/>
        <w:jc w:val="both"/>
      </w:pPr>
      <w:r>
        <w:rPr>
          <w:spacing w:val="-2"/>
        </w:rPr>
        <w:t>该阶段工作主要确定各种专业的设计原则、技术规范、主要设备组成，编制初步设计说明书及图纸、概算（如需要）等。初</w:t>
      </w:r>
      <w:r>
        <w:rPr>
          <w:spacing w:val="-71"/>
        </w:rPr>
        <w:t> </w:t>
      </w:r>
      <w:r>
        <w:rPr>
          <w:spacing w:val="-71"/>
        </w:rPr>
      </w:r>
      <w:r>
        <w:rPr>
          <w:spacing w:val="-2"/>
        </w:rPr>
        <w:t>步设计文件提交委托方后，由委托方组织评审机构或专家进行审查，提出修改意见（如有）。公司根据修改意见，进行补充</w:t>
      </w:r>
      <w:r>
        <w:rPr>
          <w:spacing w:val="-65"/>
        </w:rPr>
        <w:t> </w:t>
      </w:r>
      <w:r>
        <w:rPr>
          <w:spacing w:val="-65"/>
        </w:rPr>
      </w:r>
      <w:r>
        <w:rPr>
          <w:spacing w:val="-2"/>
        </w:rPr>
        <w:t>和完善。当公司交付最终初步设计结果并获取相关机构评审文件或委托方出具的确认证明后，根据合同约定的累计至本阶段</w:t>
      </w:r>
      <w:r>
        <w:rPr>
          <w:spacing w:val="-64"/>
        </w:rPr>
        <w:t> </w:t>
      </w:r>
      <w:r>
        <w:rPr>
          <w:spacing w:val="-64"/>
        </w:rPr>
      </w:r>
      <w:r>
        <w:rPr/>
        <w:t>的结算款项确认本阶段的设计费收入。</w:t>
      </w:r>
    </w:p>
    <w:p>
      <w:pPr>
        <w:pStyle w:val="BodyText"/>
        <w:spacing w:line="338" w:lineRule="auto" w:before="57"/>
        <w:ind w:right="1032"/>
        <w:jc w:val="left"/>
      </w:pPr>
      <w:r>
        <w:rPr/>
        <w:t>③施工图设计阶段 该阶段根据审查完毕确认的初步设计结果进行详细的可施工图纸设计。由公司设计总工程师、委托方、施工单位进行沟通， </w:t>
      </w:r>
      <w:r>
        <w:rPr>
          <w:spacing w:val="-2"/>
        </w:rPr>
        <w:t>组织施工图图纸交底。当公司交付施工图并获取委托方出具的确认证明后，根据合同约定的累计至本阶段的结算款项扣除以</w:t>
      </w:r>
    </w:p>
    <w:p>
      <w:pPr>
        <w:pStyle w:val="BodyText"/>
        <w:spacing w:line="240" w:lineRule="auto" w:before="4"/>
        <w:ind w:right="0"/>
        <w:jc w:val="left"/>
      </w:pPr>
      <w:r>
        <w:rPr/>
        <w:t>前累计已确认收入确认本阶段的设计费收入。</w:t>
      </w:r>
    </w:p>
    <w:p>
      <w:pPr>
        <w:pStyle w:val="BodyText"/>
        <w:spacing w:line="338" w:lineRule="auto" w:before="116"/>
        <w:ind w:right="1032"/>
        <w:jc w:val="left"/>
      </w:pPr>
      <w:r>
        <w:rPr/>
        <w:t>④竣工图设计阶段 现场施工完成后，根据实际施工情况，出具一整套完整的最终竣工图。当公司交付竣工图并获取委托方出具的确认证明后， 根据合同总价扣除以前累计已确认收入确认本阶段的设计费收入。</w:t>
      </w:r>
    </w:p>
    <w:p>
      <w:pPr>
        <w:pStyle w:val="BodyText"/>
        <w:spacing w:line="338" w:lineRule="auto" w:before="43"/>
        <w:ind w:right="1122"/>
        <w:jc w:val="left"/>
      </w:pPr>
      <w:r>
        <w:rPr/>
        <w:t>⑤质保期阶段 </w:t>
      </w:r>
      <w:r>
        <w:rPr>
          <w:spacing w:val="-2"/>
        </w:rPr>
        <w:t>由于质保期内发生的工作量极小，公司所提供的服务属于售后服务性质，所发生的成本计入当期费用，因此质保金将包括在</w:t>
      </w:r>
      <w:r>
        <w:rPr>
          <w:spacing w:val="-66"/>
        </w:rPr>
        <w:t> </w:t>
      </w:r>
      <w:r>
        <w:rPr>
          <w:spacing w:val="-66"/>
        </w:rPr>
      </w:r>
      <w:r>
        <w:rPr/>
        <w:t>上述竣工图设计阶段。</w:t>
      </w:r>
    </w:p>
    <w:p>
      <w:pPr>
        <w:pStyle w:val="BodyText"/>
        <w:spacing w:line="240" w:lineRule="auto" w:before="42"/>
        <w:ind w:right="0"/>
        <w:jc w:val="left"/>
      </w:pPr>
      <w:r>
        <w:rPr>
          <w:rFonts w:ascii="Times New Roman" w:hAnsi="Times New Roman" w:cs="Times New Roman" w:eastAsia="Times New Roman" w:hint="default"/>
        </w:rPr>
        <w:t>B</w:t>
      </w:r>
      <w:r>
        <w:rPr/>
        <w:t>、规划和咨询服务</w:t>
      </w:r>
    </w:p>
    <w:p>
      <w:pPr>
        <w:pStyle w:val="BodyText"/>
        <w:spacing w:line="338" w:lineRule="auto" w:before="103"/>
        <w:ind w:right="1392"/>
        <w:jc w:val="left"/>
      </w:pPr>
      <w:r>
        <w:rPr/>
        <w:t>（</w:t>
      </w:r>
      <w:r>
        <w:rPr>
          <w:rFonts w:ascii="Times New Roman" w:hAnsi="Times New Roman" w:cs="Times New Roman" w:eastAsia="Times New Roman" w:hint="default"/>
        </w:rPr>
        <w:t>1</w:t>
      </w:r>
      <w:r>
        <w:rPr/>
        <w:t>）收入确认原则 公司已经提供服务，与服务相关的经济利益能够流入本公司，相关的收入和成本能够可靠计量时确认销售收入的实现。</w:t>
      </w:r>
    </w:p>
    <w:p>
      <w:pPr>
        <w:spacing w:line="348" w:lineRule="auto" w:before="42"/>
        <w:ind w:left="154" w:right="3552"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）收入确认方法 公司完成服务并将相关资料及报告提交委托方后取得相关确认证明时按合同金额确认收入。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、建造合同收入的确认依据和方法</w:t>
      </w:r>
      <w:r>
        <w:rPr>
          <w:rFonts w:ascii="宋体" w:hAnsi="宋体" w:cs="宋体" w:eastAsia="宋体" w:hint="default"/>
          <w:sz w:val="18"/>
          <w:szCs w:val="18"/>
        </w:rPr>
      </w:r>
    </w:p>
    <w:p>
      <w:pPr>
        <w:pStyle w:val="BodyText"/>
        <w:spacing w:line="348" w:lineRule="auto" w:before="13"/>
        <w:ind w:right="2472"/>
        <w:jc w:val="left"/>
      </w:pPr>
      <w:r>
        <w:rPr/>
        <w:t>（</w:t>
      </w:r>
      <w:r>
        <w:rPr>
          <w:rFonts w:ascii="Times New Roman" w:hAnsi="Times New Roman" w:cs="Times New Roman" w:eastAsia="Times New Roman" w:hint="default"/>
        </w:rPr>
        <w:t>1</w:t>
      </w:r>
      <w:r>
        <w:rPr/>
        <w:t>）收入确认原则 在资产负债表日，建造合同的结果能够可靠地估计的，应当根据完工百分比法确认合同收入和合同费用。 在资产负债表日，建造合同的结果不能可靠估计的，应当分别下列情况处理：</w:t>
      </w:r>
    </w:p>
    <w:p>
      <w:pPr>
        <w:pStyle w:val="BodyText"/>
        <w:spacing w:line="240" w:lineRule="auto" w:before="35"/>
        <w:ind w:right="0"/>
        <w:jc w:val="left"/>
      </w:pPr>
      <w:r>
        <w:rPr/>
        <w:t>①合同成本能够收回的，合同收入根据能够收回的实际合同成本予以确认，合同成本在其发生的当期确认为合同费用。</w:t>
      </w:r>
    </w:p>
    <w:p>
      <w:pPr>
        <w:pStyle w:val="BodyText"/>
        <w:spacing w:line="240" w:lineRule="auto" w:before="117"/>
        <w:ind w:right="0"/>
        <w:jc w:val="left"/>
      </w:pPr>
      <w:r>
        <w:rPr/>
        <w:t>②合同成本不可能收回的，在发生时立即确认为合同费用，不确认合同收入。</w:t>
      </w:r>
    </w:p>
    <w:p>
      <w:pPr>
        <w:pStyle w:val="BodyText"/>
        <w:spacing w:line="324" w:lineRule="auto" w:before="116"/>
        <w:ind w:right="1032"/>
        <w:jc w:val="left"/>
      </w:pPr>
      <w:r>
        <w:rPr/>
        <w:t>（</w:t>
      </w:r>
      <w:r>
        <w:rPr>
          <w:rFonts w:ascii="Times New Roman" w:hAnsi="Times New Roman" w:cs="Times New Roman" w:eastAsia="Times New Roman" w:hint="default"/>
        </w:rPr>
        <w:t>2</w:t>
      </w:r>
      <w:r>
        <w:rPr/>
        <w:t>）收入确认方法 在资产负债表日，按照合同总收入乘以完工进度扣除以前会计期间累计已确认收入后的金额，确认为当期合同收入；同时， </w:t>
      </w:r>
      <w:r>
        <w:rPr>
          <w:spacing w:val="-2"/>
        </w:rPr>
        <w:t>按照合同预计总成本乘以完工进度扣除以前会计期间累计已确认费用后的金额，确认为当期合同费用。其中完工进度系为累</w:t>
      </w:r>
      <w:r>
        <w:rPr>
          <w:spacing w:val="-64"/>
        </w:rPr>
        <w:t> </w:t>
      </w:r>
      <w:r>
        <w:rPr>
          <w:spacing w:val="-64"/>
        </w:rPr>
      </w:r>
      <w:r>
        <w:rPr/>
        <w:t>计实际发生的合同成本占合同预计总成本的比例。</w:t>
      </w:r>
    </w:p>
    <w:p>
      <w:pPr>
        <w:spacing w:line="240" w:lineRule="auto" w:before="0"/>
        <w:rPr>
          <w:rFonts w:ascii="宋体" w:hAnsi="宋体" w:cs="宋体" w:eastAsia="宋体" w:hint="default"/>
          <w:sz w:val="22"/>
          <w:szCs w:val="22"/>
        </w:rPr>
      </w:pPr>
    </w:p>
    <w:p>
      <w:pPr>
        <w:pStyle w:val="Heading3"/>
        <w:spacing w:line="240" w:lineRule="auto"/>
        <w:ind w:right="0"/>
        <w:jc w:val="left"/>
        <w:rPr>
          <w:b w:val="0"/>
          <w:bCs w:val="0"/>
        </w:rPr>
      </w:pPr>
      <w:bookmarkStart w:name="29、政府补助" w:id="213"/>
      <w:bookmarkEnd w:id="21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71" w:lineRule="auto"/>
        <w:ind w:right="1122"/>
        <w:jc w:val="left"/>
      </w:pPr>
      <w:r>
        <w:rPr>
          <w:rFonts w:ascii="Times New Roman" w:hAnsi="Times New Roman" w:cs="Times New Roman" w:eastAsia="Times New Roman" w:hint="default"/>
          <w:b/>
          <w:bCs/>
        </w:rPr>
        <w:t>1. </w:t>
      </w:r>
      <w:r>
        <w:rPr>
          <w:rFonts w:ascii="宋体" w:hAnsi="宋体" w:cs="宋体" w:eastAsia="宋体" w:hint="default"/>
          <w:b/>
          <w:bCs/>
        </w:rPr>
        <w:t>类型</w:t>
      </w:r>
      <w:r>
        <w:rPr>
          <w:rFonts w:ascii="宋体" w:hAnsi="宋体" w:cs="宋体" w:eastAsia="宋体" w:hint="default"/>
          <w:b/>
          <w:bCs/>
          <w:w w:val="99"/>
        </w:rPr>
        <w:t> </w:t>
      </w:r>
      <w:r>
        <w:rPr>
          <w:spacing w:val="-1"/>
        </w:rPr>
        <w:t>政府补助，是本公司从政府无偿取得的货币性资产与非货币性资产。分为与资产相关的政府补助和与收益</w:t>
      </w:r>
      <w:r>
        <w:rPr>
          <w:spacing w:val="-81"/>
        </w:rPr>
        <w:t> </w:t>
      </w:r>
      <w:r>
        <w:rPr>
          <w:spacing w:val="-81"/>
        </w:rPr>
      </w:r>
      <w:r>
        <w:rPr/>
        <w:t>相关的政府补助。 </w:t>
      </w:r>
      <w:r>
        <w:rPr>
          <w:spacing w:val="-1"/>
        </w:rPr>
        <w:t>与资产相关的政府补助，是指本公司取得的、用于购建或以其他方式形成长期资产的政府补助。与收益相</w:t>
      </w:r>
      <w:r>
        <w:rPr>
          <w:spacing w:val="-83"/>
        </w:rPr>
        <w:t> </w:t>
      </w:r>
      <w:r>
        <w:rPr>
          <w:spacing w:val="-83"/>
        </w:rPr>
      </w:r>
      <w:r>
        <w:rPr/>
        <w:t>关的政府补助，是指除与资产相关的政府补助之外的政府补助。 本公司将政府补助划分为与资产相关的具体标准为：用于购建长期资产获取的政府补助； 本公司将政府补助划分为与收益相关的具体标准为：补偿企业相关费用或损失； 对于政府文件未明确规定补助对象的，本公司将该政府补助划分为与资产相关或与收益相关的判断依据 为：将政府补助整体归类为与收益相关的政府补助。</w:t>
      </w:r>
    </w:p>
    <w:p>
      <w:pPr>
        <w:spacing w:after="0" w:line="271"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4"/>
        <w:spacing w:line="266" w:lineRule="auto" w:before="35"/>
        <w:ind w:right="1023"/>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1"/>
        </w:rPr>
        <w:t> </w:t>
      </w:r>
      <w:r>
        <w:rPr>
          <w:rFonts w:ascii="宋体" w:hAnsi="宋体" w:cs="宋体" w:eastAsia="宋体" w:hint="default"/>
          <w:b/>
          <w:bCs/>
        </w:rPr>
        <w:t>确认时点</w:t>
      </w:r>
      <w:r>
        <w:rPr>
          <w:rFonts w:ascii="宋体" w:hAnsi="宋体" w:cs="宋体" w:eastAsia="宋体" w:hint="default"/>
          <w:b/>
          <w:bCs/>
          <w:w w:val="99"/>
        </w:rPr>
        <w:t> </w:t>
      </w:r>
      <w:r>
        <w:rPr/>
        <w:t>对期末有证据表明公司能够符合财政扶持政策规定的相关条件且预计能够收到财政扶持资金的，按应收金 额确认政府补助。除此之外，政府补助均在实际收到时确认。 </w:t>
      </w:r>
      <w:r>
        <w:rPr>
          <w:spacing w:val="-3"/>
        </w:rPr>
        <w:t>政府补助为货币性资产的，按照收到或应收的金额计量。政府补助为非货币性资产的，按照公允价值计量；</w:t>
      </w:r>
      <w:r>
        <w:rPr>
          <w:spacing w:val="-90"/>
        </w:rPr>
        <w:t> </w:t>
      </w:r>
      <w:r>
        <w:rPr>
          <w:spacing w:val="-90"/>
        </w:rPr>
      </w:r>
      <w:r>
        <w:rPr/>
        <w:t>公允价值不能够可靠取得的，按照名义金额（人民币</w:t>
      </w:r>
      <w:r>
        <w:rPr>
          <w:rFonts w:ascii="Times New Roman" w:hAnsi="Times New Roman" w:cs="Times New Roman" w:eastAsia="Times New Roman" w:hint="default"/>
        </w:rPr>
        <w:t>1</w:t>
      </w:r>
      <w:r>
        <w:rPr/>
        <w:t>元）计量。按照名义金额计量的政府补助，直接计 入当期损益。</w:t>
      </w:r>
    </w:p>
    <w:p>
      <w:pPr>
        <w:spacing w:line="240" w:lineRule="auto" w:before="12"/>
        <w:rPr>
          <w:rFonts w:ascii="宋体" w:hAnsi="宋体" w:cs="宋体" w:eastAsia="宋体" w:hint="default"/>
          <w:sz w:val="24"/>
          <w:szCs w:val="24"/>
        </w:rPr>
      </w:pPr>
    </w:p>
    <w:p>
      <w:pPr>
        <w:pStyle w:val="Heading4"/>
        <w:spacing w:line="271" w:lineRule="auto"/>
        <w:ind w:right="1122"/>
        <w:jc w:val="left"/>
      </w:pPr>
      <w:r>
        <w:rPr>
          <w:rFonts w:ascii="Times New Roman" w:hAnsi="Times New Roman" w:cs="Times New Roman" w:eastAsia="Times New Roman" w:hint="default"/>
          <w:b/>
          <w:bCs/>
        </w:rPr>
        <w:t>3.</w:t>
      </w:r>
      <w:r>
        <w:rPr>
          <w:rFonts w:ascii="Times New Roman" w:hAnsi="Times New Roman" w:cs="Times New Roman" w:eastAsia="Times New Roman" w:hint="default"/>
          <w:b/>
          <w:bCs/>
          <w:spacing w:val="1"/>
        </w:rPr>
        <w:t> </w:t>
      </w:r>
      <w:r>
        <w:rPr>
          <w:rFonts w:ascii="宋体" w:hAnsi="宋体" w:cs="宋体" w:eastAsia="宋体" w:hint="default"/>
          <w:b/>
          <w:bCs/>
        </w:rPr>
        <w:t>会计处理</w:t>
      </w:r>
      <w:r>
        <w:rPr>
          <w:rFonts w:ascii="宋体" w:hAnsi="宋体" w:cs="宋体" w:eastAsia="宋体" w:hint="default"/>
          <w:b/>
          <w:bCs/>
          <w:w w:val="99"/>
        </w:rPr>
        <w:t> </w:t>
      </w:r>
      <w:r>
        <w:rPr>
          <w:spacing w:val="-1"/>
        </w:rPr>
        <w:t>与资产相关的政府补助，冲减相关资产账面价值或确认为递延收益。确认为递延收益的，在相关资产使用</w:t>
      </w:r>
      <w:r>
        <w:rPr>
          <w:spacing w:val="-83"/>
        </w:rPr>
        <w:t> </w:t>
      </w:r>
      <w:r>
        <w:rPr>
          <w:spacing w:val="-83"/>
        </w:rPr>
      </w:r>
      <w:r>
        <w:rPr>
          <w:spacing w:val="-1"/>
        </w:rPr>
        <w:t>寿命内按照合理、系统的方法分期计入当期损益（与本公司日常活动相关的，计入其他收益；与本公司日</w:t>
      </w:r>
      <w:r>
        <w:rPr>
          <w:spacing w:val="-86"/>
        </w:rPr>
        <w:t> </w:t>
      </w:r>
      <w:r>
        <w:rPr>
          <w:spacing w:val="-86"/>
        </w:rPr>
      </w:r>
      <w:r>
        <w:rPr>
          <w:spacing w:val="-7"/>
        </w:rPr>
        <w:t>常活动无关的，计入营业外收入）；</w:t>
      </w:r>
      <w:r>
        <w:rPr>
          <w:spacing w:val="-98"/>
        </w:rPr>
        <w:t> </w:t>
      </w:r>
      <w:r>
        <w:rPr>
          <w:spacing w:val="-98"/>
        </w:rPr>
      </w:r>
      <w:r>
        <w:rPr>
          <w:spacing w:val="-1"/>
        </w:rPr>
        <w:t>与收益相关的政府补助，用于补偿本公司以后期间的相关成本费用或损失的，确认为递延收益，并在确认</w:t>
      </w:r>
      <w:r>
        <w:rPr>
          <w:spacing w:val="-83"/>
        </w:rPr>
        <w:t> </w:t>
      </w:r>
      <w:r>
        <w:rPr>
          <w:spacing w:val="-83"/>
        </w:rPr>
      </w:r>
      <w:r>
        <w:rPr>
          <w:spacing w:val="-1"/>
        </w:rPr>
        <w:t>相关成本费用或损失的期间，计入当期损益（与本公司日常活动相关的，计入其他收益；与本公司日常活</w:t>
      </w:r>
      <w:r>
        <w:rPr>
          <w:spacing w:val="-86"/>
        </w:rPr>
        <w:t> </w:t>
      </w:r>
      <w:r>
        <w:rPr>
          <w:spacing w:val="-86"/>
        </w:rPr>
      </w:r>
      <w:r>
        <w:rPr>
          <w:spacing w:val="-1"/>
        </w:rPr>
        <w:t>动无关的，计入营业外收入）或冲减相关成本费用或损失；用于补偿本公司已发生的相关成本费用或损失</w:t>
      </w:r>
      <w:r>
        <w:rPr>
          <w:spacing w:val="-82"/>
        </w:rPr>
        <w:t> </w:t>
      </w:r>
      <w:r>
        <w:rPr>
          <w:spacing w:val="-82"/>
        </w:rPr>
      </w:r>
      <w:r>
        <w:rPr>
          <w:spacing w:val="-1"/>
        </w:rPr>
        <w:t>的，直接计入当期损益（与本公司日常活动相关的，计入其他收益；与本公司日常活动无关的，计入营业</w:t>
      </w:r>
      <w:r>
        <w:rPr>
          <w:spacing w:val="-83"/>
        </w:rPr>
        <w:t> </w:t>
      </w:r>
      <w:r>
        <w:rPr>
          <w:spacing w:val="-83"/>
        </w:rPr>
      </w:r>
      <w:r>
        <w:rPr/>
        <w:t>外收入）或冲减相关成本费用或损失。</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30、递延所得税资产/递延所得税负债" w:id="214"/>
      <w:bookmarkEnd w:id="21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0"/>
        <w:jc w:val="left"/>
      </w:pPr>
      <w:r>
        <w:rPr>
          <w:spacing w:val="-1"/>
        </w:rPr>
        <w:t>对于可抵扣暂时性差异确认递延所得税资产，以未来期间很可能取得的用来抵扣可抵扣暂时性差异的应纳</w:t>
      </w:r>
      <w:r>
        <w:rPr>
          <w:spacing w:val="-81"/>
        </w:rPr>
        <w:t> </w:t>
      </w:r>
      <w:r>
        <w:rPr>
          <w:spacing w:val="-81"/>
        </w:rPr>
      </w:r>
      <w:r>
        <w:rPr>
          <w:spacing w:val="-1"/>
        </w:rPr>
        <w:t>税所得额为限。对于能够结转以后年度的可抵扣亏损和税款抵减，以很可能获得用来抵扣可抵扣亏损和税</w:t>
      </w:r>
      <w:r>
        <w:rPr>
          <w:spacing w:val="-81"/>
        </w:rPr>
        <w:t> </w:t>
      </w:r>
      <w:r>
        <w:rPr>
          <w:spacing w:val="-81"/>
        </w:rPr>
      </w:r>
      <w:r>
        <w:rPr/>
        <w:t>款抵减的未来应纳税所得额为限，确认相应的递延所得税资产。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不确认递延所得税资产或递延所得税负债的特殊情况包括：商誉的初始确认；除企业合并以外的发生时既</w:t>
      </w:r>
      <w:r>
        <w:rPr>
          <w:spacing w:val="-81"/>
        </w:rPr>
        <w:t> </w:t>
      </w:r>
      <w:r>
        <w:rPr>
          <w:spacing w:val="-81"/>
        </w:rPr>
      </w:r>
      <w:r>
        <w:rPr/>
        <w:t>不影响会计利润也不影响应纳税所得额（或可抵扣亏损）的其他交易或事项。 </w:t>
      </w:r>
      <w:r>
        <w:rPr>
          <w:spacing w:val="-1"/>
        </w:rPr>
        <w:t>当拥有以净额结算的法定权利，且意图以净额结算或取得资产、清偿负债同时进行时，当期所得税资产及</w:t>
      </w:r>
      <w:r>
        <w:rPr>
          <w:spacing w:val="-83"/>
        </w:rPr>
        <w:t> </w:t>
      </w:r>
      <w:r>
        <w:rPr>
          <w:spacing w:val="-83"/>
        </w:rPr>
      </w:r>
      <w:r>
        <w:rPr/>
        <w:t>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0"/>
        </w:rPr>
        <w:t> </w:t>
      </w:r>
      <w:r>
        <w:rPr>
          <w:spacing w:val="-80"/>
        </w:rPr>
      </w:r>
      <w:r>
        <w:rPr/>
        <w:t>是同时取得资产、清偿负债时，递延所得税资产及递延所得税负债以抵销后的净额列报。</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31、租赁" w:id="215"/>
      <w:bookmarkEnd w:id="21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2、其他重要的会计政策和会计估计" w:id="218"/>
      <w:bookmarkEnd w:id="21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3、重要会计政策和会计估计变更" w:id="219"/>
      <w:bookmarkEnd w:id="21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3" w:right="99"/>
              <w:jc w:val="both"/>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）资产负债表中“应收票据”和“应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收账款”合并列示为“应收票据及应收</w:t>
            </w:r>
            <w:r>
              <w:rPr>
                <w:rFonts w:ascii="宋体" w:hAnsi="宋体" w:cs="宋体" w:eastAsia="宋体" w:hint="default"/>
                <w:sz w:val="18"/>
                <w:szCs w:val="18"/>
              </w:rPr>
              <w:t> </w:t>
            </w:r>
            <w:r>
              <w:rPr>
                <w:rFonts w:ascii="宋体" w:hAnsi="宋体" w:cs="宋体" w:eastAsia="宋体" w:hint="default"/>
                <w:spacing w:val="-15"/>
                <w:sz w:val="18"/>
                <w:szCs w:val="18"/>
              </w:rPr>
              <w:t>账款”；“应付票据”和“应付账款”合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5"/>
                <w:sz w:val="18"/>
                <w:szCs w:val="18"/>
              </w:rPr>
              <w:t>并列示为“应付票据及应付账款”；“应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付利息”和“应付股利”并入“其他应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付款”列示；比较数据相应调整。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经董事会审批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0"/>
              <w:jc w:val="both"/>
              <w:rPr>
                <w:rFonts w:ascii="宋体" w:hAnsi="宋体" w:cs="宋体" w:eastAsia="宋体" w:hint="default"/>
                <w:sz w:val="18"/>
                <w:szCs w:val="18"/>
              </w:rPr>
            </w:pPr>
            <w:r>
              <w:rPr>
                <w:rFonts w:ascii="宋体" w:hAnsi="宋体" w:cs="宋体" w:eastAsia="宋体" w:hint="default"/>
                <w:spacing w:val="-6"/>
                <w:sz w:val="18"/>
                <w:szCs w:val="18"/>
              </w:rPr>
              <w:t>“应收票据”和“应收账款”合并列示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为“应收票据及应收账款”，本期金额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391,102,460.73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元，上期金额</w:t>
            </w:r>
          </w:p>
          <w:p>
            <w:pPr>
              <w:pStyle w:val="TableParagraph"/>
              <w:spacing w:line="309" w:lineRule="auto"/>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296,365,867.14</w:t>
            </w:r>
            <w:r>
              <w:rPr>
                <w:rFonts w:ascii="Times New Roman" w:hAnsi="Times New Roman" w:cs="Times New Roman" w:eastAsia="Times New Roman" w:hint="default"/>
                <w:spacing w:val="16"/>
                <w:sz w:val="18"/>
                <w:szCs w:val="18"/>
              </w:rPr>
              <w:t> </w:t>
            </w:r>
            <w:r>
              <w:rPr>
                <w:rFonts w:ascii="宋体" w:hAnsi="宋体" w:cs="宋体" w:eastAsia="宋体" w:hint="default"/>
                <w:spacing w:val="-17"/>
                <w:sz w:val="18"/>
                <w:szCs w:val="18"/>
              </w:rPr>
              <w:t>元；“应付票据”和“应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付账款”合并列示为“应付票据及应付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2"/>
                <w:sz w:val="18"/>
                <w:szCs w:val="18"/>
              </w:rPr>
              <w:t>账款”，本期金额</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331,666,296.81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p>
            <w:pPr>
              <w:pStyle w:val="TableParagraph"/>
              <w:spacing w:line="240" w:lineRule="auto" w:before="5"/>
              <w:ind w:left="103" w:right="0"/>
              <w:jc w:val="both"/>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150,649,890.16</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元；调增“其</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pacing w:val="-5"/>
                <w:sz w:val="18"/>
                <w:szCs w:val="18"/>
              </w:rPr>
              <w:t>他应付款”本期金额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107,786.81</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元，上</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期金额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181,311.16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9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）在利润表中新增“研发费用”项 </w:t>
            </w:r>
            <w:r>
              <w:rPr>
                <w:rFonts w:ascii="宋体" w:hAnsi="宋体" w:cs="宋体" w:eastAsia="宋体" w:hint="default"/>
                <w:spacing w:val="-6"/>
                <w:sz w:val="18"/>
                <w:szCs w:val="18"/>
              </w:rPr>
              <w:t>目，将原“管理费用”中的研发费用重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分类至“研发费用”单独列示；在利润</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表中财务费用项下新增“其中：利息费</w:t>
            </w:r>
            <w:r>
              <w:rPr>
                <w:rFonts w:ascii="宋体" w:hAnsi="宋体" w:cs="宋体" w:eastAsia="宋体" w:hint="default"/>
                <w:sz w:val="18"/>
                <w:szCs w:val="18"/>
              </w:rPr>
              <w:t> </w:t>
            </w:r>
            <w:r>
              <w:rPr>
                <w:rFonts w:ascii="宋体" w:hAnsi="宋体" w:cs="宋体" w:eastAsia="宋体" w:hint="default"/>
                <w:spacing w:val="-6"/>
                <w:sz w:val="18"/>
                <w:szCs w:val="18"/>
              </w:rPr>
              <w:t>用”和“利息收入”项目。比较数据相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应调整。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经董事会审批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调减“管理费用”本期金额</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19,239,363.96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元，上期金额</w:t>
            </w:r>
          </w:p>
          <w:p>
            <w:pPr>
              <w:pStyle w:val="TableParagraph"/>
              <w:spacing w:line="302" w:lineRule="auto" w:before="63"/>
              <w:ind w:left="103" w:right="193"/>
              <w:jc w:val="left"/>
              <w:rPr>
                <w:rFonts w:ascii="宋体" w:hAnsi="宋体" w:cs="宋体" w:eastAsia="宋体" w:hint="default"/>
                <w:sz w:val="18"/>
                <w:szCs w:val="18"/>
              </w:rPr>
            </w:pPr>
            <w:r>
              <w:rPr>
                <w:rFonts w:ascii="Times New Roman" w:hAnsi="Times New Roman" w:cs="Times New Roman" w:eastAsia="Times New Roman" w:hint="default"/>
                <w:sz w:val="18"/>
                <w:szCs w:val="18"/>
              </w:rPr>
              <w:t>14,855,522.17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元，重分类至“研发费 </w:t>
            </w:r>
            <w:r>
              <w:rPr>
                <w:rFonts w:ascii="宋体" w:hAnsi="宋体" w:cs="宋体" w:eastAsia="宋体" w:hint="default"/>
                <w:spacing w:val="-30"/>
                <w:sz w:val="18"/>
                <w:szCs w:val="18"/>
              </w:rPr>
              <w:t>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spacing w:line="487" w:lineRule="auto" w:before="0"/>
        <w:ind w:left="154" w:right="8966" w:firstLine="0"/>
        <w:jc w:val="left"/>
        <w:rPr>
          <w:rFonts w:ascii="宋体" w:hAnsi="宋体" w:cs="宋体" w:eastAsia="宋体" w:hint="default"/>
          <w:sz w:val="21"/>
          <w:szCs w:val="21"/>
        </w:rPr>
      </w:pPr>
      <w:bookmarkStart w:name="34、其他" w:id="222"/>
      <w:bookmarkEnd w:id="22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3"/>
      <w:bookmarkEnd w:id="22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4"/>
      <w:bookmarkEnd w:id="22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 </w:t>
            </w:r>
            <w:r>
              <w:rPr>
                <w:rFonts w:ascii="宋体" w:hAnsi="宋体" w:cs="宋体" w:eastAsia="宋体" w:hint="default"/>
                <w:spacing w:val="-6"/>
                <w:sz w:val="18"/>
                <w:szCs w:val="18"/>
              </w:rPr>
              <w:t>务收入为基础计算销项税额，在扣除当</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期允许抵扣的进项税额后，差额部分为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应交增值税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福建永福铁塔技术开发有限公司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福建永福电通技术开发有限公司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厦门福思威特工程有限公司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福州新创机电设备有限公司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福建永福新能电力投资有限公司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8"/>
        <w:rPr>
          <w:rFonts w:ascii="宋体" w:hAnsi="宋体" w:cs="宋体" w:eastAsia="宋体" w:hint="default"/>
          <w:b/>
          <w:bCs/>
          <w:sz w:val="24"/>
          <w:szCs w:val="24"/>
        </w:rPr>
      </w:pPr>
    </w:p>
    <w:p>
      <w:pPr>
        <w:pStyle w:val="Heading4"/>
        <w:spacing w:line="256" w:lineRule="auto"/>
        <w:ind w:right="0"/>
        <w:jc w:val="left"/>
      </w:pPr>
      <w:r>
        <w:rPr>
          <w:spacing w:val="-4"/>
        </w:rPr>
        <w:t>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23</w:t>
      </w:r>
      <w:r>
        <w:rPr>
          <w:spacing w:val="-4"/>
        </w:rPr>
        <w:t>日取得高新技术企业证书（证书编号</w:t>
      </w:r>
      <w:r>
        <w:rPr>
          <w:rFonts w:ascii="Times New Roman" w:hAnsi="Times New Roman" w:cs="Times New Roman" w:eastAsia="Times New Roman" w:hint="default"/>
          <w:spacing w:val="-4"/>
        </w:rPr>
        <w:t>GR201735000170</w:t>
      </w:r>
      <w:r>
        <w:rPr>
          <w:spacing w:val="-4"/>
        </w:rPr>
        <w:t>），认定有效期为</w:t>
      </w:r>
      <w:r>
        <w:rPr>
          <w:rFonts w:ascii="Times New Roman" w:hAnsi="Times New Roman" w:cs="Times New Roman" w:eastAsia="Times New Roman" w:hint="default"/>
          <w:spacing w:val="-4"/>
        </w:rPr>
        <w:t>3</w:t>
      </w:r>
      <w:r>
        <w:rPr>
          <w:spacing w:val="-4"/>
        </w:rPr>
        <w:t>年。根据国家</w:t>
      </w:r>
      <w:r>
        <w:rPr>
          <w:spacing w:val="-90"/>
        </w:rPr>
        <w:t> </w:t>
      </w:r>
      <w:r>
        <w:rPr>
          <w:spacing w:val="-90"/>
        </w:rPr>
      </w:r>
      <w:r>
        <w:rPr>
          <w:spacing w:val="-3"/>
        </w:rPr>
        <w:t>对高新技术企业的相关税收政策，公司自获得高新技术企业认定后三年内（</w:t>
      </w:r>
      <w:r>
        <w:rPr>
          <w:rFonts w:ascii="Times New Roman" w:hAnsi="Times New Roman" w:cs="Times New Roman" w:eastAsia="Times New Roman" w:hint="default"/>
          <w:spacing w:val="-3"/>
        </w:rPr>
        <w:t>2017</w:t>
      </w:r>
      <w:r>
        <w:rPr>
          <w:spacing w:val="-3"/>
        </w:rPr>
        <w:t>年至</w:t>
      </w:r>
      <w:r>
        <w:rPr>
          <w:rFonts w:ascii="Times New Roman" w:hAnsi="Times New Roman" w:cs="Times New Roman" w:eastAsia="Times New Roman" w:hint="default"/>
          <w:spacing w:val="-3"/>
        </w:rPr>
        <w:t>2019</w:t>
      </w:r>
      <w:r>
        <w:rPr>
          <w:spacing w:val="-3"/>
        </w:rPr>
        <w:t>年），所得税税</w:t>
      </w:r>
      <w:r>
        <w:rPr>
          <w:spacing w:val="-62"/>
        </w:rPr>
        <w:t> </w:t>
      </w:r>
      <w:r>
        <w:rPr>
          <w:spacing w:val="-62"/>
        </w:rPr>
      </w:r>
      <w:r>
        <w:rPr/>
        <w:t>率减按</w:t>
      </w:r>
      <w:r>
        <w:rPr>
          <w:rFonts w:ascii="Times New Roman" w:hAnsi="Times New Roman" w:cs="Times New Roman" w:eastAsia="Times New Roman" w:hint="default"/>
        </w:rPr>
        <w:t>15</w:t>
      </w:r>
      <w:r>
        <w:rPr/>
        <w:t>％征收。</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line="487" w:lineRule="auto" w:before="0"/>
        <w:ind w:left="154" w:right="7692" w:firstLine="0"/>
        <w:jc w:val="left"/>
        <w:rPr>
          <w:rFonts w:ascii="宋体" w:hAnsi="宋体" w:cs="宋体" w:eastAsia="宋体" w:hint="default"/>
          <w:sz w:val="21"/>
          <w:szCs w:val="21"/>
        </w:rPr>
      </w:pPr>
      <w:bookmarkStart w:name="3、其他" w:id="226"/>
      <w:bookmarkEnd w:id="2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7"/>
      <w:bookmarkEnd w:id="22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8"/>
      <w:bookmarkEnd w:id="22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11,592.08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289,200,600.26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184,745,887.00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39,890,925.01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17,859,537.77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329,091,525.27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202,617,016.85</w:t>
            </w:r>
          </w:p>
        </w:tc>
      </w:tr>
    </w:tbl>
    <w:p>
      <w:pPr>
        <w:pStyle w:val="BodyText"/>
        <w:spacing w:line="240" w:lineRule="auto" w:before="51"/>
        <w:ind w:right="0"/>
        <w:jc w:val="left"/>
      </w:pPr>
      <w:r>
        <w:rPr/>
        <w:t>其他说明</w:t>
      </w:r>
    </w:p>
    <w:p>
      <w:pPr>
        <w:pStyle w:val="Heading4"/>
        <w:spacing w:line="240" w:lineRule="auto" w:before="90"/>
        <w:ind w:right="0"/>
        <w:jc w:val="left"/>
      </w:pPr>
      <w:r>
        <w:rPr/>
        <w:t>其中受到限制的货币资金明细如下：</w:t>
      </w:r>
    </w:p>
    <w:p>
      <w:pPr>
        <w:spacing w:line="240" w:lineRule="auto" w:before="10"/>
        <w:rPr>
          <w:rFonts w:ascii="宋体" w:hAnsi="宋体" w:cs="宋体" w:eastAsia="宋体" w:hint="default"/>
          <w:sz w:val="28"/>
          <w:szCs w:val="28"/>
        </w:rPr>
      </w:pPr>
    </w:p>
    <w:tbl>
      <w:tblPr>
        <w:tblW w:w="0" w:type="auto"/>
        <w:jc w:val="left"/>
        <w:tblInd w:w="869" w:type="dxa"/>
        <w:tblLayout w:type="fixed"/>
        <w:tblCellMar>
          <w:top w:w="0" w:type="dxa"/>
          <w:left w:w="0" w:type="dxa"/>
          <w:bottom w:w="0" w:type="dxa"/>
          <w:right w:w="0" w:type="dxa"/>
        </w:tblCellMar>
        <w:tblLook w:val="01E0"/>
      </w:tblPr>
      <w:tblGrid>
        <w:gridCol w:w="3219"/>
        <w:gridCol w:w="2198"/>
        <w:gridCol w:w="2199"/>
      </w:tblGrid>
      <w:tr>
        <w:trPr>
          <w:trHeight w:val="414" w:hRule="exact"/>
        </w:trPr>
        <w:tc>
          <w:tcPr>
            <w:tcW w:w="321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9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9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28,710,351.81</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1,113,824.00</w:t>
            </w:r>
          </w:p>
        </w:tc>
      </w:tr>
      <w:tr>
        <w:trPr>
          <w:trHeight w:val="426"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11,180,573.20</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16,735,713.77</w:t>
            </w:r>
          </w:p>
        </w:tc>
      </w:tr>
      <w:tr>
        <w:trPr>
          <w:trHeight w:val="42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39,890,925.01</w:t>
            </w:r>
          </w:p>
        </w:tc>
        <w:tc>
          <w:tcPr>
            <w:tcW w:w="2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17,849,537.77</w:t>
            </w:r>
          </w:p>
        </w:tc>
      </w:tr>
    </w:tbl>
    <w:p>
      <w:pPr>
        <w:spacing w:line="240" w:lineRule="auto" w:before="0"/>
        <w:rPr>
          <w:rFonts w:ascii="宋体" w:hAnsi="宋体" w:cs="宋体" w:eastAsia="宋体" w:hint="default"/>
          <w:sz w:val="20"/>
          <w:szCs w:val="20"/>
        </w:rPr>
      </w:pPr>
    </w:p>
    <w:p>
      <w:pPr>
        <w:pStyle w:val="Heading4"/>
        <w:spacing w:line="261" w:lineRule="auto" w:before="35"/>
        <w:ind w:right="1144"/>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28,710,351.81</w:t>
      </w:r>
      <w:r>
        <w:rPr/>
        <w:t>元为本公司向银行申请开具的应付票据的保证 金； 其他货币资金中人民币</w:t>
      </w:r>
      <w:r>
        <w:rPr>
          <w:rFonts w:ascii="Times New Roman" w:hAnsi="Times New Roman" w:cs="Times New Roman" w:eastAsia="Times New Roman" w:hint="default"/>
        </w:rPr>
        <w:t>11,180,573.20</w:t>
      </w:r>
      <w:r>
        <w:rPr/>
        <w:t>元为本公司向银行申请开具无条件、不可撤销的担保函所存入的保证 金存款。</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2、应收票据及应收账款" w:id="229"/>
      <w:bookmarkEnd w:id="229"/>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300,000.00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390,892,460.73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296,065,867.14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391,102,460.73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296,365,867.14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票据" w:id="230"/>
      <w:bookmarkEnd w:id="23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2"/>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231"/>
      <w:bookmarkEnd w:id="23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427,49</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2,071.0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36,599,</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610.31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8.56%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390,89</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2,460.7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320,1</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44,88</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0.87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98.83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25,336,</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838.73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294,808,</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042.14</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3,777</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,515.</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2,519,6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90.09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1,257,82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5" w:right="0"/>
              <w:jc w:val="left"/>
              <w:rPr>
                <w:rFonts w:ascii="Times New Roman" w:hAnsi="Times New Roman" w:cs="Times New Roman" w:eastAsia="Times New Roman" w:hint="default"/>
                <w:sz w:val="18"/>
                <w:szCs w:val="18"/>
              </w:rPr>
            </w:pPr>
            <w:r>
              <w:rPr>
                <w:rFonts w:ascii="Times New Roman"/>
                <w:sz w:val="18"/>
              </w:rPr>
              <w:t>427,49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36,599,</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1" w:right="0"/>
              <w:jc w:val="left"/>
              <w:rPr>
                <w:rFonts w:ascii="Times New Roman" w:hAnsi="Times New Roman" w:cs="Times New Roman" w:eastAsia="Times New Roman" w:hint="default"/>
                <w:sz w:val="18"/>
                <w:szCs w:val="18"/>
              </w:rPr>
            </w:pPr>
            <w:r>
              <w:rPr>
                <w:rFonts w:ascii="Times New Roman"/>
                <w:sz w:val="18"/>
              </w:rPr>
              <w:t>390,89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6" w:right="0"/>
              <w:jc w:val="left"/>
              <w:rPr>
                <w:rFonts w:ascii="Times New Roman" w:hAnsi="Times New Roman" w:cs="Times New Roman" w:eastAsia="Times New Roman" w:hint="default"/>
                <w:sz w:val="18"/>
                <w:szCs w:val="18"/>
              </w:rPr>
            </w:pPr>
            <w:r>
              <w:rPr>
                <w:rFonts w:ascii="Times New Roman"/>
                <w:sz w:val="18"/>
              </w:rPr>
              <w:t>323,9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4"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center"/>
              <w:rPr>
                <w:rFonts w:ascii="Times New Roman" w:hAnsi="Times New Roman" w:cs="Times New Roman" w:eastAsia="Times New Roman" w:hint="default"/>
                <w:sz w:val="18"/>
                <w:szCs w:val="18"/>
              </w:rPr>
            </w:pPr>
            <w:r>
              <w:rPr>
                <w:rFonts w:ascii="Times New Roman"/>
                <w:sz w:val="18"/>
              </w:rPr>
              <w:t>27,856,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296,065,</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2,071.0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3" w:right="0"/>
              <w:jc w:val="left"/>
              <w:rPr>
                <w:rFonts w:ascii="Times New Roman" w:hAnsi="Times New Roman" w:cs="Times New Roman" w:eastAsia="Times New Roman" w:hint="default"/>
                <w:sz w:val="18"/>
                <w:szCs w:val="18"/>
              </w:rPr>
            </w:pPr>
            <w:r>
              <w:rPr>
                <w:rFonts w:ascii="Times New Roman"/>
                <w:sz w:val="18"/>
              </w:rPr>
              <w:t>610.31</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2,460.7</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22,39</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6" w:right="0"/>
              <w:jc w:val="left"/>
              <w:rPr>
                <w:rFonts w:ascii="Times New Roman" w:hAnsi="Times New Roman" w:cs="Times New Roman" w:eastAsia="Times New Roman" w:hint="default"/>
                <w:sz w:val="18"/>
                <w:szCs w:val="18"/>
              </w:rPr>
            </w:pPr>
            <w:r>
              <w:rPr>
                <w:rFonts w:ascii="Times New Roman"/>
                <w:sz w:val="18"/>
              </w:rPr>
              <w:t>528.82</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867.14</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317,118,384.75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15,855,919.23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83,127,556.47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8,312,755.65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16,649,251.17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4,994,775.35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5,303,322.81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2,651,661.41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2,545,285.84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2,036,228.67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2,748,270.00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2,748,270.00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427,492,071.04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36,599,610.31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700" w:left="980" w:right="0"/>
        </w:sectPr>
      </w:pPr>
    </w:p>
    <w:p>
      <w:pPr>
        <w:pStyle w:val="BodyText"/>
        <w:spacing w:line="360" w:lineRule="auto" w:before="51"/>
        <w:ind w:right="2034"/>
        <w:jc w:val="left"/>
      </w:pPr>
      <w:r>
        <w:rPr/>
        <w:t>确定该组合依据的说明： 组合中，采用余额百分比法计提坏账准备的应收账款：</w:t>
      </w:r>
    </w:p>
    <w:p>
      <w:pPr>
        <w:pStyle w:val="BodyText"/>
        <w:spacing w:line="360" w:lineRule="auto" w:before="26"/>
        <w:ind w:right="2394"/>
        <w:jc w:val="left"/>
      </w:pPr>
      <w:r>
        <w:rPr/>
        <w:t>□ 适用 √ 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2"/>
        <w:ind w:right="-13"/>
        <w:jc w:val="left"/>
      </w:pPr>
      <w:r>
        <w:rPr/>
        <w:t>本期计提坏账准备金额</w:t>
      </w:r>
      <w:r>
        <w:rPr>
          <w:spacing w:val="-49"/>
        </w:rPr>
        <w:t> </w:t>
      </w:r>
      <w:r>
        <w:rPr>
          <w:rFonts w:ascii="Times New Roman" w:hAnsi="Times New Roman" w:cs="Times New Roman" w:eastAsia="Times New Roman" w:hint="default"/>
        </w:rPr>
        <w:t>11,262,771.58</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153" w:right="0"/>
        <w:jc w:val="left"/>
      </w:pPr>
      <w:r>
        <w:rPr/>
        <w:t>单位： 元</w:t>
      </w:r>
    </w:p>
    <w:p>
      <w:pPr>
        <w:spacing w:after="0" w:line="240" w:lineRule="auto"/>
        <w:jc w:val="left"/>
        <w:sectPr>
          <w:type w:val="continuous"/>
          <w:pgSz w:w="11910" w:h="16840"/>
          <w:pgMar w:top="1580" w:bottom="700" w:left="980" w:right="0"/>
          <w:cols w:num="2" w:equalWidth="0">
            <w:col w:w="6529" w:space="2301"/>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2014-YF-063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松下变</w:t>
            </w:r>
            <w:r>
              <w:rPr>
                <w:rFonts w:ascii="Times New Roman" w:hAnsi="Times New Roman" w:cs="Times New Roman" w:eastAsia="Times New Roman" w:hint="default"/>
                <w:sz w:val="18"/>
                <w:szCs w:val="18"/>
              </w:rPr>
              <w:t>-</w:t>
            </w:r>
            <w:r>
              <w:rPr>
                <w:rFonts w:ascii="宋体" w:hAnsi="宋体" w:cs="宋体" w:eastAsia="宋体" w:hint="default"/>
                <w:sz w:val="18"/>
                <w:szCs w:val="18"/>
              </w:rPr>
              <w:t>鑫海变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保安线路工程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81,700.00</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2013-YF-168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长乐鑫海Ⅰ、</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回线路改接进西皋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220KV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变 电站</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110KV</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线路工程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2,437,990.09</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1" w:right="161"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9"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福建鑫海冶金有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8"/>
              <w:jc w:val="left"/>
              <w:rPr>
                <w:rFonts w:ascii="宋体" w:hAnsi="宋体" w:cs="宋体" w:eastAsia="宋体" w:hint="default"/>
                <w:sz w:val="18"/>
                <w:szCs w:val="18"/>
              </w:rPr>
            </w:pPr>
            <w:r>
              <w:rPr>
                <w:rFonts w:ascii="宋体" w:hAnsi="宋体" w:cs="宋体" w:eastAsia="宋体" w:hint="default"/>
                <w:sz w:val="18"/>
                <w:szCs w:val="18"/>
              </w:rPr>
              <w:t>总承包项目应收 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2,519,690.09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经董事会审批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2,519,690.09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0"/>
        <w:jc w:val="left"/>
      </w:pPr>
      <w:r>
        <w:rPr/>
        <w:t>应收账款核销说明： </w:t>
      </w:r>
      <w:r>
        <w:rPr>
          <w:spacing w:val="-1"/>
        </w:rPr>
        <w:t>根据《福建省长乐市人民法院民事裁定书》（</w:t>
      </w:r>
      <w:r>
        <w:rPr>
          <w:rFonts w:ascii="Times New Roman" w:hAnsi="Times New Roman" w:cs="Times New Roman" w:eastAsia="Times New Roman" w:hint="default"/>
          <w:spacing w:val="-1"/>
        </w:rPr>
        <w:t>2017</w:t>
      </w:r>
      <w:r>
        <w:rPr>
          <w:spacing w:val="-1"/>
        </w:rPr>
        <w:t>）闽</w:t>
      </w:r>
      <w:r>
        <w:rPr>
          <w:rFonts w:ascii="Times New Roman" w:hAnsi="Times New Roman" w:cs="Times New Roman" w:eastAsia="Times New Roman" w:hint="default"/>
          <w:spacing w:val="-1"/>
        </w:rPr>
        <w:t>0182</w:t>
      </w:r>
      <w:r>
        <w:rPr>
          <w:spacing w:val="-1"/>
        </w:rPr>
        <w:t>破</w:t>
      </w:r>
      <w:r>
        <w:rPr>
          <w:rFonts w:ascii="Times New Roman" w:hAnsi="Times New Roman" w:cs="Times New Roman" w:eastAsia="Times New Roman" w:hint="default"/>
          <w:spacing w:val="-1"/>
        </w:rPr>
        <w:t>1</w:t>
      </w:r>
      <w:r>
        <w:rPr>
          <w:spacing w:val="-1"/>
        </w:rPr>
        <w:t>号之九的裁定，该公司破产重整，以其破产财产清偿我公司</w:t>
      </w:r>
    </w:p>
    <w:p>
      <w:pPr>
        <w:pStyle w:val="BodyText"/>
        <w:spacing w:line="214" w:lineRule="exact"/>
        <w:ind w:right="0"/>
        <w:jc w:val="left"/>
      </w:pPr>
      <w:r>
        <w:rPr>
          <w:rFonts w:ascii="Times New Roman" w:hAnsi="Times New Roman" w:cs="Times New Roman" w:eastAsia="Times New Roman" w:hint="default"/>
        </w:rPr>
        <w:t>1,257,825.00</w:t>
      </w:r>
      <w:r>
        <w:rPr/>
        <w:t>元，我公司将剩余无法收回的</w:t>
      </w:r>
      <w:r>
        <w:rPr>
          <w:rFonts w:ascii="Times New Roman" w:hAnsi="Times New Roman" w:cs="Times New Roman" w:eastAsia="Times New Roman" w:hint="default"/>
        </w:rPr>
        <w:t>2,519,690.09</w:t>
      </w:r>
      <w:r>
        <w:rPr/>
        <w:t>元确认为坏账，核销应收账款</w:t>
      </w:r>
      <w:r>
        <w:rPr>
          <w:rFonts w:ascii="Times New Roman" w:hAnsi="Times New Roman" w:cs="Times New Roman" w:eastAsia="Times New Roman" w:hint="default"/>
        </w:rPr>
        <w:t>2,519,690.09</w:t>
      </w:r>
      <w:r>
        <w:rPr/>
        <w:t>元。</w:t>
      </w:r>
    </w:p>
    <w:p>
      <w:pPr>
        <w:pStyle w:val="BodyText"/>
        <w:spacing w:line="340" w:lineRule="auto" w:before="103"/>
        <w:ind w:right="6822"/>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240" w:lineRule="auto" w:before="40"/>
        <w:ind w:right="0"/>
        <w:jc w:val="left"/>
      </w:pPr>
      <w:r>
        <w:rPr/>
        <w:t>否</w:t>
      </w:r>
    </w:p>
    <w:p>
      <w:pPr>
        <w:spacing w:line="240" w:lineRule="auto" w:before="13"/>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3220"/>
        <w:gridCol w:w="1572"/>
        <w:gridCol w:w="1370"/>
        <w:gridCol w:w="1402"/>
      </w:tblGrid>
      <w:tr>
        <w:trPr>
          <w:trHeight w:val="334" w:hRule="exact"/>
        </w:trPr>
        <w:tc>
          <w:tcPr>
            <w:tcW w:w="3220"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345"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3220" w:type="dxa"/>
            <w:vMerge/>
            <w:tcBorders>
              <w:left w:val="single" w:sz="6" w:space="0" w:color="000000"/>
              <w:bottom w:val="single" w:sz="6" w:space="0" w:color="000000"/>
              <w:right w:val="single" w:sz="6" w:space="0" w:color="000000"/>
            </w:tcBorders>
            <w:shd w:val="clear" w:color="auto" w:fill="D0CECE"/>
          </w:tcPr>
          <w:p>
            <w:pPr/>
          </w:p>
        </w:tc>
        <w:tc>
          <w:tcPr>
            <w:tcW w:w="157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4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7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21"/>
              <w:ind w:left="182" w:right="47"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40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3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55" w:hRule="exact"/>
        </w:trPr>
        <w:tc>
          <w:tcPr>
            <w:tcW w:w="322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62" w:lineRule="auto" w:before="55"/>
              <w:ind w:left="2" w:right="117"/>
              <w:jc w:val="left"/>
              <w:rPr>
                <w:rFonts w:ascii="Times New Roman" w:hAnsi="Times New Roman" w:cs="Times New Roman" w:eastAsia="Times New Roman" w:hint="default"/>
                <w:sz w:val="18"/>
                <w:szCs w:val="18"/>
              </w:rPr>
            </w:pPr>
            <w:r>
              <w:rPr>
                <w:rFonts w:ascii="Times New Roman"/>
                <w:spacing w:val="-3"/>
                <w:sz w:val="18"/>
              </w:rPr>
              <w:t>ECOPARK </w:t>
            </w:r>
            <w:r>
              <w:rPr>
                <w:rFonts w:ascii="Times New Roman"/>
                <w:sz w:val="18"/>
              </w:rPr>
              <w:t>ENERGY OF</w:t>
            </w:r>
            <w:r>
              <w:rPr>
                <w:rFonts w:ascii="Times New Roman"/>
                <w:spacing w:val="-2"/>
                <w:sz w:val="18"/>
              </w:rPr>
              <w:t> </w:t>
            </w:r>
            <w:r>
              <w:rPr>
                <w:rFonts w:ascii="Times New Roman"/>
                <w:spacing w:val="-3"/>
                <w:sz w:val="18"/>
              </w:rPr>
              <w:t>VALENZUELA</w:t>
            </w:r>
            <w:r>
              <w:rPr>
                <w:rFonts w:ascii="Times New Roman"/>
                <w:w w:val="99"/>
                <w:sz w:val="18"/>
              </w:rPr>
              <w:t> </w:t>
            </w:r>
            <w:r>
              <w:rPr>
                <w:rFonts w:ascii="Times New Roman"/>
                <w:sz w:val="18"/>
              </w:rPr>
              <w:t>CORP</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57,602,945.23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13.47</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2,880,147.26</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上海电气燃气轮机有限公司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22,113,226.42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5.17</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1,602,080.66</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上海电气集团股份有限公司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21,778,532.06</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5.09</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1,468,411.51</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福州海峡发电有限公司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19,880,629.09</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4.65</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994,031.45</w:t>
            </w:r>
          </w:p>
        </w:tc>
      </w:tr>
      <w:tr>
        <w:trPr>
          <w:trHeight w:val="347" w:hRule="exact"/>
        </w:trPr>
        <w:tc>
          <w:tcPr>
            <w:tcW w:w="322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国网福建省电力有限公司福州供电公司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18,932,097.48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4.43</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1,034,466.81</w:t>
            </w:r>
          </w:p>
        </w:tc>
      </w:tr>
      <w:tr>
        <w:trPr>
          <w:trHeight w:val="348" w:hRule="exact"/>
        </w:trPr>
        <w:tc>
          <w:tcPr>
            <w:tcW w:w="322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140,307,430.28</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32.81</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7,979,137.69</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预付款项" w:id="232"/>
      <w:bookmarkEnd w:id="232"/>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33"/>
      <w:bookmarkEnd w:id="23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4,906,152.61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7,055,353.34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5,862.36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47,140.00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4,977,014.97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7,162,993.34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left"/>
        <w:rPr>
          <w:b w:val="0"/>
          <w:bCs w:val="0"/>
        </w:rPr>
      </w:pPr>
      <w:bookmarkStart w:name="（2）按预付对象归集的期末余额前五名的预付款情况" w:id="234"/>
      <w:bookmarkEnd w:id="23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6"/>
          <w:szCs w:val="26"/>
        </w:rPr>
      </w:pPr>
    </w:p>
    <w:tbl>
      <w:tblPr>
        <w:tblW w:w="0" w:type="auto"/>
        <w:jc w:val="left"/>
        <w:tblInd w:w="151" w:type="dxa"/>
        <w:tblLayout w:type="fixed"/>
        <w:tblCellMar>
          <w:top w:w="0" w:type="dxa"/>
          <w:left w:w="0" w:type="dxa"/>
          <w:bottom w:w="0" w:type="dxa"/>
          <w:right w:w="0" w:type="dxa"/>
        </w:tblCellMar>
        <w:tblLook w:val="01E0"/>
      </w:tblPr>
      <w:tblGrid>
        <w:gridCol w:w="3396"/>
        <w:gridCol w:w="2093"/>
        <w:gridCol w:w="2074"/>
      </w:tblGrid>
      <w:tr>
        <w:trPr>
          <w:trHeight w:val="727" w:hRule="exact"/>
        </w:trPr>
        <w:tc>
          <w:tcPr>
            <w:tcW w:w="339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09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7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56"/>
              <w:ind w:left="533" w:right="39"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 数的比例</w:t>
            </w:r>
            <w:r>
              <w:rPr>
                <w:rFonts w:ascii="Times New Roman" w:hAnsi="Times New Roman" w:cs="Times New Roman" w:eastAsia="Times New Roman" w:hint="default"/>
                <w:sz w:val="18"/>
                <w:szCs w:val="18"/>
              </w:rPr>
              <w:t>(%)</w:t>
            </w:r>
          </w:p>
        </w:tc>
      </w:tr>
      <w:tr>
        <w:trPr>
          <w:trHeight w:val="435" w:hRule="exact"/>
        </w:trPr>
        <w:tc>
          <w:tcPr>
            <w:tcW w:w="339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9"/>
              <w:ind w:left="2" w:right="0"/>
              <w:jc w:val="left"/>
              <w:rPr>
                <w:rFonts w:ascii="宋体" w:hAnsi="宋体" w:cs="宋体" w:eastAsia="宋体" w:hint="default"/>
                <w:sz w:val="18"/>
                <w:szCs w:val="18"/>
              </w:rPr>
            </w:pPr>
            <w:r>
              <w:rPr>
                <w:rFonts w:ascii="宋体" w:hAnsi="宋体" w:cs="宋体" w:eastAsia="宋体" w:hint="default"/>
                <w:sz w:val="18"/>
                <w:szCs w:val="18"/>
              </w:rPr>
              <w:t>江西省博超建筑劳务有限公司</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2" w:right="0"/>
              <w:jc w:val="center"/>
              <w:rPr>
                <w:rFonts w:ascii="Times New Roman" w:hAnsi="Times New Roman" w:cs="Times New Roman" w:eastAsia="Times New Roman" w:hint="default"/>
                <w:sz w:val="18"/>
                <w:szCs w:val="18"/>
              </w:rPr>
            </w:pPr>
            <w:r>
              <w:rPr>
                <w:rFonts w:ascii="Times New Roman"/>
                <w:sz w:val="18"/>
              </w:rPr>
              <w:t>1,300,000.00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9"/>
              <w:ind w:left="826" w:right="0"/>
              <w:jc w:val="left"/>
              <w:rPr>
                <w:rFonts w:ascii="Times New Roman" w:hAnsi="Times New Roman" w:cs="Times New Roman" w:eastAsia="Times New Roman" w:hint="default"/>
                <w:sz w:val="18"/>
                <w:szCs w:val="18"/>
              </w:rPr>
            </w:pPr>
            <w:r>
              <w:rPr>
                <w:rFonts w:ascii="Times New Roman"/>
                <w:sz w:val="18"/>
              </w:rPr>
              <w:t>26.12</w:t>
            </w:r>
          </w:p>
        </w:tc>
      </w:tr>
      <w:tr>
        <w:trPr>
          <w:trHeight w:val="744" w:hRule="exact"/>
        </w:trPr>
        <w:tc>
          <w:tcPr>
            <w:tcW w:w="339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62"/>
              <w:ind w:left="2" w:right="137"/>
              <w:jc w:val="left"/>
              <w:rPr>
                <w:rFonts w:ascii="宋体" w:hAnsi="宋体" w:cs="宋体" w:eastAsia="宋体" w:hint="default"/>
                <w:sz w:val="18"/>
                <w:szCs w:val="18"/>
              </w:rPr>
            </w:pPr>
            <w:r>
              <w:rPr>
                <w:rFonts w:ascii="宋体" w:hAnsi="宋体" w:cs="宋体" w:eastAsia="宋体" w:hint="default"/>
                <w:sz w:val="18"/>
                <w:szCs w:val="18"/>
              </w:rPr>
              <w:t>中城投集团第六工程局有限公司龙岩分公 司</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1,245,454.55</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26" w:right="0"/>
              <w:jc w:val="left"/>
              <w:rPr>
                <w:rFonts w:ascii="Times New Roman" w:hAnsi="Times New Roman" w:cs="Times New Roman" w:eastAsia="Times New Roman" w:hint="default"/>
                <w:sz w:val="18"/>
                <w:szCs w:val="18"/>
              </w:rPr>
            </w:pPr>
            <w:r>
              <w:rPr>
                <w:rFonts w:ascii="Times New Roman"/>
                <w:sz w:val="18"/>
              </w:rPr>
              <w:t>25.02</w:t>
            </w:r>
          </w:p>
        </w:tc>
      </w:tr>
      <w:tr>
        <w:trPr>
          <w:trHeight w:val="421" w:hRule="exact"/>
        </w:trPr>
        <w:tc>
          <w:tcPr>
            <w:tcW w:w="339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新东北电气集团高压开关有限公司</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376,000.00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872" w:right="0"/>
              <w:jc w:val="left"/>
              <w:rPr>
                <w:rFonts w:ascii="Times New Roman" w:hAnsi="Times New Roman" w:cs="Times New Roman" w:eastAsia="Times New Roman" w:hint="default"/>
                <w:sz w:val="18"/>
                <w:szCs w:val="18"/>
              </w:rPr>
            </w:pPr>
            <w:r>
              <w:rPr>
                <w:rFonts w:ascii="Times New Roman"/>
                <w:sz w:val="18"/>
              </w:rPr>
              <w:t>7.55</w:t>
            </w:r>
          </w:p>
        </w:tc>
      </w:tr>
      <w:tr>
        <w:trPr>
          <w:trHeight w:val="427" w:hRule="exact"/>
        </w:trPr>
        <w:tc>
          <w:tcPr>
            <w:tcW w:w="339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国网福建招标有限公司</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294,511.00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72" w:right="0"/>
              <w:jc w:val="left"/>
              <w:rPr>
                <w:rFonts w:ascii="Times New Roman" w:hAnsi="Times New Roman" w:cs="Times New Roman" w:eastAsia="Times New Roman" w:hint="default"/>
                <w:sz w:val="18"/>
                <w:szCs w:val="18"/>
              </w:rPr>
            </w:pPr>
            <w:r>
              <w:rPr>
                <w:rFonts w:ascii="Times New Roman"/>
                <w:sz w:val="18"/>
              </w:rPr>
              <w:t>5.92</w:t>
            </w:r>
          </w:p>
        </w:tc>
      </w:tr>
      <w:tr>
        <w:trPr>
          <w:trHeight w:val="427" w:hRule="exact"/>
        </w:trPr>
        <w:tc>
          <w:tcPr>
            <w:tcW w:w="339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四川西南新科电力有限公司</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223,624.23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72" w:right="0"/>
              <w:jc w:val="left"/>
              <w:rPr>
                <w:rFonts w:ascii="Times New Roman" w:hAnsi="Times New Roman" w:cs="Times New Roman" w:eastAsia="Times New Roman" w:hint="default"/>
                <w:sz w:val="18"/>
                <w:szCs w:val="18"/>
              </w:rPr>
            </w:pPr>
            <w:r>
              <w:rPr>
                <w:rFonts w:ascii="Times New Roman"/>
                <w:sz w:val="18"/>
              </w:rPr>
              <w:t>4.49</w:t>
            </w:r>
          </w:p>
        </w:tc>
      </w:tr>
      <w:tr>
        <w:trPr>
          <w:trHeight w:val="427" w:hRule="exact"/>
        </w:trPr>
        <w:tc>
          <w:tcPr>
            <w:tcW w:w="339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3,439,589.78</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26" w:right="0"/>
              <w:jc w:val="left"/>
              <w:rPr>
                <w:rFonts w:ascii="Times New Roman" w:hAnsi="Times New Roman" w:cs="Times New Roman" w:eastAsia="Times New Roman" w:hint="default"/>
                <w:sz w:val="18"/>
                <w:szCs w:val="18"/>
              </w:rPr>
            </w:pPr>
            <w:r>
              <w:rPr>
                <w:rFonts w:ascii="Times New Roman"/>
                <w:sz w:val="18"/>
              </w:rPr>
              <w:t>69.10</w:t>
            </w:r>
          </w:p>
        </w:tc>
      </w:tr>
    </w:tbl>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其他应收款" w:id="235"/>
      <w:bookmarkEnd w:id="235"/>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7,192,211.39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4,675,266.89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7,192,211.39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4,675,266.89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236"/>
      <w:bookmarkEnd w:id="23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股利" w:id="237"/>
      <w:bookmarkEnd w:id="23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spacing w:after="0" w:line="240" w:lineRule="auto"/>
        <w:jc w:val="left"/>
        <w:sectPr>
          <w:pgSz w:w="11910" w:h="16840"/>
          <w:pgMar w:header="850" w:footer="1267" w:top="1260" w:bottom="1460" w:left="980" w:right="0"/>
        </w:sectPr>
      </w:pPr>
    </w:p>
    <w:p>
      <w:pPr>
        <w:spacing w:line="240" w:lineRule="auto" w:before="10"/>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其他应收款" w:id="238"/>
      <w:bookmarkEnd w:id="23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7,841,8</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40.07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649,62</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8.68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8.28%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7,192,2</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11.39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5,193</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,539.</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518,272</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9.98%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4,675,26</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6.89</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7,841,8</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40.07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649,62</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8.68</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7,192,2</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11.39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5,193</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,539.</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518,272</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.38</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4,675,26</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6.89</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8"/>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6,545,370.69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327,268.54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868,408.38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86,840.84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211,375.00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63,412.50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23,068.00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165,226.00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132,180.80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28,392.00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28,392.00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7,841,840.07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649,628.68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60" w:lineRule="auto" w:before="26"/>
        <w:ind w:right="6612"/>
        <w:jc w:val="left"/>
      </w:pPr>
      <w:r>
        <w:rPr/>
        <w:t>□ 适用 √ 不适用 组合中，采用其他方法计提坏账准备的其他应收款：</w:t>
      </w:r>
    </w:p>
    <w:p>
      <w:pPr>
        <w:spacing w:after="0" w:line="360" w:lineRule="auto"/>
        <w:jc w:val="left"/>
        <w:sectPr>
          <w:type w:val="continuous"/>
          <w:pgSz w:w="11910" w:h="16840"/>
          <w:pgMar w:top="1580" w:bottom="700" w:left="980" w:right="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50" w:footer="1267" w:top="1260" w:bottom="1460" w:left="980" w:right="0"/>
        </w:sectPr>
      </w:pPr>
    </w:p>
    <w:p>
      <w:pPr>
        <w:pStyle w:val="BodyText"/>
        <w:spacing w:line="240" w:lineRule="auto" w:before="44"/>
        <w:ind w:right="-17"/>
        <w:jc w:val="left"/>
      </w:pPr>
      <w:r>
        <w:rPr/>
        <w:t>□ 适用 √ 不适用</w:t>
      </w:r>
    </w:p>
    <w:p>
      <w:pPr>
        <w:pStyle w:val="BodyText"/>
        <w:spacing w:line="240" w:lineRule="auto" w:before="116"/>
        <w:ind w:right="-17"/>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7"/>
        <w:jc w:val="left"/>
      </w:pPr>
      <w:r>
        <w:rPr/>
        <w:t>本期计提坏账准备金额</w:t>
      </w:r>
      <w:r>
        <w:rPr>
          <w:spacing w:val="-46"/>
        </w:rPr>
        <w:t> </w:t>
      </w:r>
      <w:r>
        <w:rPr>
          <w:rFonts w:ascii="Times New Roman" w:hAnsi="Times New Roman" w:cs="Times New Roman" w:eastAsia="Times New Roman" w:hint="default"/>
        </w:rPr>
        <w:t>131,356.30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6311" w:space="2518"/>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162"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6" w:lineRule="auto"/>
        <w:jc w:val="left"/>
        <w:rPr>
          <w:rFonts w:ascii="宋体" w:hAnsi="宋体" w:cs="宋体" w:eastAsia="宋体" w:hint="default"/>
          <w:sz w:val="18"/>
          <w:szCs w:val="18"/>
        </w:rPr>
        <w:sectPr>
          <w:type w:val="continuous"/>
          <w:pgSz w:w="11910" w:h="16840"/>
          <w:pgMar w:top="1580" w:bottom="70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7,031,521.30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2,978,214.00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劳务收入</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1,204,488.46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400,663.78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609,824.52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266,714.91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263,108.79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79,298.00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70,950.00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63,642.08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66,953.50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7,841,840.07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5,193,539.27</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2" w:right="16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0"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华电招标有限公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66,000.00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both"/>
              <w:rPr>
                <w:rFonts w:ascii="宋体" w:hAnsi="宋体" w:cs="宋体" w:eastAsia="宋体" w:hint="default"/>
                <w:sz w:val="18"/>
                <w:szCs w:val="18"/>
              </w:rPr>
            </w:pPr>
            <w:r>
              <w:rPr>
                <w:rFonts w:ascii="宋体" w:hAnsi="宋体" w:cs="宋体" w:eastAsia="宋体" w:hint="default"/>
                <w:sz w:val="18"/>
                <w:szCs w:val="18"/>
              </w:rPr>
              <w:t>中国能源建设集 团湖南省电力设 计院有限公司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56,550.00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9"/>
              <w:jc w:val="left"/>
              <w:rPr>
                <w:rFonts w:ascii="宋体" w:hAnsi="宋体" w:cs="宋体" w:eastAsia="宋体" w:hint="default"/>
                <w:sz w:val="18"/>
                <w:szCs w:val="18"/>
              </w:rPr>
            </w:pPr>
            <w:r>
              <w:rPr>
                <w:rFonts w:ascii="宋体" w:hAnsi="宋体" w:cs="宋体" w:eastAsia="宋体" w:hint="default"/>
                <w:sz w:val="18"/>
                <w:szCs w:val="18"/>
              </w:rPr>
              <w:t>福建省招标中心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43,750.00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福建省机电设备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753,767.68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37,688.38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招标有限公司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国网福建招标有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601,080.00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30,108.00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4,580,847.68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58.42%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234,096.38</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2" w:right="143" w:hanging="450"/>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5、存货" w:id="239"/>
      <w:bookmarkEnd w:id="239"/>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40"/>
      <w:bookmarkEnd w:id="24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193,203,659.47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193,203,659.47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69,911,784.10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2,907,984.91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67,003,799.19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未完工项目成 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82,487,032.13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82,487,032.13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76,122,223.45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76,122,223.45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275,690,691.60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275,690,691.60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146,034,007.55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8" w:right="0"/>
              <w:jc w:val="left"/>
              <w:rPr>
                <w:rFonts w:ascii="Times New Roman" w:hAnsi="Times New Roman" w:cs="Times New Roman" w:eastAsia="Times New Roman" w:hint="default"/>
                <w:sz w:val="18"/>
                <w:szCs w:val="18"/>
              </w:rPr>
            </w:pPr>
            <w:r>
              <w:rPr>
                <w:rFonts w:ascii="Times New Roman"/>
                <w:sz w:val="18"/>
              </w:rPr>
              <w:t>2,907,984.91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143,126,022.64</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4"/>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3"/>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存货跌价准备" w:id="241"/>
      <w:bookmarkEnd w:id="24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建造合同形成 的已完工未结 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2,907,984.91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2,907,984.91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2,907,984.91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2,907,984.91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59" w:lineRule="auto" w:before="26"/>
        <w:ind w:right="0"/>
        <w:jc w:val="left"/>
      </w:pPr>
      <w:r>
        <w:rPr>
          <w:spacing w:val="-3"/>
        </w:rPr>
        <w:t>说明：根据《福建省长乐市人民法院民事裁定书》（</w:t>
      </w:r>
      <w:r>
        <w:rPr>
          <w:rFonts w:ascii="Times New Roman" w:hAnsi="Times New Roman" w:cs="Times New Roman" w:eastAsia="Times New Roman" w:hint="default"/>
          <w:spacing w:val="-3"/>
        </w:rPr>
        <w:t>2017</w:t>
      </w:r>
      <w:r>
        <w:rPr>
          <w:spacing w:val="-3"/>
        </w:rPr>
        <w:t>）闽</w:t>
      </w:r>
      <w:r>
        <w:rPr>
          <w:rFonts w:ascii="Times New Roman" w:hAnsi="Times New Roman" w:cs="Times New Roman" w:eastAsia="Times New Roman" w:hint="default"/>
          <w:spacing w:val="-3"/>
        </w:rPr>
        <w:t>0182</w:t>
      </w:r>
      <w:r>
        <w:rPr>
          <w:spacing w:val="-3"/>
        </w:rPr>
        <w:t>破</w:t>
      </w:r>
      <w:r>
        <w:rPr>
          <w:rFonts w:ascii="Times New Roman" w:hAnsi="Times New Roman" w:cs="Times New Roman" w:eastAsia="Times New Roman" w:hint="default"/>
          <w:spacing w:val="-3"/>
        </w:rPr>
        <w:t>1</w:t>
      </w:r>
      <w:r>
        <w:rPr>
          <w:spacing w:val="-3"/>
        </w:rPr>
        <w:t>号之九的裁定，该公司破产重整，我</w:t>
      </w:r>
      <w:r>
        <w:rPr>
          <w:spacing w:val="-84"/>
        </w:rPr>
        <w:t> </w:t>
      </w:r>
      <w:r>
        <w:rPr>
          <w:spacing w:val="-84"/>
        </w:rPr>
      </w:r>
      <w:r>
        <w:rPr/>
        <w:t>司对该公司对应的项目计提的存货跌价准备进行转销。</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bookmarkStart w:name="（3）存货期末余额含有借款费用资本化金额的说明" w:id="242"/>
      <w:bookmarkEnd w:id="24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4）期末建造合同形成的已完工未结算资产情况" w:id="243"/>
      <w:bookmarkEnd w:id="24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732,224,965.27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125,776,674.36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664,797,980.16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193,203,659.47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6、其他流动资产" w:id="244"/>
      <w:bookmarkEnd w:id="244"/>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394,685.83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228,650.29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296,629.67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120,623,336.12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300,296,629.67</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可供出售金融资产" w:id="245"/>
      <w:bookmarkEnd w:id="245"/>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46"/>
      <w:bookmarkEnd w:id="24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center"/>
              <w:rPr>
                <w:rFonts w:ascii="Times New Roman" w:hAnsi="Times New Roman" w:cs="Times New Roman" w:eastAsia="Times New Roman" w:hint="default"/>
                <w:sz w:val="18"/>
                <w:szCs w:val="18"/>
              </w:rPr>
            </w:pPr>
            <w:r>
              <w:rPr>
                <w:rFonts w:ascii="Times New Roman"/>
                <w:sz w:val="18"/>
              </w:rPr>
              <w:t>14,300,000.0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6" w:right="0"/>
              <w:jc w:val="center"/>
              <w:rPr>
                <w:rFonts w:ascii="Times New Roman" w:hAnsi="Times New Roman" w:cs="Times New Roman" w:eastAsia="Times New Roman" w:hint="default"/>
                <w:sz w:val="18"/>
                <w:szCs w:val="18"/>
              </w:rPr>
            </w:pPr>
            <w:r>
              <w:rPr>
                <w:rFonts w:ascii="Times New Roman"/>
                <w:sz w:val="18"/>
              </w:rPr>
              <w:t>14,300,000.0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5,700,000.00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9" w:right="0"/>
              <w:jc w:val="left"/>
              <w:rPr>
                <w:rFonts w:ascii="Times New Roman" w:hAnsi="Times New Roman" w:cs="Times New Roman" w:eastAsia="Times New Roman" w:hint="default"/>
                <w:sz w:val="18"/>
                <w:szCs w:val="18"/>
              </w:rPr>
            </w:pPr>
            <w:r>
              <w:rPr>
                <w:rFonts w:ascii="Times New Roman"/>
                <w:sz w:val="18"/>
              </w:rPr>
              <w:t>5,700,000.00</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000"/>
        <w:gridCol w:w="1196"/>
        <w:gridCol w:w="1196"/>
        <w:gridCol w:w="1196"/>
        <w:gridCol w:w="1248"/>
        <w:gridCol w:w="1367"/>
        <w:gridCol w:w="1367"/>
      </w:tblGrid>
      <w:tr>
        <w:trPr>
          <w:trHeight w:val="36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5,700,000.00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47"/>
      <w:bookmarkEnd w:id="24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按成本计量的可供出售金融资产" w:id="248"/>
      <w:bookmarkEnd w:id="24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5" w:right="155"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59" w:right="158"/>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59" w:right="15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936"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本期减 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福建省 新能海 上风电 研发中 心有限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3,800,00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3,800,00</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福建永 帆风电 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1,900,00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1,900,00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福建中 青集团 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上海毅 昊信息 科技股 份有限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6"/>
              <w:ind w:left="443"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16.67%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08"/>
              <w:jc w:val="both"/>
              <w:rPr>
                <w:rFonts w:ascii="宋体" w:hAnsi="宋体" w:cs="宋体" w:eastAsia="宋体" w:hint="default"/>
                <w:sz w:val="18"/>
                <w:szCs w:val="18"/>
              </w:rPr>
            </w:pPr>
            <w:r>
              <w:rPr>
                <w:rFonts w:ascii="宋体" w:hAnsi="宋体" w:cs="宋体" w:eastAsia="宋体" w:hint="default"/>
                <w:sz w:val="18"/>
                <w:szCs w:val="18"/>
              </w:rPr>
              <w:t>福建积 微科技 有限公</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5,700,00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10,500,0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1,900,00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14,300,0</w:t>
            </w:r>
          </w:p>
          <w:p>
            <w:pPr>
              <w:pStyle w:val="TableParagraph"/>
              <w:spacing w:line="240" w:lineRule="auto" w:before="105"/>
              <w:ind w:left="353"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49"/>
      <w:bookmarkEnd w:id="24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2" w:right="141" w:hanging="721"/>
              <w:jc w:val="left"/>
              <w:rPr>
                <w:rFonts w:ascii="宋体" w:hAnsi="宋体" w:cs="宋体" w:eastAsia="宋体" w:hint="default"/>
                <w:sz w:val="18"/>
                <w:szCs w:val="18"/>
              </w:rPr>
            </w:pPr>
            <w:r>
              <w:rPr>
                <w:rFonts w:ascii="宋体" w:hAnsi="宋体" w:cs="宋体" w:eastAsia="宋体" w:hint="default"/>
                <w:sz w:val="18"/>
                <w:szCs w:val="18"/>
              </w:rPr>
              <w:t>可供出售金融资产分 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50"/>
      <w:bookmarkEnd w:id="25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19" w:right="137" w:hanging="180"/>
              <w:jc w:val="left"/>
              <w:rPr>
                <w:rFonts w:ascii="宋体" w:hAnsi="宋体" w:cs="宋体" w:eastAsia="宋体" w:hint="default"/>
                <w:sz w:val="18"/>
                <w:szCs w:val="18"/>
              </w:rPr>
            </w:pPr>
            <w:r>
              <w:rPr>
                <w:rFonts w:ascii="宋体" w:hAnsi="宋体" w:cs="宋体" w:eastAsia="宋体" w:hint="default"/>
                <w:sz w:val="18"/>
                <w:szCs w:val="18"/>
              </w:rPr>
              <w:t>可供出售权益 工具项目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公允价值相对 于成本的下跌 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7" w:right="138" w:hanging="451"/>
              <w:jc w:val="left"/>
              <w:rPr>
                <w:rFonts w:ascii="宋体" w:hAnsi="宋体" w:cs="宋体" w:eastAsia="宋体" w:hint="default"/>
                <w:sz w:val="18"/>
                <w:szCs w:val="18"/>
              </w:rPr>
            </w:pPr>
            <w:r>
              <w:rPr>
                <w:rFonts w:ascii="宋体" w:hAnsi="宋体" w:cs="宋体" w:eastAsia="宋体" w:hint="default"/>
                <w:sz w:val="18"/>
                <w:szCs w:val="18"/>
              </w:rPr>
              <w:t>已计提减值金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87" w:right="137" w:hanging="450"/>
              <w:jc w:val="left"/>
              <w:rPr>
                <w:rFonts w:ascii="宋体" w:hAnsi="宋体" w:cs="宋体" w:eastAsia="宋体" w:hint="default"/>
                <w:sz w:val="18"/>
                <w:szCs w:val="18"/>
              </w:rPr>
            </w:pPr>
            <w:r>
              <w:rPr>
                <w:rFonts w:ascii="宋体" w:hAnsi="宋体" w:cs="宋体" w:eastAsia="宋体" w:hint="default"/>
                <w:sz w:val="18"/>
                <w:szCs w:val="18"/>
              </w:rPr>
              <w:t>未计提减值原 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8、长期股权投资" w:id="251"/>
      <w:bookmarkEnd w:id="251"/>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12" w:right="123" w:hanging="90"/>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福建永 帆风电 科技有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-2,613,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859.53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21,386,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140.47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Times New Roman" w:hAnsi="Times New Roman" w:cs="Times New Roman" w:eastAsia="Times New Roman" w:hint="default"/>
                <w:sz w:val="18"/>
                <w:szCs w:val="18"/>
              </w:rPr>
            </w:pPr>
            <w:r>
              <w:rPr>
                <w:rFonts w:ascii="Times New Roman"/>
                <w:sz w:val="18"/>
              </w:rPr>
              <w:t>-2,613,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859.53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21,386,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140.47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Times New Roman" w:hAnsi="Times New Roman" w:cs="Times New Roman" w:eastAsia="Times New Roman" w:hint="default"/>
                <w:sz w:val="18"/>
                <w:szCs w:val="18"/>
              </w:rPr>
            </w:pPr>
            <w:r>
              <w:rPr>
                <w:rFonts w:ascii="Times New Roman"/>
                <w:sz w:val="18"/>
              </w:rPr>
              <w:t>-2,613,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859.53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21,386,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140.47</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left"/>
        <w:rPr>
          <w:b w:val="0"/>
          <w:bCs w:val="0"/>
        </w:rPr>
      </w:pPr>
      <w:bookmarkStart w:name="9、投资性房地产" w:id="252"/>
      <w:bookmarkEnd w:id="252"/>
      <w:r>
        <w:rPr>
          <w:b w:val="0"/>
          <w:bCs w:val="0"/>
        </w:rPr>
      </w:r>
      <w:r>
        <w:rPr>
          <w:rFonts w:ascii="Times New Roman" w:hAnsi="Times New Roman" w:cs="Times New Roman" w:eastAsia="Times New Roman" w:hint="default"/>
        </w:rPr>
        <w:t>9</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53"/>
      <w:bookmarkEnd w:id="25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8,303,980.01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8,303,980.01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01" w:firstLine="32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）存货</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固定资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1,349,631.06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1,349,631.06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）转入固定</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1,349,631.06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1,349,631.06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6,954,348.95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6,954,348.95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二、累计折旧和累计 摊销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946,329.22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946,329.22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181,192.66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181,192.66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181,192.66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181,192.66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177,818.60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177,818.60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）转入固</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定资产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177,818.60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177,818.60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949,703.28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949,703.28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6,004,645.67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6,004,645.67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7,357,650.79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7,357,650.79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54"/>
      <w:bookmarkEnd w:id="25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未办妥产权证书的投资性房地产情况" w:id="255"/>
      <w:bookmarkEnd w:id="25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0、固定资产" w:id="256"/>
      <w:bookmarkEnd w:id="256"/>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5"/>
        <w:gridCol w:w="3188"/>
        <w:gridCol w:w="3188"/>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228,362,775.40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215,769,432.68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228,362,775.40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215,769,432.68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固定资产情况" w:id="257"/>
      <w:bookmarkEnd w:id="25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502" w:right="140" w:hanging="360"/>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502" w:right="143" w:hanging="360"/>
              <w:jc w:val="left"/>
              <w:rPr>
                <w:rFonts w:ascii="宋体" w:hAnsi="宋体" w:cs="宋体" w:eastAsia="宋体" w:hint="default"/>
                <w:sz w:val="18"/>
                <w:szCs w:val="18"/>
              </w:rPr>
            </w:pPr>
            <w:r>
              <w:rPr>
                <w:rFonts w:ascii="宋体" w:hAnsi="宋体" w:cs="宋体" w:eastAsia="宋体" w:hint="default"/>
                <w:sz w:val="18"/>
                <w:szCs w:val="18"/>
              </w:rPr>
              <w:t>固定资产装 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230,294,219.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4,827,683.45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11,085,355.0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21,803,726.2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13,091,186.7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281,102,170.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65</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1,349,631.06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3,502,079.65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1,399,964.59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1,333,538.10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15,712,176.3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23,297,389.7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3,502,079.65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1,399,964.59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856,716.83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5,758,761.07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7" w:firstLine="35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w:t>
            </w:r>
            <w:r>
              <w:rPr>
                <w:rFonts w:ascii="宋体" w:hAnsi="宋体" w:cs="宋体" w:eastAsia="宋体" w:hint="default"/>
                <w:spacing w:val="-5"/>
                <w:sz w:val="18"/>
                <w:szCs w:val="18"/>
              </w:rPr>
              <w:t> </w:t>
            </w:r>
            <w:r>
              <w:rPr>
                <w:rFonts w:ascii="宋体" w:hAnsi="宋体" w:cs="宋体" w:eastAsia="宋体" w:hint="default"/>
                <w:sz w:val="18"/>
                <w:szCs w:val="18"/>
              </w:rPr>
              <w:t>建工程转入</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476,821.27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15,712,176.3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16,188,997.6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7" w:firstLine="35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w:t>
            </w:r>
            <w:r>
              <w:rPr>
                <w:rFonts w:ascii="宋体" w:hAnsi="宋体" w:cs="宋体" w:eastAsia="宋体" w:hint="default"/>
                <w:spacing w:val="-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0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）投资性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房地产转入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1,349,631.06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1,349,631.06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42,735.04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1,165,418.00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1,208,153.04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7" w:firstLine="35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pacing w:val="-5"/>
                <w:sz w:val="18"/>
                <w:szCs w:val="18"/>
              </w:rPr>
              <w:t> </w:t>
            </w:r>
            <w:r>
              <w:rPr>
                <w:rFonts w:ascii="宋体" w:hAnsi="宋体" w:cs="宋体" w:eastAsia="宋体" w:hint="default"/>
                <w:sz w:val="18"/>
                <w:szCs w:val="18"/>
              </w:rPr>
              <w:t>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42,735.04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1,165,418.00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1,208,153.04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231,643,850.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8,287,028.06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9,919,937.01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23,203,690.8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14,424,724.8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15,712,176.3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303,191,407.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38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二、累计折 旧</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27,261,152.1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3,627,797.71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8,120,393.17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17,145,444.7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9,177,950.23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65,332,737.9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5,921,007.23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364,015.80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760,175.34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1,758,556.84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1,156,743.06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660,135.48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10,620,633.7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5,743,188.63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364,015.80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760,175.34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1,758,556.84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1,156,743.06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660,135.48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10,442,815.1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03" w:right="10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）投资性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房地产转入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177,818.60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177,818.60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17,592.64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1,107,147.10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1,124,739.74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7" w:firstLine="35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pacing w:val="-5"/>
                <w:sz w:val="18"/>
                <w:szCs w:val="18"/>
              </w:rPr>
              <w:t> </w:t>
            </w:r>
            <w:r>
              <w:rPr>
                <w:rFonts w:ascii="宋体" w:hAnsi="宋体" w:cs="宋体" w:eastAsia="宋体" w:hint="default"/>
                <w:sz w:val="18"/>
                <w:szCs w:val="18"/>
              </w:rPr>
              <w:t>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17,592.64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1,107,147.10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1,124,739.74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33,182,159.3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3,974,220.87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7,773,421.41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18,904,001.5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10,334,693.2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660,135.48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74,828,631.9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7" w:firstLine="35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r>
              <w:rPr>
                <w:rFonts w:ascii="宋体" w:hAnsi="宋体" w:cs="宋体" w:eastAsia="宋体" w:hint="default"/>
                <w:spacing w:val="-5"/>
                <w:sz w:val="18"/>
                <w:szCs w:val="18"/>
              </w:rPr>
              <w:t> </w:t>
            </w:r>
            <w:r>
              <w:rPr>
                <w:rFonts w:ascii="宋体" w:hAnsi="宋体" w:cs="宋体" w:eastAsia="宋体" w:hint="default"/>
                <w:sz w:val="18"/>
                <w:szCs w:val="18"/>
              </w:rPr>
              <w:t>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83"/>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198,461,690.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4,312,807.19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2,146,515.60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4,299,689.26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4,090,031.59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15,052,040.8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228,362,775.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2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203,033,067.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1,199,885.74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2,964,961.84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4,658,281.51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3,913,236.55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215,769,432.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暂时闲置的固定资产情况" w:id="258"/>
      <w:bookmarkEnd w:id="25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通过融资租赁租入的固定资产情况" w:id="259"/>
      <w:bookmarkEnd w:id="25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通过经营租赁租出的固定资产" w:id="260"/>
      <w:bookmarkEnd w:id="26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61"/>
      <w:bookmarkEnd w:id="26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60" w:lineRule="auto" w:before="51"/>
        <w:ind w:right="7872"/>
        <w:jc w:val="left"/>
      </w:pPr>
      <w:r>
        <w:rPr/>
        <w:t>其他说明 期末无未办妥产权证书的固定资产。</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6）固定资产清理" w:id="262"/>
      <w:bookmarkEnd w:id="262"/>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1、在建工程" w:id="263"/>
      <w:bookmarkEnd w:id="263"/>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95"/>
        <w:gridCol w:w="3815"/>
        <w:gridCol w:w="3858"/>
      </w:tblGrid>
      <w:tr>
        <w:trPr>
          <w:trHeight w:val="401"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617,047.66</w:t>
            </w:r>
          </w:p>
        </w:tc>
        <w:tc>
          <w:tcPr>
            <w:tcW w:w="38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617,047.66</w:t>
            </w:r>
          </w:p>
        </w:tc>
        <w:tc>
          <w:tcPr>
            <w:tcW w:w="38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在建工程情况" w:id="264"/>
      <w:bookmarkEnd w:id="26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夜景照明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617,047.66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617,047.66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617,047.66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617,047.66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65"/>
      <w:bookmarkEnd w:id="26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962"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1" w:right="179"/>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72" w:right="181" w:hanging="90"/>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3"/>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80"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82" w:right="182"/>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192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7"/>
              <w:jc w:val="both"/>
              <w:rPr>
                <w:rFonts w:ascii="宋体" w:hAnsi="宋体" w:cs="宋体" w:eastAsia="宋体" w:hint="default"/>
                <w:sz w:val="18"/>
                <w:szCs w:val="18"/>
              </w:rPr>
            </w:pPr>
            <w:r>
              <w:rPr>
                <w:rFonts w:ascii="宋体" w:hAnsi="宋体" w:cs="宋体" w:eastAsia="宋体" w:hint="default"/>
                <w:sz w:val="18"/>
                <w:szCs w:val="18"/>
              </w:rPr>
              <w:t>研发 中心 及培 训中 心装 修工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12,422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11,790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,909.0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11,790</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,909.0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103" w:right="260"/>
              <w:jc w:val="left"/>
              <w:rPr>
                <w:rFonts w:ascii="宋体" w:hAnsi="宋体" w:cs="宋体" w:eastAsia="宋体" w:hint="default"/>
                <w:sz w:val="18"/>
                <w:szCs w:val="18"/>
              </w:rPr>
            </w:pPr>
            <w:r>
              <w:rPr>
                <w:rFonts w:ascii="宋体" w:hAnsi="宋体" w:cs="宋体" w:eastAsia="宋体" w:hint="default"/>
                <w:sz w:val="18"/>
                <w:szCs w:val="18"/>
              </w:rPr>
              <w:t>募股 资金</w:t>
            </w:r>
          </w:p>
        </w:tc>
      </w:tr>
    </w:tbl>
    <w:p>
      <w:pPr>
        <w:spacing w:after="0" w:line="316"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12,422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,909.0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11,790</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,909.0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66"/>
      <w:bookmarkEnd w:id="26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工程物资" w:id="267"/>
      <w:bookmarkEnd w:id="267"/>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2、无形资产" w:id="268"/>
      <w:bookmarkEnd w:id="268"/>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69"/>
      <w:bookmarkEnd w:id="26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设计软件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9,962,188.45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19,991,707.47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4,222,111.68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34,176,007.60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3,419,595.79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253,198.77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3,672,794.56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3,419,595.79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253,198.77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3,672,794.56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10" w:firstLine="53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w:t>
            </w:r>
            <w:r>
              <w:rPr>
                <w:rFonts w:ascii="宋体" w:hAnsi="宋体" w:cs="宋体" w:eastAsia="宋体" w:hint="default"/>
                <w:spacing w:val="-10"/>
                <w:sz w:val="18"/>
                <w:szCs w:val="18"/>
              </w:rPr>
              <w:t> </w:t>
            </w:r>
            <w:r>
              <w:rPr>
                <w:rFonts w:ascii="宋体" w:hAnsi="宋体" w:cs="宋体" w:eastAsia="宋体" w:hint="default"/>
                <w:sz w:val="18"/>
                <w:szCs w:val="18"/>
              </w:rPr>
              <w:t>部研发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110" w:firstLine="53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w:t>
            </w:r>
            <w:r>
              <w:rPr>
                <w:rFonts w:ascii="宋体" w:hAnsi="宋体" w:cs="宋体" w:eastAsia="宋体" w:hint="default"/>
                <w:spacing w:val="-10"/>
                <w:sz w:val="18"/>
                <w:szCs w:val="18"/>
              </w:rPr>
              <w:t> </w:t>
            </w:r>
            <w:r>
              <w:rPr>
                <w:rFonts w:ascii="宋体" w:hAnsi="宋体" w:cs="宋体" w:eastAsia="宋体" w:hint="default"/>
                <w:sz w:val="18"/>
                <w:szCs w:val="18"/>
              </w:rPr>
              <w:t>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9,962,188.45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23,411,303.26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4,475,310.45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37,848,802.16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1,444,517.42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16,995,812.08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1,710,334.84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20,150,664.34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199,243.80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1,518,129.91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863,275.13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2,580,648.84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199,243.80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6" w:right="0"/>
              <w:jc w:val="center"/>
              <w:rPr>
                <w:rFonts w:ascii="Times New Roman" w:hAnsi="Times New Roman" w:cs="Times New Roman" w:eastAsia="Times New Roman" w:hint="default"/>
                <w:sz w:val="18"/>
                <w:szCs w:val="18"/>
              </w:rPr>
            </w:pPr>
            <w:r>
              <w:rPr>
                <w:rFonts w:ascii="Times New Roman"/>
                <w:sz w:val="18"/>
              </w:rPr>
              <w:t>1,518,129.91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863,275.13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2,580,648.84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1,643,761.22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18,513,941.99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2,573,609.97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22,731,313.18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8,318,427.23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center"/>
              <w:rPr>
                <w:rFonts w:ascii="Times New Roman" w:hAnsi="Times New Roman" w:cs="Times New Roman" w:eastAsia="Times New Roman" w:hint="default"/>
                <w:sz w:val="18"/>
                <w:szCs w:val="18"/>
              </w:rPr>
            </w:pPr>
            <w:r>
              <w:rPr>
                <w:rFonts w:ascii="Times New Roman"/>
                <w:sz w:val="18"/>
              </w:rPr>
              <w:t>4,897,361.27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1,901,700.48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15,117,488.98</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8,517,671.03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2,995,895.39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2,511,776.84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14,025,343.26</w:t>
            </w: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未办妥产权证书的土地使用权情况" w:id="270"/>
      <w:bookmarkEnd w:id="270"/>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3、长期待摊费用" w:id="271"/>
      <w:bookmarkEnd w:id="271"/>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厂区房屋装饰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110,330.42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110,330.42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110,330.42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110,330.42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4、递延所得税资产/递延所得税负债" w:id="272"/>
      <w:bookmarkEnd w:id="272"/>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273"/>
      <w:bookmarkEnd w:id="27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37,249,238.99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6,135,280.09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31,282,786.11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5,033,300.61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37,249,238.99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6,135,280.09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31,282,786.11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5,033,300.61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经抵销的递延所得税负债" w:id="274"/>
      <w:bookmarkEnd w:id="27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固定资产折旧年限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4,828,628.90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724,294.34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4,828,628.90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724,294.34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抵销后净额列示的递延所得税资产或负债" w:id="275"/>
      <w:bookmarkEnd w:id="27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2"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1" w:right="141"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1" w:right="140" w:hanging="90"/>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6,135,280.09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5,033,300.61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724,294.34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276"/>
      <w:bookmarkEnd w:id="27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277"/>
      <w:bookmarkEnd w:id="27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5、短期借款" w:id="278"/>
      <w:bookmarkEnd w:id="278"/>
      <w:r>
        <w:rPr>
          <w:b w:val="0"/>
          <w:bCs w:val="0"/>
        </w:rPr>
      </w:r>
      <w:r>
        <w:rPr>
          <w:rFonts w:ascii="Times New Roman" w:hAnsi="Times New Roman" w:cs="Times New Roman" w:eastAsia="Times New Roman" w:hint="default"/>
        </w:rPr>
        <w:t>15</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79"/>
      <w:bookmarkEnd w:id="27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134,410,000.00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134,410,000.00</w:t>
            </w: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已逾期未偿还的短期借款情况" w:id="280"/>
      <w:bookmarkEnd w:id="28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6、应付票据及应付账款" w:id="281"/>
      <w:bookmarkEnd w:id="281"/>
      <w:r>
        <w:rPr>
          <w:b w:val="0"/>
          <w:bCs w:val="0"/>
        </w:rPr>
      </w:r>
      <w:r>
        <w:rPr>
          <w:rFonts w:ascii="Times New Roman" w:hAnsi="Times New Roman" w:cs="Times New Roman" w:eastAsia="Times New Roman" w:hint="default"/>
        </w:rPr>
        <w:t>16</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1" w:right="0"/>
              <w:jc w:val="left"/>
              <w:rPr>
                <w:rFonts w:ascii="Times New Roman" w:hAnsi="Times New Roman" w:cs="Times New Roman" w:eastAsia="Times New Roman" w:hint="default"/>
                <w:sz w:val="18"/>
                <w:szCs w:val="18"/>
              </w:rPr>
            </w:pPr>
            <w:r>
              <w:rPr>
                <w:rFonts w:ascii="Times New Roman"/>
                <w:sz w:val="18"/>
              </w:rPr>
              <w:t>151,395,283.57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8" w:right="0"/>
              <w:jc w:val="left"/>
              <w:rPr>
                <w:rFonts w:ascii="Times New Roman" w:hAnsi="Times New Roman" w:cs="Times New Roman" w:eastAsia="Times New Roman" w:hint="default"/>
                <w:sz w:val="18"/>
                <w:szCs w:val="18"/>
              </w:rPr>
            </w:pPr>
            <w:r>
              <w:rPr>
                <w:rFonts w:ascii="Times New Roman"/>
                <w:sz w:val="18"/>
              </w:rPr>
              <w:t>28,118,901.36</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180,271,013.24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122,530,988.80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331,666,296.81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150,649,890.16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票据分类列示" w:id="282"/>
      <w:bookmarkEnd w:id="28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151,395,283.57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28,118,901.36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151,395,283.57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28,118,901.36</w:t>
            </w:r>
          </w:p>
        </w:tc>
      </w:tr>
    </w:tbl>
    <w:p>
      <w:pPr>
        <w:pStyle w:val="BodyText"/>
        <w:spacing w:line="240" w:lineRule="auto" w:before="51"/>
        <w:ind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账款列示" w:id="283"/>
      <w:bookmarkEnd w:id="28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146,811,856.79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97,511,299.40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33,459,156.45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25,019,689.40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180,271,013.24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122,530,988.80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账龄超过1年的重要应付账款" w:id="284"/>
      <w:bookmarkEnd w:id="284"/>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江苏金智科技股份有限公司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6,737,000.00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福建宏能电力工程有限公司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4,493,779.12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福建龙净环保股份有限公司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3,947,000.00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福建省林业勘察设计院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2,263,341.13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许昌美特桥架股份有限公司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1,041,132.00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18,482,252.25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预收款项" w:id="285"/>
      <w:bookmarkEnd w:id="285"/>
      <w:r>
        <w:rPr>
          <w:b w:val="0"/>
          <w:bCs w:val="0"/>
        </w:rPr>
      </w:r>
      <w:r>
        <w:rPr>
          <w:rFonts w:ascii="Times New Roman" w:hAnsi="Times New Roman" w:cs="Times New Roman" w:eastAsia="Times New Roman" w:hint="default"/>
        </w:rPr>
        <w:t>17</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86"/>
      <w:bookmarkEnd w:id="28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5,030,074.42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6,480,722.99</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3,991,479.72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3,974,085.67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9,021,554.14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10,454,808.66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287"/>
      <w:bookmarkEnd w:id="28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上海勘测设计研究院有限公司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708,679.25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业务正在进行中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三明市第一医院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473,886.79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业务正在进行中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国电电力福建新能源开发有限公司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441,509.43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业务正在进行中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武汉中原鹏飞电力工程有限责任公司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386,037.74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业务正在进行中</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92"/>
              <w:jc w:val="left"/>
              <w:rPr>
                <w:rFonts w:ascii="宋体" w:hAnsi="宋体" w:cs="宋体" w:eastAsia="宋体" w:hint="default"/>
                <w:sz w:val="18"/>
                <w:szCs w:val="18"/>
              </w:rPr>
            </w:pPr>
            <w:r>
              <w:rPr>
                <w:rFonts w:ascii="宋体" w:hAnsi="宋体" w:cs="宋体" w:eastAsia="宋体" w:hint="default"/>
                <w:sz w:val="18"/>
                <w:szCs w:val="18"/>
              </w:rPr>
              <w:t>龙海市角美镇人民政府征地拆迁办公 室</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330,188.68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业务正在进行中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2,340,301.89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期末建造合同形成的已结算未完工项目情况" w:id="288"/>
      <w:bookmarkEnd w:id="28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38,033,413.26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7,692,358.45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47,068,542.84</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建造合同形成的已结算未完工项目</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-1,342,771.13</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8、应付职工薪酬" w:id="289"/>
      <w:bookmarkEnd w:id="289"/>
      <w:r>
        <w:rPr>
          <w:b w:val="0"/>
          <w:bCs w:val="0"/>
        </w:rPr>
      </w:r>
      <w:r>
        <w:rPr>
          <w:rFonts w:ascii="Times New Roman" w:hAnsi="Times New Roman" w:cs="Times New Roman" w:eastAsia="Times New Roman" w:hint="default"/>
        </w:rPr>
        <w:t>18</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90"/>
      <w:bookmarkEnd w:id="29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7,492,959.53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115,564,510.60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114,422,324.76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8,635,145.37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3" w:right="11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6,948,526.94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6,948,526.94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7,492,959.53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122,513,037.54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121,370,851.70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8,635,145.37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91"/>
      <w:bookmarkEnd w:id="29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和补贴</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7,487,797.01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94,963,056.22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93,824,336.38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8,626,516.85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8,837,655.43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8,837,655.43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4,530,150.91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4,530,150.91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4,014,827.50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4,014,827.50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255,787.15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255,787.15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3"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259,536.26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259,536.26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6,048,539.50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6,045,073.50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3,466.00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育经费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5,162.52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1,003,579.92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1,003,579.92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5,162.52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181,528.62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181,528.62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7,492,959.53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115,564,510.60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114,422,324.76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8,635,145.37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92"/>
      <w:bookmarkEnd w:id="29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6,761,895.60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6,761,895.60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186,631.34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186,631.34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6,948,526.94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6,948,526.94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9、应交税费" w:id="293"/>
      <w:bookmarkEnd w:id="293"/>
      <w:r>
        <w:rPr>
          <w:b w:val="0"/>
          <w:bCs w:val="0"/>
        </w:rPr>
      </w:r>
      <w:r>
        <w:rPr>
          <w:rFonts w:ascii="Times New Roman" w:hAnsi="Times New Roman" w:cs="Times New Roman" w:eastAsia="Times New Roman" w:hint="default"/>
        </w:rPr>
        <w:t>19</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8,023,353.37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12,374,316.90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5,228,881.74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3,953,268.90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37,427.76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59,745.89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413,861.27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719,878.17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406,421.94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687,474.73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110,577.67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110,588.33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112,684.80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62,748.88</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江海堤防工程维护管理费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56,611.90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26,989.83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7,456.87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3,706.87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14,397,277.32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17,998,718.50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0、其他应付款" w:id="294"/>
      <w:bookmarkEnd w:id="294"/>
      <w:r>
        <w:rPr>
          <w:b w:val="0"/>
          <w:bCs w:val="0"/>
        </w:rPr>
      </w:r>
      <w:r>
        <w:rPr>
          <w:rFonts w:ascii="Times New Roman" w:hAnsi="Times New Roman" w:cs="Times New Roman" w:eastAsia="Times New Roman" w:hint="default"/>
        </w:rPr>
        <w:t>20</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107,786.81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181,311.16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21,124,513.90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10,653,750.01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21,232,300.71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10,835,061.17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付利息" w:id="295"/>
      <w:bookmarkEnd w:id="295"/>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107,786.81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181,311.16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107,786.81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181,311.16</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付股利" w:id="296"/>
      <w:bookmarkEnd w:id="296"/>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其他应付款" w:id="297"/>
      <w:bookmarkEnd w:id="297"/>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费用款项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11,439,034.06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6,213,274.33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1,895,962.60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3,241,546.61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2,699,367.24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1,182,977.07</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90,150.00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15,952.00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21,124,513.90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10,653,750.01</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上海金慧软件有限公司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518,582.00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518,582.00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1、股本" w:id="298"/>
      <w:bookmarkEnd w:id="298"/>
      <w:r>
        <w:rPr>
          <w:b w:val="0"/>
          <w:bCs w:val="0"/>
        </w:rPr>
      </w:r>
      <w:r>
        <w:rPr>
          <w:rFonts w:ascii="Times New Roman" w:hAnsi="Times New Roman" w:cs="Times New Roman" w:eastAsia="Times New Roman" w:hint="default"/>
        </w:rPr>
        <w:t>21</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140,080,000.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140,080,000.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0"/>
        <w:jc w:val="left"/>
      </w:pPr>
      <w:r>
        <w:rPr/>
        <w:t>其他说明：</w:t>
      </w:r>
    </w:p>
    <w:p>
      <w:pPr>
        <w:pStyle w:val="Heading4"/>
        <w:spacing w:line="240" w:lineRule="auto" w:before="89"/>
        <w:ind w:right="0"/>
        <w:jc w:val="left"/>
      </w:pPr>
      <w:r>
        <w:rPr/>
        <w:t>上述股本由大华会计师事务所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出具大华验字</w:t>
      </w:r>
      <w:r>
        <w:rPr>
          <w:rFonts w:ascii="Times New Roman" w:hAnsi="Times New Roman" w:cs="Times New Roman" w:eastAsia="Times New Roman" w:hint="default"/>
        </w:rPr>
        <w:t>[2017]000743</w:t>
      </w:r>
      <w:r>
        <w:rPr/>
        <w:t>号验资报告验证。</w:t>
      </w: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bookmarkStart w:name="22、资本公积" w:id="299"/>
      <w:bookmarkEnd w:id="299"/>
      <w:r>
        <w:rPr>
          <w:b w:val="0"/>
          <w:bCs w:val="0"/>
        </w:rPr>
      </w:r>
      <w:r>
        <w:rPr>
          <w:rFonts w:ascii="Times New Roman" w:hAnsi="Times New Roman" w:cs="Times New Roman" w:eastAsia="Times New Roman" w:hint="default"/>
        </w:rPr>
        <w:t>22</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506,922,843.17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506,922,843.17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506,922,843.17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506,922,843.17</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3、盈余公积" w:id="300"/>
      <w:bookmarkEnd w:id="300"/>
      <w:r>
        <w:rPr>
          <w:b w:val="0"/>
          <w:bCs w:val="0"/>
        </w:rPr>
      </w:r>
      <w:r>
        <w:rPr>
          <w:rFonts w:ascii="Times New Roman" w:hAnsi="Times New Roman" w:cs="Times New Roman" w:eastAsia="Times New Roman" w:hint="default"/>
        </w:rPr>
        <w:t>23</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19,026,071.82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6,969,390.55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25,995,462.37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19,026,071.82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6,969,390.55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25,995,462.37</w:t>
            </w:r>
          </w:p>
        </w:tc>
      </w:tr>
    </w:tbl>
    <w:p>
      <w:pPr>
        <w:pStyle w:val="BodyText"/>
        <w:spacing w:line="240" w:lineRule="auto" w:before="51"/>
        <w:ind w:right="0"/>
        <w:jc w:val="left"/>
      </w:pPr>
      <w:r>
        <w:rPr/>
        <w:t>盈余公积说明，包括本期增减变动情况、变动原因说明：</w:t>
      </w:r>
    </w:p>
    <w:p>
      <w:pPr>
        <w:pStyle w:val="Heading4"/>
        <w:spacing w:line="240" w:lineRule="auto" w:before="90"/>
        <w:ind w:right="0"/>
        <w:jc w:val="left"/>
      </w:pPr>
      <w:r>
        <w:rPr/>
        <w:t>本期增加系根据公司章程，按当年度净利润的</w:t>
      </w:r>
      <w:r>
        <w:rPr>
          <w:rFonts w:ascii="Times New Roman" w:hAnsi="Times New Roman" w:cs="Times New Roman" w:eastAsia="Times New Roman" w:hint="default"/>
        </w:rPr>
        <w:t>10%</w:t>
      </w:r>
      <w:r>
        <w:rPr/>
        <w:t>计提法定盈余公积。</w:t>
      </w:r>
    </w:p>
    <w:p>
      <w:pPr>
        <w:spacing w:after="0" w:line="240" w:lineRule="auto"/>
        <w:jc w:val="left"/>
        <w:sectPr>
          <w:pgSz w:w="11910" w:h="16840"/>
          <w:pgMar w:header="850" w:footer="1267" w:top="1260" w:bottom="1460" w:left="980" w:right="0"/>
        </w:sectPr>
      </w:pPr>
    </w:p>
    <w:p>
      <w:pPr>
        <w:spacing w:line="240" w:lineRule="auto" w:before="7"/>
        <w:rPr>
          <w:rFonts w:ascii="宋体" w:hAnsi="宋体" w:cs="宋体" w:eastAsia="宋体" w:hint="default"/>
          <w:sz w:val="9"/>
          <w:szCs w:val="9"/>
        </w:rPr>
      </w:pPr>
    </w:p>
    <w:p>
      <w:pPr>
        <w:pStyle w:val="Heading3"/>
        <w:spacing w:line="240" w:lineRule="auto" w:before="35"/>
        <w:ind w:right="0"/>
        <w:jc w:val="left"/>
        <w:rPr>
          <w:b w:val="0"/>
          <w:bCs w:val="0"/>
        </w:rPr>
      </w:pPr>
      <w:bookmarkStart w:name="24、未分配利润" w:id="301"/>
      <w:bookmarkEnd w:id="301"/>
      <w:r>
        <w:rPr>
          <w:b w:val="0"/>
          <w:bCs w:val="0"/>
        </w:rPr>
      </w:r>
      <w:r>
        <w:rPr>
          <w:rFonts w:ascii="Times New Roman" w:hAnsi="Times New Roman" w:cs="Times New Roman" w:eastAsia="Times New Roman" w:hint="default"/>
        </w:rPr>
        <w:t>24</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5"/>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204,369,501.28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134,136,611.61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204,369,501.28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134,136,611.61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73,533,333.39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76,966,118.46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6,969,390.55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6,733,228.79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14,008,000.00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256,925,444.12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204,369,501.28</w:t>
            </w:r>
          </w:p>
        </w:tc>
      </w:tr>
    </w:tbl>
    <w:p>
      <w:pPr>
        <w:pStyle w:val="BodyText"/>
        <w:spacing w:line="240" w:lineRule="auto" w:before="51"/>
        <w:ind w:right="0"/>
        <w:jc w:val="left"/>
      </w:pPr>
      <w:r>
        <w:rPr/>
        <w:t>调整期初未分配利润明细：</w:t>
      </w:r>
    </w:p>
    <w:p>
      <w:pPr>
        <w:pStyle w:val="BodyText"/>
        <w:spacing w:line="240" w:lineRule="auto" w:before="116"/>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5、营业收入和营业成本" w:id="302"/>
      <w:bookmarkEnd w:id="302"/>
      <w:r>
        <w:rPr>
          <w:b w:val="0"/>
          <w:bCs w:val="0"/>
        </w:rPr>
      </w:r>
      <w:r>
        <w:rPr>
          <w:rFonts w:ascii="Times New Roman" w:hAnsi="Times New Roman" w:cs="Times New Roman" w:eastAsia="Times New Roman" w:hint="default"/>
        </w:rPr>
        <w:t>25</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682,950,203.40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488,323,059.91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560,391,150.90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373,121,098.56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3,014,025.30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2,062,613.74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4,005,369.38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2,558,995.76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685,964,228.70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490,385,673.65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564,396,520.28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375,680,094.32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6、税金及附加" w:id="303"/>
      <w:bookmarkEnd w:id="303"/>
      <w:r>
        <w:rPr>
          <w:b w:val="0"/>
          <w:bCs w:val="0"/>
        </w:rPr>
      </w:r>
      <w:r>
        <w:rPr>
          <w:rFonts w:ascii="Times New Roman" w:hAnsi="Times New Roman" w:cs="Times New Roman" w:eastAsia="Times New Roman" w:hint="default"/>
        </w:rPr>
        <w:t>26</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1,210,634.41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1,192,027.16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1,180,563.88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1,217,946.57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1,326,996.00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1,330,003.41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34,382.04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34,842.04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337,681.62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231,671.83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32,792.11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148,647.02</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江海堤防工程维护管理费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96,448.96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101,668.91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4,268,249.02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4,301,806.94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7、销售费用" w:id="304"/>
      <w:bookmarkEnd w:id="304"/>
      <w:r>
        <w:rPr>
          <w:b w:val="0"/>
          <w:bCs w:val="0"/>
        </w:rPr>
      </w:r>
      <w:r>
        <w:rPr>
          <w:rFonts w:ascii="Times New Roman" w:hAnsi="Times New Roman" w:cs="Times New Roman" w:eastAsia="Times New Roman" w:hint="default"/>
        </w:rPr>
        <w:t>27</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8,766,639.48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5,003,103.65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2,917,006.29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4,753,961.98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3,128,349.35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2,738,968.38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3,184,759.17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2,116,364.00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908,760.67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267,883.69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553,299.82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887,750.65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463,262.24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528,167.25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411,775.27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481,508.27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2,463,527.00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1,531,614.22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22,797,379.29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18,309,322.09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8、管理费用" w:id="305"/>
      <w:bookmarkEnd w:id="305"/>
      <w:r>
        <w:rPr>
          <w:b w:val="0"/>
          <w:bCs w:val="0"/>
        </w:rPr>
      </w:r>
      <w:r>
        <w:rPr>
          <w:rFonts w:ascii="Times New Roman" w:hAnsi="Times New Roman" w:cs="Times New Roman" w:eastAsia="Times New Roman" w:hint="default"/>
        </w:rPr>
        <w:t>28</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28,940,369.24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22,402,983.80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6,197,408.17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7,477,356.13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2,605,120.73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3,077,360.77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2,307,681.55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2,855,880.17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2,167,129.47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2,041,222.18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1,945,667.84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1,825,892.82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2,687,881.11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1,781,889.46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交通费用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1,243,083.15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1,281,730.44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77,927.13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1,171,793.24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修缮费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988,199.07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534,388.18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286,387.44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512,664.60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361,929.13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379,611.21</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371,548.01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354,912.35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2,165,889.85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2,645,874.77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52,346,221.89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48,343,560.12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9、研发费用" w:id="306"/>
      <w:bookmarkEnd w:id="306"/>
      <w:r>
        <w:rPr>
          <w:b w:val="0"/>
          <w:bCs w:val="0"/>
        </w:rPr>
      </w:r>
      <w:r>
        <w:rPr>
          <w:rFonts w:ascii="Times New Roman" w:hAnsi="Times New Roman" w:cs="Times New Roman" w:eastAsia="Times New Roman" w:hint="default"/>
        </w:rPr>
        <w:t>29</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17,291,231.48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12,446,663.44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折旧摊销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1,948,132.48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2,408,858.73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19,239,363.96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14,855,522.17</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0、财务费用" w:id="307"/>
      <w:bookmarkEnd w:id="307"/>
      <w:r>
        <w:rPr>
          <w:b w:val="0"/>
          <w:bCs w:val="0"/>
        </w:rPr>
      </w:r>
      <w:r>
        <w:rPr>
          <w:rFonts w:ascii="Times New Roman" w:hAnsi="Times New Roman" w:cs="Times New Roman" w:eastAsia="Times New Roman" w:hint="default"/>
        </w:rPr>
        <w:t>30</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6,377,957.41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8,795,336.05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1,232,390.29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585,730.53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34,088.00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110,451.02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1,886,907.19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1,742,774.05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7,066,562.31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10,062,830.59</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1、资产减值损失" w:id="308"/>
      <w:bookmarkEnd w:id="308"/>
      <w:r>
        <w:rPr>
          <w:b w:val="0"/>
          <w:bCs w:val="0"/>
        </w:rPr>
      </w:r>
      <w:r>
        <w:rPr>
          <w:rFonts w:ascii="Times New Roman" w:hAnsi="Times New Roman" w:cs="Times New Roman" w:eastAsia="Times New Roman" w:hint="default"/>
        </w:rPr>
        <w:t>31</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11,394,127.88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5,765,891.26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11,394,127.88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5,765,891.26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2、其他收益" w:id="309"/>
      <w:bookmarkEnd w:id="309"/>
      <w:r>
        <w:rPr>
          <w:b w:val="0"/>
          <w:bCs w:val="0"/>
        </w:rPr>
      </w:r>
      <w:r>
        <w:rPr>
          <w:rFonts w:ascii="Times New Roman" w:hAnsi="Times New Roman" w:cs="Times New Roman" w:eastAsia="Times New Roman" w:hint="default"/>
        </w:rPr>
        <w:t>32</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738,185.00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失业保险补贴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254,316.75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287,611.52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专利资助奖励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自主知识产权拨款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1,303,501.75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307,611.52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投资收益" w:id="310"/>
      <w:bookmarkEnd w:id="310"/>
      <w:r>
        <w:rPr>
          <w:b w:val="0"/>
          <w:bCs w:val="0"/>
        </w:rPr>
      </w:r>
      <w:r>
        <w:rPr>
          <w:rFonts w:ascii="Times New Roman" w:hAnsi="Times New Roman" w:cs="Times New Roman" w:eastAsia="Times New Roman" w:hint="default"/>
        </w:rPr>
        <w:t>33</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-2,613,859.53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9,240,155.95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6,626,296.42</w:t>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4、资产处置收益" w:id="311"/>
      <w:bookmarkEnd w:id="311"/>
      <w:r>
        <w:rPr>
          <w:b w:val="0"/>
          <w:bCs w:val="0"/>
        </w:rPr>
      </w:r>
      <w:r>
        <w:rPr>
          <w:rFonts w:ascii="Times New Roman" w:hAnsi="Times New Roman" w:cs="Times New Roman" w:eastAsia="Times New Roman" w:hint="default"/>
        </w:rPr>
        <w:t>34</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14,817.29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2,341,154.17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5、营业外收入" w:id="312"/>
      <w:bookmarkEnd w:id="312"/>
      <w:r>
        <w:rPr>
          <w:b w:val="0"/>
          <w:bCs w:val="0"/>
        </w:rPr>
      </w:r>
      <w:r>
        <w:rPr>
          <w:rFonts w:ascii="Times New Roman" w:hAnsi="Times New Roman" w:cs="Times New Roman" w:eastAsia="Times New Roman" w:hint="default"/>
        </w:rPr>
        <w:t>35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10,363.68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43,461.57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10,363.68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20,363.68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177,461.57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20,363.68</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02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4"/>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4"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45" w:right="164"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1" w:right="139"/>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134,000.00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8"/>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pStyle w:val="BodyText"/>
        <w:spacing w:line="240" w:lineRule="auto" w:before="51"/>
        <w:ind w:right="0"/>
        <w:jc w:val="left"/>
      </w:pPr>
      <w:r>
        <w:rPr/>
        <w:t>其他说明：</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left"/>
        <w:rPr>
          <w:b w:val="0"/>
          <w:bCs w:val="0"/>
        </w:rPr>
      </w:pPr>
      <w:bookmarkStart w:name="36、营业外支出" w:id="313"/>
      <w:bookmarkEnd w:id="313"/>
      <w:r>
        <w:rPr>
          <w:b w:val="0"/>
          <w:bCs w:val="0"/>
        </w:rPr>
      </w:r>
      <w:r>
        <w:rPr>
          <w:rFonts w:ascii="Times New Roman" w:hAnsi="Times New Roman" w:cs="Times New Roman" w:eastAsia="Times New Roman" w:hint="default"/>
        </w:rPr>
        <w:t>36</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154,000.00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154,000.00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6,702.75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5,665.26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6,702.75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12,091.39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12,091.39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172,794.14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5,670.58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172,794.14</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7、所得税费用" w:id="314"/>
      <w:bookmarkEnd w:id="314"/>
      <w:r>
        <w:rPr>
          <w:b w:val="0"/>
          <w:bCs w:val="0"/>
        </w:rPr>
      </w:r>
      <w:r>
        <w:rPr>
          <w:rFonts w:ascii="Times New Roman" w:hAnsi="Times New Roman" w:cs="Times New Roman" w:eastAsia="Times New Roman" w:hint="default"/>
        </w:rPr>
        <w:t>37</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15"/>
      <w:bookmarkEnd w:id="31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13,103,187.45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13,809,754.37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-377,685.14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-877,823.36</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12,725,502.31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12,931,931.01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16"/>
      <w:bookmarkEnd w:id="31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86,258,835.70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12,938,825.35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463,872.96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1,967,116.03</w:t>
            </w:r>
          </w:p>
        </w:tc>
      </w:tr>
      <w:tr>
        <w:trPr>
          <w:trHeight w:val="71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-377,685.14</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合并影响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-159,376.37</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研究开发费用加计扣除的税额影响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-2,107,250.52</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12,725,502.31</w:t>
            </w:r>
          </w:p>
        </w:tc>
      </w:tr>
    </w:tbl>
    <w:p>
      <w:pPr>
        <w:pStyle w:val="BodyText"/>
        <w:spacing w:line="240" w:lineRule="auto" w:before="51"/>
        <w:ind w:right="0"/>
        <w:jc w:val="left"/>
      </w:pPr>
      <w:r>
        <w:rPr/>
        <w:t>其他说明</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left"/>
        <w:rPr>
          <w:b w:val="0"/>
          <w:bCs w:val="0"/>
        </w:rPr>
      </w:pPr>
      <w:bookmarkStart w:name="38、现金流量表项目" w:id="317"/>
      <w:bookmarkEnd w:id="317"/>
      <w:r>
        <w:rPr>
          <w:b w:val="0"/>
          <w:bCs w:val="0"/>
        </w:rPr>
      </w:r>
      <w:r>
        <w:rPr>
          <w:rFonts w:ascii="Times New Roman" w:hAnsi="Times New Roman" w:cs="Times New Roman" w:eastAsia="Times New Roman" w:hint="default"/>
        </w:rPr>
        <w:t>38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收到的其他与经营活动有关的现金" w:id="318"/>
      <w:bookmarkEnd w:id="31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955,671.68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1,061,367.81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1,232,390.29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585,730.53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1,313,501.75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441,611.52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258.08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2,736,497.37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3,501,821.80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4,825,207.23</w:t>
            </w:r>
          </w:p>
        </w:tc>
      </w:tr>
    </w:tbl>
    <w:p>
      <w:pPr>
        <w:pStyle w:val="BodyText"/>
        <w:spacing w:line="240" w:lineRule="auto" w:before="51"/>
        <w:ind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支付的其他与经营活动有关的现金" w:id="319"/>
      <w:bookmarkEnd w:id="31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10,628,320.72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14,626,761.76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17,188,673.49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14,974,838.77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1,885,559.48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1,742,774.05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166,091.39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3,992,221.44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33,860,866.52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31,344,379.90</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收到的其他与投资活动有关的现金" w:id="320"/>
      <w:bookmarkEnd w:id="32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支付的其他与投资活动有关的现金" w:id="321"/>
      <w:bookmarkEnd w:id="32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支付的其他与投资活动有关的现金说明：</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left"/>
        <w:rPr>
          <w:b w:val="0"/>
          <w:bCs w:val="0"/>
        </w:rPr>
      </w:pPr>
      <w:bookmarkStart w:name="（5）收到的其他与筹资活动有关的现金" w:id="322"/>
      <w:bookmarkEnd w:id="32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支付的其他与筹资活动有关的现金" w:id="323"/>
      <w:bookmarkEnd w:id="32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9,126,367.39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9,126,367.39</w:t>
            </w:r>
          </w:p>
        </w:tc>
      </w:tr>
    </w:tbl>
    <w:p>
      <w:pPr>
        <w:pStyle w:val="BodyText"/>
        <w:spacing w:line="240" w:lineRule="auto" w:before="51"/>
        <w:ind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9、现金流量表补充资料" w:id="324"/>
      <w:bookmarkEnd w:id="324"/>
      <w:r>
        <w:rPr>
          <w:b w:val="0"/>
          <w:bCs w:val="0"/>
        </w:rPr>
      </w:r>
      <w:r>
        <w:rPr>
          <w:rFonts w:ascii="Times New Roman" w:hAnsi="Times New Roman" w:cs="Times New Roman" w:eastAsia="Times New Roman" w:hint="default"/>
        </w:rPr>
        <w:t>39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25"/>
      <w:bookmarkEnd w:id="32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73,533,333.39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76,966,118.46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11,394,127.88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5,765,891.26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10,624,007.81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12,174,031.30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2,580,648.84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3,332,946.31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110,330.42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661,981.56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-24,922.89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-2,341,154.17</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固定资产报废损失（收益以“－”号填 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6,702.75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5,665.26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6,412,045.41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8,822,479.52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-6,626,296.42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-1,101,979.48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-877,823.36</w:t>
            </w:r>
            <w:r>
              <w:rPr>
                <w:rFonts w:ascii="Times New Roman"/>
                <w:sz w:val="18"/>
              </w:rPr>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724,294.34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-132,564,668.96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-17,722,294.65</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-131,083,622.72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-22,561,424.90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186,139,743.44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-7,860,702.66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20,123,743.81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56,365,713.93</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03" w:right="1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289,200,600.26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184,767,479.08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184,767,479.08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81,897,426.45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104,433,121.18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102,870,052.63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26"/>
      <w:bookmarkEnd w:id="32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本期收到的处置子公司的现金净额" w:id="327"/>
      <w:bookmarkEnd w:id="32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28"/>
      <w:bookmarkEnd w:id="32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289,200,600.26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184,767,479.08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11,592.08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289,200,600.26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184,745,887.00</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0" w:right="0"/>
              <w:jc w:val="left"/>
              <w:rPr>
                <w:rFonts w:ascii="Times New Roman" w:hAnsi="Times New Roman" w:cs="Times New Roman" w:eastAsia="Times New Roman" w:hint="default"/>
                <w:sz w:val="18"/>
                <w:szCs w:val="18"/>
              </w:rPr>
            </w:pPr>
            <w:r>
              <w:rPr>
                <w:rFonts w:ascii="Times New Roman"/>
                <w:sz w:val="18"/>
              </w:rPr>
              <w:t>289,200,600.26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184,767,479.08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0、所有权或使用权受到限制的资产" w:id="329"/>
      <w:bookmarkEnd w:id="329"/>
      <w:r>
        <w:rPr>
          <w:b w:val="0"/>
          <w:bCs w:val="0"/>
        </w:rPr>
      </w:r>
      <w:r>
        <w:rPr>
          <w:rFonts w:ascii="Times New Roman" w:hAnsi="Times New Roman" w:cs="Times New Roman" w:eastAsia="Times New Roman" w:hint="default"/>
        </w:rPr>
        <w:t>40</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39,890,925.01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详见附注七（一）</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39,890,925.01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1、外币货币性项目" w:id="330"/>
      <w:bookmarkEnd w:id="330"/>
      <w:r>
        <w:rPr>
          <w:b w:val="0"/>
          <w:bCs w:val="0"/>
        </w:rPr>
      </w:r>
      <w:r>
        <w:rPr>
          <w:rFonts w:ascii="Times New Roman" w:hAnsi="Times New Roman" w:cs="Times New Roman" w:eastAsia="Times New Roman" w:hint="default"/>
        </w:rPr>
        <w:t>41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31"/>
      <w:bookmarkEnd w:id="33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6,863,371.17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6" w:right="0"/>
              <w:jc w:val="left"/>
              <w:rPr>
                <w:rFonts w:ascii="Times New Roman" w:hAnsi="Times New Roman" w:cs="Times New Roman" w:eastAsia="Times New Roman" w:hint="default"/>
                <w:sz w:val="18"/>
                <w:szCs w:val="18"/>
              </w:rPr>
            </w:pPr>
            <w:r>
              <w:rPr>
                <w:rFonts w:ascii="Times New Roman"/>
                <w:sz w:val="18"/>
              </w:rPr>
              <w:t>1,000,024.94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6,863,371.17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59" w:lineRule="auto" w:before="35"/>
        <w:ind w:right="0"/>
        <w:jc w:val="left"/>
        <w:rPr>
          <w:b w:val="0"/>
          <w:bCs w:val="0"/>
        </w:rPr>
      </w:pPr>
      <w:bookmarkStart w:name="（2）境外经营实体说明，包括对于重要的境外经营实体，应披露其境外主要经营地、记账" w:id="332"/>
      <w:bookmarkEnd w:id="33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1"/>
        </w:rPr>
        <w:t> </w:t>
      </w:r>
      <w:r>
        <w:rPr>
          <w:spacing w:val="-71"/>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2、政府补助" w:id="333"/>
      <w:bookmarkEnd w:id="333"/>
      <w:r>
        <w:rPr>
          <w:b w:val="0"/>
          <w:bCs w:val="0"/>
        </w:rPr>
      </w:r>
      <w:r>
        <w:rPr>
          <w:rFonts w:ascii="Times New Roman" w:hAnsi="Times New Roman" w:cs="Times New Roman" w:eastAsia="Times New Roman" w:hint="default"/>
        </w:rPr>
        <w:t>42</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334"/>
      <w:bookmarkEnd w:id="334"/>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738,185.00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738,185.00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失业保险补贴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254,316.75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254,316.75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技改补助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专利资助奖励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自主知识产权奖励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1,313,501.75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1,313,501.75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政府补助退回情况" w:id="335"/>
      <w:bookmarkEnd w:id="335"/>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9222"/>
        <w:jc w:val="left"/>
      </w:pPr>
      <w:r>
        <w:rPr/>
        <w:t>□ 适用 √ 不适用 其他说明：</w:t>
      </w:r>
    </w:p>
    <w:p>
      <w:pPr>
        <w:spacing w:line="240" w:lineRule="auto" w:before="1"/>
        <w:rPr>
          <w:rFonts w:ascii="宋体" w:hAnsi="宋体" w:cs="宋体" w:eastAsia="宋体" w:hint="default"/>
          <w:sz w:val="20"/>
          <w:szCs w:val="20"/>
        </w:rPr>
      </w:pPr>
    </w:p>
    <w:p>
      <w:pPr>
        <w:spacing w:line="487" w:lineRule="auto" w:before="0"/>
        <w:ind w:left="154" w:right="8328" w:firstLine="0"/>
        <w:jc w:val="left"/>
        <w:rPr>
          <w:rFonts w:ascii="宋体" w:hAnsi="宋体" w:cs="宋体" w:eastAsia="宋体" w:hint="default"/>
          <w:sz w:val="21"/>
          <w:szCs w:val="21"/>
        </w:rPr>
      </w:pPr>
      <w:bookmarkStart w:name="43、其他" w:id="336"/>
      <w:bookmarkEnd w:id="336"/>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37"/>
      <w:bookmarkEnd w:id="33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38"/>
      <w:bookmarkEnd w:id="3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0"/>
        <w:jc w:val="left"/>
        <w:rPr>
          <w:b w:val="0"/>
          <w:bCs w:val="0"/>
        </w:rPr>
      </w:pPr>
      <w:bookmarkStart w:name="（1）本期发生的非同一控制下企业合并" w:id="339"/>
      <w:bookmarkEnd w:id="33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6"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6" w:right="167"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65" w:right="165"/>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bl>
    <w:p>
      <w:pPr>
        <w:pStyle w:val="BodyText"/>
        <w:spacing w:line="240" w:lineRule="auto" w:before="51"/>
        <w:ind w:right="0"/>
        <w:jc w:val="left"/>
      </w:pPr>
      <w:r>
        <w:rPr/>
        <w:t>其他说明：</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left"/>
        <w:rPr>
          <w:b w:val="0"/>
          <w:bCs w:val="0"/>
        </w:rPr>
      </w:pPr>
      <w:bookmarkStart w:name="（2）合并成本及商誉" w:id="340"/>
      <w:bookmarkEnd w:id="34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10;top:16;width:104;height:392" coordorigin="10,16" coordsize="104,392">
              <v:shape style="position:absolute;left:10;top:16;width:104;height:392" coordorigin="10,16" coordsize="104,392" path="m10,407l113,407,113,16,10,16,10,407xe" filled="true" fillcolor="#d2d2d2" stroked="false">
                <v:path arrowok="t"/>
                <v:fill type="solid"/>
              </v:shape>
            </v:group>
            <v:group style="position:absolute;left:4682;top:16;width:102;height:392" coordorigin="4682,16" coordsize="102,392">
              <v:shape style="position:absolute;left:4682;top:16;width:102;height:392" coordorigin="4682,16" coordsize="102,392" path="m4682,407l4784,407,4784,16,4682,16,4682,407xe" filled="true" fillcolor="#d2d2d2" stroked="false">
                <v:path arrowok="t"/>
                <v:fill type="solid"/>
              </v:shape>
            </v:group>
            <v:group style="position:absolute;left:113;top:16;width:4570;height:392" coordorigin="113,16" coordsize="4570,392">
              <v:shape style="position:absolute;left:113;top:16;width:4570;height:392" coordorigin="113,16" coordsize="4570,392" path="m113,407l4682,407,4682,16,113,16,113,407xe" filled="true" fillcolor="#d2d2d2" stroked="false">
                <v:path arrowok="t"/>
                <v:fill type="solid"/>
              </v:shape>
            </v:group>
            <v:group style="position:absolute;left:4795;top:16;width:104;height:392" coordorigin="4795,16" coordsize="104,392">
              <v:shape style="position:absolute;left:4795;top:16;width:104;height:392" coordorigin="4795,16" coordsize="104,392" path="m4795,407l4898,407,4898,16,4795,16,4795,407xe" filled="true" fillcolor="#e0ffff" stroked="false">
                <v:path arrowok="t"/>
                <v:fill type="solid"/>
              </v:shape>
            </v:group>
            <v:group style="position:absolute;left:9466;top:16;width:104;height:392" coordorigin="9466,16" coordsize="104,392">
              <v:shape style="position:absolute;left:9466;top:16;width:104;height:392" coordorigin="9466,16" coordsize="104,392" path="m9466,407l9569,407,9569,16,9466,16,9466,407xe" filled="true" fillcolor="#e0ffff" stroked="false">
                <v:path arrowok="t"/>
                <v:fill type="solid"/>
              </v:shape>
            </v:group>
            <v:group style="position:absolute;left:4898;top:16;width:4568;height:392" coordorigin="4898,16" coordsize="4568,392">
              <v:shape style="position:absolute;left:4898;top:16;width:4568;height:392" coordorigin="4898,16" coordsize="4568,392" path="m4898,407l9466,407,9466,16,4898,16,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6072"/>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被购买方于购买日可辨认资产、负债" w:id="341"/>
      <w:bookmarkEnd w:id="34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3"/>
        <w:spacing w:line="240" w:lineRule="auto"/>
        <w:ind w:right="0"/>
        <w:jc w:val="both"/>
        <w:rPr>
          <w:b w:val="0"/>
          <w:bCs w:val="0"/>
        </w:rPr>
      </w:pPr>
      <w:bookmarkStart w:name="（4）购买日之前持有的股权按照公允价值重新计量产生的利得或损失" w:id="342"/>
      <w:bookmarkEnd w:id="34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right="0"/>
        <w:jc w:val="both"/>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5）购买日或合并当期期末无法合理确定合并对价或被购买方可辨认资产、负债公允价值" w:id="343"/>
      <w:bookmarkEnd w:id="34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344"/>
      <w:bookmarkEnd w:id="34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345"/>
      <w:bookmarkEnd w:id="34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346"/>
      <w:bookmarkEnd w:id="34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65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3"/>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6"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66" w:right="167"/>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6" w:right="166"/>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6" w:right="167"/>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合并成本" w:id="347"/>
      <w:bookmarkEnd w:id="34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50" w:footer="1267" w:top="1260" w:bottom="1460" w:left="980" w:right="0"/>
        </w:sectPr>
      </w:pPr>
    </w:p>
    <w:p>
      <w:pPr>
        <w:spacing w:line="240" w:lineRule="auto" w:before="12"/>
        <w:rPr>
          <w:rFonts w:ascii="宋体" w:hAnsi="宋体" w:cs="宋体" w:eastAsia="宋体" w:hint="default"/>
          <w:sz w:val="12"/>
          <w:szCs w:val="12"/>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4682;top:14;width:102;height:393" coordorigin="4682,14" coordsize="102,393">
              <v:shape style="position:absolute;left:4682;top:14;width:102;height:393" coordorigin="4682,14" coordsize="102,393" path="m4682,407l4784,407,4784,14,4682,14,4682,407xe" filled="true" fillcolor="#d2d2d2" stroked="false">
                <v:path arrowok="t"/>
                <v:fill type="solid"/>
              </v:shape>
            </v:group>
            <v:group style="position:absolute;left:113;top:14;width:4570;height:393" coordorigin="113,14" coordsize="4570,393">
              <v:shape style="position:absolute;left:113;top:14;width:4570;height:393" coordorigin="113,14" coordsize="4570,393" path="m113,407l4682,407,4682,14,113,14,113,407xe" filled="true" fillcolor="#d2d2d2" stroked="false">
                <v:path arrowok="t"/>
                <v:fill type="solid"/>
              </v:shape>
            </v:group>
            <v:group style="position:absolute;left:4795;top:14;width:104;height:393" coordorigin="4795,14" coordsize="104,393">
              <v:shape style="position:absolute;left:4795;top:14;width:104;height:393" coordorigin="4795,14" coordsize="104,393" path="m4795,407l4898,407,4898,14,4795,14,4795,407xe" filled="true" fillcolor="#e0ffff" stroked="false">
                <v:path arrowok="t"/>
                <v:fill type="solid"/>
              </v:shape>
            </v:group>
            <v:group style="position:absolute;left:9466;top:14;width:104;height:393" coordorigin="9466,14" coordsize="104,393">
              <v:shape style="position:absolute;left:9466;top:14;width:104;height:393" coordorigin="9466,14" coordsize="104,393" path="m9466,407l9569,407,9569,14,9466,14,9466,407xe" filled="true" fillcolor="#e0ffff" stroked="false">
                <v:path arrowok="t"/>
                <v:fill type="solid"/>
              </v:shape>
            </v:group>
            <v:group style="position:absolute;left:4898;top:14;width:4568;height:393" coordorigin="4898,14" coordsize="4568,393">
              <v:shape style="position:absolute;left:4898;top:14;width:4568;height:393" coordorigin="4898,14" coordsize="4568,393" path="m4898,407l9466,407,9466,14,4898,14,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3）合并日被合并方资产、负债的账面价值" w:id="348"/>
      <w:bookmarkEnd w:id="34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10;top:16;width:104;height:392" coordorigin="10,16" coordsize="104,392">
              <v:shape style="position:absolute;left:10;top:16;width:104;height:392" coordorigin="10,16" coordsize="104,392" path="m10,407l113,407,113,16,10,16,10,407xe" filled="true" fillcolor="#d2d2d2" stroked="false">
                <v:path arrowok="t"/>
                <v:fill type="solid"/>
              </v:shape>
            </v:group>
            <v:group style="position:absolute;left:3087;top:16;width:104;height:392" coordorigin="3087,16" coordsize="104,392">
              <v:shape style="position:absolute;left:3087;top:16;width:104;height:392" coordorigin="3087,16" coordsize="104,392" path="m3087,407l3190,407,3190,16,3087,16,3087,407xe" filled="true" fillcolor="#d2d2d2" stroked="false">
                <v:path arrowok="t"/>
                <v:fill type="solid"/>
              </v:shape>
            </v:group>
            <v:group style="position:absolute;left:113;top:16;width:2974;height:392" coordorigin="113,16" coordsize="2974,392">
              <v:shape style="position:absolute;left:113;top:16;width:2974;height:392" coordorigin="113,16" coordsize="2974,392" path="m113,407l3087,407,3087,16,113,16,113,407xe" filled="true" fillcolor="#d2d2d2" stroked="false">
                <v:path arrowok="t"/>
                <v:fill type="solid"/>
              </v:shape>
            </v:group>
            <v:group style="position:absolute;left:3200;top:16;width:104;height:392" coordorigin="3200,16" coordsize="104,392">
              <v:shape style="position:absolute;left:3200;top:16;width:104;height:392" coordorigin="3200,16" coordsize="104,392" path="m3200,407l3303,407,3303,16,3200,16,3200,407xe" filled="true" fillcolor="#e0ffff" stroked="false">
                <v:path arrowok="t"/>
                <v:fill type="solid"/>
              </v:shape>
            </v:group>
            <v:group style="position:absolute;left:9468;top:16;width:104;height:392" coordorigin="9468,16" coordsize="104,392">
              <v:shape style="position:absolute;left:9468;top:16;width:104;height:392" coordorigin="9468,16" coordsize="104,392" path="m9468,407l9571,407,9571,16,9468,16,9468,407xe" filled="true" fillcolor="#e0ffff" stroked="false">
                <v:path arrowok="t"/>
                <v:fill type="solid"/>
              </v:shape>
            </v:group>
            <v:group style="position:absolute;left:3303;top:16;width:6166;height:392" coordorigin="3303,16" coordsize="6166,392">
              <v:shape style="position:absolute;left:3303;top:16;width:6166;height:392" coordorigin="3303,16" coordsize="6166,392" path="m3303,407l9468,407,9468,16,3303,16,3303,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10;top:418;width:104;height:392" coordorigin="10,418" coordsize="104,392">
              <v:shape style="position:absolute;left:10;top:418;width:104;height:392" coordorigin="10,418" coordsize="104,392" path="m10,809l113,809,113,418,10,418,10,809xe" filled="true" fillcolor="#d2d2d2" stroked="false">
                <v:path arrowok="t"/>
                <v:fill type="solid"/>
              </v:shape>
            </v:group>
            <v:group style="position:absolute;left:3087;top:418;width:104;height:392" coordorigin="3087,418" coordsize="104,392">
              <v:shape style="position:absolute;left:3087;top:418;width:104;height:392" coordorigin="3087,418" coordsize="104,392" path="m3087,809l3190,809,3190,418,3087,418,3087,809xe" filled="true" fillcolor="#d2d2d2" stroked="false">
                <v:path arrowok="t"/>
                <v:fill type="solid"/>
              </v:shape>
            </v:group>
            <v:group style="position:absolute;left:113;top:418;width:2974;height:392" coordorigin="113,418" coordsize="2974,392">
              <v:shape style="position:absolute;left:113;top:418;width:2974;height:392" coordorigin="113,418" coordsize="2974,392" path="m113,809l3087,809,3087,418,113,418,113,809xe" filled="true" fillcolor="#d2d2d2" stroked="false">
                <v:path arrowok="t"/>
                <v:fill type="solid"/>
              </v:shape>
            </v:group>
            <v:group style="position:absolute;left:3200;top:418;width:104;height:392" coordorigin="3200,418" coordsize="104,392">
              <v:shape style="position:absolute;left:3200;top:418;width:104;height:392" coordorigin="3200,418" coordsize="104,392" path="m3200,809l3303,809,3303,418,3200,418,3200,809xe" filled="true" fillcolor="#d2d2d2" stroked="false">
                <v:path arrowok="t"/>
                <v:fill type="solid"/>
              </v:shape>
            </v:group>
            <v:group style="position:absolute;left:6278;top:418;width:102;height:392" coordorigin="6278,418" coordsize="102,392">
              <v:shape style="position:absolute;left:6278;top:418;width:102;height:392" coordorigin="6278,418" coordsize="102,392" path="m6278,809l6380,809,6380,418,6278,418,6278,809xe" filled="true" fillcolor="#d2d2d2" stroked="false">
                <v:path arrowok="t"/>
                <v:fill type="solid"/>
              </v:shape>
            </v:group>
            <v:group style="position:absolute;left:3303;top:418;width:2976;height:392" coordorigin="3303,418" coordsize="2976,392">
              <v:shape style="position:absolute;left:3303;top:418;width:2976;height:392" coordorigin="3303,418" coordsize="2976,392" path="m3303,809l6278,809,6278,418,3303,418,3303,809xe" filled="true" fillcolor="#d2d2d2" stroked="false">
                <v:path arrowok="t"/>
                <v:fill type="solid"/>
              </v:shape>
            </v:group>
            <v:group style="position:absolute;left:6391;top:418;width:104;height:392" coordorigin="6391,418" coordsize="104,392">
              <v:shape style="position:absolute;left:6391;top:418;width:104;height:392" coordorigin="6391,418" coordsize="104,392" path="m6391,809l6494,809,6494,418,6391,418,6391,809xe" filled="true" fillcolor="#d2d2d2" stroked="false">
                <v:path arrowok="t"/>
                <v:fill type="solid"/>
              </v:shape>
            </v:group>
            <v:group style="position:absolute;left:9468;top:418;width:104;height:392" coordorigin="9468,418" coordsize="104,392">
              <v:shape style="position:absolute;left:9468;top:418;width:104;height:392" coordorigin="9468,418" coordsize="104,392" path="m9468,809l9571,809,9571,418,9468,418,9468,809xe" filled="true" fillcolor="#d2d2d2" stroked="false">
                <v:path arrowok="t"/>
                <v:fill type="solid"/>
              </v:shape>
            </v:group>
            <v:group style="position:absolute;left:6494;top:418;width:2974;height:392" coordorigin="6494,418" coordsize="2974,392">
              <v:shape style="position:absolute;left:6494;top:418;width:2974;height:392" coordorigin="6494,418" coordsize="2974,392" path="m6494,809l9468,809,9468,418,6494,418,649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001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001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001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004pt" strokecolor="#000000">
                <v:path arrowok="t"/>
              </v:shape>
              <v:shape style="position:absolute;left:3195;top:412;width:3192;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6;top:412;width:3190;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right="7512"/>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3、反向购买" w:id="349"/>
      <w:bookmarkEnd w:id="34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bookmarkStart w:name="4、处置子公司" w:id="350"/>
      <w:bookmarkEnd w:id="35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57" w:lineRule="auto" w:before="116"/>
        <w:ind w:right="4992"/>
        <w:jc w:val="left"/>
      </w:pPr>
      <w:r>
        <w:rPr/>
        <w:t>□ 是 √ 否 是否存在通过多次交易分步处置对子公司投资且在本期丧失控制权的情形</w:t>
      </w:r>
    </w:p>
    <w:p>
      <w:pPr>
        <w:pStyle w:val="BodyText"/>
        <w:spacing w:line="240" w:lineRule="auto" w:before="29"/>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其他原因的合并范围变动" w:id="351"/>
      <w:bookmarkEnd w:id="35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Heading4"/>
        <w:spacing w:line="240" w:lineRule="auto" w:before="89"/>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14</w:t>
      </w:r>
      <w:r>
        <w:rPr>
          <w:spacing w:val="-3"/>
        </w:rPr>
        <w:t>日，公司设立子公司福建永福新能电力投资有限公司，注册资本</w:t>
      </w:r>
      <w:r>
        <w:rPr>
          <w:rFonts w:ascii="Times New Roman" w:hAnsi="Times New Roman" w:cs="Times New Roman" w:eastAsia="Times New Roman" w:hint="default"/>
          <w:spacing w:val="-3"/>
        </w:rPr>
        <w:t>5000</w:t>
      </w:r>
      <w:r>
        <w:rPr>
          <w:spacing w:val="-3"/>
        </w:rPr>
        <w:t>万元，公司认缴出资</w:t>
      </w:r>
      <w:r>
        <w:rPr>
          <w:rFonts w:ascii="Times New Roman" w:hAnsi="Times New Roman" w:cs="Times New Roman" w:eastAsia="Times New Roman" w:hint="default"/>
          <w:spacing w:val="-3"/>
        </w:rPr>
        <w:t>5000</w:t>
      </w:r>
    </w:p>
    <w:p>
      <w:pPr>
        <w:spacing w:line="494" w:lineRule="auto" w:before="21"/>
        <w:ind w:left="154" w:right="7692" w:firstLine="0"/>
        <w:jc w:val="left"/>
        <w:rPr>
          <w:rFonts w:ascii="宋体" w:hAnsi="宋体" w:cs="宋体" w:eastAsia="宋体" w:hint="default"/>
          <w:sz w:val="21"/>
          <w:szCs w:val="21"/>
        </w:rPr>
      </w:pPr>
      <w:r>
        <w:rPr>
          <w:rFonts w:ascii="宋体" w:hAnsi="宋体" w:cs="宋体" w:eastAsia="宋体" w:hint="default"/>
          <w:sz w:val="21"/>
          <w:szCs w:val="21"/>
        </w:rPr>
        <w:t>万元，占注册资本的</w:t>
      </w:r>
      <w:r>
        <w:rPr>
          <w:rFonts w:ascii="Times New Roman" w:hAnsi="Times New Roman" w:cs="Times New Roman" w:eastAsia="Times New Roman" w:hint="default"/>
          <w:sz w:val="21"/>
          <w:szCs w:val="21"/>
        </w:rPr>
        <w:t>100%</w:t>
      </w:r>
      <w:r>
        <w:rPr>
          <w:rFonts w:ascii="宋体" w:hAnsi="宋体" w:cs="宋体" w:eastAsia="宋体" w:hint="default"/>
          <w:sz w:val="21"/>
          <w:szCs w:val="21"/>
        </w:rPr>
        <w:t>。 </w:t>
      </w:r>
      <w:bookmarkStart w:name="6、其他" w:id="352"/>
      <w:bookmarkEnd w:id="352"/>
      <w:r>
        <w:rPr>
          <w:rFonts w:ascii="宋体" w:hAnsi="宋体" w:cs="宋体" w:eastAsia="宋体" w:hint="default"/>
          <w:sz w:val="21"/>
          <w:szCs w:val="21"/>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53"/>
      <w:bookmarkEnd w:id="35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54"/>
      <w:bookmarkEnd w:id="35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76"/>
        <w:ind w:right="0"/>
        <w:jc w:val="left"/>
        <w:rPr>
          <w:b w:val="0"/>
          <w:bCs w:val="0"/>
        </w:rPr>
      </w:pPr>
      <w:bookmarkStart w:name="（1）企业集团的构成" w:id="355"/>
      <w:bookmarkEnd w:id="35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77"/>
              <w:jc w:val="left"/>
              <w:rPr>
                <w:rFonts w:ascii="宋体" w:hAnsi="宋体" w:cs="宋体" w:eastAsia="宋体" w:hint="default"/>
                <w:sz w:val="18"/>
                <w:szCs w:val="18"/>
              </w:rPr>
            </w:pPr>
            <w:r>
              <w:rPr>
                <w:rFonts w:ascii="宋体" w:hAnsi="宋体" w:cs="宋体" w:eastAsia="宋体" w:hint="default"/>
                <w:sz w:val="18"/>
                <w:szCs w:val="18"/>
              </w:rPr>
              <w:t>福建永福铁塔 技术开发有限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福建永福电通 技术开发有限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福州新创机电 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设备销售业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厦门福思威特 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both"/>
              <w:rPr>
                <w:rFonts w:ascii="宋体" w:hAnsi="宋体" w:cs="宋体" w:eastAsia="宋体" w:hint="default"/>
                <w:sz w:val="18"/>
                <w:szCs w:val="18"/>
              </w:rPr>
            </w:pPr>
            <w:r>
              <w:rPr>
                <w:rFonts w:ascii="宋体" w:hAnsi="宋体" w:cs="宋体" w:eastAsia="宋体" w:hint="default"/>
                <w:sz w:val="18"/>
                <w:szCs w:val="18"/>
              </w:rPr>
              <w:t>福建永福新能 电力投资有限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2）重要的非全资子公司" w:id="356"/>
      <w:bookmarkEnd w:id="35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5"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681" w:right="14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01" w:right="141"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3）重要非全资子公司的主要财务信息" w:id="357"/>
      <w:bookmarkEnd w:id="35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183"/>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3" w:right="18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35" w:right="165" w:hanging="270"/>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7"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7"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bl>
    <w:p>
      <w:pPr>
        <w:pStyle w:val="BodyText"/>
        <w:spacing w:line="240" w:lineRule="auto" w:before="51"/>
        <w:ind w:right="0"/>
        <w:jc w:val="left"/>
      </w:pPr>
      <w:r>
        <w:rPr/>
        <w:t>其他说明：</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left"/>
        <w:rPr>
          <w:b w:val="0"/>
          <w:bCs w:val="0"/>
        </w:rPr>
      </w:pPr>
      <w:bookmarkStart w:name="（4）使用企业集团资产和清偿企业集团债务的重大限制" w:id="358"/>
      <w:bookmarkEnd w:id="35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5）向纳入合并财务报表范围的结构化主体提供的财务支持或其他支持" w:id="359"/>
      <w:bookmarkEnd w:id="35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在子公司的所有者权益份额发生变化且仍控制子公司的交易" w:id="360"/>
      <w:bookmarkEnd w:id="36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所有者权益份额发生变化的情况说明" w:id="361"/>
      <w:bookmarkEnd w:id="36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交易对于少数股东权益及归属于母公司所有者权益的影响" w:id="362"/>
      <w:bookmarkEnd w:id="36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10;top:14;width:104;height:393" coordorigin="10,14" coordsize="104,393">
              <v:shape style="position:absolute;left:10;top:14;width:104;height:393" coordorigin="10,14" coordsize="104,393" path="m10,407l113,407,113,14,10,14,10,407xe" filled="true" fillcolor="#d2d2d2" stroked="false">
                <v:path arrowok="t"/>
                <v:fill type="solid"/>
              </v:shape>
            </v:group>
            <v:group style="position:absolute;left:4682;top:14;width:102;height:393" coordorigin="4682,14" coordsize="102,393">
              <v:shape style="position:absolute;left:4682;top:14;width:102;height:393" coordorigin="4682,14" coordsize="102,393" path="m4682,407l4784,407,4784,14,4682,14,4682,407xe" filled="true" fillcolor="#d2d2d2" stroked="false">
                <v:path arrowok="t"/>
                <v:fill type="solid"/>
              </v:shape>
            </v:group>
            <v:group style="position:absolute;left:113;top:14;width:4570;height:393" coordorigin="113,14" coordsize="4570,393">
              <v:shape style="position:absolute;left:113;top:14;width:4570;height:393" coordorigin="113,14" coordsize="4570,393" path="m113,407l4682,407,4682,14,113,14,113,407xe" filled="true" fillcolor="#d2d2d2" stroked="false">
                <v:path arrowok="t"/>
                <v:fill type="solid"/>
              </v:shape>
            </v:group>
            <v:group style="position:absolute;left:4795;top:14;width:104;height:393" coordorigin="4795,14" coordsize="104,393">
              <v:shape style="position:absolute;left:4795;top:14;width:104;height:393" coordorigin="4795,14" coordsize="104,393" path="m4795,407l4898,407,4898,14,4795,14,4795,407xe" filled="true" fillcolor="#e0ffff" stroked="false">
                <v:path arrowok="t"/>
                <v:fill type="solid"/>
              </v:shape>
            </v:group>
            <v:group style="position:absolute;left:9466;top:14;width:104;height:393" coordorigin="9466,14" coordsize="104,393">
              <v:shape style="position:absolute;left:9466;top:14;width:104;height:393" coordorigin="9466,14" coordsize="104,393" path="m9466,407l9569,407,9569,14,9466,14,9466,407xe" filled="true" fillcolor="#e0ffff" stroked="false">
                <v:path arrowok="t"/>
                <v:fill type="solid"/>
              </v:shape>
            </v:group>
            <v:group style="position:absolute;left:4898;top:14;width:4568;height:393" coordorigin="4898,14" coordsize="4568,393">
              <v:shape style="position:absolute;left:4898;top:14;width:4568;height:393" coordorigin="4898,14" coordsize="4568,393" path="m4898,407l9466,407,9466,14,4898,14,489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799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799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46"/>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在合营安排或联营企业中的权益" w:id="363"/>
      <w:bookmarkEnd w:id="36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364"/>
      <w:bookmarkEnd w:id="36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30" w:right="141"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36" w:right="137"/>
              <w:jc w:val="center"/>
              <w:rPr>
                <w:rFonts w:ascii="宋体" w:hAnsi="宋体" w:cs="宋体" w:eastAsia="宋体" w:hint="default"/>
                <w:sz w:val="18"/>
                <w:szCs w:val="18"/>
              </w:rPr>
            </w:pPr>
            <w:r>
              <w:rPr>
                <w:rFonts w:ascii="宋体" w:hAnsi="宋体" w:cs="宋体" w:eastAsia="宋体" w:hint="default"/>
                <w:sz w:val="18"/>
                <w:szCs w:val="18"/>
              </w:rPr>
              <w:t>对合营企业或 联营企业投资 的会计处理方 法</w:t>
            </w:r>
          </w:p>
        </w:tc>
      </w:tr>
      <w:tr>
        <w:trPr>
          <w:trHeight w:val="936"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7"/>
              <w:jc w:val="left"/>
              <w:rPr>
                <w:rFonts w:ascii="宋体" w:hAnsi="宋体" w:cs="宋体" w:eastAsia="宋体" w:hint="default"/>
                <w:sz w:val="18"/>
                <w:szCs w:val="18"/>
              </w:rPr>
            </w:pPr>
            <w:r>
              <w:rPr>
                <w:rFonts w:ascii="宋体" w:hAnsi="宋体" w:cs="宋体" w:eastAsia="宋体" w:hint="default"/>
                <w:sz w:val="18"/>
                <w:szCs w:val="18"/>
              </w:rPr>
              <w:t>福建永帆风电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研究和试验发 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48.00%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365"/>
      <w:bookmarkEnd w:id="36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1,002,808.84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39,056,663.54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40,059,472.38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819.40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819.40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40,058,652.98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-6,707,843.25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-6,707,843.25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重要联营企业的主要财务信息" w:id="366"/>
      <w:bookmarkEnd w:id="36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不重要的合营企业和联营企业的汇总财务信息" w:id="367"/>
      <w:bookmarkEnd w:id="36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合营企业或联营企业向本公司转移资金的能力存在重大限制的说明" w:id="368"/>
      <w:bookmarkEnd w:id="36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6）合营企业或联营企业发生的超额亏损" w:id="369"/>
      <w:bookmarkEnd w:id="36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60" w:right="111" w:hanging="450"/>
              <w:jc w:val="left"/>
              <w:rPr>
                <w:rFonts w:ascii="宋体" w:hAnsi="宋体" w:cs="宋体" w:eastAsia="宋体" w:hint="default"/>
                <w:sz w:val="18"/>
                <w:szCs w:val="18"/>
              </w:rPr>
            </w:pPr>
            <w:r>
              <w:rPr>
                <w:rFonts w:ascii="宋体" w:hAnsi="宋体" w:cs="宋体" w:eastAsia="宋体" w:hint="default"/>
                <w:sz w:val="18"/>
                <w:szCs w:val="18"/>
              </w:rPr>
              <w:t>本期未确认的损失（或本期 分享的净利润）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7）与合营企业投资相关的未确认承诺" w:id="370"/>
      <w:bookmarkEnd w:id="37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8）与合营企业或联营企业投资相关的或有负债" w:id="371"/>
      <w:bookmarkEnd w:id="37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372"/>
      <w:bookmarkEnd w:id="37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2"/>
        <w:jc w:val="left"/>
      </w:pPr>
      <w:r>
        <w:rPr/>
        <w:t>在共同经营中的持股比例或享有的份额不同于表决权比例的说明： 共同经营为单独主体的，分类为共同经营的依据：</w:t>
      </w:r>
    </w:p>
    <w:p>
      <w:pPr>
        <w:spacing w:after="0" w:line="357" w:lineRule="auto"/>
        <w:jc w:val="left"/>
        <w:sectPr>
          <w:pgSz w:w="11910" w:h="16840"/>
          <w:pgMar w:header="850" w:footer="1267" w:top="1260" w:bottom="1460" w:left="980" w:right="0"/>
        </w:sectPr>
      </w:pPr>
    </w:p>
    <w:p>
      <w:pPr>
        <w:spacing w:line="240" w:lineRule="auto" w:before="10"/>
        <w:rPr>
          <w:rFonts w:ascii="宋体" w:hAnsi="宋体" w:cs="宋体" w:eastAsia="宋体" w:hint="default"/>
          <w:sz w:val="10"/>
          <w:szCs w:val="10"/>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5、在未纳入合并财务报表范围的结构化主体中的权益" w:id="373"/>
      <w:bookmarkEnd w:id="37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其他" w:id="374"/>
      <w:bookmarkEnd w:id="374"/>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375"/>
      <w:bookmarkEnd w:id="375"/>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0"/>
        <w:jc w:val="left"/>
      </w:pPr>
      <w:r>
        <w:rPr>
          <w:spacing w:val="-1"/>
        </w:rPr>
        <w:t>本公司在经营过程中面临各种金融风险：信用风险、市场风险和流动性风险。公司董事会全面负责风险管</w:t>
      </w:r>
      <w:r>
        <w:rPr>
          <w:spacing w:val="-83"/>
        </w:rPr>
        <w:t> </w:t>
      </w:r>
      <w:r>
        <w:rPr>
          <w:spacing w:val="-83"/>
        </w:rPr>
      </w:r>
      <w:r>
        <w:rPr>
          <w:spacing w:val="-1"/>
        </w:rPr>
        <w:t>理目标和政策的确定，并对风险管理目标和政策承担最终责任，但是董事会已授权本公司各职能部门设计</w:t>
      </w:r>
      <w:r>
        <w:rPr>
          <w:spacing w:val="-81"/>
        </w:rPr>
        <w:t> </w:t>
      </w:r>
      <w:r>
        <w:rPr>
          <w:spacing w:val="-81"/>
        </w:rPr>
      </w:r>
      <w:r>
        <w:rPr>
          <w:spacing w:val="-1"/>
        </w:rPr>
        <w:t>和实施能确保风险管理目标和政策得以有效执行的程序。董事会通过职能部门递交的月度报告来审查已执</w:t>
      </w:r>
      <w:r>
        <w:rPr>
          <w:spacing w:val="-81"/>
        </w:rPr>
        <w:t> </w:t>
      </w:r>
      <w:r>
        <w:rPr>
          <w:spacing w:val="-81"/>
        </w:rPr>
      </w:r>
      <w:r>
        <w:rPr/>
        <w:t>行程序的有效性以及风险管理目标和政策的合理性。本公司的内部审计师也会审计风险管理的政策和程 序，并且将有关发现汇报给审计委员会。</w:t>
      </w:r>
    </w:p>
    <w:p>
      <w:pPr>
        <w:pStyle w:val="Heading4"/>
        <w:spacing w:line="273" w:lineRule="auto" w:before="47"/>
        <w:ind w:right="1122"/>
        <w:jc w:val="left"/>
      </w:pPr>
      <w:r>
        <w:rPr>
          <w:spacing w:val="-1"/>
        </w:rPr>
        <w:t>本公司风险管理的总体目标是在不过度影响公司竞争力和应变力的情况下，制定尽可能降低风险的风险管</w:t>
      </w:r>
      <w:r>
        <w:rPr>
          <w:spacing w:val="-81"/>
        </w:rPr>
        <w:t> </w:t>
      </w:r>
      <w:r>
        <w:rPr>
          <w:spacing w:val="-81"/>
        </w:rPr>
      </w:r>
      <w:r>
        <w:rPr/>
        <w:t>理政策。</w:t>
      </w:r>
    </w:p>
    <w:p>
      <w:pPr>
        <w:spacing w:line="240" w:lineRule="auto" w:before="0"/>
        <w:rPr>
          <w:rFonts w:ascii="宋体" w:hAnsi="宋体" w:cs="宋体" w:eastAsia="宋体" w:hint="default"/>
          <w:sz w:val="20"/>
          <w:szCs w:val="20"/>
        </w:rPr>
      </w:pPr>
    </w:p>
    <w:p>
      <w:pPr>
        <w:pStyle w:val="Heading4"/>
        <w:spacing w:line="278" w:lineRule="auto" w:before="137"/>
        <w:ind w:right="1122"/>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1"/>
        </w:rPr>
        <w:t> </w:t>
      </w:r>
      <w:r>
        <w:rPr>
          <w:rFonts w:ascii="宋体" w:hAnsi="宋体" w:cs="宋体" w:eastAsia="宋体" w:hint="default"/>
          <w:b/>
          <w:bCs/>
        </w:rPr>
        <w:t>信用风险</w:t>
      </w:r>
      <w:r>
        <w:rPr>
          <w:rFonts w:ascii="宋体" w:hAnsi="宋体" w:cs="宋体" w:eastAsia="宋体" w:hint="default"/>
          <w:b/>
          <w:bCs/>
          <w:w w:val="99"/>
        </w:rPr>
        <w:t> </w:t>
      </w:r>
      <w:r>
        <w:rPr>
          <w:spacing w:val="-1"/>
        </w:rPr>
        <w:t>信用风险是指金融工具的一方不履行义务，造成另一方发生财务损失的风险。本公司主要面临赊销导致的</w:t>
      </w:r>
      <w:r>
        <w:rPr>
          <w:spacing w:val="-81"/>
        </w:rPr>
        <w:t> </w:t>
      </w:r>
      <w:r>
        <w:rPr>
          <w:spacing w:val="-81"/>
        </w:rPr>
      </w:r>
      <w:r>
        <w:rPr>
          <w:spacing w:val="-1"/>
        </w:rPr>
        <w:t>客户信用风险。在签订新合同之前，本公司会对新客户的信用风险进行评估，包括外部信用评级和在某些</w:t>
      </w:r>
      <w:r>
        <w:rPr>
          <w:spacing w:val="-83"/>
        </w:rPr>
        <w:t> </w:t>
      </w:r>
      <w:r>
        <w:rPr>
          <w:spacing w:val="-83"/>
        </w:rPr>
      </w:r>
      <w:r>
        <w:rPr>
          <w:spacing w:val="-3"/>
        </w:rPr>
        <w:t>情况下的银行资信证明（当此信息可获取时）。公司对每一客户均设置了赊销限额，该限额为无需获得额</w:t>
      </w:r>
      <w:r>
        <w:rPr>
          <w:spacing w:val="-74"/>
        </w:rPr>
        <w:t> </w:t>
      </w:r>
      <w:r>
        <w:rPr>
          <w:spacing w:val="-74"/>
        </w:rPr>
      </w:r>
      <w:r>
        <w:rPr/>
        <w:t>外批准的最大额度。</w:t>
      </w:r>
    </w:p>
    <w:p>
      <w:pPr>
        <w:pStyle w:val="Heading4"/>
        <w:spacing w:line="273" w:lineRule="auto" w:before="42"/>
        <w:ind w:right="0"/>
        <w:jc w:val="left"/>
      </w:pPr>
      <w:r>
        <w:rPr/>
        <w:t>公司通过对已有客户信用评级的季度监控以及应收账款账龄分析的月度审核来确保公司的整体信用风险 </w:t>
      </w:r>
      <w:r>
        <w:rPr>
          <w:spacing w:val="-1"/>
        </w:rPr>
        <w:t>在可控的范围内。在监控客户的信用风险时，按照客户的信用特征对其分组。被评为“高风险”级别的客</w:t>
      </w:r>
      <w:r>
        <w:rPr>
          <w:spacing w:val="-83"/>
        </w:rPr>
        <w:t> </w:t>
      </w:r>
      <w:r>
        <w:rPr>
          <w:spacing w:val="-83"/>
        </w:rPr>
      </w:r>
      <w:r>
        <w:rPr>
          <w:spacing w:val="-1"/>
        </w:rPr>
        <w:t>户会放在受限制客户名单里，并且只有在额外批准的前提下，公司才可在未来期间内对其赊销，否则必须</w:t>
      </w:r>
      <w:r>
        <w:rPr>
          <w:spacing w:val="-83"/>
        </w:rPr>
        <w:t> </w:t>
      </w:r>
      <w:r>
        <w:rPr>
          <w:spacing w:val="-83"/>
        </w:rPr>
      </w:r>
      <w:r>
        <w:rPr/>
        <w:t>要求其提前支付相应款项。</w:t>
      </w:r>
    </w:p>
    <w:p>
      <w:pPr>
        <w:spacing w:line="240" w:lineRule="auto" w:before="0"/>
        <w:rPr>
          <w:rFonts w:ascii="宋体" w:hAnsi="宋体" w:cs="宋体" w:eastAsia="宋体" w:hint="default"/>
          <w:sz w:val="20"/>
          <w:szCs w:val="20"/>
        </w:rPr>
      </w:pPr>
    </w:p>
    <w:p>
      <w:pPr>
        <w:pStyle w:val="Heading4"/>
        <w:spacing w:line="280" w:lineRule="auto" w:before="138"/>
        <w:ind w:right="1122"/>
        <w:jc w:val="left"/>
      </w:pPr>
      <w:r>
        <w:rPr>
          <w:rFonts w:ascii="Times New Roman" w:hAnsi="Times New Roman" w:cs="Times New Roman" w:eastAsia="Times New Roman" w:hint="default"/>
          <w:b/>
          <w:bCs/>
        </w:rPr>
        <w:t>2.</w:t>
      </w:r>
      <w:r>
        <w:rPr>
          <w:rFonts w:ascii="Times New Roman" w:hAnsi="Times New Roman" w:cs="Times New Roman" w:eastAsia="Times New Roman" w:hint="default"/>
          <w:b/>
          <w:bCs/>
          <w:spacing w:val="1"/>
        </w:rPr>
        <w:t> </w:t>
      </w:r>
      <w:r>
        <w:rPr>
          <w:rFonts w:ascii="宋体" w:hAnsi="宋体" w:cs="宋体" w:eastAsia="宋体" w:hint="default"/>
          <w:b/>
          <w:bCs/>
        </w:rPr>
        <w:t>市场风险</w:t>
      </w:r>
      <w:r>
        <w:rPr>
          <w:rFonts w:ascii="宋体" w:hAnsi="宋体" w:cs="宋体" w:eastAsia="宋体" w:hint="default"/>
          <w:b/>
          <w:bCs/>
          <w:w w:val="99"/>
        </w:rPr>
        <w:t> </w:t>
      </w:r>
      <w:r>
        <w:rPr>
          <w:spacing w:val="-1"/>
        </w:rPr>
        <w:t>金融工具的市场风险，是指金融工具的公允价值或未来现金流量因市场价格变动而发生波动的风险，包括</w:t>
      </w:r>
      <w:r>
        <w:rPr>
          <w:spacing w:val="-81"/>
        </w:rPr>
        <w:t> </w:t>
      </w:r>
      <w:r>
        <w:rPr>
          <w:spacing w:val="-81"/>
        </w:rPr>
      </w:r>
      <w:r>
        <w:rPr/>
        <w:t>汇率风险、利率风险和其他价格风险。</w:t>
      </w:r>
    </w:p>
    <w:p>
      <w:pPr>
        <w:pStyle w:val="Heading4"/>
        <w:spacing w:line="273" w:lineRule="auto" w:before="41"/>
        <w:ind w:right="1118"/>
        <w:jc w:val="left"/>
      </w:pPr>
      <w:r>
        <w:rPr/>
        <w:t>（</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利率风险，是指金融工具的公允价值或未来现金流量因市场利率变动而发生波动的风险。本公司面临的利</w:t>
      </w:r>
      <w:r>
        <w:rPr>
          <w:spacing w:val="-81"/>
        </w:rPr>
        <w:t> </w:t>
      </w:r>
      <w:r>
        <w:rPr>
          <w:spacing w:val="-81"/>
        </w:rPr>
      </w:r>
      <w:r>
        <w:rPr>
          <w:spacing w:val="-2"/>
        </w:rPr>
        <w:t>率风险主要来源于银行借款。公司目前的政策是基本固定利率借款占外部借款的</w:t>
      </w:r>
      <w:r>
        <w:rPr>
          <w:rFonts w:ascii="Times New Roman" w:hAnsi="Times New Roman" w:cs="Times New Roman" w:eastAsia="Times New Roman" w:hint="default"/>
          <w:spacing w:val="-2"/>
        </w:rPr>
        <w:t>100%</w:t>
      </w:r>
      <w:r>
        <w:rPr>
          <w:spacing w:val="-2"/>
        </w:rPr>
        <w:t>。为维持该比例，本</w:t>
      </w:r>
      <w:r>
        <w:rPr/>
        <w:t> </w:t>
      </w:r>
      <w:r>
        <w:rPr>
          <w:spacing w:val="-1"/>
        </w:rPr>
        <w:t>公司可能运用利率互换以实现预期的利率结构。尽管该政策不能使本公司完全避免支付的利率超出现行市</w:t>
      </w:r>
      <w:r>
        <w:rPr>
          <w:spacing w:val="-81"/>
        </w:rPr>
        <w:t> </w:t>
      </w:r>
      <w:r>
        <w:rPr>
          <w:spacing w:val="-81"/>
        </w:rPr>
      </w:r>
      <w:r>
        <w:rPr>
          <w:spacing w:val="-1"/>
        </w:rPr>
        <w:t>场利率的风险，也不能完全消除与利息支付波动相关的现金流量风险，但是管理层认为该政策实现了这些</w:t>
      </w:r>
      <w:r>
        <w:rPr>
          <w:spacing w:val="-81"/>
        </w:rPr>
        <w:t> </w:t>
      </w:r>
      <w:r>
        <w:rPr>
          <w:spacing w:val="-81"/>
        </w:rPr>
      </w:r>
      <w:r>
        <w:rPr/>
        <w:t>风险之间的合理平衡。</w:t>
      </w:r>
    </w:p>
    <w:p>
      <w:pPr>
        <w:spacing w:line="240" w:lineRule="auto" w:before="0"/>
        <w:rPr>
          <w:rFonts w:ascii="宋体" w:hAnsi="宋体" w:cs="宋体" w:eastAsia="宋体" w:hint="default"/>
          <w:sz w:val="20"/>
          <w:szCs w:val="20"/>
        </w:rPr>
      </w:pPr>
    </w:p>
    <w:p>
      <w:pPr>
        <w:pStyle w:val="Heading4"/>
        <w:spacing w:line="285" w:lineRule="auto" w:before="137"/>
        <w:ind w:right="0"/>
        <w:jc w:val="left"/>
      </w:pPr>
      <w:r>
        <w:rPr/>
        <w:t>（</w:t>
      </w:r>
      <w:r>
        <w:rPr>
          <w:rFonts w:ascii="Times New Roman" w:hAnsi="Times New Roman" w:cs="Times New Roman" w:eastAsia="Times New Roman" w:hint="default"/>
        </w:rPr>
        <w:t>2</w:t>
      </w:r>
      <w:r>
        <w:rPr/>
        <w:t>）汇率风险 </w:t>
      </w:r>
      <w:r>
        <w:rPr>
          <w:spacing w:val="-1"/>
        </w:rPr>
        <w:t>汇率风险，是指金融工具的公允价值或未来现金流量因外汇汇率变动而发生波动的风险。本公司尽可能将</w:t>
      </w:r>
      <w:r>
        <w:rPr>
          <w:spacing w:val="-81"/>
        </w:rPr>
        <w:t> </w:t>
      </w:r>
      <w:r>
        <w:rPr>
          <w:spacing w:val="-81"/>
        </w:rPr>
      </w:r>
      <w:r>
        <w:rPr>
          <w:spacing w:val="-1"/>
        </w:rPr>
        <w:t>外币收入与外币支出相匹配以降低汇率风险。此外，公司还可能签署远期外汇合约或货币互换合约以达到</w:t>
      </w:r>
      <w:r>
        <w:rPr>
          <w:spacing w:val="-81"/>
        </w:rPr>
        <w:t> </w:t>
      </w:r>
      <w:r>
        <w:rPr>
          <w:spacing w:val="-81"/>
        </w:rPr>
      </w:r>
      <w:r>
        <w:rPr/>
        <w:t>规避汇率风险的目的。于本期及上期，本公司未签署任何远期外汇合约或货币互换合约。 </w:t>
      </w:r>
      <w:r>
        <w:rPr>
          <w:spacing w:val="-1"/>
        </w:rPr>
        <w:t>本公司面临的汇率风险主要来源于以美元计价的金融资产和金融负债，外币金融资产和外币金融负债折算</w:t>
      </w:r>
    </w:p>
    <w:p>
      <w:pPr>
        <w:spacing w:after="0" w:line="285" w:lineRule="auto"/>
        <w:jc w:val="left"/>
        <w:sectPr>
          <w:footerReference w:type="default" r:id="rId20"/>
          <w:pgSz w:w="11910" w:h="16840"/>
          <w:pgMar w:footer="1267" w:header="850" w:top="1260" w:bottom="1460" w:left="980" w:right="0"/>
          <w:pgNumType w:start="177"/>
        </w:sectPr>
      </w:pPr>
    </w:p>
    <w:p>
      <w:pPr>
        <w:spacing w:line="240" w:lineRule="auto" w:before="7"/>
        <w:rPr>
          <w:rFonts w:ascii="宋体" w:hAnsi="宋体" w:cs="宋体" w:eastAsia="宋体" w:hint="default"/>
          <w:sz w:val="9"/>
          <w:szCs w:val="9"/>
        </w:rPr>
      </w:pPr>
    </w:p>
    <w:p>
      <w:pPr>
        <w:pStyle w:val="Heading4"/>
        <w:spacing w:line="240" w:lineRule="auto" w:before="35"/>
        <w:ind w:right="0"/>
        <w:jc w:val="left"/>
      </w:pPr>
      <w:r>
        <w:rPr/>
        <w:t>成人民币的金额列示如下：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tbl>
      <w:tblPr>
        <w:tblW w:w="0" w:type="auto"/>
        <w:jc w:val="left"/>
        <w:tblInd w:w="151" w:type="dxa"/>
        <w:tblLayout w:type="fixed"/>
        <w:tblCellMar>
          <w:top w:w="0" w:type="dxa"/>
          <w:left w:w="0" w:type="dxa"/>
          <w:bottom w:w="0" w:type="dxa"/>
          <w:right w:w="0" w:type="dxa"/>
        </w:tblCellMar>
        <w:tblLook w:val="01E0"/>
      </w:tblPr>
      <w:tblGrid>
        <w:gridCol w:w="1232"/>
        <w:gridCol w:w="1553"/>
        <w:gridCol w:w="1010"/>
        <w:gridCol w:w="1270"/>
        <w:gridCol w:w="1121"/>
        <w:gridCol w:w="1010"/>
        <w:gridCol w:w="1121"/>
      </w:tblGrid>
      <w:tr>
        <w:trPr>
          <w:trHeight w:val="421" w:hRule="exact"/>
        </w:trPr>
        <w:tc>
          <w:tcPr>
            <w:tcW w:w="1232"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1"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8" w:hRule="exact"/>
        </w:trPr>
        <w:tc>
          <w:tcPr>
            <w:tcW w:w="1232" w:type="dxa"/>
            <w:vMerge/>
            <w:tcBorders>
              <w:left w:val="single" w:sz="6" w:space="0" w:color="000000"/>
              <w:bottom w:val="single" w:sz="6" w:space="0" w:color="000000"/>
              <w:right w:val="single" w:sz="6" w:space="0" w:color="000000"/>
            </w:tcBorders>
            <w:shd w:val="clear" w:color="auto" w:fill="D0CECE"/>
          </w:tcPr>
          <w:p>
            <w:pPr/>
          </w:p>
        </w:tc>
        <w:tc>
          <w:tcPr>
            <w:tcW w:w="155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58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1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136"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27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2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1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136"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12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23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left="590" w:right="0"/>
              <w:jc w:val="left"/>
              <w:rPr>
                <w:rFonts w:ascii="Times New Roman" w:hAnsi="Times New Roman" w:cs="Times New Roman" w:eastAsia="Times New Roman" w:hint="default"/>
                <w:sz w:val="18"/>
                <w:szCs w:val="18"/>
              </w:rPr>
            </w:pPr>
            <w:r>
              <w:rPr>
                <w:rFonts w:ascii="Times New Roman"/>
                <w:sz w:val="18"/>
              </w:rPr>
              <w:t>6,863,371.17</w:t>
            </w:r>
          </w:p>
        </w:tc>
        <w:tc>
          <w:tcPr>
            <w:tcW w:w="1010" w:type="dxa"/>
            <w:tcBorders>
              <w:top w:val="single" w:sz="10" w:space="0" w:color="000000"/>
              <w:left w:val="single" w:sz="6" w:space="0" w:color="000000"/>
              <w:bottom w:val="single" w:sz="6" w:space="0" w:color="000000"/>
              <w:right w:val="single" w:sz="6" w:space="0" w:color="000000"/>
            </w:tcBorders>
          </w:tcPr>
          <w:p>
            <w:pPr/>
          </w:p>
        </w:tc>
        <w:tc>
          <w:tcPr>
            <w:tcW w:w="127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6,863,371.17</w:t>
            </w:r>
          </w:p>
        </w:tc>
        <w:tc>
          <w:tcPr>
            <w:tcW w:w="11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269.93</w:t>
            </w:r>
          </w:p>
        </w:tc>
        <w:tc>
          <w:tcPr>
            <w:tcW w:w="1010" w:type="dxa"/>
            <w:tcBorders>
              <w:top w:val="single" w:sz="10" w:space="0" w:color="000000"/>
              <w:left w:val="single" w:sz="6" w:space="0" w:color="000000"/>
              <w:bottom w:val="single" w:sz="6" w:space="0" w:color="000000"/>
              <w:right w:val="single" w:sz="6" w:space="0" w:color="000000"/>
            </w:tcBorders>
          </w:tcPr>
          <w:p>
            <w:pPr/>
          </w:p>
        </w:tc>
        <w:tc>
          <w:tcPr>
            <w:tcW w:w="11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269.93</w:t>
            </w:r>
          </w:p>
        </w:tc>
      </w:tr>
      <w:tr>
        <w:trPr>
          <w:trHeight w:val="427" w:hRule="exact"/>
        </w:trPr>
        <w:tc>
          <w:tcPr>
            <w:tcW w:w="123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3"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472,444.88</w:t>
            </w:r>
          </w:p>
        </w:tc>
        <w:tc>
          <w:tcPr>
            <w:tcW w:w="101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472,444.88</w:t>
            </w:r>
          </w:p>
        </w:tc>
      </w:tr>
      <w:tr>
        <w:trPr>
          <w:trHeight w:val="427" w:hRule="exact"/>
        </w:trPr>
        <w:tc>
          <w:tcPr>
            <w:tcW w:w="123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0" w:right="0"/>
              <w:jc w:val="left"/>
              <w:rPr>
                <w:rFonts w:ascii="Times New Roman" w:hAnsi="Times New Roman" w:cs="Times New Roman" w:eastAsia="Times New Roman" w:hint="default"/>
                <w:sz w:val="18"/>
                <w:szCs w:val="18"/>
              </w:rPr>
            </w:pPr>
            <w:r>
              <w:rPr>
                <w:rFonts w:ascii="Times New Roman"/>
                <w:sz w:val="18"/>
              </w:rPr>
              <w:t>6,863,371.17</w:t>
            </w:r>
          </w:p>
        </w:tc>
        <w:tc>
          <w:tcPr>
            <w:tcW w:w="1010"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6,863,371.17</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472,714.81</w:t>
            </w:r>
          </w:p>
        </w:tc>
        <w:tc>
          <w:tcPr>
            <w:tcW w:w="1010" w:type="dxa"/>
            <w:tcBorders>
              <w:top w:val="single" w:sz="6" w:space="0" w:color="000000"/>
              <w:left w:val="single" w:sz="6" w:space="0" w:color="000000"/>
              <w:bottom w:val="single" w:sz="6" w:space="0" w:color="000000"/>
              <w:right w:val="single" w:sz="6" w:space="0" w:color="000000"/>
            </w:tcBorders>
          </w:tcPr>
          <w:p>
            <w:pP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472,714.81</w:t>
            </w:r>
          </w:p>
        </w:tc>
      </w:tr>
    </w:tbl>
    <w:p>
      <w:pPr>
        <w:spacing w:line="240" w:lineRule="auto" w:before="3"/>
        <w:rPr>
          <w:rFonts w:ascii="宋体" w:hAnsi="宋体" w:cs="宋体" w:eastAsia="宋体" w:hint="default"/>
          <w:sz w:val="26"/>
          <w:szCs w:val="26"/>
        </w:rPr>
      </w:pPr>
    </w:p>
    <w:p>
      <w:pPr>
        <w:pStyle w:val="Heading4"/>
        <w:spacing w:line="273" w:lineRule="auto" w:before="35"/>
        <w:ind w:right="0"/>
        <w:jc w:val="left"/>
      </w:pPr>
      <w:r>
        <w:rPr>
          <w:rFonts w:ascii="Times New Roman" w:hAnsi="Times New Roman" w:cs="Times New Roman" w:eastAsia="Times New Roman" w:hint="default"/>
          <w:b/>
          <w:bCs/>
        </w:rPr>
        <w:t>3. </w:t>
      </w:r>
      <w:r>
        <w:rPr>
          <w:rFonts w:ascii="宋体" w:hAnsi="宋体" w:cs="宋体" w:eastAsia="宋体" w:hint="default"/>
          <w:b/>
          <w:bCs/>
        </w:rPr>
        <w:t>流动性风险</w:t>
      </w:r>
      <w:r>
        <w:rPr>
          <w:rFonts w:ascii="宋体" w:hAnsi="宋体" w:cs="宋体" w:eastAsia="宋体" w:hint="default"/>
          <w:b/>
          <w:bCs/>
          <w:w w:val="99"/>
        </w:rPr>
        <w:t> </w:t>
      </w:r>
      <w:r>
        <w:rPr>
          <w:spacing w:val="-1"/>
        </w:rPr>
        <w:t>流动性风险，是指企业在履行以交付现金或其他金融资产的方式结算的义务时发生资金短缺的风险。本公</w:t>
      </w:r>
      <w:r>
        <w:rPr>
          <w:spacing w:val="-81"/>
        </w:rPr>
        <w:t> </w:t>
      </w:r>
      <w:r>
        <w:rPr>
          <w:spacing w:val="-81"/>
        </w:rPr>
      </w:r>
      <w:r>
        <w:rPr>
          <w:spacing w:val="-1"/>
        </w:rPr>
        <w:t>司的政策是确保拥有充足的现金以偿还到期债务。流动性风险由本公司的财务部门集中控制。财务部门通</w:t>
      </w:r>
      <w:r>
        <w:rPr>
          <w:spacing w:val="-81"/>
        </w:rPr>
        <w:t> </w:t>
      </w:r>
      <w:r>
        <w:rPr>
          <w:spacing w:val="-81"/>
        </w:rPr>
      </w:r>
      <w:r>
        <w:rPr>
          <w:spacing w:val="-1"/>
        </w:rPr>
        <w:t>过监控现金余额、可随时变现的有价证券以及对未来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个月现金流量的滚动预测，确保公司在所有合理预</w:t>
      </w:r>
      <w:r>
        <w:rPr>
          <w:spacing w:val="-82"/>
        </w:rPr>
        <w:t> </w:t>
      </w:r>
      <w:r>
        <w:rPr>
          <w:spacing w:val="-82"/>
        </w:rPr>
      </w:r>
      <w:r>
        <w:rPr/>
        <w:t>测的情况下拥有充足的资金偿还债务。</w:t>
      </w:r>
    </w:p>
    <w:p>
      <w:pPr>
        <w:pStyle w:val="Heading4"/>
        <w:spacing w:line="240" w:lineRule="auto" w:before="48"/>
        <w:ind w:right="0"/>
        <w:jc w:val="left"/>
      </w:pPr>
      <w:r>
        <w:rPr/>
        <w:t>本公司短期借款、应付票据、应付利息以未折现的合同现金流量按到期日列示如下：</w:t>
      </w:r>
    </w:p>
    <w:p>
      <w:pPr>
        <w:spacing w:line="240" w:lineRule="auto" w:before="4"/>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710"/>
        <w:gridCol w:w="1413"/>
        <w:gridCol w:w="1154"/>
        <w:gridCol w:w="1284"/>
        <w:gridCol w:w="1284"/>
        <w:gridCol w:w="1239"/>
        <w:gridCol w:w="1700"/>
      </w:tblGrid>
      <w:tr>
        <w:trPr>
          <w:trHeight w:val="422" w:hRule="exact"/>
        </w:trPr>
        <w:tc>
          <w:tcPr>
            <w:tcW w:w="710"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31"/>
              <w:ind w:left="13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075" w:type="dxa"/>
            <w:gridSpan w:val="6"/>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22" w:hRule="exact"/>
        </w:trPr>
        <w:tc>
          <w:tcPr>
            <w:tcW w:w="710" w:type="dxa"/>
            <w:vMerge/>
            <w:tcBorders>
              <w:left w:val="single" w:sz="6" w:space="0" w:color="000000"/>
              <w:bottom w:val="single" w:sz="6" w:space="0" w:color="000000"/>
              <w:right w:val="single" w:sz="6" w:space="0" w:color="000000"/>
            </w:tcBorders>
            <w:shd w:val="clear" w:color="auto" w:fill="D0CECE"/>
          </w:tcPr>
          <w:p>
            <w:pPr/>
          </w:p>
        </w:tc>
        <w:tc>
          <w:tcPr>
            <w:tcW w:w="141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115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个月</w:t>
            </w:r>
          </w:p>
        </w:tc>
        <w:tc>
          <w:tcPr>
            <w:tcW w:w="128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w:t>
            </w:r>
          </w:p>
        </w:tc>
        <w:tc>
          <w:tcPr>
            <w:tcW w:w="128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6-9</w:t>
            </w:r>
            <w:r>
              <w:rPr>
                <w:rFonts w:ascii="宋体" w:hAnsi="宋体" w:cs="宋体" w:eastAsia="宋体" w:hint="default"/>
                <w:sz w:val="18"/>
                <w:szCs w:val="18"/>
              </w:rPr>
              <w:t>个月</w:t>
            </w:r>
          </w:p>
        </w:tc>
        <w:tc>
          <w:tcPr>
            <w:tcW w:w="123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9-12</w:t>
            </w:r>
            <w:r>
              <w:rPr>
                <w:rFonts w:ascii="宋体" w:hAnsi="宋体" w:cs="宋体" w:eastAsia="宋体" w:hint="default"/>
                <w:sz w:val="18"/>
                <w:szCs w:val="18"/>
              </w:rPr>
              <w:t>个月</w:t>
            </w:r>
          </w:p>
        </w:tc>
        <w:tc>
          <w:tcPr>
            <w:tcW w:w="170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743" w:hRule="exact"/>
        </w:trPr>
        <w:tc>
          <w:tcPr>
            <w:tcW w:w="71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3" w:lineRule="auto" w:before="41"/>
              <w:ind w:left="2" w:right="61"/>
              <w:jc w:val="left"/>
              <w:rPr>
                <w:rFonts w:ascii="宋体" w:hAnsi="宋体" w:cs="宋体" w:eastAsia="宋体" w:hint="default"/>
                <w:sz w:val="21"/>
                <w:szCs w:val="21"/>
              </w:rPr>
            </w:pPr>
            <w:r>
              <w:rPr>
                <w:rFonts w:ascii="宋体" w:hAnsi="宋体" w:cs="宋体" w:eastAsia="宋体" w:hint="default"/>
                <w:sz w:val="21"/>
                <w:szCs w:val="21"/>
              </w:rPr>
              <w:t>短期借 款</w:t>
            </w:r>
          </w:p>
        </w:tc>
        <w:tc>
          <w:tcPr>
            <w:tcW w:w="1413"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15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2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35,000,000.00</w:t>
            </w:r>
          </w:p>
        </w:tc>
        <w:tc>
          <w:tcPr>
            <w:tcW w:w="12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239" w:type="dxa"/>
            <w:tcBorders>
              <w:top w:val="single" w:sz="10" w:space="0" w:color="000000"/>
              <w:left w:val="single" w:sz="6" w:space="0" w:color="000000"/>
              <w:bottom w:val="single" w:sz="6" w:space="0" w:color="000000"/>
              <w:right w:val="single" w:sz="6" w:space="0" w:color="000000"/>
            </w:tcBorders>
          </w:tcPr>
          <w:p>
            <w:pPr/>
          </w:p>
        </w:tc>
        <w:tc>
          <w:tcPr>
            <w:tcW w:w="170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105,000,000.00</w:t>
            </w:r>
          </w:p>
        </w:tc>
      </w:tr>
      <w:tr>
        <w:trPr>
          <w:trHeight w:val="740" w:hRule="exact"/>
        </w:trPr>
        <w:tc>
          <w:tcPr>
            <w:tcW w:w="71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3" w:lineRule="auto" w:before="37"/>
              <w:ind w:left="2" w:right="61"/>
              <w:jc w:val="left"/>
              <w:rPr>
                <w:rFonts w:ascii="宋体" w:hAnsi="宋体" w:cs="宋体" w:eastAsia="宋体" w:hint="default"/>
                <w:sz w:val="21"/>
                <w:szCs w:val="21"/>
              </w:rPr>
            </w:pPr>
            <w:r>
              <w:rPr>
                <w:rFonts w:ascii="宋体" w:hAnsi="宋体" w:cs="宋体" w:eastAsia="宋体" w:hint="default"/>
                <w:sz w:val="21"/>
                <w:szCs w:val="21"/>
              </w:rPr>
              <w:t>应付票 据</w:t>
            </w:r>
          </w:p>
        </w:tc>
        <w:tc>
          <w:tcPr>
            <w:tcW w:w="141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60,106,171.40</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33,031,264.48</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58,257,847.69</w:t>
            </w:r>
          </w:p>
        </w:tc>
        <w:tc>
          <w:tcPr>
            <w:tcW w:w="1284"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151,395,283.57</w:t>
            </w:r>
          </w:p>
        </w:tc>
      </w:tr>
      <w:tr>
        <w:trPr>
          <w:trHeight w:val="739" w:hRule="exact"/>
        </w:trPr>
        <w:tc>
          <w:tcPr>
            <w:tcW w:w="71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73" w:lineRule="auto" w:before="36"/>
              <w:ind w:left="2" w:right="61"/>
              <w:jc w:val="left"/>
              <w:rPr>
                <w:rFonts w:ascii="宋体" w:hAnsi="宋体" w:cs="宋体" w:eastAsia="宋体" w:hint="default"/>
                <w:sz w:val="21"/>
                <w:szCs w:val="21"/>
              </w:rPr>
            </w:pPr>
            <w:r>
              <w:rPr>
                <w:rFonts w:ascii="宋体" w:hAnsi="宋体" w:cs="宋体" w:eastAsia="宋体" w:hint="default"/>
                <w:sz w:val="21"/>
                <w:szCs w:val="21"/>
              </w:rPr>
              <w:t>应付利 息</w:t>
            </w:r>
          </w:p>
        </w:tc>
        <w:tc>
          <w:tcPr>
            <w:tcW w:w="141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107,786.81</w:t>
            </w:r>
          </w:p>
        </w:tc>
        <w:tc>
          <w:tcPr>
            <w:tcW w:w="1154"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c>
          <w:tcPr>
            <w:tcW w:w="123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107,786.81</w:t>
            </w:r>
          </w:p>
        </w:tc>
      </w:tr>
      <w:tr>
        <w:trPr>
          <w:trHeight w:val="427" w:hRule="exact"/>
        </w:trPr>
        <w:tc>
          <w:tcPr>
            <w:tcW w:w="71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6"/>
              <w:ind w:left="1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3"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70,213,958.21</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63,031,264.48</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93,257,847.69</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30,000,000.00</w:t>
            </w:r>
          </w:p>
        </w:tc>
        <w:tc>
          <w:tcPr>
            <w:tcW w:w="1239"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256,503,070.38</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十一、公允价值的披露" w:id="376"/>
      <w:bookmarkEnd w:id="376"/>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以公允价值计量的资产和负债的期末公允价值" w:id="377"/>
      <w:bookmarkEnd w:id="37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0" w:right="140" w:hanging="720"/>
              <w:jc w:val="left"/>
              <w:rPr>
                <w:rFonts w:ascii="宋体" w:hAnsi="宋体" w:cs="宋体" w:eastAsia="宋体" w:hint="default"/>
                <w:sz w:val="18"/>
                <w:szCs w:val="18"/>
              </w:rPr>
            </w:pPr>
            <w:r>
              <w:rPr>
                <w:rFonts w:ascii="宋体" w:hAnsi="宋体" w:cs="宋体" w:eastAsia="宋体" w:hint="default"/>
                <w:sz w:val="18"/>
                <w:szCs w:val="18"/>
              </w:rPr>
              <w:t>第二层次公允价值计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1" w:right="141" w:hanging="720"/>
              <w:jc w:val="left"/>
              <w:rPr>
                <w:rFonts w:ascii="宋体" w:hAnsi="宋体" w:cs="宋体" w:eastAsia="宋体" w:hint="default"/>
                <w:sz w:val="18"/>
                <w:szCs w:val="18"/>
              </w:rPr>
            </w:pPr>
            <w:r>
              <w:rPr>
                <w:rFonts w:ascii="宋体" w:hAnsi="宋体" w:cs="宋体" w:eastAsia="宋体" w:hint="default"/>
                <w:sz w:val="18"/>
                <w:szCs w:val="18"/>
              </w:rPr>
              <w:t>第三层次公允价值计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7"/>
        <w:rPr>
          <w:rFonts w:ascii="宋体" w:hAnsi="宋体" w:cs="宋体" w:eastAsia="宋体" w:hint="default"/>
          <w:sz w:val="9"/>
          <w:szCs w:val="9"/>
        </w:rPr>
      </w:pPr>
    </w:p>
    <w:p>
      <w:pPr>
        <w:pStyle w:val="Heading3"/>
        <w:spacing w:line="240" w:lineRule="auto" w:before="35"/>
        <w:ind w:right="0"/>
        <w:jc w:val="left"/>
        <w:rPr>
          <w:b w:val="0"/>
          <w:bCs w:val="0"/>
        </w:rPr>
      </w:pPr>
      <w:bookmarkStart w:name="2、持续和非持续第一层次公允价值计量项目市价的确定依据" w:id="378"/>
      <w:bookmarkEnd w:id="37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持续和非持续第二层次公允价值计量项目，采用的估值技术和重要参数的定性及定量信" w:id="379"/>
      <w:bookmarkEnd w:id="37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持续和非持续第三层次公允价值计量项目，采用的估值技术和重要参数的定性及定量信" w:id="380"/>
      <w:bookmarkEnd w:id="38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持续的第三层次公允价值计量项目，期初与期末账面价值间的调节信息及不可观察参数" w:id="381"/>
      <w:bookmarkEnd w:id="38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持续的公允价值计量项目，本期内发生各层级之间转换的，转换的原因及确定转换时点" w:id="382"/>
      <w:bookmarkEnd w:id="38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本期内发生的估值技术变更及变更原因" w:id="383"/>
      <w:bookmarkEnd w:id="38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不以公允价值计量的金融资产和金融负债的公允价值情况" w:id="384"/>
      <w:bookmarkEnd w:id="38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385"/>
      <w:bookmarkEnd w:id="38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386"/>
      <w:bookmarkEnd w:id="38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387"/>
      <w:bookmarkEnd w:id="38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161"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0" w:right="162"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bl>
    <w:p>
      <w:pPr>
        <w:pStyle w:val="BodyText"/>
        <w:spacing w:line="338" w:lineRule="auto" w:before="51"/>
        <w:ind w:right="0"/>
        <w:jc w:val="left"/>
      </w:pPr>
      <w:r>
        <w:rPr/>
        <w:t>本企业的母公司情况的说明 </w:t>
      </w:r>
      <w:r>
        <w:rPr>
          <w:spacing w:val="-2"/>
        </w:rPr>
        <w:t>林一文、季征南、王劲军、宋发兴、钱有武、卓秀者、陈强、卢庆议为本公司的共同实际控制人；福建省永福博发投资股份</w:t>
      </w:r>
      <w:r>
        <w:rPr>
          <w:spacing w:val="-67"/>
        </w:rPr>
        <w:t> </w:t>
      </w:r>
      <w:r>
        <w:rPr>
          <w:spacing w:val="-67"/>
        </w:rPr>
      </w:r>
      <w:r>
        <w:rPr/>
        <w:t>有限公司、福州永福恒诚投资管理股份有限公司、福州博宏投资管理有限公司为本公司的控股股东。</w:t>
      </w:r>
    </w:p>
    <w:p>
      <w:pPr>
        <w:pStyle w:val="BodyText"/>
        <w:spacing w:line="357" w:lineRule="auto" w:before="42"/>
        <w:ind w:right="1932"/>
        <w:jc w:val="left"/>
      </w:pPr>
      <w:r>
        <w:rPr/>
        <w:t>本企业最终控制方是由林一文、季征南、王劲军、宋发兴、钱有武、卓秀者、陈强、卢庆议组成的一致行动人。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2、本企业的子公司情况" w:id="388"/>
      <w:bookmarkEnd w:id="388"/>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r>
        <w:rPr>
          <w:spacing w:val="-90"/>
        </w:rPr>
        <w:t>”</w:t>
      </w:r>
      <w:r>
        <w:rPr/>
        <w:t>。</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3、本企业合营和联营企业情况" w:id="389"/>
      <w:bookmarkEnd w:id="389"/>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2"/>
        <w:jc w:val="left"/>
      </w:pPr>
      <w:r>
        <w:rPr/>
        <w:t>本企业重要的合营或联营企业详见附注“九、在其他主体中的权益” 。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4、其他关联方情况" w:id="390"/>
      <w:bookmarkEnd w:id="39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厦门瑞新热电有限公司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公司实际控制人、董事季征南任董事；永福集团持股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bl>
    <w:p>
      <w:pPr>
        <w:spacing w:after="0" w:line="240" w:lineRule="auto"/>
        <w:jc w:val="center"/>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b/>
          <w:bCs/>
          <w:sz w:val="13"/>
          <w:szCs w:val="1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中闽（连江）风电有限公司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公司副总经理罗志青亲属担任总经理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漳浦国电投光伏有限公司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永福集团持股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月设立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福建省新能海上风电研发中心有限公司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公司参股公司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福建海上风电运维服务有限公司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公司副总经理罗志青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2018.8 </w:t>
            </w:r>
            <w:r>
              <w:rPr>
                <w:rFonts w:ascii="宋体" w:hAnsi="宋体" w:cs="宋体" w:eastAsia="宋体" w:hint="default"/>
                <w:sz w:val="18"/>
                <w:szCs w:val="18"/>
              </w:rPr>
              <w:t>至今任副董事长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实际控制人控制企业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福建昌明建材有限公司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永福集团持股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福建和盛高科技产业有限公司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公司实际控制人、董事季征南任董事；永福集团持股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监事会主席、职工代表监事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王建明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关联交易情况" w:id="391"/>
      <w:bookmarkEnd w:id="39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392"/>
      <w:bookmarkEnd w:id="39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5"/>
              <w:jc w:val="left"/>
              <w:rPr>
                <w:rFonts w:ascii="宋体" w:hAnsi="宋体" w:cs="宋体" w:eastAsia="宋体" w:hint="default"/>
                <w:sz w:val="18"/>
                <w:szCs w:val="18"/>
              </w:rPr>
            </w:pPr>
            <w:r>
              <w:rPr>
                <w:rFonts w:ascii="宋体" w:hAnsi="宋体" w:cs="宋体" w:eastAsia="宋体" w:hint="default"/>
                <w:sz w:val="18"/>
                <w:szCs w:val="18"/>
              </w:rPr>
              <w:t>福建和盛高科技 产业有限公司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总包设备采购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1" w:right="0"/>
              <w:jc w:val="left"/>
              <w:rPr>
                <w:rFonts w:ascii="Times New Roman" w:hAnsi="Times New Roman" w:cs="Times New Roman" w:eastAsia="Times New Roman" w:hint="default"/>
                <w:sz w:val="18"/>
                <w:szCs w:val="18"/>
              </w:rPr>
            </w:pPr>
            <w:r>
              <w:rPr>
                <w:rFonts w:ascii="Times New Roman"/>
                <w:sz w:val="18"/>
              </w:rPr>
              <w:t>41,844.83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4" w:right="0"/>
              <w:jc w:val="left"/>
              <w:rPr>
                <w:rFonts w:ascii="Times New Roman" w:hAnsi="Times New Roman" w:cs="Times New Roman" w:eastAsia="Times New Roman" w:hint="default"/>
                <w:sz w:val="18"/>
                <w:szCs w:val="18"/>
              </w:rPr>
            </w:pPr>
            <w:r>
              <w:rPr>
                <w:rFonts w:ascii="Times New Roman"/>
                <w:sz w:val="18"/>
              </w:rPr>
              <w:t>61,196.58</w:t>
            </w: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5"/>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厦门瑞新热电有限公司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5"/>
              <w:jc w:val="right"/>
              <w:rPr>
                <w:rFonts w:ascii="宋体" w:hAnsi="宋体" w:cs="宋体" w:eastAsia="宋体" w:hint="default"/>
                <w:sz w:val="18"/>
                <w:szCs w:val="18"/>
              </w:rPr>
            </w:pPr>
            <w:r>
              <w:rPr>
                <w:rFonts w:ascii="宋体" w:hAnsi="宋体" w:cs="宋体" w:eastAsia="宋体" w:hint="default"/>
                <w:sz w:val="18"/>
                <w:szCs w:val="18"/>
              </w:rPr>
              <w:t>设计服务、总包工程</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16,351.55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283,018.86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福建省新能海上风电研发中 心有限公司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65"/>
              <w:jc w:val="left"/>
              <w:rPr>
                <w:rFonts w:ascii="宋体" w:hAnsi="宋体" w:cs="宋体" w:eastAsia="宋体" w:hint="default"/>
                <w:sz w:val="18"/>
                <w:szCs w:val="18"/>
              </w:rPr>
            </w:pPr>
            <w:r>
              <w:rPr>
                <w:rFonts w:ascii="宋体" w:hAnsi="宋体" w:cs="宋体" w:eastAsia="宋体" w:hint="default"/>
                <w:sz w:val="18"/>
                <w:szCs w:val="18"/>
              </w:rPr>
              <w:t>设计服务、技术服务、人 员借用</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2,030,957.39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3,177,702.88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中闽（连江）风电有限公司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5"/>
              <w:jc w:val="right"/>
              <w:rPr>
                <w:rFonts w:ascii="宋体" w:hAnsi="宋体" w:cs="宋体" w:eastAsia="宋体" w:hint="default"/>
                <w:sz w:val="18"/>
                <w:szCs w:val="18"/>
              </w:rPr>
            </w:pPr>
            <w:r>
              <w:rPr>
                <w:rFonts w:ascii="宋体" w:hAnsi="宋体" w:cs="宋体" w:eastAsia="宋体" w:hint="default"/>
                <w:sz w:val="18"/>
                <w:szCs w:val="18"/>
              </w:rPr>
              <w:t>设计服务、总包工程</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439,622.64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漳浦国电投光伏有限公司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5"/>
              <w:jc w:val="right"/>
              <w:rPr>
                <w:rFonts w:ascii="宋体" w:hAnsi="宋体" w:cs="宋体" w:eastAsia="宋体" w:hint="default"/>
                <w:sz w:val="18"/>
                <w:szCs w:val="18"/>
              </w:rPr>
            </w:pPr>
            <w:r>
              <w:rPr>
                <w:rFonts w:ascii="宋体" w:hAnsi="宋体" w:cs="宋体" w:eastAsia="宋体" w:hint="default"/>
                <w:sz w:val="18"/>
                <w:szCs w:val="18"/>
              </w:rPr>
              <w:t>设计服务、总包工程</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41,562.09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55,120,410.20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3"/>
              <w:jc w:val="left"/>
              <w:rPr>
                <w:rFonts w:ascii="宋体" w:hAnsi="宋体" w:cs="宋体" w:eastAsia="宋体" w:hint="default"/>
                <w:sz w:val="18"/>
                <w:szCs w:val="18"/>
              </w:rPr>
            </w:pPr>
            <w:r>
              <w:rPr>
                <w:rFonts w:ascii="宋体" w:hAnsi="宋体" w:cs="宋体" w:eastAsia="宋体" w:hint="default"/>
                <w:sz w:val="18"/>
                <w:szCs w:val="18"/>
              </w:rPr>
              <w:t>福建海上风电运维服务有限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25"/>
              <w:jc w:val="right"/>
              <w:rPr>
                <w:rFonts w:ascii="宋体" w:hAnsi="宋体" w:cs="宋体" w:eastAsia="宋体" w:hint="default"/>
                <w:sz w:val="18"/>
                <w:szCs w:val="18"/>
              </w:rPr>
            </w:pPr>
            <w:r>
              <w:rPr>
                <w:rFonts w:ascii="宋体" w:hAnsi="宋体" w:cs="宋体" w:eastAsia="宋体" w:hint="default"/>
                <w:sz w:val="18"/>
                <w:szCs w:val="18"/>
              </w:rPr>
              <w:t>设计服务、总包工程</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265,545.29</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受托管理/承包及委托管理/出包情况" w:id="393"/>
      <w:bookmarkEnd w:id="39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本期确认的托</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36" w:right="0"/>
              <w:jc w:val="left"/>
              <w:rPr>
                <w:rFonts w:ascii="宋体" w:hAnsi="宋体" w:cs="宋体" w:eastAsia="宋体" w:hint="default"/>
                <w:sz w:val="18"/>
                <w:szCs w:val="18"/>
              </w:rPr>
            </w:pPr>
            <w:r>
              <w:rPr>
                <w:rFonts w:ascii="宋体" w:hAnsi="宋体" w:cs="宋体" w:eastAsia="宋体" w:hint="default"/>
                <w:sz w:val="18"/>
                <w:szCs w:val="18"/>
              </w:rPr>
              <w:t>收益定价依据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587" w:right="113" w:hanging="476"/>
              <w:jc w:val="left"/>
              <w:rPr>
                <w:rFonts w:ascii="宋体" w:hAnsi="宋体" w:cs="宋体" w:eastAsia="宋体" w:hint="default"/>
                <w:sz w:val="18"/>
                <w:szCs w:val="18"/>
              </w:rPr>
            </w:pPr>
            <w:r>
              <w:rPr>
                <w:rFonts w:ascii="宋体" w:hAnsi="宋体" w:cs="宋体" w:eastAsia="宋体" w:hint="default"/>
                <w:sz w:val="18"/>
                <w:szCs w:val="18"/>
              </w:rPr>
              <w:t>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2" w:lineRule="auto"/>
        <w:jc w:val="left"/>
        <w:rPr>
          <w:rFonts w:ascii="宋体" w:hAnsi="宋体" w:cs="宋体" w:eastAsia="宋体" w:hint="default"/>
          <w:sz w:val="18"/>
          <w:szCs w:val="18"/>
        </w:rPr>
        <w:sectPr>
          <w:pgSz w:w="11910" w:h="16840"/>
          <w:pgMar w:header="850" w:footer="1267" w:top="1260" w:bottom="1460" w:left="980" w:right="0"/>
        </w:sectPr>
      </w:pPr>
    </w:p>
    <w:p>
      <w:pPr>
        <w:pStyle w:val="BodyText"/>
        <w:spacing w:line="340" w:lineRule="auto" w:before="51"/>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99" w:right="113" w:hanging="38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97" w:right="113" w:hanging="38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99" w:right="112" w:hanging="38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 类型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113"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 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317" w:right="113" w:hanging="20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 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2" w:right="137" w:hanging="65"/>
              <w:jc w:val="left"/>
              <w:rPr>
                <w:rFonts w:ascii="宋体" w:hAnsi="宋体" w:cs="宋体" w:eastAsia="宋体" w:hint="default"/>
                <w:sz w:val="18"/>
                <w:szCs w:val="18"/>
              </w:rPr>
            </w:pPr>
            <w:r>
              <w:rPr>
                <w:rFonts w:ascii="宋体" w:hAnsi="宋体" w:cs="宋体" w:eastAsia="宋体" w:hint="default"/>
                <w:sz w:val="18"/>
                <w:szCs w:val="18"/>
              </w:rPr>
              <w:t>本期确认的托 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right="0"/>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394"/>
      <w:bookmarkEnd w:id="39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福建永福集团有限公司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福建昌明建材有限公司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80,000.00</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3"/>
              <w:jc w:val="left"/>
              <w:rPr>
                <w:rFonts w:ascii="宋体" w:hAnsi="宋体" w:cs="宋体" w:eastAsia="宋体" w:hint="default"/>
                <w:sz w:val="18"/>
                <w:szCs w:val="18"/>
              </w:rPr>
            </w:pPr>
            <w:r>
              <w:rPr>
                <w:rFonts w:ascii="宋体" w:hAnsi="宋体" w:cs="宋体" w:eastAsia="宋体" w:hint="default"/>
                <w:sz w:val="18"/>
                <w:szCs w:val="18"/>
              </w:rPr>
              <w:t>福建省新能海上风电研发中 心有限公司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房屋租赁、办公设备租赁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613,766.92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618,895.56</w:t>
            </w:r>
          </w:p>
        </w:tc>
      </w:tr>
    </w:tbl>
    <w:p>
      <w:pPr>
        <w:pStyle w:val="BodyText"/>
        <w:spacing w:line="240" w:lineRule="auto" w:before="51"/>
        <w:ind w:right="0"/>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7"/>
              <w:jc w:val="left"/>
              <w:rPr>
                <w:rFonts w:ascii="宋体" w:hAnsi="宋体" w:cs="宋体" w:eastAsia="宋体" w:hint="default"/>
                <w:sz w:val="18"/>
                <w:szCs w:val="18"/>
              </w:rPr>
            </w:pPr>
            <w:r>
              <w:rPr>
                <w:rFonts w:ascii="宋体" w:hAnsi="宋体" w:cs="宋体" w:eastAsia="宋体" w:hint="default"/>
                <w:sz w:val="18"/>
                <w:szCs w:val="18"/>
              </w:rPr>
              <w:t>福建省永福博发投资股份有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8" w:right="0"/>
              <w:jc w:val="left"/>
              <w:rPr>
                <w:rFonts w:ascii="Times New Roman" w:hAnsi="Times New Roman" w:cs="Times New Roman" w:eastAsia="Times New Roman" w:hint="default"/>
                <w:sz w:val="18"/>
                <w:szCs w:val="18"/>
              </w:rPr>
            </w:pPr>
            <w:r>
              <w:rPr>
                <w:rFonts w:ascii="Times New Roman"/>
                <w:sz w:val="18"/>
              </w:rPr>
              <w:t>257,400.00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8" w:right="0"/>
              <w:jc w:val="left"/>
              <w:rPr>
                <w:rFonts w:ascii="Times New Roman" w:hAnsi="Times New Roman" w:cs="Times New Roman" w:eastAsia="Times New Roman" w:hint="default"/>
                <w:sz w:val="18"/>
                <w:szCs w:val="18"/>
              </w:rPr>
            </w:pPr>
            <w:r>
              <w:rPr>
                <w:rFonts w:ascii="Times New Roman"/>
                <w:sz w:val="18"/>
              </w:rPr>
              <w:t>257,400.00</w:t>
            </w:r>
          </w:p>
        </w:tc>
      </w:tr>
    </w:tbl>
    <w:p>
      <w:pPr>
        <w:pStyle w:val="BodyText"/>
        <w:spacing w:line="240" w:lineRule="auto" w:before="51"/>
        <w:ind w:right="0"/>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395"/>
      <w:bookmarkEnd w:id="39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7,074,017.71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692,236.30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859,468.05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366,440.76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580" w:bottom="70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348,543.72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163,800.00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88,896.50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88,834.19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sz w:val="18"/>
              </w:rPr>
              <w:t>111,042.74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47,573.27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32,694.33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38,640.00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316,580.24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53,443.36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106,395.18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福州新创机电设备有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9,056.25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61" w:right="140"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530,000.00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853,566.06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否（注）</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365,973.98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否（注）</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林一文、福建省永福 博发投资股份有限公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3,832,788.90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林一文、季征南</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林一文、福建省永福 博发投资股份有限公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640,000.00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林一文、福建省永福 博发投资股份有限公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710,400.00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林一文、福建省永福 博发投资股份有限公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both"/>
              <w:rPr>
                <w:rFonts w:ascii="宋体" w:hAnsi="宋体" w:cs="宋体" w:eastAsia="宋体" w:hint="default"/>
                <w:sz w:val="18"/>
                <w:szCs w:val="18"/>
              </w:rPr>
            </w:pPr>
            <w:r>
              <w:rPr>
                <w:rFonts w:ascii="宋体" w:hAnsi="宋体" w:cs="宋体" w:eastAsia="宋体" w:hint="default"/>
                <w:sz w:val="18"/>
                <w:szCs w:val="18"/>
              </w:rPr>
              <w:t>林一文、福建省永福 博发投资股份有限公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5,604,132.00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2,471,360.00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1,274,388.00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953,150.70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248,400.00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77,400.00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267" w:top="1260" w:bottom="150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17,986,049.64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5,828,250.00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2,760,750.00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125,280.00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154,400.00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102,972.80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102,972.80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78,400.00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70,232.00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280,928.00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594,274.80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103,180.00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99,848.00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1,396,732.79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1,350,698.30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1,257,984.00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福建省永福博发投资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1,087,800.00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267" w:top="1260" w:bottom="1460" w:left="980" w:right="0"/>
        </w:sectPr>
      </w:pPr>
    </w:p>
    <w:p>
      <w:pPr>
        <w:spacing w:line="240" w:lineRule="auto" w:before="2"/>
        <w:rPr>
          <w:rFonts w:ascii="Times New Roman" w:hAnsi="Times New Roman" w:cs="Times New Roman" w:eastAsia="Times New Roman"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931,155.20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539,233.10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514,565.63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468,533.23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454,386.52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416,386.26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9"/>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408,579.30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8"/>
              <w:jc w:val="left"/>
              <w:rPr>
                <w:rFonts w:ascii="宋体" w:hAnsi="宋体" w:cs="宋体" w:eastAsia="宋体" w:hint="default"/>
                <w:sz w:val="18"/>
                <w:szCs w:val="18"/>
              </w:rPr>
            </w:pPr>
            <w:r>
              <w:rPr>
                <w:rFonts w:ascii="宋体" w:hAnsi="宋体" w:cs="宋体" w:eastAsia="宋体" w:hint="default"/>
                <w:sz w:val="18"/>
                <w:szCs w:val="18"/>
              </w:rPr>
              <w:t>福建省永福博发投资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382,755.10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pStyle w:val="Heading4"/>
        <w:spacing w:line="240" w:lineRule="auto" w:before="90"/>
        <w:ind w:right="0"/>
        <w:jc w:val="left"/>
      </w:pPr>
      <w:r>
        <w:rPr/>
        <w:t>注：该关联方担保系为公司开具的已到期但尚未撤销的银行保函，截止报告日，该等银行保函均已撤销。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0"/>
        <w:jc w:val="left"/>
        <w:rPr>
          <w:b w:val="0"/>
          <w:bCs w:val="0"/>
        </w:rPr>
      </w:pPr>
      <w:bookmarkStart w:name="（5）关联方资金拆借" w:id="396"/>
      <w:bookmarkEnd w:id="39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资产转让、债务重组情况" w:id="397"/>
      <w:bookmarkEnd w:id="39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键管理人员报酬" w:id="398"/>
      <w:bookmarkEnd w:id="39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7,872,963.43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6,697,392.67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其他关联交易" w:id="399"/>
      <w:bookmarkEnd w:id="39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6、关联方应收应付款项" w:id="400"/>
      <w:bookmarkEnd w:id="40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01"/>
      <w:bookmarkEnd w:id="40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福建省新能海上 风电研发中心有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2,089,829.13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104,491.46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厦门瑞新热电有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1,687,844.00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710,135.97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1,702,844.00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431,820.18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漳浦国电投光伏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2,192,757.99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164,790.90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7,121,479.72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356,073.99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left"/>
              <w:rPr>
                <w:rFonts w:ascii="宋体" w:hAnsi="宋体" w:cs="宋体" w:eastAsia="宋体" w:hint="default"/>
                <w:sz w:val="18"/>
                <w:szCs w:val="18"/>
              </w:rPr>
            </w:pPr>
            <w:r>
              <w:rPr>
                <w:rFonts w:ascii="宋体" w:hAnsi="宋体" w:cs="宋体" w:eastAsia="宋体" w:hint="default"/>
                <w:spacing w:val="-8"/>
                <w:sz w:val="18"/>
                <w:szCs w:val="18"/>
              </w:rPr>
              <w:t>中闽（连江）风电</w:t>
            </w:r>
            <w:r>
              <w:rPr>
                <w:rFonts w:ascii="宋体" w:hAnsi="宋体" w:cs="宋体" w:eastAsia="宋体" w:hint="default"/>
                <w:sz w:val="18"/>
                <w:szCs w:val="18"/>
              </w:rPr>
              <w:t>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370,701.00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37,070.10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372,399.11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18,619.96</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福建永福集团有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福建海上风电运 维服务有限公司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福建省新能海上 风电研发中心有 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1,204,488.46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60,224.42</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21"/>
              <w:jc w:val="left"/>
              <w:rPr>
                <w:rFonts w:ascii="宋体" w:hAnsi="宋体" w:cs="宋体" w:eastAsia="宋体" w:hint="default"/>
                <w:sz w:val="18"/>
                <w:szCs w:val="18"/>
              </w:rPr>
            </w:pPr>
            <w:r>
              <w:rPr>
                <w:rFonts w:ascii="宋体" w:hAnsi="宋体" w:cs="宋体" w:eastAsia="宋体" w:hint="default"/>
                <w:sz w:val="18"/>
                <w:szCs w:val="18"/>
              </w:rPr>
              <w:t>福建昌明建材有 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02"/>
      <w:bookmarkEnd w:id="40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7"/>
              <w:jc w:val="center"/>
              <w:rPr>
                <w:rFonts w:ascii="宋体" w:hAnsi="宋体" w:cs="宋体" w:eastAsia="宋体" w:hint="default"/>
                <w:sz w:val="18"/>
                <w:szCs w:val="18"/>
              </w:rPr>
            </w:pPr>
            <w:r>
              <w:rPr>
                <w:rFonts w:ascii="宋体" w:hAnsi="宋体" w:cs="宋体" w:eastAsia="宋体" w:hint="default"/>
                <w:sz w:val="18"/>
                <w:szCs w:val="18"/>
              </w:rPr>
              <w:t>福建和盛高科技产业有限公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8" w:right="0"/>
              <w:jc w:val="left"/>
              <w:rPr>
                <w:rFonts w:ascii="Times New Roman" w:hAnsi="Times New Roman" w:cs="Times New Roman" w:eastAsia="Times New Roman" w:hint="default"/>
                <w:sz w:val="18"/>
                <w:szCs w:val="18"/>
              </w:rPr>
            </w:pPr>
            <w:r>
              <w:rPr>
                <w:rFonts w:ascii="Times New Roman"/>
                <w:sz w:val="18"/>
              </w:rPr>
              <w:t>93,350.83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8" w:right="0"/>
              <w:jc w:val="left"/>
              <w:rPr>
                <w:rFonts w:ascii="Times New Roman" w:hAnsi="Times New Roman" w:cs="Times New Roman" w:eastAsia="Times New Roman" w:hint="default"/>
                <w:sz w:val="18"/>
                <w:szCs w:val="18"/>
              </w:rPr>
            </w:pPr>
            <w:r>
              <w:rPr>
                <w:rFonts w:ascii="Times New Roman"/>
                <w:sz w:val="18"/>
              </w:rPr>
              <w:t>120,800.00</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福建省新能海上风电研发中 心有限公司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180,384.96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19"/>
              <w:jc w:val="left"/>
              <w:rPr>
                <w:rFonts w:ascii="宋体" w:hAnsi="宋体" w:cs="宋体" w:eastAsia="宋体" w:hint="default"/>
                <w:sz w:val="18"/>
                <w:szCs w:val="18"/>
              </w:rPr>
            </w:pPr>
            <w:r>
              <w:rPr>
                <w:rFonts w:ascii="宋体" w:hAnsi="宋体" w:cs="宋体" w:eastAsia="宋体" w:hint="default"/>
                <w:sz w:val="18"/>
                <w:szCs w:val="18"/>
              </w:rPr>
              <w:t>福建省永福博发投资股份有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8" w:right="0"/>
              <w:jc w:val="left"/>
              <w:rPr>
                <w:rFonts w:ascii="Times New Roman" w:hAnsi="Times New Roman" w:cs="Times New Roman" w:eastAsia="Times New Roman" w:hint="default"/>
                <w:sz w:val="18"/>
                <w:szCs w:val="18"/>
              </w:rPr>
            </w:pPr>
            <w:r>
              <w:rPr>
                <w:rFonts w:ascii="Times New Roman"/>
                <w:sz w:val="18"/>
              </w:rPr>
              <w:t>257,400.00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李庆先</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郭泗煊</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王建明</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3,240.00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关联方承诺" w:id="403"/>
      <w:bookmarkEnd w:id="40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04"/>
      <w:bookmarkEnd w:id="40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05"/>
      <w:bookmarkEnd w:id="405"/>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06"/>
      <w:bookmarkEnd w:id="4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以权益结算的股份支付情况" w:id="407"/>
      <w:bookmarkEnd w:id="40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以现金结算的股份支付情况" w:id="408"/>
      <w:bookmarkEnd w:id="40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506" w:lineRule="auto"/>
        <w:ind w:right="7906"/>
        <w:jc w:val="left"/>
        <w:rPr>
          <w:rFonts w:ascii="宋体" w:hAnsi="宋体" w:cs="宋体" w:eastAsia="宋体" w:hint="default"/>
          <w:b w:val="0"/>
          <w:bCs w:val="0"/>
        </w:rPr>
      </w:pPr>
      <w:bookmarkStart w:name="4、 股份支付的修改、终止情况" w:id="409"/>
      <w:bookmarkEnd w:id="409"/>
      <w:r>
        <w:rPr>
          <w:b w:val="0"/>
          <w:bCs w:val="0"/>
        </w:rPr>
      </w:r>
      <w:r>
        <w:rPr>
          <w:rFonts w:ascii="Times New Roman" w:hAnsi="Times New Roman" w:cs="Times New Roman" w:eastAsia="Times New Roman" w:hint="default"/>
        </w:rPr>
        <w:t>4</w:t>
      </w:r>
      <w:r>
        <w:rPr/>
        <w:t>、股份支付的修改、终止情况</w:t>
      </w:r>
      <w:r>
        <w:rPr>
          <w:w w:val="99"/>
        </w:rPr>
        <w:t> </w:t>
      </w:r>
      <w:r>
        <w:rPr>
          <w:rFonts w:ascii="宋体" w:hAnsi="宋体" w:cs="宋体" w:eastAsia="宋体" w:hint="default"/>
          <w:b w:val="0"/>
          <w:bCs w:val="0"/>
        </w:rPr>
        <w:t>无</w:t>
      </w:r>
    </w:p>
    <w:p>
      <w:pPr>
        <w:spacing w:line="487" w:lineRule="auto" w:before="105"/>
        <w:ind w:left="154" w:right="8412" w:firstLine="0"/>
        <w:jc w:val="left"/>
        <w:rPr>
          <w:rFonts w:ascii="宋体" w:hAnsi="宋体" w:cs="宋体" w:eastAsia="宋体" w:hint="default"/>
          <w:sz w:val="21"/>
          <w:szCs w:val="21"/>
        </w:rPr>
      </w:pPr>
      <w:bookmarkStart w:name="5、 其他" w:id="410"/>
      <w:bookmarkEnd w:id="41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11"/>
      <w:bookmarkEnd w:id="411"/>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12"/>
      <w:bookmarkEnd w:id="412"/>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9"/>
        <w:ind w:right="0"/>
        <w:jc w:val="left"/>
      </w:pPr>
      <w:r>
        <w:rPr/>
        <w:t>资产负债表日存在的重要承诺</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left"/>
        <w:rPr>
          <w:b w:val="0"/>
          <w:bCs w:val="0"/>
        </w:rPr>
      </w:pPr>
      <w:bookmarkStart w:name="2、或有事项" w:id="413"/>
      <w:bookmarkEnd w:id="41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14"/>
      <w:bookmarkEnd w:id="41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开出保函</w:t>
      </w:r>
      <w:r>
        <w:rPr>
          <w:b w:val="0"/>
          <w:bCs w:val="0"/>
        </w:rPr>
      </w:r>
    </w:p>
    <w:p>
      <w:pPr>
        <w:pStyle w:val="Heading4"/>
        <w:spacing w:line="256" w:lineRule="auto" w:before="21"/>
        <w:ind w:right="1255"/>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日止，公司已开具尚未撤销的银行保函金额为人民币</w:t>
      </w:r>
      <w:r>
        <w:rPr>
          <w:rFonts w:ascii="Times New Roman" w:hAnsi="Times New Roman" w:cs="Times New Roman" w:eastAsia="Times New Roman" w:hint="default"/>
        </w:rPr>
        <w:t>52,453,100.33</w:t>
      </w:r>
      <w:r>
        <w:rPr>
          <w:rFonts w:ascii="Times New Roman" w:hAnsi="Times New Roman" w:cs="Times New Roman" w:eastAsia="Times New Roman" w:hint="default"/>
          <w:spacing w:val="47"/>
        </w:rPr>
        <w:t> </w:t>
      </w:r>
      <w:r>
        <w:rPr/>
        <w:t>元、美元</w:t>
      </w:r>
      <w:r>
        <w:rPr>
          <w:rFonts w:ascii="Times New Roman" w:hAnsi="Times New Roman" w:cs="Times New Roman" w:eastAsia="Times New Roman" w:hint="default"/>
        </w:rPr>
        <w:t>80,000.00 </w:t>
      </w:r>
      <w:r>
        <w:rPr/>
        <w:t>元，其中</w:t>
      </w:r>
      <w:r>
        <w:rPr>
          <w:rFonts w:ascii="Times New Roman" w:hAnsi="Times New Roman" w:cs="Times New Roman" w:eastAsia="Times New Roman" w:hint="default"/>
        </w:rPr>
        <w:t>17,040,728.94 </w:t>
      </w:r>
      <w:r>
        <w:rPr>
          <w:rFonts w:ascii="Times New Roman" w:hAnsi="Times New Roman" w:cs="Times New Roman" w:eastAsia="Times New Roman" w:hint="default"/>
          <w:spacing w:val="11"/>
        </w:rPr>
        <w:t> </w:t>
      </w:r>
      <w:r>
        <w:rPr>
          <w:spacing w:val="-4"/>
        </w:rPr>
        <w:t>元由关联方保证担保，具体详见“十二、</w: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4</w:t>
      </w:r>
      <w:r>
        <w:rPr>
          <w:spacing w:val="-4"/>
        </w:rPr>
        <w:t>）关联担保情况”。</w:t>
      </w:r>
    </w:p>
    <w:p>
      <w:pPr>
        <w:spacing w:line="256" w:lineRule="auto" w:before="5"/>
        <w:ind w:left="154" w:right="11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已背书或贴现且在资产负债表日尚未到期票据</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日止，公司已背书或贴现且在资产负债表日尚未到期应收票据金额为</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4,700,000.00</w:t>
      </w:r>
      <w:r>
        <w:rPr>
          <w:rFonts w:ascii="宋体" w:hAnsi="宋体" w:cs="宋体" w:eastAsia="宋体" w:hint="default"/>
          <w:sz w:val="21"/>
          <w:szCs w:val="21"/>
        </w:rPr>
        <w:t>元。</w:t>
      </w:r>
    </w:p>
    <w:p>
      <w:pPr>
        <w:spacing w:line="240" w:lineRule="auto" w:before="5"/>
        <w:rPr>
          <w:rFonts w:ascii="宋体" w:hAnsi="宋体" w:cs="宋体" w:eastAsia="宋体" w:hint="default"/>
          <w:sz w:val="23"/>
          <w:szCs w:val="23"/>
        </w:rPr>
      </w:pPr>
    </w:p>
    <w:p>
      <w:pPr>
        <w:pStyle w:val="Heading3"/>
        <w:spacing w:line="240" w:lineRule="auto"/>
        <w:ind w:right="0"/>
        <w:jc w:val="left"/>
        <w:rPr>
          <w:b w:val="0"/>
          <w:bCs w:val="0"/>
        </w:rPr>
      </w:pPr>
      <w:bookmarkStart w:name="（2）公司没有需要披露的重要或有事项，也应予以说明" w:id="415"/>
      <w:bookmarkEnd w:id="41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16"/>
      <w:bookmarkEnd w:id="4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17"/>
      <w:bookmarkEnd w:id="41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18"/>
      <w:bookmarkEnd w:id="41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0" w:right="10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19"/>
      <w:bookmarkEnd w:id="41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24"/>
          <w:szCs w:val="24"/>
        </w:rPr>
      </w:pPr>
    </w:p>
    <w:p>
      <w:pPr>
        <w:pStyle w:val="Heading3"/>
        <w:spacing w:line="240" w:lineRule="auto" w:before="35"/>
        <w:ind w:right="0"/>
        <w:jc w:val="left"/>
        <w:rPr>
          <w:b w:val="0"/>
          <w:bCs w:val="0"/>
        </w:rPr>
      </w:pPr>
      <w:bookmarkStart w:name="3、销售退回" w:id="420"/>
      <w:bookmarkEnd w:id="42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21"/>
      <w:bookmarkEnd w:id="42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pStyle w:val="Heading4"/>
        <w:spacing w:line="256" w:lineRule="auto" w:before="21"/>
        <w:ind w:left="161" w:right="1130"/>
        <w:jc w:val="both"/>
      </w:pPr>
      <w:r>
        <w:rPr>
          <w:spacing w:val="7"/>
        </w:rPr>
        <w:t>根据公司于</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22</w:t>
      </w:r>
      <w:r>
        <w:rPr>
          <w:spacing w:val="7"/>
        </w:rPr>
        <w:t>日召开的第二届董事会第四次会议决议，以截止</w:t>
      </w:r>
      <w:r>
        <w:rPr>
          <w:rFonts w:ascii="Times New Roman" w:hAnsi="Times New Roman" w:cs="Times New Roman" w:eastAsia="Times New Roman" w:hint="default"/>
          <w:spacing w:val="7"/>
        </w:rPr>
        <w:t>2018</w:t>
      </w:r>
      <w:r>
        <w:rPr>
          <w:rFonts w:ascii="Times New Roman" w:hAnsi="Times New Roman" w:cs="Times New Roman" w:eastAsia="Times New Roman" w:hint="default"/>
          <w:spacing w:val="15"/>
        </w:rPr>
        <w:t> </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日公司总股本</w:t>
      </w:r>
      <w:r>
        <w:rPr>
          <w:spacing w:val="-102"/>
        </w:rPr>
        <w:t> </w:t>
      </w:r>
      <w:r>
        <w:rPr>
          <w:spacing w:val="-102"/>
        </w:rPr>
      </w:r>
      <w:r>
        <w:rPr>
          <w:rFonts w:ascii="Times New Roman" w:hAnsi="Times New Roman" w:cs="Times New Roman" w:eastAsia="Times New Roman" w:hint="default"/>
          <w:spacing w:val="-2"/>
        </w:rPr>
        <w:t>140,080,000</w:t>
      </w:r>
      <w:r>
        <w:rPr>
          <w:spacing w:val="-2"/>
        </w:rPr>
        <w:t>股为基数，向全体股东每</w:t>
      </w:r>
      <w:r>
        <w:rPr>
          <w:spacing w:val="17"/>
        </w:rPr>
        <w:t>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spacing w:val="-6"/>
        </w:rPr>
        <w:t>股派发现金股利</w:t>
      </w:r>
      <w:r>
        <w:rPr>
          <w:rFonts w:ascii="Times New Roman" w:hAnsi="Times New Roman" w:cs="Times New Roman" w:eastAsia="Times New Roman" w:hint="default"/>
          <w:spacing w:val="-6"/>
        </w:rPr>
        <w:t>1.00</w:t>
      </w:r>
      <w:r>
        <w:rPr>
          <w:spacing w:val="-6"/>
        </w:rPr>
        <w:t>元人民币（含税），合计派发现金股利为人民</w:t>
      </w:r>
      <w:r>
        <w:rPr>
          <w:spacing w:val="-103"/>
        </w:rPr>
        <w:t> </w:t>
      </w:r>
      <w:r>
        <w:rPr>
          <w:spacing w:val="-103"/>
        </w:rPr>
      </w:r>
      <w:r>
        <w:rPr>
          <w:spacing w:val="-4"/>
        </w:rPr>
        <w:t>币</w:t>
      </w:r>
      <w:r>
        <w:rPr>
          <w:rFonts w:ascii="Times New Roman" w:hAnsi="Times New Roman" w:cs="Times New Roman" w:eastAsia="Times New Roman" w:hint="default"/>
          <w:spacing w:val="-4"/>
        </w:rPr>
        <w:t>14,008,000.00</w:t>
      </w:r>
      <w:r>
        <w:rPr>
          <w:spacing w:val="-4"/>
        </w:rPr>
        <w:t>元（含税），送</w:t>
      </w:r>
      <w:r>
        <w:rPr>
          <w:rFonts w:ascii="Times New Roman" w:hAnsi="Times New Roman" w:cs="Times New Roman" w:eastAsia="Times New Roman" w:hint="default"/>
          <w:spacing w:val="-4"/>
        </w:rPr>
        <w:t>0</w:t>
      </w:r>
      <w:r>
        <w:rPr>
          <w:spacing w:val="-4"/>
        </w:rPr>
        <w:t>股，以资本公积金向全体股东每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3</w:t>
      </w:r>
      <w:r>
        <w:rPr>
          <w:spacing w:val="-4"/>
        </w:rPr>
        <w:t>股。剩余未分配利润结转以后年</w:t>
      </w:r>
      <w:r>
        <w:rPr>
          <w:spacing w:val="-75"/>
        </w:rPr>
        <w:t> </w:t>
      </w:r>
      <w:r>
        <w:rPr>
          <w:spacing w:val="-75"/>
        </w:rPr>
      </w:r>
      <w:r>
        <w:rPr/>
        <w:t>度。</w:t>
      </w:r>
    </w:p>
    <w:p>
      <w:pPr>
        <w:spacing w:line="240" w:lineRule="auto" w:before="7"/>
        <w:rPr>
          <w:rFonts w:ascii="宋体" w:hAnsi="宋体" w:cs="宋体" w:eastAsia="宋体" w:hint="default"/>
          <w:sz w:val="25"/>
          <w:szCs w:val="25"/>
        </w:rPr>
      </w:pPr>
    </w:p>
    <w:p>
      <w:pPr>
        <w:spacing w:line="261" w:lineRule="auto" w:before="0"/>
        <w:ind w:left="154" w:right="11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）收购福建华超信息科技有限公司（以下简称</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华超信息</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股权的事项</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根据公司与福建华明信息科技有限公司签订的《关于对福建华超信息科技有限公司的投资协议》的股权转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
          <w:sz w:val="21"/>
          <w:szCs w:val="21"/>
        </w:rPr>
        <w:t>让协议约定，公司将受让福建华明信息科技有限公司原持有的华超信息</w:t>
      </w:r>
      <w:r>
        <w:rPr>
          <w:rFonts w:ascii="Times New Roman" w:hAnsi="Times New Roman" w:cs="Times New Roman" w:eastAsia="Times New Roman" w:hint="default"/>
          <w:spacing w:val="-4"/>
          <w:sz w:val="21"/>
          <w:szCs w:val="21"/>
        </w:rPr>
        <w:t>51%</w:t>
      </w:r>
      <w:r>
        <w:rPr>
          <w:rFonts w:ascii="宋体" w:hAnsi="宋体" w:cs="宋体" w:eastAsia="宋体" w:hint="default"/>
          <w:spacing w:val="-4"/>
          <w:sz w:val="21"/>
          <w:szCs w:val="21"/>
        </w:rPr>
        <w:t>股权，该股权转让事宜已于</w:t>
      </w:r>
      <w:r>
        <w:rPr>
          <w:rFonts w:ascii="Times New Roman" w:hAnsi="Times New Roman" w:cs="Times New Roman" w:eastAsia="Times New Roman" w:hint="default"/>
          <w:spacing w:val="-4"/>
          <w:sz w:val="21"/>
          <w:szCs w:val="21"/>
        </w:rPr>
        <w:t>2019</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r>
        <w:rPr>
          <w:rFonts w:ascii="宋体" w:hAnsi="宋体" w:cs="宋体" w:eastAsia="宋体" w:hint="default"/>
          <w:sz w:val="21"/>
          <w:szCs w:val="21"/>
        </w:rPr>
        <w:t>日完成工商变更登记。</w:t>
      </w:r>
    </w:p>
    <w:p>
      <w:pPr>
        <w:spacing w:line="240" w:lineRule="auto" w:before="11"/>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）设立全资子公司福建永福创智能源管理有限公司</w:t>
      </w:r>
      <w:r>
        <w:rPr>
          <w:b w:val="0"/>
          <w:bCs w:val="0"/>
        </w:rPr>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b/>
          <w:bCs/>
          <w:sz w:val="9"/>
          <w:szCs w:val="9"/>
        </w:rPr>
      </w:pPr>
    </w:p>
    <w:p>
      <w:pPr>
        <w:pStyle w:val="Heading4"/>
        <w:spacing w:line="256" w:lineRule="auto" w:before="35"/>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日，公司设立全资子公司福建永福创智能源管理有限公司，注册资本为</w:t>
      </w:r>
      <w:r>
        <w:rPr>
          <w:rFonts w:ascii="Times New Roman" w:hAnsi="Times New Roman" w:cs="Times New Roman" w:eastAsia="Times New Roman" w:hint="default"/>
        </w:rPr>
        <w:t>1000</w:t>
      </w:r>
      <w:r>
        <w:rPr/>
        <w:t>万元。截止审计</w:t>
      </w:r>
      <w:r>
        <w:rPr>
          <w:spacing w:val="-29"/>
        </w:rPr>
        <w:t> </w:t>
      </w:r>
      <w:r>
        <w:rPr>
          <w:spacing w:val="-29"/>
        </w:rPr>
      </w:r>
      <w:r>
        <w:rPr/>
        <w:t>报告日，公司尚未实际出资。</w:t>
      </w:r>
    </w:p>
    <w:p>
      <w:pPr>
        <w:spacing w:line="240" w:lineRule="auto" w:before="7"/>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4</w:t>
      </w:r>
      <w:r>
        <w:rPr/>
        <w:t>）设立全资子公司永福新加坡新能源开发股份有限责任公司</w:t>
      </w:r>
      <w:r>
        <w:rPr>
          <w:b w:val="0"/>
          <w:bCs w:val="0"/>
        </w:rPr>
      </w:r>
    </w:p>
    <w:p>
      <w:pPr>
        <w:pStyle w:val="Heading4"/>
        <w:spacing w:line="256" w:lineRule="auto" w:before="21"/>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19</w:t>
      </w:r>
      <w:r>
        <w:rPr/>
        <w:t>日，公司设立全资子公司永福新加坡新能源开发股份有限责任公司，注册资本为</w:t>
      </w:r>
      <w:r>
        <w:rPr>
          <w:rFonts w:ascii="Times New Roman" w:hAnsi="Times New Roman" w:cs="Times New Roman" w:eastAsia="Times New Roman" w:hint="default"/>
        </w:rPr>
        <w:t>30</w:t>
      </w:r>
      <w:r>
        <w:rPr/>
        <w:t>万美元。</w:t>
      </w:r>
      <w:r>
        <w:rPr>
          <w:spacing w:val="-27"/>
        </w:rPr>
        <w:t> </w:t>
      </w:r>
      <w:r>
        <w:rPr>
          <w:spacing w:val="-27"/>
        </w:rPr>
      </w:r>
      <w:r>
        <w:rPr/>
        <w:t>截止审计报告日，公司尚未实际出资。</w:t>
      </w:r>
    </w:p>
    <w:p>
      <w:pPr>
        <w:spacing w:line="240" w:lineRule="auto" w:before="7"/>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5</w:t>
      </w:r>
      <w:r>
        <w:rPr/>
        <w:t>）股东中国</w:t>
      </w:r>
      <w:r>
        <w:rPr>
          <w:rFonts w:ascii="Times New Roman" w:hAnsi="Times New Roman" w:cs="Times New Roman" w:eastAsia="Times New Roman" w:hint="default"/>
        </w:rPr>
        <w:t>-</w:t>
      </w:r>
      <w:r>
        <w:rPr/>
        <w:t>比利时直接股权投资基金股份减持计划</w:t>
      </w:r>
      <w:r>
        <w:rPr>
          <w:b w:val="0"/>
          <w:bCs w:val="0"/>
        </w:rPr>
      </w:r>
    </w:p>
    <w:p>
      <w:pPr>
        <w:pStyle w:val="Heading4"/>
        <w:spacing w:line="256" w:lineRule="auto" w:before="21"/>
        <w:ind w:right="1129"/>
        <w:jc w:val="both"/>
      </w:pPr>
      <w:r>
        <w:rPr>
          <w:spacing w:val="2"/>
        </w:rPr>
        <w:t>公司股东中国</w:t>
      </w:r>
      <w:r>
        <w:rPr>
          <w:rFonts w:ascii="Times New Roman" w:hAnsi="Times New Roman" w:cs="Times New Roman" w:eastAsia="Times New Roman" w:hint="default"/>
          <w:spacing w:val="2"/>
        </w:rPr>
        <w:t>-</w:t>
      </w:r>
      <w:r>
        <w:rPr>
          <w:spacing w:val="2"/>
        </w:rPr>
        <w:t>比利时直接股权投资基金计划在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日起</w:t>
      </w:r>
      <w:r>
        <w:rPr>
          <w:rFonts w:ascii="Times New Roman" w:hAnsi="Times New Roman" w:cs="Times New Roman" w:eastAsia="Times New Roman" w:hint="default"/>
          <w:spacing w:val="2"/>
        </w:rPr>
        <w:t>3</w:t>
      </w:r>
      <w:r>
        <w:rPr>
          <w:spacing w:val="2"/>
        </w:rPr>
        <w:t>个交易日后的</w:t>
      </w:r>
      <w:r>
        <w:rPr>
          <w:rFonts w:ascii="Times New Roman" w:hAnsi="Times New Roman" w:cs="Times New Roman" w:eastAsia="Times New Roman" w:hint="default"/>
          <w:spacing w:val="2"/>
        </w:rPr>
        <w:t>6</w:t>
      </w:r>
      <w:r>
        <w:rPr>
          <w:spacing w:val="2"/>
        </w:rPr>
        <w:t>个月内以集中竞价方式减</w:t>
      </w:r>
      <w:r>
        <w:rPr>
          <w:spacing w:val="-99"/>
        </w:rPr>
        <w:t> </w:t>
      </w:r>
      <w:r>
        <w:rPr>
          <w:spacing w:val="-99"/>
        </w:rPr>
      </w:r>
      <w:r>
        <w:rPr>
          <w:spacing w:val="-2"/>
        </w:rPr>
        <w:t>持不超过本公司股份</w:t>
      </w:r>
      <w:r>
        <w:rPr>
          <w:rFonts w:ascii="Times New Roman" w:hAnsi="Times New Roman" w:cs="Times New Roman" w:eastAsia="Times New Roman" w:hint="default"/>
          <w:spacing w:val="-2"/>
        </w:rPr>
        <w:t>2,801,600</w:t>
      </w:r>
      <w:r>
        <w:rPr>
          <w:spacing w:val="-2"/>
        </w:rPr>
        <w:t>股，即不超过本公司总股本比例</w:t>
      </w:r>
      <w:r>
        <w:rPr>
          <w:rFonts w:ascii="Times New Roman" w:hAnsi="Times New Roman" w:cs="Times New Roman" w:eastAsia="Times New Roman" w:hint="default"/>
          <w:spacing w:val="-2"/>
        </w:rPr>
        <w:t>2%</w:t>
      </w:r>
      <w:r>
        <w:rPr>
          <w:spacing w:val="-2"/>
        </w:rPr>
        <w:t>；且任意连续九十个自然日内通过证券交</w:t>
      </w:r>
      <w:r>
        <w:rPr>
          <w:spacing w:val="-100"/>
        </w:rPr>
        <w:t> </w:t>
      </w:r>
      <w:r>
        <w:rPr>
          <w:spacing w:val="-100"/>
        </w:rPr>
      </w:r>
      <w:r>
        <w:rPr/>
        <w:t>易所集中竞价交易减持股份的总数，不超过上市公司股份总数的</w:t>
      </w:r>
      <w:r>
        <w:rPr>
          <w:rFonts w:ascii="Times New Roman" w:hAnsi="Times New Roman" w:cs="Times New Roman" w:eastAsia="Times New Roman" w:hint="default"/>
        </w:rPr>
        <w:t>1%</w:t>
      </w:r>
      <w:r>
        <w:rPr/>
        <w:t>，即不超过</w:t>
      </w:r>
      <w:r>
        <w:rPr>
          <w:rFonts w:ascii="Times New Roman" w:hAnsi="Times New Roman" w:cs="Times New Roman" w:eastAsia="Times New Roman" w:hint="default"/>
        </w:rPr>
        <w:t>1,400,800</w:t>
      </w:r>
      <w:r>
        <w:rPr/>
        <w:t>股。</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bookmarkStart w:name="十六、其他重要事项" w:id="422"/>
      <w:bookmarkEnd w:id="42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前期会计差错更正" w:id="423"/>
      <w:bookmarkEnd w:id="42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追溯重述法" w:id="424"/>
      <w:bookmarkEnd w:id="42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0" w:right="108"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未来适用法" w:id="425"/>
      <w:bookmarkEnd w:id="42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债务重组" w:id="426"/>
      <w:bookmarkEnd w:id="42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资产置换" w:id="427"/>
      <w:bookmarkEnd w:id="42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非货币性资产交换" w:id="428"/>
      <w:bookmarkEnd w:id="42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2）其他资产置换" w:id="429"/>
      <w:bookmarkEnd w:id="42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年金计划" w:id="430"/>
      <w:bookmarkEnd w:id="43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终止经营" w:id="431"/>
      <w:bookmarkEnd w:id="43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7" w:right="137"/>
              <w:jc w:val="center"/>
              <w:rPr>
                <w:rFonts w:ascii="宋体" w:hAnsi="宋体" w:cs="宋体" w:eastAsia="宋体" w:hint="default"/>
                <w:sz w:val="18"/>
                <w:szCs w:val="18"/>
              </w:rPr>
            </w:pPr>
            <w:r>
              <w:rPr>
                <w:rFonts w:ascii="宋体" w:hAnsi="宋体" w:cs="宋体" w:eastAsia="宋体" w:hint="default"/>
                <w:sz w:val="18"/>
                <w:szCs w:val="18"/>
              </w:rPr>
              <w:t>归属于母公司 所有者的终止 经营利润</w:t>
            </w:r>
          </w:p>
        </w:tc>
      </w:tr>
    </w:tbl>
    <w:p>
      <w:pPr>
        <w:pStyle w:val="BodyText"/>
        <w:spacing w:line="240" w:lineRule="auto" w:before="51"/>
        <w:ind w:right="0"/>
        <w:jc w:val="left"/>
      </w:pPr>
      <w:r>
        <w:rPr/>
        <w:t>其他说明</w:t>
      </w:r>
    </w:p>
    <w:p>
      <w:pPr>
        <w:spacing w:after="0" w:line="240" w:lineRule="auto"/>
        <w:jc w:val="left"/>
        <w:sectPr>
          <w:pgSz w:w="11910" w:h="16840"/>
          <w:pgMar w:header="850" w:footer="1267" w:top="1260" w:bottom="1460" w:left="980" w:right="0"/>
        </w:sectPr>
      </w:pPr>
    </w:p>
    <w:p>
      <w:pPr>
        <w:spacing w:line="240" w:lineRule="auto" w:before="6"/>
        <w:rPr>
          <w:rFonts w:ascii="宋体" w:hAnsi="宋体" w:cs="宋体" w:eastAsia="宋体" w:hint="default"/>
          <w:sz w:val="9"/>
          <w:szCs w:val="9"/>
        </w:rPr>
      </w:pPr>
    </w:p>
    <w:p>
      <w:pPr>
        <w:pStyle w:val="Heading3"/>
        <w:spacing w:line="240" w:lineRule="auto" w:before="35"/>
        <w:ind w:right="0"/>
        <w:jc w:val="left"/>
        <w:rPr>
          <w:b w:val="0"/>
          <w:bCs w:val="0"/>
        </w:rPr>
      </w:pPr>
      <w:bookmarkStart w:name="6、分部信息" w:id="432"/>
      <w:bookmarkEnd w:id="43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报告分部的确定依据与会计政策" w:id="433"/>
      <w:bookmarkEnd w:id="43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报告分部的财务信息" w:id="434"/>
      <w:bookmarkEnd w:id="43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3"/>
        <w:gridCol w:w="2393"/>
        <w:gridCol w:w="2392"/>
        <w:gridCol w:w="2392"/>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公司无报告分部的，或者不能披露各报告分部的资产总额和负债总额的，应说明原因" w:id="435"/>
      <w:bookmarkEnd w:id="43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4"/>
        <w:spacing w:line="273" w:lineRule="auto"/>
        <w:ind w:right="1133"/>
        <w:jc w:val="both"/>
      </w:pPr>
      <w:r>
        <w:rPr>
          <w:spacing w:val="-1"/>
        </w:rPr>
        <w:t>本公司业务均为电力（发电、输电）领域建设工程提供勘察设计、规划和咨询等技术服务及以勘察设计为</w:t>
      </w:r>
      <w:r>
        <w:rPr>
          <w:spacing w:val="-86"/>
        </w:rPr>
        <w:t> </w:t>
      </w:r>
      <w:r>
        <w:rPr>
          <w:spacing w:val="-86"/>
        </w:rPr>
      </w:r>
      <w:r>
        <w:rPr>
          <w:spacing w:val="-1"/>
        </w:rPr>
        <w:t>核心的工程总承包业务，管理层将此业务作为一个整体实施管理、评估经营成果，因此，本财务报表不呈</w:t>
      </w:r>
      <w:r>
        <w:rPr>
          <w:spacing w:val="-86"/>
        </w:rPr>
        <w:t> </w:t>
      </w:r>
      <w:r>
        <w:rPr>
          <w:spacing w:val="-86"/>
        </w:rPr>
      </w:r>
      <w:r>
        <w:rPr/>
        <w:t>报分部信息。</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4）其他说明" w:id="436"/>
      <w:bookmarkEnd w:id="436"/>
      <w:r>
        <w:rPr>
          <w:b w:val="0"/>
          <w:bCs w:val="0"/>
        </w:rPr>
      </w:r>
      <w:r>
        <w:rPr/>
        <w:t>（</w:t>
      </w:r>
      <w:r>
        <w:rPr>
          <w:rFonts w:ascii="Times New Roman" w:hAnsi="Times New Roman" w:cs="Times New Roman" w:eastAsia="Times New Roman" w:hint="default"/>
        </w:rPr>
        <w:t>4</w:t>
      </w:r>
      <w:r>
        <w:rPr/>
        <w:t>）其他说明</w:t>
      </w:r>
      <w:r>
        <w:rPr>
          <w:b w:val="0"/>
          <w:bCs w:val="0"/>
        </w:rPr>
      </w:r>
    </w:p>
    <w:p>
      <w:pPr>
        <w:pStyle w:val="Heading3"/>
        <w:spacing w:line="590" w:lineRule="atLeast" w:before="23"/>
        <w:ind w:right="6431"/>
        <w:jc w:val="left"/>
        <w:rPr>
          <w:b w:val="0"/>
          <w:bCs w:val="0"/>
        </w:rPr>
      </w:pPr>
      <w:bookmarkStart w:name="7、其他对投资者决策有影响的重要交易和事项" w:id="437"/>
      <w:bookmarkEnd w:id="437"/>
      <w:r>
        <w:rPr>
          <w:b w:val="0"/>
          <w:bCs w:val="0"/>
        </w:rPr>
      </w:r>
      <w:r>
        <w:rPr>
          <w:rFonts w:ascii="Times New Roman" w:hAnsi="Times New Roman" w:cs="Times New Roman" w:eastAsia="Times New Roman" w:hint="default"/>
        </w:rPr>
        <w:t>7</w:t>
      </w:r>
      <w:r>
        <w:rPr/>
        <w:t>、其他对投资者决策有影响的重要交易和事项</w:t>
      </w:r>
      <w:r>
        <w:rPr>
          <w:w w:val="99"/>
        </w:rPr>
        <w:t> </w:t>
      </w:r>
      <w:r>
        <w:rPr/>
        <w:t>股东部分股权质押</w:t>
      </w:r>
      <w:r>
        <w:rPr>
          <w:b w:val="0"/>
          <w:bCs w:val="0"/>
        </w:rPr>
      </w:r>
    </w:p>
    <w:p>
      <w:pPr>
        <w:pStyle w:val="Heading4"/>
        <w:spacing w:line="256" w:lineRule="auto" w:before="37"/>
        <w:ind w:right="1125" w:firstLine="421"/>
        <w:jc w:val="left"/>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日本公司控股股东福州博宏投资管理有限公司，因融资需求，将其持有本公司股份</w:t>
      </w:r>
      <w:r>
        <w:rPr/>
        <w:t> </w:t>
      </w:r>
      <w:r>
        <w:rPr>
          <w:rFonts w:ascii="Times New Roman" w:hAnsi="Times New Roman" w:cs="Times New Roman" w:eastAsia="Times New Roman" w:hint="default"/>
          <w:spacing w:val="-2"/>
        </w:rPr>
        <w:t>2,500,000.00</w:t>
      </w:r>
      <w:r>
        <w:rPr>
          <w:spacing w:val="-2"/>
        </w:rPr>
        <w:t>股（占其所持公司股份比例的</w:t>
      </w:r>
      <w:r>
        <w:rPr>
          <w:rFonts w:ascii="Times New Roman" w:hAnsi="Times New Roman" w:cs="Times New Roman" w:eastAsia="Times New Roman" w:hint="default"/>
          <w:spacing w:val="-2"/>
        </w:rPr>
        <w:t>5.9530%</w:t>
      </w:r>
      <w:r>
        <w:rPr>
          <w:spacing w:val="-2"/>
        </w:rPr>
        <w:t>，占公司总股份的</w:t>
      </w:r>
      <w:r>
        <w:rPr>
          <w:rFonts w:ascii="Times New Roman" w:hAnsi="Times New Roman" w:cs="Times New Roman" w:eastAsia="Times New Roman" w:hint="default"/>
          <w:spacing w:val="-2"/>
        </w:rPr>
        <w:t>1.7847%</w:t>
      </w:r>
      <w:r>
        <w:rPr>
          <w:spacing w:val="-2"/>
        </w:rPr>
        <w:t>），向中国民生银行股份有限</w:t>
      </w:r>
      <w:r>
        <w:rPr>
          <w:spacing w:val="-102"/>
        </w:rPr>
        <w:t> </w:t>
      </w:r>
      <w:r>
        <w:rPr>
          <w:spacing w:val="-102"/>
        </w:rPr>
      </w:r>
      <w:r>
        <w:rPr/>
        <w:t>公司福州分行进行质押，质押起止日为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2019</w:t>
      </w:r>
      <w:r>
        <w:rPr/>
        <w:t>年将其持有本公司股份 </w:t>
      </w:r>
      <w:r>
        <w:rPr>
          <w:rFonts w:ascii="Times New Roman" w:hAnsi="Times New Roman" w:cs="Times New Roman" w:eastAsia="Times New Roman" w:hint="default"/>
          <w:spacing w:val="-2"/>
        </w:rPr>
        <w:t>2,500,000.00</w:t>
      </w:r>
      <w:r>
        <w:rPr>
          <w:spacing w:val="-2"/>
        </w:rPr>
        <w:t>股（占其所持公司股份比例的</w:t>
      </w:r>
      <w:r>
        <w:rPr>
          <w:rFonts w:ascii="Times New Roman" w:hAnsi="Times New Roman" w:cs="Times New Roman" w:eastAsia="Times New Roman" w:hint="default"/>
          <w:spacing w:val="-2"/>
        </w:rPr>
        <w:t>2.9765%</w:t>
      </w:r>
      <w:r>
        <w:rPr>
          <w:spacing w:val="-2"/>
        </w:rPr>
        <w:t>，占公司总股份的</w:t>
      </w:r>
      <w:r>
        <w:rPr>
          <w:rFonts w:ascii="Times New Roman" w:hAnsi="Times New Roman" w:cs="Times New Roman" w:eastAsia="Times New Roman" w:hint="default"/>
          <w:spacing w:val="-2"/>
        </w:rPr>
        <w:t>0.8923%</w:t>
      </w:r>
      <w:r>
        <w:rPr>
          <w:spacing w:val="-2"/>
        </w:rPr>
        <w:t>），向中国民生银行股份有限</w:t>
      </w:r>
      <w:r>
        <w:rPr>
          <w:spacing w:val="-102"/>
        </w:rPr>
        <w:t> </w:t>
      </w:r>
      <w:r>
        <w:rPr>
          <w:spacing w:val="-102"/>
        </w:rPr>
      </w:r>
      <w:r>
        <w:rPr/>
        <w:t>公司福州分行进行补充质押，质押起止日为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p>
    <w:p>
      <w:pPr>
        <w:pStyle w:val="Heading4"/>
        <w:spacing w:line="256" w:lineRule="auto" w:before="5"/>
        <w:ind w:right="1132" w:firstLine="421"/>
        <w:jc w:val="both"/>
      </w:pPr>
      <w:r>
        <w:rPr>
          <w:spacing w:val="-1"/>
        </w:rPr>
        <w:t>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日本公司股东福州永福恒诚投资管理股份有限公司，因融资需求，将其持有本公司</w:t>
      </w:r>
      <w:r>
        <w:rPr/>
        <w:t> </w:t>
      </w:r>
      <w:r>
        <w:rPr>
          <w:spacing w:val="-2"/>
        </w:rPr>
        <w:t>股份</w:t>
      </w:r>
      <w:r>
        <w:rPr>
          <w:rFonts w:ascii="Times New Roman" w:hAnsi="Times New Roman" w:cs="Times New Roman" w:eastAsia="Times New Roman" w:hint="default"/>
          <w:spacing w:val="-2"/>
        </w:rPr>
        <w:t>2,050,000.00</w:t>
      </w:r>
      <w:r>
        <w:rPr>
          <w:spacing w:val="-2"/>
        </w:rPr>
        <w:t>股（占其所持公司股份比例的</w:t>
      </w:r>
      <w:r>
        <w:rPr>
          <w:rFonts w:ascii="Times New Roman" w:hAnsi="Times New Roman" w:cs="Times New Roman" w:eastAsia="Times New Roman" w:hint="default"/>
          <w:spacing w:val="-2"/>
        </w:rPr>
        <w:t>5.9991%</w:t>
      </w:r>
      <w:r>
        <w:rPr>
          <w:spacing w:val="-2"/>
        </w:rPr>
        <w:t>，占公司总股份的</w:t>
      </w:r>
      <w:r>
        <w:rPr>
          <w:rFonts w:ascii="Times New Roman" w:hAnsi="Times New Roman" w:cs="Times New Roman" w:eastAsia="Times New Roman" w:hint="default"/>
          <w:spacing w:val="-2"/>
        </w:rPr>
        <w:t>1.4634%</w:t>
      </w:r>
      <w:r>
        <w:rPr>
          <w:spacing w:val="-2"/>
        </w:rPr>
        <w:t>），向华安证券股份有限</w:t>
      </w:r>
      <w:r>
        <w:rPr/>
        <w:t> 公司进行质押，质押起止日为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line="487" w:lineRule="auto" w:before="0"/>
        <w:ind w:left="154" w:right="6972" w:firstLine="0"/>
        <w:jc w:val="left"/>
        <w:rPr>
          <w:rFonts w:ascii="宋体" w:hAnsi="宋体" w:cs="宋体" w:eastAsia="宋体" w:hint="default"/>
          <w:sz w:val="21"/>
          <w:szCs w:val="21"/>
        </w:rPr>
      </w:pPr>
      <w:bookmarkStart w:name="8、其他" w:id="438"/>
      <w:bookmarkEnd w:id="43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39"/>
      <w:bookmarkEnd w:id="43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40"/>
      <w:bookmarkEnd w:id="44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339,974,693.47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269,326,761.46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340,184,693.47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269,626,761.46</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7"/>
        <w:rPr>
          <w:rFonts w:ascii="宋体" w:hAnsi="宋体" w:cs="宋体" w:eastAsia="宋体" w:hint="default"/>
          <w:sz w:val="9"/>
          <w:szCs w:val="9"/>
        </w:rPr>
      </w:pPr>
    </w:p>
    <w:p>
      <w:pPr>
        <w:pStyle w:val="Heading3"/>
        <w:spacing w:line="240" w:lineRule="auto" w:before="35"/>
        <w:ind w:right="0"/>
        <w:jc w:val="left"/>
        <w:rPr>
          <w:b w:val="0"/>
          <w:bCs w:val="0"/>
        </w:rPr>
      </w:pPr>
      <w:bookmarkStart w:name="（1）应收票据" w:id="441"/>
      <w:bookmarkEnd w:id="44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300,000.00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69"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期末公司因出票人未履约而将其转应收账款的票据" w:id="442"/>
      <w:bookmarkEnd w:id="442"/>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应收账款" w:id="443"/>
      <w:bookmarkEnd w:id="443"/>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370,22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5,089.7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30,250,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396.31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8.17%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339,97</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4,693.4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290,0</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27,02</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0.29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98.71</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21,958,</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083.83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268,068,</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936.46</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3,777</w:t>
            </w:r>
          </w:p>
          <w:p>
            <w:pPr>
              <w:pStyle w:val="TableParagraph"/>
              <w:spacing w:line="240" w:lineRule="auto" w:before="104"/>
              <w:ind w:left="78" w:right="0"/>
              <w:jc w:val="center"/>
              <w:rPr>
                <w:rFonts w:ascii="Times New Roman" w:hAnsi="Times New Roman" w:cs="Times New Roman" w:eastAsia="Times New Roman" w:hint="default"/>
                <w:sz w:val="18"/>
                <w:szCs w:val="18"/>
              </w:rPr>
            </w:pPr>
            <w:r>
              <w:rPr>
                <w:rFonts w:ascii="Times New Roman"/>
                <w:sz w:val="18"/>
              </w:rPr>
              <w:t>,515.</w:t>
            </w:r>
          </w:p>
          <w:p>
            <w:pPr>
              <w:pStyle w:val="TableParagraph"/>
              <w:spacing w:line="240" w:lineRule="auto" w:before="106"/>
              <w:ind w:left="258" w:right="0"/>
              <w:jc w:val="center"/>
              <w:rPr>
                <w:rFonts w:ascii="Times New Roman" w:hAnsi="Times New Roman" w:cs="Times New Roman" w:eastAsia="Times New Roman" w:hint="default"/>
                <w:sz w:val="18"/>
                <w:szCs w:val="18"/>
              </w:rPr>
            </w:pPr>
            <w:r>
              <w:rPr>
                <w:rFonts w:ascii="Times New Roman"/>
                <w:sz w:val="18"/>
              </w:rPr>
              <w:t>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1.29%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2,519,6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90.09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66.70%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1,257,82</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5.00</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370,22</w:t>
            </w: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5,089.7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30,250,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396.31</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339,97</w:t>
            </w:r>
          </w:p>
          <w:p>
            <w:pPr>
              <w:pStyle w:val="TableParagraph"/>
              <w:spacing w:line="240" w:lineRule="auto" w:before="104"/>
              <w:ind w:right="101"/>
              <w:jc w:val="right"/>
              <w:rPr>
                <w:rFonts w:ascii="Times New Roman" w:hAnsi="Times New Roman" w:cs="Times New Roman" w:eastAsia="Times New Roman" w:hint="default"/>
                <w:sz w:val="18"/>
                <w:szCs w:val="18"/>
              </w:rPr>
            </w:pPr>
            <w:r>
              <w:rPr>
                <w:rFonts w:ascii="Times New Roman"/>
                <w:sz w:val="18"/>
              </w:rPr>
              <w:t>4,693.4</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293,8</w:t>
            </w:r>
          </w:p>
          <w:p>
            <w:pPr>
              <w:pStyle w:val="TableParagraph"/>
              <w:spacing w:line="240" w:lineRule="auto" w:before="104"/>
              <w:ind w:left="136" w:right="0"/>
              <w:jc w:val="left"/>
              <w:rPr>
                <w:rFonts w:ascii="Times New Roman" w:hAnsi="Times New Roman" w:cs="Times New Roman" w:eastAsia="Times New Roman" w:hint="default"/>
                <w:sz w:val="18"/>
                <w:szCs w:val="18"/>
              </w:rPr>
            </w:pPr>
            <w:r>
              <w:rPr>
                <w:rFonts w:ascii="Times New Roman"/>
                <w:sz w:val="18"/>
              </w:rPr>
              <w:t>04,53</w:t>
            </w:r>
          </w:p>
          <w:p>
            <w:pPr>
              <w:pStyle w:val="TableParagraph"/>
              <w:spacing w:line="240" w:lineRule="auto" w:before="106"/>
              <w:ind w:left="226" w:right="0"/>
              <w:jc w:val="left"/>
              <w:rPr>
                <w:rFonts w:ascii="Times New Roman" w:hAnsi="Times New Roman" w:cs="Times New Roman" w:eastAsia="Times New Roman" w:hint="default"/>
                <w:sz w:val="18"/>
                <w:szCs w:val="18"/>
              </w:rPr>
            </w:pPr>
            <w:r>
              <w:rPr>
                <w:rFonts w:ascii="Times New Roman"/>
                <w:sz w:val="18"/>
              </w:rPr>
              <w:t>5.38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24,477,</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773.92</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269,326,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761.46</w:t>
            </w:r>
          </w:p>
        </w:tc>
      </w:tr>
    </w:tbl>
    <w:p>
      <w:pPr>
        <w:spacing w:after="0" w:line="240" w:lineRule="auto"/>
        <w:jc w:val="center"/>
        <w:rPr>
          <w:rFonts w:ascii="Times New Roman" w:hAnsi="Times New Roman" w:cs="Times New Roman" w:eastAsia="Times New Roman" w:hint="default"/>
          <w:sz w:val="18"/>
          <w:szCs w:val="18"/>
        </w:rPr>
        <w:sectPr>
          <w:pgSz w:w="11910" w:h="16840"/>
          <w:pgMar w:header="850" w:footer="1267" w:top="1260" w:bottom="1460" w:left="980" w:right="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850" w:footer="1267" w:top="1260" w:bottom="1460" w:left="980" w:right="0"/>
        </w:sectPr>
      </w:pPr>
    </w:p>
    <w:p>
      <w:pPr>
        <w:pStyle w:val="BodyText"/>
        <w:spacing w:line="240" w:lineRule="auto" w:before="44"/>
        <w:ind w:right="-20"/>
        <w:jc w:val="left"/>
      </w:pPr>
      <w:r>
        <w:rPr/>
        <w:t>期末单项金额重大并单项计提坏账准备的应收账款：</w:t>
      </w:r>
    </w:p>
    <w:p>
      <w:pPr>
        <w:pStyle w:val="BodyText"/>
        <w:spacing w:line="360" w:lineRule="auto" w:before="116"/>
        <w:ind w:right="160"/>
        <w:jc w:val="left"/>
      </w:pPr>
      <w:r>
        <w:rPr/>
        <w:t>□ 适用 √ 不适用 组合中，按账龄分析法计提坏账准备的应收账款：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254,723,736.07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12,736,186.80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73,216,911.72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7,321,691.17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15,609,865.85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4,682,959.76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3,521,627.81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1,760,813.91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2,257,605.84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1,806,084.67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1,942,660.00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1,942,660.00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351,272,407.29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30,250,396.31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57" w:lineRule="auto" w:before="26"/>
        <w:ind w:right="6792"/>
        <w:jc w:val="left"/>
      </w:pPr>
      <w:r>
        <w:rPr/>
        <w:t>□ 适用 √ 不适用 组合中，采用其他方法计提坏账准备的应收账款：</w:t>
      </w:r>
    </w:p>
    <w:tbl>
      <w:tblPr>
        <w:tblW w:w="0" w:type="auto"/>
        <w:jc w:val="left"/>
        <w:tblInd w:w="151" w:type="dxa"/>
        <w:tblLayout w:type="fixed"/>
        <w:tblCellMar>
          <w:top w:w="0" w:type="dxa"/>
          <w:left w:w="0" w:type="dxa"/>
          <w:bottom w:w="0" w:type="dxa"/>
          <w:right w:w="0" w:type="dxa"/>
        </w:tblCellMar>
        <w:tblLook w:val="01E0"/>
      </w:tblPr>
      <w:tblGrid>
        <w:gridCol w:w="3080"/>
        <w:gridCol w:w="1985"/>
        <w:gridCol w:w="1560"/>
        <w:gridCol w:w="1190"/>
      </w:tblGrid>
      <w:tr>
        <w:trPr>
          <w:trHeight w:val="421" w:hRule="exact"/>
        </w:trPr>
        <w:tc>
          <w:tcPr>
            <w:tcW w:w="3080"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734"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27" w:hRule="exact"/>
        </w:trPr>
        <w:tc>
          <w:tcPr>
            <w:tcW w:w="3080" w:type="dxa"/>
            <w:vMerge/>
            <w:tcBorders>
              <w:left w:val="single" w:sz="6" w:space="0" w:color="000000"/>
              <w:bottom w:val="single" w:sz="6" w:space="0" w:color="000000"/>
              <w:right w:val="single" w:sz="6" w:space="0" w:color="000000"/>
            </w:tcBorders>
            <w:shd w:val="clear" w:color="auto" w:fill="D0CECE"/>
          </w:tcPr>
          <w:p>
            <w:pPr/>
          </w:p>
        </w:tc>
        <w:tc>
          <w:tcPr>
            <w:tcW w:w="198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6"/>
              <w:ind w:left="56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6"/>
              <w:ind w:left="35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9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6"/>
              <w:ind w:left="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428" w:hRule="exact"/>
        </w:trPr>
        <w:tc>
          <w:tcPr>
            <w:tcW w:w="308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1985"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80"/>
              <w:ind w:left="758" w:right="0"/>
              <w:jc w:val="left"/>
              <w:rPr>
                <w:rFonts w:ascii="Times New Roman" w:hAnsi="Times New Roman" w:cs="Times New Roman" w:eastAsia="Times New Roman" w:hint="default"/>
                <w:sz w:val="21"/>
                <w:szCs w:val="21"/>
              </w:rPr>
            </w:pPr>
            <w:r>
              <w:rPr>
                <w:rFonts w:ascii="Times New Roman"/>
                <w:sz w:val="21"/>
              </w:rPr>
              <w:t>18,952,682.49</w:t>
            </w:r>
          </w:p>
        </w:tc>
        <w:tc>
          <w:tcPr>
            <w:tcW w:w="1560" w:type="dxa"/>
            <w:tcBorders>
              <w:top w:val="single" w:sz="10" w:space="0" w:color="000000"/>
              <w:left w:val="single" w:sz="6" w:space="0" w:color="000000"/>
              <w:bottom w:val="single" w:sz="6" w:space="0" w:color="000000"/>
              <w:right w:val="single" w:sz="6" w:space="0" w:color="000000"/>
            </w:tcBorders>
          </w:tcPr>
          <w:p>
            <w:pPr/>
          </w:p>
        </w:tc>
        <w:tc>
          <w:tcPr>
            <w:tcW w:w="1190" w:type="dxa"/>
            <w:tcBorders>
              <w:top w:val="single" w:sz="10"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580" w:bottom="700" w:left="980" w:right="0"/>
        </w:sectPr>
      </w:pPr>
    </w:p>
    <w:p>
      <w:pPr>
        <w:pStyle w:val="BodyText"/>
        <w:spacing w:line="240" w:lineRule="auto" w:before="44"/>
        <w:ind w:right="-13"/>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3"/>
        <w:jc w:val="left"/>
      </w:pPr>
      <w:r>
        <w:rPr/>
        <w:t>本期计提坏账准备金额</w:t>
      </w:r>
      <w:r>
        <w:rPr>
          <w:spacing w:val="-47"/>
        </w:rPr>
        <w:t> </w:t>
      </w:r>
      <w:r>
        <w:rPr>
          <w:rFonts w:ascii="Times New Roman" w:hAnsi="Times New Roman" w:cs="Times New Roman" w:eastAsia="Times New Roman" w:hint="default"/>
        </w:rPr>
        <w:t>8,292,312.48</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580" w:bottom="700" w:left="980" w:right="0"/>
          <w:cols w:num="2" w:equalWidth="0">
            <w:col w:w="6446" w:space="2384"/>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2014-YF-063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松下变</w:t>
            </w:r>
            <w:r>
              <w:rPr>
                <w:rFonts w:ascii="Times New Roman" w:hAnsi="Times New Roman" w:cs="Times New Roman" w:eastAsia="Times New Roman" w:hint="default"/>
                <w:sz w:val="18"/>
                <w:szCs w:val="18"/>
              </w:rPr>
              <w:t>-</w:t>
            </w:r>
            <w:r>
              <w:rPr>
                <w:rFonts w:ascii="宋体" w:hAnsi="宋体" w:cs="宋体" w:eastAsia="宋体" w:hint="default"/>
                <w:sz w:val="18"/>
                <w:szCs w:val="18"/>
              </w:rPr>
              <w:t>鑫海变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保安线路工程</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81,700.00</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2013-YF-168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长乐鑫海Ⅰ、</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回线路改接进西皋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220KV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变电</w:t>
            </w:r>
            <w:r>
              <w:rPr>
                <w:rFonts w:ascii="宋体" w:hAnsi="宋体" w:cs="宋体" w:eastAsia="宋体" w:hint="default"/>
                <w:spacing w:val="1"/>
                <w:sz w:val="18"/>
                <w:szCs w:val="18"/>
              </w:rPr>
              <w:t> </w:t>
            </w:r>
            <w:r>
              <w:rPr>
                <w:rFonts w:ascii="宋体" w:hAnsi="宋体" w:cs="宋体" w:eastAsia="宋体" w:hint="default"/>
                <w:sz w:val="18"/>
                <w:szCs w:val="18"/>
              </w:rPr>
              <w:t>站</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110KV</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线路工程</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2,437,990.09</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after="0" w:line="240" w:lineRule="auto"/>
        <w:jc w:val="right"/>
        <w:sectPr>
          <w:type w:val="continuous"/>
          <w:pgSz w:w="11910" w:h="16840"/>
          <w:pgMar w:top="1580" w:bottom="70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9"/>
              <w:jc w:val="left"/>
              <w:rPr>
                <w:rFonts w:ascii="宋体" w:hAnsi="宋体" w:cs="宋体" w:eastAsia="宋体" w:hint="default"/>
                <w:sz w:val="18"/>
                <w:szCs w:val="18"/>
              </w:rPr>
            </w:pPr>
            <w:r>
              <w:rPr>
                <w:rFonts w:ascii="宋体" w:hAnsi="宋体" w:cs="宋体" w:eastAsia="宋体" w:hint="default"/>
                <w:sz w:val="18"/>
                <w:szCs w:val="18"/>
              </w:rPr>
              <w:t>福建鑫海冶金有限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6"/>
              <w:jc w:val="left"/>
              <w:rPr>
                <w:rFonts w:ascii="宋体" w:hAnsi="宋体" w:cs="宋体" w:eastAsia="宋体" w:hint="default"/>
                <w:sz w:val="18"/>
                <w:szCs w:val="18"/>
              </w:rPr>
            </w:pPr>
            <w:r>
              <w:rPr>
                <w:rFonts w:ascii="宋体" w:hAnsi="宋体" w:cs="宋体" w:eastAsia="宋体" w:hint="default"/>
                <w:sz w:val="18"/>
                <w:szCs w:val="18"/>
              </w:rPr>
              <w:t>总承包项目应收 账款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2,519,690.09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经董事会审批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2,519,690.09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both"/>
      </w:pPr>
      <w:r>
        <w:rPr/>
        <w:t>应收账款核销说明：</w:t>
      </w:r>
    </w:p>
    <w:p>
      <w:pPr>
        <w:pStyle w:val="Heading4"/>
        <w:spacing w:line="259" w:lineRule="auto" w:before="90"/>
        <w:ind w:right="1132"/>
        <w:jc w:val="both"/>
      </w:pPr>
      <w:r>
        <w:rPr>
          <w:spacing w:val="-3"/>
        </w:rPr>
        <w:t>根据《福建省长乐市人民法院民事裁定书》（</w:t>
      </w:r>
      <w:r>
        <w:rPr>
          <w:rFonts w:ascii="Times New Roman" w:hAnsi="Times New Roman" w:cs="Times New Roman" w:eastAsia="Times New Roman" w:hint="default"/>
          <w:spacing w:val="-3"/>
        </w:rPr>
        <w:t>2017</w:t>
      </w:r>
      <w:r>
        <w:rPr>
          <w:spacing w:val="-3"/>
        </w:rPr>
        <w:t>）闽</w:t>
      </w:r>
      <w:r>
        <w:rPr>
          <w:rFonts w:ascii="Times New Roman" w:hAnsi="Times New Roman" w:cs="Times New Roman" w:eastAsia="Times New Roman" w:hint="default"/>
          <w:spacing w:val="-3"/>
        </w:rPr>
        <w:t>0182</w:t>
      </w:r>
      <w:r>
        <w:rPr>
          <w:spacing w:val="-3"/>
        </w:rPr>
        <w:t>破</w:t>
      </w:r>
      <w:r>
        <w:rPr>
          <w:rFonts w:ascii="Times New Roman" w:hAnsi="Times New Roman" w:cs="Times New Roman" w:eastAsia="Times New Roman" w:hint="default"/>
          <w:spacing w:val="-3"/>
        </w:rPr>
        <w:t>1</w:t>
      </w:r>
      <w:r>
        <w:rPr>
          <w:spacing w:val="-3"/>
        </w:rPr>
        <w:t>号之九的裁定，该公司破产重整，以其破产</w:t>
      </w:r>
      <w:r>
        <w:rPr>
          <w:spacing w:val="-84"/>
        </w:rPr>
        <w:t> </w:t>
      </w:r>
      <w:r>
        <w:rPr>
          <w:spacing w:val="-84"/>
        </w:rPr>
      </w:r>
      <w:r>
        <w:rPr>
          <w:spacing w:val="8"/>
        </w:rPr>
        <w:t>财产清偿我公司</w:t>
      </w:r>
      <w:r>
        <w:rPr>
          <w:rFonts w:ascii="Times New Roman" w:hAnsi="Times New Roman" w:cs="Times New Roman" w:eastAsia="Times New Roman" w:hint="default"/>
          <w:spacing w:val="8"/>
        </w:rPr>
        <w:t>1,257,825.00</w:t>
      </w:r>
      <w:r>
        <w:rPr>
          <w:spacing w:val="8"/>
        </w:rPr>
        <w:t>元，我公司将剩余无法收回的</w:t>
      </w:r>
      <w:r>
        <w:rPr>
          <w:rFonts w:ascii="Times New Roman" w:hAnsi="Times New Roman" w:cs="Times New Roman" w:eastAsia="Times New Roman" w:hint="default"/>
          <w:spacing w:val="8"/>
        </w:rPr>
        <w:t>2,519,690.09</w:t>
      </w:r>
      <w:r>
        <w:rPr>
          <w:spacing w:val="8"/>
        </w:rPr>
        <w:t>元确认为坏账，核销应收账款</w:t>
      </w:r>
      <w:r>
        <w:rPr>
          <w:spacing w:val="-75"/>
        </w:rPr>
        <w:t> </w:t>
      </w:r>
      <w:r>
        <w:rPr>
          <w:spacing w:val="-75"/>
        </w:rPr>
      </w:r>
      <w:r>
        <w:rPr>
          <w:rFonts w:ascii="Times New Roman" w:hAnsi="Times New Roman" w:cs="Times New Roman" w:eastAsia="Times New Roman" w:hint="default"/>
        </w:rPr>
        <w:t>2,519,690.09</w:t>
      </w:r>
      <w:r>
        <w:rPr/>
        <w:t>元。</w:t>
      </w:r>
    </w:p>
    <w:p>
      <w:pPr>
        <w:spacing w:line="240" w:lineRule="auto" w:before="1"/>
        <w:rPr>
          <w:rFonts w:ascii="宋体" w:hAnsi="宋体" w:cs="宋体" w:eastAsia="宋体" w:hint="default"/>
          <w:sz w:val="32"/>
          <w:szCs w:val="32"/>
        </w:rPr>
      </w:pPr>
    </w:p>
    <w:p>
      <w:pPr>
        <w:pStyle w:val="BodyText"/>
        <w:spacing w:line="240" w:lineRule="auto"/>
        <w:ind w:right="0"/>
        <w:jc w:val="both"/>
      </w:pPr>
      <w:r>
        <w:rPr>
          <w:rFonts w:ascii="Times New Roman" w:hAnsi="Times New Roman" w:cs="Times New Roman" w:eastAsia="Times New Roman" w:hint="default"/>
        </w:rPr>
        <w:t>4)</w:t>
      </w:r>
      <w:r>
        <w:rPr/>
        <w:t>按欠款方归集的期末余额前五名的应收账款情况</w:t>
      </w:r>
    </w:p>
    <w:p>
      <w:pPr>
        <w:spacing w:line="240" w:lineRule="auto" w:before="6"/>
        <w:rPr>
          <w:rFonts w:ascii="宋体" w:hAnsi="宋体" w:cs="宋体" w:eastAsia="宋体" w:hint="default"/>
          <w:sz w:val="7"/>
          <w:szCs w:val="7"/>
        </w:rPr>
      </w:pPr>
    </w:p>
    <w:tbl>
      <w:tblPr>
        <w:tblW w:w="0" w:type="auto"/>
        <w:jc w:val="left"/>
        <w:tblInd w:w="263" w:type="dxa"/>
        <w:tblLayout w:type="fixed"/>
        <w:tblCellMar>
          <w:top w:w="0" w:type="dxa"/>
          <w:left w:w="0" w:type="dxa"/>
          <w:bottom w:w="0" w:type="dxa"/>
          <w:right w:w="0" w:type="dxa"/>
        </w:tblCellMar>
        <w:tblLook w:val="01E0"/>
      </w:tblPr>
      <w:tblGrid>
        <w:gridCol w:w="2822"/>
        <w:gridCol w:w="1662"/>
        <w:gridCol w:w="1442"/>
        <w:gridCol w:w="1690"/>
      </w:tblGrid>
      <w:tr>
        <w:trPr>
          <w:trHeight w:val="422" w:hRule="exact"/>
        </w:trPr>
        <w:tc>
          <w:tcPr>
            <w:tcW w:w="2822"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795"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39" w:hRule="exact"/>
        </w:trPr>
        <w:tc>
          <w:tcPr>
            <w:tcW w:w="2822" w:type="dxa"/>
            <w:vMerge/>
            <w:tcBorders>
              <w:left w:val="single" w:sz="6" w:space="0" w:color="000000"/>
              <w:bottom w:val="single" w:sz="6" w:space="0" w:color="000000"/>
              <w:right w:val="single" w:sz="6" w:space="0" w:color="000000"/>
            </w:tcBorders>
            <w:shd w:val="clear" w:color="auto" w:fill="D0CECE"/>
          </w:tcPr>
          <w:p>
            <w:pPr/>
          </w:p>
        </w:tc>
        <w:tc>
          <w:tcPr>
            <w:tcW w:w="166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62"/>
              <w:ind w:left="218" w:right="83"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69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7" w:hRule="exact"/>
        </w:trPr>
        <w:tc>
          <w:tcPr>
            <w:tcW w:w="28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上海电气燃气轮机有限公司</w:t>
            </w:r>
          </w:p>
        </w:tc>
        <w:tc>
          <w:tcPr>
            <w:tcW w:w="166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22,113,226.42</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z w:val="18"/>
              </w:rPr>
              <w:t>5.97</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1,602,080.66</w:t>
            </w:r>
          </w:p>
        </w:tc>
      </w:tr>
      <w:tr>
        <w:trPr>
          <w:trHeight w:val="427" w:hRule="exact"/>
        </w:trPr>
        <w:tc>
          <w:tcPr>
            <w:tcW w:w="28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上海电气集团股份有限公司</w:t>
            </w:r>
          </w:p>
        </w:tc>
        <w:tc>
          <w:tcPr>
            <w:tcW w:w="166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21,778,532.06</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5.88</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1,468,411.51</w:t>
            </w:r>
          </w:p>
        </w:tc>
      </w:tr>
      <w:tr>
        <w:trPr>
          <w:trHeight w:val="427" w:hRule="exact"/>
        </w:trPr>
        <w:tc>
          <w:tcPr>
            <w:tcW w:w="28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福州海峡发电有限公司</w:t>
            </w:r>
          </w:p>
        </w:tc>
        <w:tc>
          <w:tcPr>
            <w:tcW w:w="166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19,880,629.09</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5.37</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994,031.45</w:t>
            </w:r>
          </w:p>
        </w:tc>
      </w:tr>
      <w:tr>
        <w:trPr>
          <w:trHeight w:val="427" w:hRule="exact"/>
        </w:trPr>
        <w:tc>
          <w:tcPr>
            <w:tcW w:w="28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福州新创机电设备有限公司</w:t>
            </w:r>
          </w:p>
        </w:tc>
        <w:tc>
          <w:tcPr>
            <w:tcW w:w="166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18,952,682.49</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5.12</w:t>
            </w:r>
          </w:p>
        </w:tc>
        <w:tc>
          <w:tcPr>
            <w:tcW w:w="1690"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8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316" w:lineRule="auto" w:before="62"/>
              <w:ind w:left="2" w:right="102"/>
              <w:jc w:val="left"/>
              <w:rPr>
                <w:rFonts w:ascii="宋体" w:hAnsi="宋体" w:cs="宋体" w:eastAsia="宋体" w:hint="default"/>
                <w:sz w:val="18"/>
                <w:szCs w:val="18"/>
              </w:rPr>
            </w:pPr>
            <w:r>
              <w:rPr>
                <w:rFonts w:ascii="宋体" w:hAnsi="宋体" w:cs="宋体" w:eastAsia="宋体" w:hint="default"/>
                <w:sz w:val="18"/>
                <w:szCs w:val="18"/>
              </w:rPr>
              <w:t>国网福建省电力有限公司福州供电 公司</w:t>
            </w:r>
          </w:p>
        </w:tc>
        <w:tc>
          <w:tcPr>
            <w:tcW w:w="166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18,932,097.48</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2"/>
                <w:w w:val="95"/>
                <w:sz w:val="18"/>
              </w:rPr>
              <w:t>5.11</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1,034,466.81</w:t>
            </w:r>
          </w:p>
        </w:tc>
      </w:tr>
      <w:tr>
        <w:trPr>
          <w:trHeight w:val="427" w:hRule="exact"/>
        </w:trPr>
        <w:tc>
          <w:tcPr>
            <w:tcW w:w="28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2"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101,657,167.54</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27.45</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5,098,990.43</w:t>
            </w:r>
          </w:p>
        </w:tc>
      </w:tr>
    </w:tbl>
    <w:p>
      <w:pPr>
        <w:spacing w:line="240" w:lineRule="auto" w:before="5"/>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其他应收款" w:id="444"/>
      <w:bookmarkEnd w:id="44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62,597,334.62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81,214,538.24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62,597,334.62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81,214,538.24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应收利息" w:id="445"/>
      <w:bookmarkEnd w:id="44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50" w:footer="1267" w:top="1260" w:bottom="1460" w:left="980" w:right="0"/>
        </w:sectPr>
      </w:pPr>
    </w:p>
    <w:p>
      <w:pPr>
        <w:spacing w:line="240" w:lineRule="auto" w:before="10"/>
        <w:rPr>
          <w:rFonts w:ascii="宋体" w:hAnsi="宋体" w:cs="宋体" w:eastAsia="宋体" w:hint="default"/>
          <w:sz w:val="10"/>
          <w:szCs w:val="10"/>
        </w:rPr>
      </w:pPr>
    </w:p>
    <w:p>
      <w:pPr>
        <w:pStyle w:val="BodyText"/>
        <w:spacing w:line="240" w:lineRule="auto" w:before="44"/>
        <w:ind w:right="0"/>
        <w:jc w:val="left"/>
      </w:pPr>
      <w:r>
        <w:rPr>
          <w:rFonts w:ascii="Times New Roman" w:hAnsi="Times New Roman" w:cs="Times New Roman" w:eastAsia="Times New Roman" w:hint="default"/>
        </w:rPr>
        <w:t>2)</w:t>
      </w:r>
      <w:r>
        <w:rPr/>
        <w:t>重要逾期利息</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1"/>
        <w:ind w:right="0"/>
        <w:jc w:val="left"/>
      </w:pPr>
      <w:r>
        <w:rPr/>
        <w:t>其他说明：</w:t>
      </w:r>
    </w:p>
    <w:p>
      <w:pPr>
        <w:spacing w:after="0" w:line="240" w:lineRule="auto"/>
        <w:jc w:val="left"/>
        <w:sectPr>
          <w:pgSz w:w="11910" w:h="16840"/>
          <w:pgMar w:header="850" w:footer="1267" w:top="1260" w:bottom="1460" w:left="980" w:right="0"/>
        </w:sectPr>
      </w:pPr>
    </w:p>
    <w:p>
      <w:pPr>
        <w:spacing w:line="240" w:lineRule="auto" w:before="7"/>
        <w:rPr>
          <w:rFonts w:ascii="宋体" w:hAnsi="宋体" w:cs="宋体" w:eastAsia="宋体" w:hint="default"/>
          <w:sz w:val="9"/>
          <w:szCs w:val="9"/>
        </w:rPr>
      </w:pPr>
    </w:p>
    <w:p>
      <w:pPr>
        <w:pStyle w:val="Heading3"/>
        <w:spacing w:line="240" w:lineRule="auto" w:before="35"/>
        <w:ind w:right="0"/>
        <w:jc w:val="left"/>
        <w:rPr>
          <w:b w:val="0"/>
          <w:bCs w:val="0"/>
        </w:rPr>
      </w:pPr>
      <w:bookmarkStart w:name="（2）应收股利" w:id="446"/>
      <w:bookmarkEnd w:id="44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1" w:right="140"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3）其他应收款" w:id="447"/>
      <w:bookmarkEnd w:id="44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298"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319" w:lineRule="auto"/>
              <w:ind w:left="370"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70" w:right="191"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3" w:right="261"/>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63,217,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501.25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620,16</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6.63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62,597,</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334.62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81,70</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2,738</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.58</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488,200</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0.60%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81,214,5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38.24</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63,217,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501.25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620,16</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6.63</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62,597,</w:t>
            </w:r>
          </w:p>
          <w:p>
            <w:pPr>
              <w:pStyle w:val="TableParagraph"/>
              <w:spacing w:line="240" w:lineRule="auto" w:before="105"/>
              <w:ind w:left="181" w:right="0"/>
              <w:jc w:val="left"/>
              <w:rPr>
                <w:rFonts w:ascii="Times New Roman" w:hAnsi="Times New Roman" w:cs="Times New Roman" w:eastAsia="Times New Roman" w:hint="default"/>
                <w:sz w:val="18"/>
                <w:szCs w:val="18"/>
              </w:rPr>
            </w:pPr>
            <w:r>
              <w:rPr>
                <w:rFonts w:ascii="Times New Roman"/>
                <w:sz w:val="18"/>
              </w:rPr>
              <w:t>334.62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81,70</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2,738</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.58</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488,200</w:t>
            </w:r>
          </w:p>
          <w:p>
            <w:pPr>
              <w:pStyle w:val="TableParagraph"/>
              <w:spacing w:line="240" w:lineRule="auto" w:before="105"/>
              <w:ind w:left="476" w:right="0"/>
              <w:jc w:val="lef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81,214,5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38.24</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267" w:top="1260" w:bottom="1460" w:left="980" w:right="0"/>
        </w:sectPr>
      </w:pPr>
    </w:p>
    <w:p>
      <w:pPr>
        <w:pStyle w:val="BodyText"/>
        <w:spacing w:line="240" w:lineRule="auto" w:before="51"/>
        <w:ind w:right="-20"/>
        <w:jc w:val="left"/>
      </w:pPr>
      <w:r>
        <w:rPr/>
        <w:t>期末单项金额重大并单项计提坏账准备的其他应收款：</w:t>
      </w:r>
    </w:p>
    <w:p>
      <w:pPr>
        <w:pStyle w:val="BodyText"/>
        <w:spacing w:line="360" w:lineRule="auto" w:before="116"/>
        <w:ind w:right="160"/>
        <w:jc w:val="left"/>
      </w:pPr>
      <w:r>
        <w:rPr/>
        <w:t>□ 适用 √ 不适用 组合中，按账龄分析法计提坏账准备的其他应收款：</w:t>
      </w:r>
    </w:p>
    <w:p>
      <w:pPr>
        <w:pStyle w:val="BodyText"/>
        <w:spacing w:line="240" w:lineRule="auto" w:before="26"/>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6,203,655.78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310,182.79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838,715.38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83,871.54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211,375.00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63,412.50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21,358.00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10,679.00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154,636.00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123,708.80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70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28,312.00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28,312.00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7,458,052.16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620,166.63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60" w:lineRule="auto" w:before="26"/>
        <w:ind w:right="6612"/>
        <w:jc w:val="left"/>
      </w:pPr>
      <w:r>
        <w:rPr/>
        <w:t>□ 适用 √ 不适用 组合中，采用其他方法计提坏账准备的其他应收款：</w:t>
      </w:r>
    </w:p>
    <w:p>
      <w:pPr>
        <w:pStyle w:val="BodyText"/>
        <w:spacing w:line="240" w:lineRule="auto" w:before="26"/>
        <w:ind w:right="0"/>
        <w:jc w:val="left"/>
      </w:pPr>
      <w:r>
        <w:rPr/>
        <w:t>√ 适用 □ 不适用</w:t>
      </w:r>
    </w:p>
    <w:p>
      <w:pPr>
        <w:pStyle w:val="Heading4"/>
        <w:spacing w:line="240" w:lineRule="auto" w:before="90"/>
        <w:ind w:right="0"/>
        <w:jc w:val="left"/>
      </w:pPr>
      <w:r>
        <w:rPr/>
        <w:t>组合中，采用其他方法计提坏账准备的其他应收款：</w:t>
      </w:r>
    </w:p>
    <w:p>
      <w:pPr>
        <w:spacing w:line="240" w:lineRule="auto" w:before="5"/>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1899"/>
        <w:gridCol w:w="2168"/>
        <w:gridCol w:w="2038"/>
        <w:gridCol w:w="1709"/>
      </w:tblGrid>
      <w:tr>
        <w:trPr>
          <w:trHeight w:val="421" w:hRule="exact"/>
        </w:trPr>
        <w:tc>
          <w:tcPr>
            <w:tcW w:w="1899"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30"/>
              <w:ind w:left="52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5915" w:type="dxa"/>
            <w:gridSpan w:val="3"/>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0"/>
              <w:ind w:left="31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27" w:hRule="exact"/>
        </w:trPr>
        <w:tc>
          <w:tcPr>
            <w:tcW w:w="1899" w:type="dxa"/>
            <w:vMerge/>
            <w:tcBorders>
              <w:left w:val="single" w:sz="6" w:space="0" w:color="000000"/>
              <w:bottom w:val="single" w:sz="6" w:space="0" w:color="000000"/>
              <w:right w:val="single" w:sz="6" w:space="0" w:color="000000"/>
            </w:tcBorders>
            <w:shd w:val="clear" w:color="auto" w:fill="D0CECE"/>
          </w:tcPr>
          <w:p>
            <w:pPr/>
          </w:p>
        </w:tc>
        <w:tc>
          <w:tcPr>
            <w:tcW w:w="216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6"/>
              <w:ind w:left="6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3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6"/>
              <w:ind w:left="59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0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6"/>
              <w:ind w:left="12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28" w:hRule="exact"/>
        </w:trPr>
        <w:tc>
          <w:tcPr>
            <w:tcW w:w="1899"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合并范围内关联方</w:t>
            </w:r>
          </w:p>
        </w:tc>
        <w:tc>
          <w:tcPr>
            <w:tcW w:w="216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80"/>
              <w:ind w:left="942" w:right="0"/>
              <w:jc w:val="left"/>
              <w:rPr>
                <w:rFonts w:ascii="Times New Roman" w:hAnsi="Times New Roman" w:cs="Times New Roman" w:eastAsia="Times New Roman" w:hint="default"/>
                <w:sz w:val="21"/>
                <w:szCs w:val="21"/>
              </w:rPr>
            </w:pPr>
            <w:r>
              <w:rPr>
                <w:rFonts w:ascii="Times New Roman"/>
                <w:sz w:val="21"/>
              </w:rPr>
              <w:t>55,759,449.09</w:t>
            </w:r>
          </w:p>
        </w:tc>
        <w:tc>
          <w:tcPr>
            <w:tcW w:w="2038" w:type="dxa"/>
            <w:tcBorders>
              <w:top w:val="single" w:sz="10" w:space="0" w:color="000000"/>
              <w:left w:val="single" w:sz="6" w:space="0" w:color="000000"/>
              <w:bottom w:val="single" w:sz="6" w:space="0" w:color="000000"/>
              <w:right w:val="single" w:sz="6" w:space="0" w:color="000000"/>
            </w:tcBorders>
          </w:tcPr>
          <w:p>
            <w:pPr/>
          </w:p>
        </w:tc>
        <w:tc>
          <w:tcPr>
            <w:tcW w:w="1709" w:type="dxa"/>
            <w:tcBorders>
              <w:top w:val="single" w:sz="10"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50" w:footer="1267" w:top="1260" w:bottom="1460" w:left="980" w:right="0"/>
        </w:sectPr>
      </w:pPr>
    </w:p>
    <w:p>
      <w:pPr>
        <w:pStyle w:val="BodyText"/>
        <w:spacing w:line="240" w:lineRule="auto" w:before="44"/>
        <w:ind w:right="-17"/>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2"/>
        <w:ind w:right="-17"/>
        <w:jc w:val="left"/>
      </w:pPr>
      <w:r>
        <w:rPr/>
        <w:t>本期计提坏账准备金额</w:t>
      </w:r>
      <w:r>
        <w:rPr>
          <w:spacing w:val="-46"/>
        </w:rPr>
        <w:t> </w:t>
      </w:r>
      <w:r>
        <w:rPr>
          <w:rFonts w:ascii="Times New Roman" w:hAnsi="Times New Roman" w:cs="Times New Roman" w:eastAsia="Times New Roman" w:hint="default"/>
        </w:rPr>
        <w:t>131,966.29</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580" w:bottom="700" w:left="980" w:right="0"/>
          <w:cols w:num="2" w:equalWidth="0">
            <w:col w:w="6311" w:space="2518"/>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2" w:right="170" w:hanging="270"/>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spacing w:after="0" w:line="319" w:lineRule="auto"/>
        <w:jc w:val="left"/>
        <w:rPr>
          <w:rFonts w:ascii="宋体" w:hAnsi="宋体" w:cs="宋体" w:eastAsia="宋体" w:hint="default"/>
          <w:sz w:val="18"/>
          <w:szCs w:val="18"/>
        </w:rPr>
        <w:sectPr>
          <w:type w:val="continuous"/>
          <w:pgSz w:w="11910" w:h="16840"/>
          <w:pgMar w:top="1580" w:bottom="700" w:left="98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580" w:bottom="700" w:left="980" w:right="0"/>
          <w:cols w:num="2" w:equalWidth="0">
            <w:col w:w="2825" w:space="600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55,759,449.09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76,855,580.10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6,929,028.30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2,904,522.00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劳务收入</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1,204,488.46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395,663.78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609,824.52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69,718.00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61,370.00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63,642.08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66,953.50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63,217,501.25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81,702,738.58</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spacing w:after="0" w:line="240" w:lineRule="auto"/>
        <w:jc w:val="left"/>
        <w:sectPr>
          <w:type w:val="continuous"/>
          <w:pgSz w:w="11910" w:h="16840"/>
          <w:pgMar w:top="1580" w:bottom="700" w:left="980" w:right="0"/>
        </w:sectPr>
      </w:pPr>
    </w:p>
    <w:p>
      <w:pPr>
        <w:spacing w:line="240" w:lineRule="auto" w:before="10"/>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171"/>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2" w:right="170"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厦门福思威特工程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子公司款项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53,858,116.23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85.19%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福州新创机电设备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子公司款项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1,901,332.86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华电招标有限公司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66,000.00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both"/>
              <w:rPr>
                <w:rFonts w:ascii="宋体" w:hAnsi="宋体" w:cs="宋体" w:eastAsia="宋体" w:hint="default"/>
                <w:sz w:val="18"/>
                <w:szCs w:val="18"/>
              </w:rPr>
            </w:pPr>
            <w:r>
              <w:rPr>
                <w:rFonts w:ascii="宋体" w:hAnsi="宋体" w:cs="宋体" w:eastAsia="宋体" w:hint="default"/>
                <w:sz w:val="18"/>
                <w:szCs w:val="18"/>
              </w:rPr>
              <w:t>中国能源建设集团 湖南省电力设计院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1,131,000.00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56,550.00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29"/>
              <w:jc w:val="left"/>
              <w:rPr>
                <w:rFonts w:ascii="宋体" w:hAnsi="宋体" w:cs="宋体" w:eastAsia="宋体" w:hint="default"/>
                <w:sz w:val="18"/>
                <w:szCs w:val="18"/>
              </w:rPr>
            </w:pPr>
            <w:r>
              <w:rPr>
                <w:rFonts w:ascii="宋体" w:hAnsi="宋体" w:cs="宋体" w:eastAsia="宋体" w:hint="default"/>
                <w:sz w:val="18"/>
                <w:szCs w:val="18"/>
              </w:rPr>
              <w:t>福建省招标中心有 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875,000.00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43,750.00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58,985,449.09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93.30%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166,300.00</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7" w:right="101" w:hanging="594"/>
              <w:jc w:val="left"/>
              <w:rPr>
                <w:rFonts w:ascii="宋体" w:hAnsi="宋体" w:cs="宋体" w:eastAsia="宋体" w:hint="default"/>
                <w:sz w:val="18"/>
                <w:szCs w:val="18"/>
              </w:rPr>
            </w:pPr>
            <w:r>
              <w:rPr>
                <w:rFonts w:ascii="宋体" w:hAnsi="宋体" w:cs="宋体" w:eastAsia="宋体" w:hint="default"/>
                <w:spacing w:val="-8"/>
                <w:sz w:val="18"/>
                <w:szCs w:val="18"/>
              </w:rPr>
              <w:t>预计收取的时间、金额</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及依据</w:t>
            </w:r>
          </w:p>
        </w:tc>
      </w:tr>
    </w:tbl>
    <w:p>
      <w:pPr>
        <w:pStyle w:val="BodyText"/>
        <w:spacing w:line="240" w:lineRule="auto" w:before="51"/>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38"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长期股权投资" w:id="448"/>
      <w:bookmarkEnd w:id="44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42,720,000.00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center"/>
              <w:rPr>
                <w:rFonts w:ascii="Times New Roman" w:hAnsi="Times New Roman" w:cs="Times New Roman" w:eastAsia="Times New Roman" w:hint="default"/>
                <w:sz w:val="18"/>
                <w:szCs w:val="18"/>
              </w:rPr>
            </w:pPr>
            <w:r>
              <w:rPr>
                <w:rFonts w:ascii="Times New Roman"/>
                <w:sz w:val="18"/>
              </w:rPr>
              <w:t>42,720,000.00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Times New Roman" w:hAnsi="Times New Roman" w:cs="Times New Roman" w:eastAsia="Times New Roman" w:hint="default"/>
                <w:sz w:val="18"/>
                <w:szCs w:val="18"/>
              </w:rPr>
            </w:pPr>
            <w:r>
              <w:rPr>
                <w:rFonts w:ascii="Times New Roman"/>
                <w:sz w:val="18"/>
              </w:rPr>
              <w:t>42,720,000.00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42,720,000.00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21,386,140.47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6" w:right="0"/>
              <w:jc w:val="center"/>
              <w:rPr>
                <w:rFonts w:ascii="Times New Roman" w:hAnsi="Times New Roman" w:cs="Times New Roman" w:eastAsia="Times New Roman" w:hint="default"/>
                <w:sz w:val="18"/>
                <w:szCs w:val="18"/>
              </w:rPr>
            </w:pPr>
            <w:r>
              <w:rPr>
                <w:rFonts w:ascii="Times New Roman"/>
                <w:sz w:val="18"/>
              </w:rPr>
              <w:t>21,386,140.47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64,106,140.47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6" w:right="0"/>
              <w:jc w:val="center"/>
              <w:rPr>
                <w:rFonts w:ascii="Times New Roman" w:hAnsi="Times New Roman" w:cs="Times New Roman" w:eastAsia="Times New Roman" w:hint="default"/>
                <w:sz w:val="18"/>
                <w:szCs w:val="18"/>
              </w:rPr>
            </w:pPr>
            <w:r>
              <w:rPr>
                <w:rFonts w:ascii="Times New Roman"/>
                <w:sz w:val="18"/>
              </w:rPr>
              <w:t>64,106,140.47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 w:right="0"/>
              <w:jc w:val="center"/>
              <w:rPr>
                <w:rFonts w:ascii="Times New Roman" w:hAnsi="Times New Roman" w:cs="Times New Roman" w:eastAsia="Times New Roman" w:hint="default"/>
                <w:sz w:val="18"/>
                <w:szCs w:val="18"/>
              </w:rPr>
            </w:pPr>
            <w:r>
              <w:rPr>
                <w:rFonts w:ascii="Times New Roman"/>
                <w:sz w:val="18"/>
              </w:rPr>
              <w:t>42,720,000.00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42,720,000.00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49"/>
      <w:bookmarkEnd w:id="44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9" w:right="148" w:hanging="361"/>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8" w:right="149"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52"/>
              <w:jc w:val="right"/>
              <w:rPr>
                <w:rFonts w:ascii="宋体" w:hAnsi="宋体" w:cs="宋体" w:eastAsia="宋体" w:hint="default"/>
                <w:sz w:val="18"/>
                <w:szCs w:val="18"/>
              </w:rPr>
            </w:pPr>
            <w:r>
              <w:rPr>
                <w:rFonts w:ascii="宋体" w:hAnsi="宋体" w:cs="宋体" w:eastAsia="宋体" w:hint="default"/>
                <w:sz w:val="18"/>
                <w:szCs w:val="18"/>
              </w:rPr>
              <w:t>福建永福铁塔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6,080,000.00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7" w:right="0"/>
              <w:jc w:val="left"/>
              <w:rPr>
                <w:rFonts w:ascii="Times New Roman" w:hAnsi="Times New Roman" w:cs="Times New Roman" w:eastAsia="Times New Roman" w:hint="default"/>
                <w:sz w:val="18"/>
                <w:szCs w:val="18"/>
              </w:rPr>
            </w:pPr>
            <w:r>
              <w:rPr>
                <w:rFonts w:ascii="Times New Roman"/>
                <w:sz w:val="18"/>
              </w:rPr>
              <w:t>6,080,000.00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252"/>
              <w:jc w:val="left"/>
              <w:rPr>
                <w:rFonts w:ascii="宋体" w:hAnsi="宋体" w:cs="宋体" w:eastAsia="宋体" w:hint="default"/>
                <w:sz w:val="18"/>
                <w:szCs w:val="18"/>
              </w:rPr>
            </w:pPr>
            <w:r>
              <w:rPr>
                <w:rFonts w:ascii="宋体" w:hAnsi="宋体" w:cs="宋体" w:eastAsia="宋体" w:hint="default"/>
                <w:sz w:val="18"/>
                <w:szCs w:val="18"/>
              </w:rPr>
              <w:t>技术开发有限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福建永福电通 技术开发有限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6,060,000.00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left"/>
              <w:rPr>
                <w:rFonts w:ascii="宋体" w:hAnsi="宋体" w:cs="宋体" w:eastAsia="宋体" w:hint="default"/>
                <w:sz w:val="18"/>
                <w:szCs w:val="18"/>
              </w:rPr>
            </w:pPr>
            <w:r>
              <w:rPr>
                <w:rFonts w:ascii="宋体" w:hAnsi="宋体" w:cs="宋体" w:eastAsia="宋体" w:hint="default"/>
                <w:sz w:val="18"/>
                <w:szCs w:val="18"/>
              </w:rPr>
              <w:t>福州新创机电 设备有限公司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30,580,000.00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30,580,000.00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52"/>
              <w:jc w:val="both"/>
              <w:rPr>
                <w:rFonts w:ascii="宋体" w:hAnsi="宋体" w:cs="宋体" w:eastAsia="宋体" w:hint="default"/>
                <w:sz w:val="18"/>
                <w:szCs w:val="18"/>
              </w:rPr>
            </w:pPr>
            <w:r>
              <w:rPr>
                <w:rFonts w:ascii="宋体" w:hAnsi="宋体" w:cs="宋体" w:eastAsia="宋体" w:hint="default"/>
                <w:sz w:val="18"/>
                <w:szCs w:val="18"/>
              </w:rPr>
              <w:t>福建永福新能 电力投资有限 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42,720,000.00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42,720,000.00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450"/>
      <w:bookmarkEnd w:id="45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303" w:right="122"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3"/>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2"/>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3" w:right="123"/>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1"/>
              <w:jc w:val="both"/>
              <w:rPr>
                <w:rFonts w:ascii="宋体" w:hAnsi="宋体" w:cs="宋体" w:eastAsia="宋体" w:hint="default"/>
                <w:sz w:val="18"/>
                <w:szCs w:val="18"/>
              </w:rPr>
            </w:pPr>
            <w:r>
              <w:rPr>
                <w:rFonts w:ascii="宋体" w:hAnsi="宋体" w:cs="宋体" w:eastAsia="宋体" w:hint="default"/>
                <w:sz w:val="18"/>
                <w:szCs w:val="18"/>
              </w:rPr>
              <w:t>福建永 帆风电 科技有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-2,613,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859.53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21,386,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140.47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Times New Roman" w:hAnsi="Times New Roman" w:cs="Times New Roman" w:eastAsia="Times New Roman" w:hint="default"/>
                <w:sz w:val="18"/>
                <w:szCs w:val="18"/>
              </w:rPr>
            </w:pPr>
            <w:r>
              <w:rPr>
                <w:rFonts w:ascii="Times New Roman"/>
                <w:sz w:val="18"/>
              </w:rPr>
              <w:t>-2,613,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859.53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21,386,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140.47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 w:right="0"/>
              <w:jc w:val="left"/>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Times New Roman" w:hAnsi="Times New Roman" w:cs="Times New Roman" w:eastAsia="Times New Roman" w:hint="default"/>
                <w:sz w:val="18"/>
                <w:szCs w:val="18"/>
              </w:rPr>
            </w:pPr>
            <w:r>
              <w:rPr>
                <w:rFonts w:ascii="Times New Roman"/>
                <w:sz w:val="18"/>
              </w:rPr>
              <w:t>-2,613,</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859.53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21,386,</w:t>
            </w:r>
          </w:p>
          <w:p>
            <w:pPr>
              <w:pStyle w:val="TableParagraph"/>
              <w:spacing w:line="240" w:lineRule="auto" w:before="105"/>
              <w:ind w:left="190" w:right="0"/>
              <w:jc w:val="left"/>
              <w:rPr>
                <w:rFonts w:ascii="Times New Roman" w:hAnsi="Times New Roman" w:cs="Times New Roman" w:eastAsia="Times New Roman" w:hint="default"/>
                <w:sz w:val="18"/>
                <w:szCs w:val="18"/>
              </w:rPr>
            </w:pPr>
            <w:r>
              <w:rPr>
                <w:rFonts w:ascii="Times New Roman"/>
                <w:sz w:val="18"/>
              </w:rPr>
              <w:t>140.47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其他说明" w:id="451"/>
      <w:bookmarkEnd w:id="45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56" w:lineRule="auto"/>
        <w:ind w:right="1197"/>
        <w:jc w:val="left"/>
      </w:pPr>
      <w:r>
        <w:rPr/>
        <w:t>说明：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日，公司设立子公司福建永福新能电力投资有限公司，注册资本</w:t>
      </w:r>
      <w:r>
        <w:rPr>
          <w:rFonts w:ascii="Times New Roman" w:hAnsi="Times New Roman" w:cs="Times New Roman" w:eastAsia="Times New Roman" w:hint="default"/>
        </w:rPr>
        <w:t>5000</w:t>
      </w:r>
      <w:r>
        <w:rPr/>
        <w:t>万元，公司认缴 出资</w:t>
      </w:r>
      <w:r>
        <w:rPr>
          <w:rFonts w:ascii="Times New Roman" w:hAnsi="Times New Roman" w:cs="Times New Roman" w:eastAsia="Times New Roman" w:hint="default"/>
        </w:rPr>
        <w:t>5000</w:t>
      </w:r>
      <w:r>
        <w:rPr/>
        <w:t>万元，占注册资本的</w:t>
      </w:r>
      <w:r>
        <w:rPr>
          <w:rFonts w:ascii="Times New Roman" w:hAnsi="Times New Roman" w:cs="Times New Roman" w:eastAsia="Times New Roman" w:hint="default"/>
        </w:rPr>
        <w:t>100%</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日，公司尚未实际出资。</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4、营业收入和营业成本" w:id="452"/>
      <w:bookmarkEnd w:id="45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850" w:footer="1267" w:top="1260" w:bottom="1460" w:left="980" w:right="0"/>
        </w:sectPr>
      </w:pPr>
    </w:p>
    <w:p>
      <w:pPr>
        <w:spacing w:line="240" w:lineRule="auto" w:before="4"/>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606,537,631.05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432,404,218.15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453,959,874.23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290,981,044.70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7,764,762.82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2,062,613.74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8,981,790.75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2,558,995.76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614,302,393.87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434,466,831.89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462,941,664.98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293,540,040.46</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5、投资收益" w:id="453"/>
      <w:bookmarkEnd w:id="45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-2,613,859.53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9,240,155.95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6,626,296.42</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八、补充资料" w:id="454"/>
      <w:bookmarkEnd w:id="454"/>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455"/>
      <w:bookmarkEnd w:id="45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w w:val="95"/>
                <w:sz w:val="18"/>
              </w:rPr>
              <w:t>8,114.54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1,313,501.75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9,240,155.95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49"/>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-155,727.71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1,570,406.68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8,835,637.85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2" w:lineRule="auto"/>
        <w:jc w:val="left"/>
        <w:sectPr>
          <w:footerReference w:type="default" r:id="rId21"/>
          <w:pgSz w:w="11910" w:h="16840"/>
          <w:pgMar w:footer="1267" w:header="850" w:top="1260" w:bottom="1460" w:left="980" w:right="0"/>
          <w:pgNumType w:start="19"/>
        </w:sectPr>
      </w:pPr>
    </w:p>
    <w:p>
      <w:pPr>
        <w:spacing w:line="240" w:lineRule="auto" w:before="10"/>
        <w:rPr>
          <w:rFonts w:ascii="宋体" w:hAnsi="宋体" w:cs="宋体" w:eastAsia="宋体" w:hint="default"/>
          <w:sz w:val="10"/>
          <w:szCs w:val="10"/>
        </w:rPr>
      </w:pPr>
    </w:p>
    <w:p>
      <w:pPr>
        <w:pStyle w:val="BodyText"/>
        <w:spacing w:line="240" w:lineRule="auto" w:before="44"/>
        <w:ind w:right="0"/>
        <w:jc w:val="left"/>
      </w:pPr>
      <w:bookmarkStart w:name="_bookmark11" w:id="456"/>
      <w:bookmarkEnd w:id="456"/>
      <w:r>
        <w:rPr/>
      </w: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净资产收益率及每股收益" w:id="457"/>
      <w:bookmarkEnd w:id="45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1"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7"/>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0.5249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0.5249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06"/>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0.4619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58"/>
      <w:bookmarkEnd w:id="45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59"/>
      <w:bookmarkEnd w:id="45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同时按照境外会计准则与按中国会计准则披露的财务报告中净利润和净资产差异情况" w:id="460"/>
      <w:bookmarkEnd w:id="46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59" w:lineRule="auto"/>
        <w:ind w:right="0"/>
        <w:jc w:val="left"/>
        <w:rPr>
          <w:b w:val="0"/>
          <w:bCs w:val="0"/>
        </w:rPr>
      </w:pPr>
      <w:bookmarkStart w:name="（3）境内外会计准则下会计数据差异原因说明，对已经境外审计机构审计的数据进行差异" w:id="461"/>
      <w:bookmarkEnd w:id="46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 w:id="462"/>
      <w:bookmarkEnd w:id="462"/>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50" w:footer="1267" w:top="1260" w:bottom="1460" w:left="980" w:right="0"/>
        </w:sectPr>
      </w:pPr>
    </w:p>
    <w:p>
      <w:pPr>
        <w:spacing w:line="240" w:lineRule="auto" w:before="2"/>
        <w:rPr>
          <w:rFonts w:ascii="宋体" w:hAnsi="宋体" w:cs="宋体" w:eastAsia="宋体" w:hint="default"/>
          <w:b/>
          <w:bCs/>
          <w:sz w:val="25"/>
          <w:szCs w:val="25"/>
        </w:rPr>
      </w:pPr>
    </w:p>
    <w:p>
      <w:pPr>
        <w:pStyle w:val="Heading1"/>
        <w:spacing w:line="240" w:lineRule="auto"/>
        <w:ind w:left="3286" w:right="0"/>
        <w:jc w:val="left"/>
        <w:rPr>
          <w:b w:val="0"/>
          <w:bCs w:val="0"/>
        </w:rPr>
      </w:pPr>
      <w:bookmarkStart w:name="第十二节 备查文件目录" w:id="463"/>
      <w:bookmarkEnd w:id="463"/>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3732"/>
        <w:jc w:val="left"/>
      </w:pPr>
      <w:r>
        <w:rPr/>
        <w:t>一、载有法定代表人签名的</w:t>
      </w:r>
      <w:r>
        <w:rPr>
          <w:rFonts w:ascii="Times New Roman" w:hAnsi="Times New Roman" w:cs="Times New Roman" w:eastAsia="Times New Roman" w:hint="default"/>
        </w:rPr>
        <w:t>2018</w:t>
      </w:r>
      <w:r>
        <w:rPr/>
        <w:t>年度报告文本； 二、载有单位负责人、主管会计工作负责人、会计机构负责人签名并盖章的财务报表； 三、载有会计师事务所盖章、注册会计师签名并盖章的审计报告原件； 四、报告期内在中国证监会指定网站上公开披露过的所有公司文件的正本及公告的原稿； 五、其他相关资料。</w:t>
      </w:r>
    </w:p>
    <w:p>
      <w:pPr>
        <w:pStyle w:val="BodyText"/>
        <w:spacing w:line="240" w:lineRule="auto" w:before="20"/>
        <w:ind w:right="0"/>
        <w:jc w:val="left"/>
      </w:pPr>
      <w:r>
        <w:rPr/>
        <w:t>以上备查文件的备置地点：公司董事会办公室</w:t>
      </w:r>
    </w:p>
    <w:sectPr>
      <w:footerReference w:type="default" r:id="rId22"/>
      <w:pgSz w:w="11910" w:h="16840"/>
      <w:pgMar w:footer="1267" w:header="850" w:top="1260" w:bottom="14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992" type="#_x0000_t75" stroked="false">
          <v:imagedata r:id="rId1" o:titl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896" type="#_x0000_t75" stroked="false">
          <v:imagedata r:id="rId1" o:title=""/>
        </v:shape>
      </w:pict>
    </w:r>
    <w:r>
      <w:rPr/>
      <w:pict>
        <v:shape style="position:absolute;margin-left:291.200012pt;margin-top:767.557922pt;width:13pt;height:11pt;mso-position-horizontal-relative:page;mso-position-vertical-relative:page;z-index:-10288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848" type="#_x0000_t75" stroked="false">
          <v:imagedata r:id="rId1" o:title=""/>
        </v:shape>
      </w:pict>
    </w:r>
    <w:r>
      <w:rPr/>
      <w:pict>
        <v:shape style="position:absolute;margin-left:289.920013pt;margin-top:767.557922pt;width:15.5pt;height:11pt;mso-position-horizontal-relative:page;mso-position-vertical-relative:page;z-index:-10288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800" type="#_x0000_t75" stroked="false">
          <v:imagedata r:id="rId1" o:title=""/>
        </v:shape>
      </w:pict>
    </w:r>
    <w:r>
      <w:rPr/>
      <w:pict>
        <v:shape style="position:absolute;margin-left:288.920013pt;margin-top:767.557922pt;width:17.5pt;height:11pt;mso-position-horizontal-relative:page;mso-position-vertical-relative:page;z-index:-1028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752" type="#_x0000_t75" stroked="false">
          <v:imagedata r:id="rId1" o:title=""/>
        </v:shape>
      </w:pict>
    </w:r>
    <w:r>
      <w:rPr/>
      <w:pict>
        <v:shape style="position:absolute;margin-left:288.920013pt;margin-top:767.557922pt;width:17.5pt;height:11pt;mso-position-horizontal-relative:page;mso-position-vertical-relative:page;z-index:-1028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704" type="#_x0000_t75" stroked="false">
          <v:imagedata r:id="rId1" o:title=""/>
        </v:shape>
      </w:pict>
    </w:r>
    <w:r>
      <w:rPr/>
      <w:pict>
        <v:shape style="position:absolute;margin-left:288.920013pt;margin-top:767.557922pt;width:17.5pt;height:11pt;mso-position-horizontal-relative:page;mso-position-vertical-relative:page;z-index:-10286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656" type="#_x0000_t75" stroked="false">
          <v:imagedata r:id="rId1" o:title=""/>
        </v:shape>
      </w:pict>
    </w:r>
    <w:r>
      <w:rPr/>
      <w:pict>
        <v:shape style="position:absolute;margin-left:288.920013pt;margin-top:767.557922pt;width:16.5pt;height:11pt;mso-position-horizontal-relative:page;mso-position-vertical-relative:page;z-index:-10286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w:t>
                </w:r>
                <w:r>
                  <w:rPr/>
                  <w:fldChar w:fldCharType="end"/>
                </w:r>
                <w:r>
                  <w:rPr>
                    <w:rFonts w:ascii="Times New Roman"/>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28608" type="#_x0000_t75" stroked="false">
          <v:imagedata r:id="rId1" o:title=""/>
        </v:shape>
      </w:pict>
    </w:r>
    <w:r>
      <w:rPr/>
      <w:pict>
        <v:shape style="position:absolute;margin-left:289.920013pt;margin-top:767.557922pt;width:15.5pt;height:11pt;mso-position-horizontal-relative:page;mso-position-vertical-relative:page;z-index:-10285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76.600006pt;margin-top:42.499985pt;width:56pt;height:17.2pt;mso-position-horizontal-relative:page;mso-position-vertical-relative:page;z-index:-1028968" type="#_x0000_t75" stroked="false">
          <v:imagedata r:id="rId1" o:title=""/>
        </v:shape>
      </w:pict>
    </w:r>
    <w:r>
      <w:rPr/>
      <w:pict>
        <v:group style="position:absolute;margin-left:55.200001pt;margin-top:63.059982pt;width:485pt;height:.1pt;mso-position-horizontal-relative:page;mso-position-vertical-relative:page;z-index:-1028944" coordorigin="1104,1261" coordsize="9700,2">
          <v:shape style="position:absolute;left:1104;top:1261;width:9700;height:2" coordorigin="1104,1261" coordsize="9700,0" path="m1104,1261l10804,1261e" filled="false" stroked="true" strokeweight=".4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55.700001pt;margin-top:49.676544pt;width:248.75pt;height:13.1pt;mso-position-horizontal-relative:page;mso-position-vertical-relative:page;z-index:-102892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福建永福电力设计股份有限公司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6"/>
      <w:ind w:left="154"/>
    </w:pPr>
    <w:rPr>
      <w:rFonts w:ascii="宋体" w:hAnsi="宋体" w:eastAsia="宋体"/>
      <w:b/>
      <w:bCs/>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ind w:left="154"/>
      <w:outlineLvl w:val="4"/>
    </w:pPr>
    <w:rPr>
      <w:rFonts w:ascii="宋体" w:hAnsi="宋体" w:eastAsia="宋体"/>
      <w:sz w:val="21"/>
      <w:szCs w:val="21"/>
    </w:rPr>
  </w:style>
  <w:style w:styleId="Heading5" w:type="paragraph">
    <w:name w:val="Heading 5"/>
    <w:basedOn w:val="Normal"/>
    <w:uiPriority w:val="1"/>
    <w:qFormat/>
    <w:pPr>
      <w:ind w:left="154"/>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fjyfdl.com/" TargetMode="External"/><Relationship Id="rId11" Type="http://schemas.openxmlformats.org/officeDocument/2006/relationships/hyperlink" Target="mailto:yfdb@fjyongfu.com" TargetMode="External"/><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http://www.cninfo.com.cn/new/index" TargetMode="External"/><Relationship Id="rId16" Type="http://schemas.openxmlformats.org/officeDocument/2006/relationships/image" Target="media/image7.jpe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chenludb</dc:creator>
  <dcterms:created xsi:type="dcterms:W3CDTF">2020-05-05T01:18:39Z</dcterms:created>
  <dcterms:modified xsi:type="dcterms:W3CDTF">2020-05-05T01:18:39Z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Office Word 2007</vt:lpwstr>
  </property>
  <property fmtid="{D5CDD505-2E9C-101B-9397-08002B2CF9AE}" pid="4" name="LastSaved">
    <vt:filetime>2020-05-04T00:00:00Z</vt:filetime>
  </property>
</Properties>
</file>