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4960" w:right="0" w:firstLine="0"/>
        <w:jc w:val="left"/>
        <w:rPr>
          <w:sz w:val="92"/>
          <w:szCs w:val="92"/>
        </w:rPr>
      </w:pPr>
      <w:r>
        <w:rPr>
          <w:color w:val="000000"/>
          <w:spacing w:val="0"/>
          <w:w w:val="100"/>
          <w:position w:val="0"/>
          <w:sz w:val="92"/>
          <w:szCs w:val="92"/>
        </w:rPr>
        <w:t>永福</w:t>
      </w:r>
    </w:p>
    <w:p>
      <w:pPr>
        <w:pStyle w:val="Style2"/>
        <w:keepNext w:val="0"/>
        <w:keepLines w:val="0"/>
        <w:widowControl w:val="0"/>
        <w:shd w:val="clear" w:color="auto" w:fill="auto"/>
        <w:bidi w:val="0"/>
        <w:spacing w:before="0" w:after="1620" w:line="209" w:lineRule="auto"/>
        <w:ind w:left="4960" w:right="0" w:firstLine="0"/>
        <w:jc w:val="left"/>
        <w:rPr>
          <w:sz w:val="48"/>
          <w:szCs w:val="48"/>
        </w:rPr>
      </w:pPr>
      <w:r>
        <w:rPr>
          <w:rFonts w:ascii="Arial" w:eastAsia="Arial" w:hAnsi="Arial" w:cs="Arial"/>
          <w:b/>
          <w:bCs/>
          <w:color w:val="000000"/>
          <w:spacing w:val="0"/>
          <w:w w:val="100"/>
          <w:position w:val="0"/>
          <w:sz w:val="48"/>
          <w:szCs w:val="48"/>
        </w:rPr>
        <w:t>YongFu</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福建永福电力设计股份有限公司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2022-030</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line="614" w:lineRule="exact"/>
        <w:ind w:left="0" w:right="0"/>
        <w:jc w:val="both"/>
      </w:pPr>
      <w:r>
        <w:rPr>
          <w:color w:val="000000"/>
          <w:spacing w:val="0"/>
          <w:w w:val="100"/>
          <w:position w:val="0"/>
        </w:rPr>
        <w:t>公司负责人林一文、主管会计工作负责人张善传及会计机构负责人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张玉科声明：保证本年度报告中财务报告的真实、准确、完整。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7" w:lineRule="exact"/>
        <w:ind w:left="0" w:right="0"/>
        <w:jc w:val="both"/>
      </w:pPr>
      <w:r>
        <w:rPr>
          <w:color w:val="000000"/>
          <w:spacing w:val="0"/>
          <w:w w:val="100"/>
          <w:position w:val="0"/>
        </w:rPr>
        <w:t>本报告中如有涉及未来的计划、发展战略等方面的前瞻性陈述内容，均不 构成本公司对任何投资者的实质承诺。投资者均应对此保持足够的风险认识， 并应当理解计划、预测与承诺之间的差异。</w:t>
      </w:r>
    </w:p>
    <w:p>
      <w:pPr>
        <w:pStyle w:val="Style12"/>
        <w:keepNext w:val="0"/>
        <w:keepLines w:val="0"/>
        <w:widowControl w:val="0"/>
        <w:shd w:val="clear" w:color="auto" w:fill="auto"/>
        <w:bidi w:val="0"/>
        <w:spacing w:before="0"/>
        <w:ind w:left="0" w:right="0"/>
        <w:jc w:val="both"/>
      </w:pPr>
      <w:r>
        <w:rPr>
          <w:color w:val="000000"/>
          <w:spacing w:val="0"/>
          <w:w w:val="100"/>
          <w:position w:val="0"/>
        </w:rPr>
        <w:t>请投资者注意本报告第三节管理层讨论与分析的相关风险提示。</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2634" w:right="1056" w:bottom="2763"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182,104,000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289"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72"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94"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pPr>
      <w:hyperlink w:anchor="bookmark629" w:tooltip="Current Document">
        <w:r>
          <w:rPr>
            <w:color w:val="000000"/>
            <w:spacing w:val="0"/>
            <w:w w:val="100"/>
            <w:position w:val="0"/>
            <w:sz w:val="24"/>
            <w:szCs w:val="24"/>
          </w:rPr>
          <w:t>第七节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133</w:t>
        </w:r>
      </w:hyperlink>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pPr>
      <w:hyperlink w:anchor="bookmark694" w:tooltip="Current Document">
        <w:r>
          <w:rPr>
            <w:color w:val="000000"/>
            <w:spacing w:val="0"/>
            <w:w w:val="100"/>
            <w:position w:val="0"/>
            <w:sz w:val="24"/>
            <w:szCs w:val="24"/>
          </w:rPr>
          <w:t>第八节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97"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141</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2958" w:right="1114" w:bottom="2958" w:left="1104" w:header="0" w:footer="3" w:gutter="0"/>
          <w:cols w:space="720"/>
          <w:noEndnote/>
          <w:rtlGutter w:val="0"/>
          <w:docGrid w:linePitch="360"/>
        </w:sectPr>
      </w:pPr>
      <w:hyperlink w:anchor="bookmark700"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142</w:t>
        </w:r>
      </w:hyperlink>
      <w:r>
        <w:fldChar w:fldCharType="end"/>
      </w:r>
    </w:p>
    <w:p>
      <w:pPr>
        <w:widowControl w:val="0"/>
        <w:jc w:val="left"/>
        <w:rPr>
          <w:sz w:val="2"/>
          <w:szCs w:val="2"/>
        </w:rPr>
      </w:pPr>
      <w:r>
        <w:drawing>
          <wp:inline>
            <wp:extent cx="865505" cy="3473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65505" cy="347345"/>
                    </a:xfrm>
                    <a:prstGeom prst="rect"/>
                  </pic:spPr>
                </pic:pic>
              </a:graphicData>
            </a:graphic>
          </wp:inline>
        </w:drawing>
      </w:r>
    </w:p>
    <w:p>
      <w:pPr>
        <w:widowControl w:val="0"/>
        <w:spacing w:after="879" w:line="1" w:lineRule="exact"/>
      </w:pP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30" w:val="left"/>
        </w:tabs>
        <w:bidi w:val="0"/>
        <w:spacing w:before="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载有公司负责人、主管会计工作负责人、会计机构负责人签名并盖章的财务报表;</w:t>
      </w:r>
    </w:p>
    <w:p>
      <w:pPr>
        <w:pStyle w:val="Style18"/>
        <w:keepNext w:val="0"/>
        <w:keepLines w:val="0"/>
        <w:widowControl w:val="0"/>
        <w:shd w:val="clear" w:color="auto" w:fill="auto"/>
        <w:tabs>
          <w:tab w:pos="430" w:val="left"/>
        </w:tabs>
        <w:bidi w:val="0"/>
        <w:spacing w:before="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0" w:val="left"/>
        </w:tabs>
        <w:bidi w:val="0"/>
        <w:spacing w:before="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报告期内在巨潮资讯网上公开披露过的所有公司文件的正本及公告的原稿；</w:t>
      </w:r>
    </w:p>
    <w:p>
      <w:pPr>
        <w:pStyle w:val="Style18"/>
        <w:keepNext w:val="0"/>
        <w:keepLines w:val="0"/>
        <w:widowControl w:val="0"/>
        <w:shd w:val="clear" w:color="auto" w:fill="auto"/>
        <w:tabs>
          <w:tab w:pos="430" w:val="left"/>
        </w:tabs>
        <w:bidi w:val="0"/>
        <w:spacing w:before="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其他相关资料。</w:t>
      </w:r>
    </w:p>
    <w:p>
      <w:pPr>
        <w:pStyle w:val="Style1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894" w:right="1114" w:bottom="1201" w:left="1104" w:header="0" w:footer="3" w:gutter="0"/>
          <w:cols w:space="720"/>
          <w:noEndnote/>
          <w:rtlGutter w:val="0"/>
          <w:docGrid w:linePitch="360"/>
        </w:sectPr>
      </w:pPr>
      <w:r>
        <w:rPr>
          <w:color w:val="000000"/>
          <w:spacing w:val="0"/>
          <w:w w:val="100"/>
          <w:position w:val="0"/>
        </w:rPr>
        <w:t>以上备查文件的备置地点：公司董事会办公室</w:t>
      </w:r>
    </w:p>
    <w:p>
      <w:pPr>
        <w:widowControl w:val="0"/>
        <w:jc w:val="left"/>
        <w:rPr>
          <w:sz w:val="2"/>
          <w:szCs w:val="2"/>
        </w:rPr>
      </w:pPr>
      <w:r>
        <w:drawing>
          <wp:inline>
            <wp:extent cx="865505" cy="3473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865505" cy="347345"/>
                    </a:xfrm>
                    <a:prstGeom prst="rect"/>
                  </pic:spPr>
                </pic:pic>
              </a:graphicData>
            </a:graphic>
          </wp:inline>
        </w:drawing>
      </w:r>
    </w:p>
    <w:p>
      <w:pPr>
        <w:widowControl w:val="0"/>
        <w:spacing w:after="899" w:line="1" w:lineRule="exact"/>
      </w:pP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福建永福电力设计股份有限公司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福建永福电力设计股份有限公司股东大会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福建永福电力设计股份有限公司董事会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福建永福电力设计股份有限公司监事会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《福建永福电力设计股份有限公司公司章程》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华创证券、保荐机构、保荐人、主承销商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华创证券有限责任公司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国信证券股份有限公司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立信会计师事务所（特殊普通合伙）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本公司报告期的合并及母公司资产负债表、利润表、现金流量表、 股东权益变动表及相关报表附注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人民币元、人民币万元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企业会计准则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财政部颁布的《企业会计准则</w:t>
            </w:r>
            <w:r>
              <w:rPr>
                <w:color w:val="000000"/>
                <w:spacing w:val="0"/>
                <w:w w:val="100"/>
                <w:position w:val="0"/>
                <w:sz w:val="17"/>
                <w:szCs w:val="17"/>
              </w:rPr>
              <w:t>一一</w:t>
            </w:r>
            <w:r>
              <w:rPr>
                <w:color w:val="000000"/>
                <w:spacing w:val="0"/>
                <w:w w:val="100"/>
                <w:position w:val="0"/>
                <w:sz w:val="17"/>
                <w:szCs w:val="17"/>
              </w:rPr>
              <w:t>基本准则》和具体企业会计准则、 企业会计准则应用指南、企业会计准则解释及其他相关规定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工程建设项目的投资人或投资人专门为工程建设项目设立的单位。</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为建设工程提供从投资决策到建设实施及运营维护全过程、专业化 的智力服务活动，包括前期立项阶段咨询（含规划、项目建议书、 可行性研究报告、项目申请报告、资金申请报告的编制、咨询及评 估），以及勘察设计阶段的咨询与评估、工程项目管理（含全过程 策划和准备阶段管理）的咨询、投产或交付使用后的评价等工作。</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工程勘察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为工程建设的规划、设计、施工、运营及综合治理等目的，对地形、 地质及水文等要素进行测绘、勘测、测试及综合评定，并提供可行 性评价与建设所需要的勘察成果数据，以及进行岩土工程勘测、设 计、处理、检测的活动。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工程设计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根据建设工程的要求，对建设工程所需的技术、经济、资源、环境 等条件进行综合分析、论证，编制建设工程设计文件的活动。</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Engineering </w:t>
            </w:r>
            <w:r>
              <w:rPr>
                <w:color w:val="000000"/>
                <w:spacing w:val="0"/>
                <w:w w:val="100"/>
                <w:position w:val="0"/>
                <w:sz w:val="17"/>
                <w:szCs w:val="17"/>
              </w:rPr>
              <w:t>（工程设计）、</w:t>
            </w:r>
            <w:r>
              <w:rPr>
                <w:rFonts w:ascii="Times New Roman" w:eastAsia="Times New Roman" w:hAnsi="Times New Roman" w:cs="Times New Roman"/>
                <w:color w:val="000000"/>
                <w:spacing w:val="0"/>
                <w:w w:val="100"/>
                <w:position w:val="0"/>
                <w:sz w:val="18"/>
                <w:szCs w:val="18"/>
              </w:rPr>
              <w:t xml:space="preserve">Procurement </w:t>
            </w:r>
            <w:r>
              <w:rPr>
                <w:color w:val="000000"/>
                <w:spacing w:val="0"/>
                <w:w w:val="100"/>
                <w:position w:val="0"/>
                <w:sz w:val="17"/>
                <w:szCs w:val="17"/>
              </w:rPr>
              <w:t>（设备采购）、</w:t>
            </w:r>
            <w:r>
              <w:rPr>
                <w:rFonts w:ascii="Times New Roman" w:eastAsia="Times New Roman" w:hAnsi="Times New Roman" w:cs="Times New Roman"/>
                <w:color w:val="000000"/>
                <w:spacing w:val="0"/>
                <w:w w:val="100"/>
                <w:position w:val="0"/>
                <w:sz w:val="18"/>
                <w:szCs w:val="18"/>
              </w:rPr>
              <w:t xml:space="preserve">Construction </w:t>
            </w:r>
            <w:r>
              <w:rPr>
                <w:color w:val="000000"/>
                <w:spacing w:val="0"/>
                <w:w w:val="100"/>
                <w:position w:val="0"/>
                <w:sz w:val="17"/>
                <w:szCs w:val="17"/>
              </w:rPr>
              <w:t>（主 持建设）的英文缩写，又称设计采购施工或交钥匙工程总承包，指</w:t>
            </w:r>
          </w:p>
        </w:tc>
      </w:tr>
    </w:tbl>
    <w:p>
      <w:pPr>
        <w:sectPr>
          <w:footnotePr>
            <w:pos w:val="pageBottom"/>
            <w:numFmt w:val="decimal"/>
            <w:numRestart w:val="continuous"/>
          </w:footnotePr>
          <w:pgSz w:w="11900" w:h="16840"/>
          <w:pgMar w:top="894" w:right="1196" w:bottom="1201" w:left="1119" w:header="0" w:footer="3" w:gutter="0"/>
          <w:cols w:space="720"/>
          <w:noEndnote/>
          <w:rtlGutter w:val="0"/>
          <w:docGrid w:linePitch="360"/>
        </w:sectPr>
      </w:pPr>
    </w:p>
    <w:tbl>
      <w:tblPr>
        <w:tblOverlap w:val="never"/>
        <w:jc w:val="center"/>
        <w:tblLayout w:type="fixed"/>
      </w:tblPr>
      <w:tblGrid>
        <w:gridCol w:w="3533"/>
        <w:gridCol w:w="619"/>
        <w:gridCol w:w="5434"/>
      </w:tblGrid>
      <w:tr>
        <w:trPr>
          <w:trHeight w:val="16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工程总承包企业按照合同约定，承担工程项目的设计、采购、施工、 试运行服务等工作，并对承包工程的质量、安全、工期、造价全面 负责。该类总承包模式强调设计在项目承接以及工程建设过程中的 主导作用，有利于工程项目建设整体方案的不断优化。公司实施的 工程总承包业务为</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是以特高压电网为骨干网架、各级电网协调发展的坚强网架为基 础，以通信信息平台为支撑，具有信息化、自动化、互动化特征， 包含电力系统的发电、输电、变电、配电、用电和调度各个环节， 覆盖所有电压等级，实现“电力流、信息流、业务流”的高度一体 化融合的现代电网。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清洁能源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不排放污染物的能源，包括核能、太阳能、风能、水能、生物能（沼 气）、海潮能等。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可再生能源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自然界中可以不断利用、循环再生的能源。可再生能源主要包括太 阳能、风能、水能、生物质能、地热能和海洋能等。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传统能源之外的各种能源形式。指刚开始开发利用或正在积极研 究、有待推广的能源，如太阳能、地热能、风能、海洋能、生物质 能和核聚变能等。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由架空线路、电缆、杆塔、配电变压器、隔离开关、无功补偿器及 一些附属设施等组成的，在电力网中起重要分配电能作用的网络。 按电压等级，可分为高压配电网（</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110kV</w:t>
            </w:r>
            <w:r>
              <w:rPr>
                <w:color w:val="000000"/>
                <w:spacing w:val="0"/>
                <w:w w:val="100"/>
                <w:position w:val="0"/>
                <w:sz w:val="17"/>
                <w:szCs w:val="17"/>
              </w:rPr>
              <w:t>），</w:t>
            </w:r>
            <w:r>
              <w:rPr>
                <w:color w:val="000000"/>
                <w:spacing w:val="0"/>
                <w:w w:val="100"/>
                <w:position w:val="0"/>
                <w:sz w:val="17"/>
                <w:szCs w:val="17"/>
              </w:rPr>
              <w:t>中压配电网（</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一 </w:t>
            </w:r>
            <w:r>
              <w:rPr>
                <w:rFonts w:ascii="Times New Roman" w:eastAsia="Times New Roman" w:hAnsi="Times New Roman" w:cs="Times New Roman"/>
                <w:color w:val="000000"/>
                <w:spacing w:val="0"/>
                <w:w w:val="100"/>
                <w:position w:val="0"/>
                <w:sz w:val="18"/>
                <w:szCs w:val="18"/>
              </w:rPr>
              <w:t>20kV</w:t>
            </w:r>
            <w:r>
              <w:rPr>
                <w:color w:val="000000"/>
                <w:spacing w:val="0"/>
                <w:w w:val="100"/>
                <w:position w:val="0"/>
                <w:sz w:val="17"/>
                <w:szCs w:val="17"/>
              </w:rPr>
              <w:t>），</w:t>
            </w:r>
            <w:r>
              <w:rPr>
                <w:color w:val="000000"/>
                <w:spacing w:val="0"/>
                <w:w w:val="100"/>
                <w:position w:val="0"/>
                <w:sz w:val="17"/>
                <w:szCs w:val="17"/>
              </w:rPr>
              <w:t>低压配电网（</w:t>
            </w:r>
            <w:r>
              <w:rPr>
                <w:rFonts w:ascii="Times New Roman" w:eastAsia="Times New Roman" w:hAnsi="Times New Roman" w:cs="Times New Roman"/>
                <w:color w:val="000000"/>
                <w:spacing w:val="0"/>
                <w:w w:val="100"/>
                <w:position w:val="0"/>
                <w:sz w:val="18"/>
                <w:szCs w:val="18"/>
              </w:rPr>
              <w:t>220/380V</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高压、超高压、特高压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在电力传输领域，</w:t>
            </w:r>
            <w:r>
              <w:rPr>
                <w:rFonts w:ascii="Times New Roman" w:eastAsia="Times New Roman" w:hAnsi="Times New Roman" w:cs="Times New Roman"/>
                <w:color w:val="000000"/>
                <w:spacing w:val="0"/>
                <w:w w:val="100"/>
                <w:position w:val="0"/>
                <w:sz w:val="18"/>
                <w:szCs w:val="18"/>
              </w:rPr>
              <w:t>110kV-220kV</w:t>
            </w:r>
            <w:r>
              <w:rPr>
                <w:color w:val="000000"/>
                <w:spacing w:val="0"/>
                <w:w w:val="100"/>
                <w:position w:val="0"/>
                <w:sz w:val="17"/>
                <w:szCs w:val="17"/>
              </w:rPr>
              <w:t>为高压、</w:t>
            </w:r>
            <w:r>
              <w:rPr>
                <w:rFonts w:ascii="Times New Roman" w:eastAsia="Times New Roman" w:hAnsi="Times New Roman" w:cs="Times New Roman"/>
                <w:color w:val="000000"/>
                <w:spacing w:val="0"/>
                <w:w w:val="100"/>
                <w:position w:val="0"/>
                <w:sz w:val="18"/>
                <w:szCs w:val="18"/>
              </w:rPr>
              <w:t>330kV-750kV</w:t>
            </w:r>
            <w:r>
              <w:rPr>
                <w:color w:val="000000"/>
                <w:spacing w:val="0"/>
                <w:w w:val="100"/>
                <w:position w:val="0"/>
                <w:sz w:val="17"/>
                <w:szCs w:val="17"/>
              </w:rPr>
              <w:t>为超高压、 交流</w:t>
            </w:r>
            <w:r>
              <w:rPr>
                <w:rFonts w:ascii="Times New Roman" w:eastAsia="Times New Roman" w:hAnsi="Times New Roman" w:cs="Times New Roman"/>
                <w:color w:val="000000"/>
                <w:spacing w:val="0"/>
                <w:w w:val="100"/>
                <w:position w:val="0"/>
                <w:sz w:val="18"/>
                <w:szCs w:val="18"/>
              </w:rPr>
              <w:t>1000kV</w:t>
            </w:r>
            <w:r>
              <w:rPr>
                <w:color w:val="000000"/>
                <w:spacing w:val="0"/>
                <w:w w:val="100"/>
                <w:position w:val="0"/>
                <w:sz w:val="17"/>
                <w:szCs w:val="17"/>
              </w:rPr>
              <w:t>及以上电压和直流</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800kV</w:t>
            </w:r>
            <w:r>
              <w:rPr>
                <w:color w:val="000000"/>
                <w:spacing w:val="0"/>
                <w:w w:val="100"/>
                <w:position w:val="0"/>
                <w:sz w:val="17"/>
                <w:szCs w:val="17"/>
              </w:rPr>
              <w:t>及以上电压为特高压。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装机容量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实际安装的发电机组额定的有功功率的总和，以千瓦（</w:t>
            </w:r>
            <w:r>
              <w:rPr>
                <w:rFonts w:ascii="Times New Roman" w:eastAsia="Times New Roman" w:hAnsi="Times New Roman" w:cs="Times New Roman"/>
                <w:color w:val="000000"/>
                <w:spacing w:val="0"/>
                <w:w w:val="100"/>
                <w:position w:val="0"/>
                <w:sz w:val="18"/>
                <w:szCs w:val="18"/>
              </w:rPr>
              <w:t>kW</w:t>
            </w:r>
            <w:r>
              <w:rPr>
                <w:color w:val="000000"/>
                <w:spacing w:val="0"/>
                <w:w w:val="100"/>
                <w:position w:val="0"/>
                <w:sz w:val="17"/>
                <w:szCs w:val="17"/>
              </w:rPr>
              <w:t>）、</w:t>
            </w:r>
            <w:r>
              <w:rPr>
                <w:color w:val="000000"/>
                <w:spacing w:val="0"/>
                <w:w w:val="100"/>
                <w:position w:val="0"/>
                <w:sz w:val="17"/>
                <w:szCs w:val="17"/>
              </w:rPr>
              <w:t xml:space="preserve">兆瓦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MW</w:t>
            </w:r>
            <w:r>
              <w:rPr>
                <w:color w:val="000000"/>
                <w:spacing w:val="0"/>
                <w:w w:val="100"/>
                <w:position w:val="0"/>
                <w:sz w:val="17"/>
                <w:szCs w:val="17"/>
              </w:rPr>
              <w:t>，</w:t>
            </w:r>
            <w:r>
              <w:rPr>
                <w:color w:val="000000"/>
                <w:spacing w:val="0"/>
                <w:w w:val="100"/>
                <w:position w:val="0"/>
                <w:sz w:val="17"/>
                <w:szCs w:val="17"/>
              </w:rPr>
              <w:t>即百万瓦）、吉瓦</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GW</w:t>
            </w:r>
            <w:r>
              <w:rPr>
                <w:color w:val="000000"/>
                <w:spacing w:val="0"/>
                <w:w w:val="100"/>
                <w:position w:val="0"/>
                <w:sz w:val="17"/>
                <w:szCs w:val="17"/>
              </w:rPr>
              <w:t>，</w:t>
            </w:r>
            <w:r>
              <w:rPr>
                <w:color w:val="000000"/>
                <w:spacing w:val="0"/>
                <w:w w:val="100"/>
                <w:position w:val="0"/>
                <w:sz w:val="17"/>
                <w:szCs w:val="17"/>
              </w:rPr>
              <w:t>即百万千瓦）。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千瓦时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能量量度单位，表示一个功率为一千瓦的电器使用一小时所消耗的 能量。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新创机电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福州新创机电设备有限公司，系福建永福电力设计股份有限公司全 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永帆风电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福建永帆风电科技有限公司，系福建永福电力设计股份有限公司全 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四川云能水利电力工程咨询有限公司，系福建永福电力设计股份有 限公司控股公司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宁德时代新能源科技股份有限公司，系福建永福电力设计股份有限 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以上法人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时代永福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 xml:space="preserve">时代永福科技有限公司，系福建永福电力设计股份有限公司持股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的公司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海电运维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福建海电运维科技有限责任公司，系福建永福电力设计股份有限公 司全资子公司福建永帆风电科技有限公司的参股公司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ectPr>
          <w:footnotePr>
            <w:pos w:val="pageBottom"/>
            <w:numFmt w:val="decimal"/>
            <w:numRestart w:val="continuous"/>
          </w:footnotePr>
          <w:pgSz w:w="11900" w:h="16840"/>
          <w:pgMar w:top="1520" w:right="1196" w:bottom="1775" w:left="1119" w:header="0" w:footer="3" w:gutter="0"/>
          <w:cols w:space="720"/>
          <w:noEndnote/>
          <w:rtlGutter w:val="0"/>
          <w:docGrid w:linePitch="360"/>
        </w:sectPr>
      </w:pPr>
    </w:p>
    <w:p>
      <w:pPr>
        <w:pStyle w:val="Style10"/>
        <w:keepNext/>
        <w:keepLines/>
        <w:widowControl w:val="0"/>
        <w:shd w:val="clear" w:color="auto" w:fill="auto"/>
        <w:bidi w:val="0"/>
        <w:spacing w:before="44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2"/>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永福股份</w:t>
              <w:tab/>
              <w:t>股票代码</w:t>
              <w:tab/>
            </w:r>
            <w:r>
              <w:rPr>
                <w:rFonts w:ascii="Times New Roman" w:eastAsia="Times New Roman" w:hAnsi="Times New Roman" w:cs="Times New Roman"/>
                <w:color w:val="000000"/>
                <w:spacing w:val="0"/>
                <w:w w:val="100"/>
                <w:position w:val="0"/>
                <w:sz w:val="18"/>
                <w:szCs w:val="18"/>
              </w:rPr>
              <w:t>300712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福建永福电力设计股份有限公司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Fujian Yongfu Power Engineering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福建省福州市闽侯县上街镇海西科技园高新大道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福建省福州市闽侯县上街镇海西科技园高新大道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"http://www.yongfu.com.cn" </w:instrText>
            </w:r>
            <w:r>
              <w:fldChar w:fldCharType="separate"/>
            </w:r>
            <w:r>
              <w:rPr>
                <w:rFonts w:ascii="Times New Roman" w:eastAsia="Times New Roman" w:hAnsi="Times New Roman" w:cs="Times New Roman"/>
                <w:color w:val="000000"/>
                <w:spacing w:val="0"/>
                <w:w w:val="100"/>
                <w:position w:val="0"/>
                <w:sz w:val="18"/>
                <w:szCs w:val="18"/>
              </w:rPr>
              <w:t>www.yongfu.com.cn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"mailto:yfdb@gyongfu.com" </w:instrText>
            </w:r>
            <w:r>
              <w:fldChar w:fldCharType="separate"/>
            </w:r>
            <w:r>
              <w:rPr>
                <w:rFonts w:ascii="Times New Roman" w:eastAsia="Times New Roman" w:hAnsi="Times New Roman" w:cs="Times New Roman"/>
                <w:color w:val="000000"/>
                <w:spacing w:val="0"/>
                <w:w w:val="100"/>
                <w:position w:val="0"/>
                <w:sz w:val="18"/>
                <w:szCs w:val="18"/>
              </w:rPr>
              <w:t>yfdb@gyongfu.com</w:t>
            </w:r>
            <w:r>
              <w:fldChar w:fldCharType="end"/>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吴轶群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吴轶群</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福建省福州市闽侯县上街镇海西科技 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福建省福州市闽侯县上街镇海西科技 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"mailto:yfdb@gyongfu.com" </w:instrText>
            </w:r>
            <w:r>
              <w:fldChar w:fldCharType="separate"/>
            </w:r>
            <w:r>
              <w:rPr>
                <w:rFonts w:ascii="Times New Roman" w:eastAsia="Times New Roman" w:hAnsi="Times New Roman" w:cs="Times New Roman"/>
                <w:color w:val="000000"/>
                <w:spacing w:val="0"/>
                <w:w w:val="100"/>
                <w:position w:val="0"/>
                <w:sz w:val="18"/>
                <w:szCs w:val="18"/>
              </w:rPr>
              <w:t>yfdb@gyongfu.com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"mailto:yfdb@fjyongfu.com" </w:instrText>
            </w:r>
            <w:r>
              <w:fldChar w:fldCharType="separate"/>
            </w:r>
            <w:r>
              <w:rPr>
                <w:rFonts w:ascii="Times New Roman" w:eastAsia="Times New Roman" w:hAnsi="Times New Roman" w:cs="Times New Roman"/>
                <w:color w:val="000000"/>
                <w:spacing w:val="0"/>
                <w:w w:val="100"/>
                <w:position w:val="0"/>
                <w:sz w:val="18"/>
                <w:szCs w:val="18"/>
              </w:rPr>
              <w:t>yfdb@fjyongfu.com</w:t>
            </w:r>
            <w:r>
              <w:fldChar w:fldCharType="end"/>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 xml:space="preserve">《证券时报》《中国证券报》《证券日报》《上海证券报》、（巨潮资讯 </w:t>
            </w:r>
            <w:r>
              <w:rPr>
                <w:color w:val="000000"/>
                <w:spacing w:val="0"/>
                <w:w w:val="100"/>
                <w:position w:val="0"/>
                <w:sz w:val="17"/>
                <w:szCs w:val="17"/>
              </w:rPr>
              <w:t>网）</w:t>
            </w:r>
            <w:r>
              <w:rPr>
                <w:rFonts w:ascii="Times New Roman" w:eastAsia="Times New Roman" w:hAnsi="Times New Roman" w:cs="Times New Roman"/>
                <w:color w:val="000000"/>
                <w:spacing w:val="0"/>
                <w:w w:val="100"/>
                <w:position w:val="0"/>
                <w:sz w:val="18"/>
                <w:szCs w:val="18"/>
              </w:rPr>
              <w:t>http://www.cninfb.com.cn</w:t>
            </w:r>
          </w:p>
        </w:tc>
      </w:tr>
    </w:tbl>
    <w:p>
      <w:pPr>
        <w:spacing w:lineRule="exact" w:line="1"/>
        <w:rPr>
          <w:sz w:val="2"/>
          <w:szCs w:val="2"/>
        </w:rPr>
      </w:pPr>
      <w:r>
        <w:br w:type="page"/>
      </w:r>
    </w:p>
    <w:p>
      <w:pPr>
        <w:pStyle w:val="Style18"/>
        <w:keepNext w:val="0"/>
        <w:keepLines w:val="0"/>
        <w:widowControl w:val="0"/>
        <w:shd w:val="clear" w:color="auto" w:fill="auto"/>
        <w:tabs>
          <w:tab w:pos="4123" w:val="left"/>
        </w:tabs>
        <w:bidi w:val="0"/>
        <w:spacing w:before="0" w:after="360" w:line="240" w:lineRule="auto"/>
        <w:ind w:left="0" w:right="0" w:firstLine="0"/>
        <w:jc w:val="left"/>
      </w:pPr>
      <w:r>
        <w:rPr>
          <w:color w:val="000000"/>
          <w:spacing w:val="0"/>
          <w:w w:val="100"/>
          <w:position w:val="0"/>
        </w:rPr>
        <w:t>|公司年度报告备置地点</w:t>
        <w:tab/>
        <w:t>公司董事会办公室</w:t>
      </w:r>
    </w:p>
    <w:p>
      <w:pPr>
        <w:pStyle w:val="Style22"/>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杨志平、瞿玉敏</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1,440,375,320.79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8"/>
                <w:szCs w:val="8"/>
              </w:rPr>
            </w:pPr>
            <w:r>
              <w:rPr>
                <w:rFonts w:ascii="Times New Roman" w:eastAsia="Times New Roman" w:hAnsi="Times New Roman" w:cs="Times New Roman"/>
                <w:color w:val="000000"/>
                <w:spacing w:val="0"/>
                <w:w w:val="100"/>
                <w:position w:val="0"/>
                <w:sz w:val="18"/>
                <w:szCs w:val="18"/>
              </w:rPr>
              <w:t>40,765,880.21</w:t>
            </w:r>
            <w:r>
              <w:rPr>
                <w:rFonts w:ascii="Calibri" w:eastAsia="Calibri" w:hAnsi="Calibri" w:cs="Calibri"/>
                <w:color w:val="FF0000"/>
                <w:spacing w:val="0"/>
                <w:w w:val="100"/>
                <w:position w:val="0"/>
                <w:sz w:val="8"/>
                <w:szCs w:val="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50,918,935.37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73,142,052.32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18,665,102.47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38,471,153.90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66,558,602.44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181,196,848.44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-608,351,781.88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3,026,063,113.49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2,359,506,051.20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1,116,859,748.47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1,023,464,925.38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988,652,515.19</w:t>
            </w:r>
          </w:p>
        </w:tc>
      </w:tr>
    </w:tbl>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注：①本年度归属于上市公司股东的净利润</w:t>
      </w:r>
      <w:r>
        <w:rPr>
          <w:rFonts w:ascii="Times New Roman" w:eastAsia="Times New Roman" w:hAnsi="Times New Roman" w:cs="Times New Roman"/>
          <w:color w:val="000000"/>
          <w:spacing w:val="0"/>
          <w:w w:val="100"/>
          <w:position w:val="0"/>
          <w:sz w:val="18"/>
          <w:szCs w:val="18"/>
        </w:rPr>
        <w:t>40,765,880.21</w:t>
      </w:r>
      <w:r>
        <w:rPr>
          <w:color w:val="000000"/>
          <w:spacing w:val="0"/>
          <w:w w:val="100"/>
          <w:position w:val="0"/>
        </w:rPr>
        <w:t>元，股份支付</w:t>
      </w:r>
      <w:r>
        <w:rPr>
          <w:rFonts w:ascii="Times New Roman" w:eastAsia="Times New Roman" w:hAnsi="Times New Roman" w:cs="Times New Roman"/>
          <w:color w:val="000000"/>
          <w:spacing w:val="0"/>
          <w:w w:val="100"/>
          <w:position w:val="0"/>
          <w:sz w:val="18"/>
          <w:szCs w:val="18"/>
        </w:rPr>
        <w:t>60,098,989.49</w:t>
      </w:r>
      <w:r>
        <w:rPr>
          <w:color w:val="000000"/>
          <w:spacing w:val="0"/>
          <w:w w:val="100"/>
          <w:position w:val="0"/>
        </w:rPr>
        <w:t xml:space="preserve">元，股份支付对净利润影响额 </w:t>
      </w:r>
      <w:r>
        <w:rPr>
          <w:rFonts w:ascii="Times New Roman" w:eastAsia="Times New Roman" w:hAnsi="Times New Roman" w:cs="Times New Roman"/>
          <w:color w:val="000000"/>
          <w:spacing w:val="0"/>
          <w:w w:val="100"/>
          <w:position w:val="0"/>
          <w:sz w:val="18"/>
          <w:szCs w:val="18"/>
        </w:rPr>
        <w:t>51,084,141.07</w:t>
      </w:r>
      <w:r>
        <w:rPr>
          <w:color w:val="000000"/>
          <w:spacing w:val="0"/>
          <w:w w:val="100"/>
          <w:position w:val="0"/>
        </w:rPr>
        <w:t>元，剔除股份支付费用对净利润的影响后净利润为</w:t>
      </w:r>
      <w:r>
        <w:rPr>
          <w:rFonts w:ascii="Times New Roman" w:eastAsia="Times New Roman" w:hAnsi="Times New Roman" w:cs="Times New Roman"/>
          <w:color w:val="000000"/>
          <w:spacing w:val="0"/>
          <w:w w:val="100"/>
          <w:position w:val="0"/>
          <w:sz w:val="18"/>
          <w:szCs w:val="18"/>
        </w:rPr>
        <w:t>91,850,021.28</w:t>
      </w:r>
      <w:r>
        <w:rPr>
          <w:color w:val="000000"/>
          <w:spacing w:val="0"/>
          <w:w w:val="100"/>
          <w:position w:val="0"/>
        </w:rPr>
        <w:t>元，较上年度增长</w:t>
      </w:r>
      <w:r>
        <w:rPr>
          <w:rFonts w:ascii="Times New Roman" w:eastAsia="Times New Roman" w:hAnsi="Times New Roman" w:cs="Times New Roman"/>
          <w:color w:val="000000"/>
          <w:spacing w:val="0"/>
          <w:w w:val="100"/>
          <w:position w:val="0"/>
          <w:sz w:val="18"/>
          <w:szCs w:val="18"/>
        </w:rPr>
        <w:t>80.38%</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ind w:left="0" w:right="0" w:firstLine="0"/>
        <w:jc w:val="left"/>
        <w:sectPr>
          <w:footnotePr>
            <w:pos w:val="pageBottom"/>
            <w:numFmt w:val="decimal"/>
            <w:numRestart w:val="continuous"/>
          </w:footnotePr>
          <w:pgSz w:w="11900" w:h="16840"/>
          <w:pgMar w:top="1553" w:right="1088" w:bottom="1731" w:left="1048" w:header="0" w:footer="3" w:gutter="0"/>
          <w:cols w:space="720"/>
          <w:noEndnote/>
          <w:rtlGutter w:val="0"/>
          <w:docGrid w:linePitch="360"/>
        </w:sectPr>
      </w:pPr>
      <w:r>
        <w:rPr>
          <w:color w:val="000000"/>
          <w:spacing w:val="0"/>
          <w:w w:val="100"/>
          <w:position w:val="0"/>
        </w:rPr>
        <w:t>□</w:t>
      </w:r>
      <w:r>
        <w:rPr>
          <w:color w:val="000000"/>
          <w:spacing w:val="0"/>
          <w:w w:val="100"/>
          <w:position w:val="0"/>
        </w:rPr>
        <w:t>是"否</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扣除非经常损益前后的净利润孰低者为负值 </w:t>
      </w:r>
      <w:r>
        <w:rPr>
          <w:color w:val="000000"/>
          <w:spacing w:val="0"/>
          <w:w w:val="100"/>
          <w:position w:val="0"/>
        </w:rPr>
        <w:t>□</w:t>
      </w:r>
      <w:r>
        <w:rPr>
          <w:color w:val="000000"/>
          <w:spacing w:val="0"/>
          <w:w w:val="100"/>
          <w:position w:val="0"/>
        </w:rPr>
        <w:t>是"否</w:t>
      </w:r>
    </w:p>
    <w:p>
      <w:pPr>
        <w:pStyle w:val="Style22"/>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202,100,600.18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368,234,137.63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400,502,638.87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597,080,652.30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8,629,457.02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4,173,429.92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4,433,578.86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23,529,414.41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-747,464.57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3,730,246.90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15,337,937.96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81,750,744.58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-65,562,552.96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3,483,750.25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161,524,906.57</w:t>
            </w:r>
          </w:p>
        </w:tc>
      </w:tr>
    </w:tbl>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2"/>
        <w:keepNext/>
        <w:keepLines/>
        <w:widowControl w:val="0"/>
        <w:shd w:val="clear" w:color="auto" w:fill="auto"/>
        <w:tabs>
          <w:tab w:pos="522" w:val="left"/>
        </w:tabs>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2"/>
        <w:keepNext/>
        <w:keepLines/>
        <w:widowControl w:val="0"/>
        <w:shd w:val="clear" w:color="auto" w:fill="auto"/>
        <w:tabs>
          <w:tab w:pos="403"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18"/>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9,455.70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18,659,418.24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8,606,647.14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2,346,364.55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企业取得子公司、联营企业及合营企业 的投资成本小于取得投资时应享有被投 资单位可辨认净资产公允价值产生的收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306,988.39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85" w:right="1071" w:bottom="1196" w:left="1066"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-2,137,951.40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2,810,518.21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74,022.40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8,794,256.87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7,170,249.10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2,978,009.03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主要为进项税加计 抵减及代扣个人所 得税手续费。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5,002,206.53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2,181,566.11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1,082,872.63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-1,453,171.69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22,100,777.74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12,447,781.47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6,583,449.88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主要为进项税加计抵减及代扣个人所得税手续费。</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484" w:right="1114" w:bottom="1484" w:left="110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2"/>
        <w:keepNext/>
        <w:keepLines/>
        <w:widowControl w:val="0"/>
        <w:shd w:val="clear" w:color="auto" w:fill="auto"/>
        <w:bidi w:val="0"/>
        <w:spacing w:before="0" w:after="2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、报告期内公司所处行业情况</w:t>
      </w:r>
      <w:bookmarkEnd w:id="53"/>
      <w:bookmarkEnd w:id="54"/>
      <w:bookmarkEnd w:id="56"/>
    </w:p>
    <w:p>
      <w:pPr>
        <w:pStyle w:val="Style28"/>
        <w:keepNext w:val="0"/>
        <w:keepLines w:val="0"/>
        <w:widowControl w:val="0"/>
        <w:shd w:val="clear" w:color="auto" w:fill="auto"/>
        <w:bidi w:val="0"/>
        <w:spacing w:before="0" w:after="160" w:line="312" w:lineRule="exact"/>
        <w:ind w:left="0" w:right="0" w:firstLine="440"/>
        <w:jc w:val="both"/>
      </w:pPr>
      <w:bookmarkStart w:id="57" w:name="bookmark57"/>
      <w:r>
        <w:rPr>
          <w:b/>
          <w:bCs/>
          <w:color w:val="000000"/>
          <w:spacing w:val="0"/>
          <w:w w:val="100"/>
          <w:position w:val="0"/>
        </w:rPr>
        <w:t>（</w:t>
      </w:r>
      <w:bookmarkEnd w:id="57"/>
      <w:r>
        <w:rPr>
          <w:b/>
          <w:bCs/>
          <w:color w:val="000000"/>
          <w:spacing w:val="0"/>
          <w:w w:val="100"/>
          <w:position w:val="0"/>
        </w:rPr>
        <w:t>一）公司所处行业的现状</w:t>
      </w:r>
    </w:p>
    <w:p>
      <w:pPr>
        <w:pStyle w:val="Style28"/>
        <w:keepNext w:val="0"/>
        <w:keepLines w:val="0"/>
        <w:widowControl w:val="0"/>
        <w:shd w:val="clear" w:color="auto" w:fill="auto"/>
        <w:bidi w:val="0"/>
        <w:spacing w:before="0" w:after="16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十四五''开局之年，是我国迈向全面建设现代化国家新征程的起步之年，也是在抗击新冠疫 情保持经济恢复和发展的重要一年，中国经济工作的重点任务是推动疫后经济的全面恢复。本年度，中国 实际</w:t>
      </w:r>
      <w:r>
        <w:rPr>
          <w:rFonts w:ascii="Times New Roman" w:eastAsia="Times New Roman" w:hAnsi="Times New Roman" w:cs="Times New Roman"/>
          <w:color w:val="000000"/>
          <w:spacing w:val="0"/>
          <w:w w:val="100"/>
          <w:position w:val="0"/>
        </w:rPr>
        <w:t>GDP</w:t>
      </w:r>
      <w:r>
        <w:rPr>
          <w:color w:val="000000"/>
          <w:spacing w:val="0"/>
          <w:w w:val="100"/>
          <w:position w:val="0"/>
        </w:rPr>
        <w:t>增长率达到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8"/>
        <w:keepNext w:val="0"/>
        <w:keepLines w:val="0"/>
        <w:widowControl w:val="0"/>
        <w:shd w:val="clear" w:color="auto" w:fill="auto"/>
        <w:bidi w:val="0"/>
        <w:spacing w:before="0" w:after="160" w:line="309" w:lineRule="exact"/>
        <w:ind w:left="0" w:right="0" w:firstLine="440"/>
        <w:jc w:val="both"/>
      </w:pPr>
      <w:r>
        <w:rPr>
          <w:color w:val="000000"/>
          <w:spacing w:val="0"/>
          <w:w w:val="100"/>
          <w:position w:val="0"/>
        </w:rPr>
        <w:t>电力行业是国民经济发展战略的重点基础行业，得益于经济发展以及疫情的有效控制，我国用电量规 模保持平稳增长。根据中国电力企业联合会发布的数据显示，</w:t>
      </w:r>
      <w:r>
        <w:rPr>
          <w:rFonts w:ascii="Times New Roman" w:eastAsia="Times New Roman" w:hAnsi="Times New Roman" w:cs="Times New Roman"/>
          <w:color w:val="000000"/>
          <w:spacing w:val="0"/>
          <w:w w:val="100"/>
          <w:position w:val="0"/>
        </w:rPr>
        <w:t>2021</w:t>
      </w:r>
      <w:r>
        <w:rPr>
          <w:color w:val="000000"/>
          <w:spacing w:val="0"/>
          <w:w w:val="100"/>
          <w:position w:val="0"/>
        </w:rPr>
        <w:t>年，全国全社会用电量</w:t>
      </w:r>
      <w:r>
        <w:rPr>
          <w:rFonts w:ascii="Times New Roman" w:eastAsia="Times New Roman" w:hAnsi="Times New Roman" w:cs="Times New Roman"/>
          <w:color w:val="000000"/>
          <w:spacing w:val="0"/>
          <w:w w:val="100"/>
          <w:position w:val="0"/>
        </w:rPr>
        <w:t>8.31</w:t>
      </w:r>
      <w:r>
        <w:rPr>
          <w:color w:val="000000"/>
          <w:spacing w:val="0"/>
          <w:w w:val="100"/>
          <w:position w:val="0"/>
        </w:rPr>
        <w:t>万亿千瓦时， 同比增长</w:t>
      </w:r>
      <w:r>
        <w:rPr>
          <w:rFonts w:ascii="Times New Roman" w:eastAsia="Times New Roman" w:hAnsi="Times New Roman" w:cs="Times New Roman"/>
          <w:color w:val="000000"/>
          <w:spacing w:val="0"/>
          <w:w w:val="100"/>
          <w:position w:val="0"/>
        </w:rPr>
        <w:t>10.3%</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年底，全国全口径发电装机容量</w:t>
      </w:r>
      <w:r>
        <w:rPr>
          <w:rFonts w:ascii="Times New Roman" w:eastAsia="Times New Roman" w:hAnsi="Times New Roman" w:cs="Times New Roman"/>
          <w:color w:val="000000"/>
          <w:spacing w:val="0"/>
          <w:w w:val="100"/>
          <w:position w:val="0"/>
        </w:rPr>
        <w:t>23.8</w:t>
      </w:r>
      <w:r>
        <w:rPr>
          <w:color w:val="000000"/>
          <w:spacing w:val="0"/>
          <w:w w:val="100"/>
          <w:position w:val="0"/>
        </w:rPr>
        <w:t>亿千瓦，同比增长</w:t>
      </w:r>
      <w:r>
        <w:rPr>
          <w:rFonts w:ascii="Times New Roman" w:eastAsia="Times New Roman" w:hAnsi="Times New Roman" w:cs="Times New Roman"/>
          <w:color w:val="000000"/>
          <w:spacing w:val="0"/>
          <w:w w:val="100"/>
          <w:position w:val="0"/>
        </w:rPr>
        <w:t>7.9%</w:t>
      </w:r>
      <w:r>
        <w:rPr>
          <w:color w:val="000000"/>
          <w:spacing w:val="0"/>
          <w:w w:val="100"/>
          <w:position w:val="0"/>
        </w:rPr>
        <w:t>；其中，风电装机 容量约</w:t>
      </w:r>
      <w:r>
        <w:rPr>
          <w:rFonts w:ascii="Times New Roman" w:eastAsia="Times New Roman" w:hAnsi="Times New Roman" w:cs="Times New Roman"/>
          <w:color w:val="000000"/>
          <w:spacing w:val="0"/>
          <w:w w:val="100"/>
          <w:position w:val="0"/>
        </w:rPr>
        <w:t>3.3</w:t>
      </w:r>
      <w:r>
        <w:rPr>
          <w:color w:val="000000"/>
          <w:spacing w:val="0"/>
          <w:w w:val="100"/>
          <w:position w:val="0"/>
        </w:rPr>
        <w:t>亿千瓦，同比增长</w:t>
      </w:r>
      <w:r>
        <w:rPr>
          <w:rFonts w:ascii="Times New Roman" w:eastAsia="Times New Roman" w:hAnsi="Times New Roman" w:cs="Times New Roman"/>
          <w:color w:val="000000"/>
          <w:spacing w:val="0"/>
          <w:w w:val="100"/>
          <w:position w:val="0"/>
        </w:rPr>
        <w:t>16.6%</w:t>
      </w:r>
      <w:r>
        <w:rPr>
          <w:color w:val="000000"/>
          <w:spacing w:val="0"/>
          <w:w w:val="100"/>
          <w:position w:val="0"/>
        </w:rPr>
        <w:t>；太阳能发电装机容量约</w:t>
      </w:r>
      <w:r>
        <w:rPr>
          <w:rFonts w:ascii="Times New Roman" w:eastAsia="Times New Roman" w:hAnsi="Times New Roman" w:cs="Times New Roman"/>
          <w:color w:val="000000"/>
          <w:spacing w:val="0"/>
          <w:w w:val="100"/>
          <w:position w:val="0"/>
        </w:rPr>
        <w:t>3.1</w:t>
      </w:r>
      <w:r>
        <w:rPr>
          <w:color w:val="000000"/>
          <w:spacing w:val="0"/>
          <w:w w:val="100"/>
          <w:position w:val="0"/>
        </w:rPr>
        <w:t>亿千瓦，同比增长</w:t>
      </w:r>
      <w:r>
        <w:rPr>
          <w:rFonts w:ascii="Times New Roman" w:eastAsia="Times New Roman" w:hAnsi="Times New Roman" w:cs="Times New Roman"/>
          <w:color w:val="000000"/>
          <w:spacing w:val="0"/>
          <w:w w:val="100"/>
          <w:position w:val="0"/>
        </w:rPr>
        <w:t>20.9%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年底， 全国已投运的储能项目累计装机容量（包括物理储能、电化学储能以及熔融盐储热）达到</w:t>
      </w:r>
      <w:r>
        <w:rPr>
          <w:rFonts w:ascii="Times New Roman" w:eastAsia="Times New Roman" w:hAnsi="Times New Roman" w:cs="Times New Roman"/>
          <w:color w:val="000000"/>
          <w:spacing w:val="0"/>
          <w:w w:val="100"/>
          <w:position w:val="0"/>
        </w:rPr>
        <w:t>4593</w:t>
      </w:r>
      <w:r>
        <w:rPr>
          <w:color w:val="000000"/>
          <w:spacing w:val="0"/>
          <w:w w:val="100"/>
          <w:position w:val="0"/>
        </w:rPr>
        <w:t>万千瓦，同 比增长</w:t>
      </w:r>
      <w:r>
        <w:rPr>
          <w:rFonts w:ascii="Times New Roman" w:eastAsia="Times New Roman" w:hAnsi="Times New Roman" w:cs="Times New Roman"/>
          <w:color w:val="000000"/>
          <w:spacing w:val="0"/>
          <w:w w:val="100"/>
          <w:position w:val="0"/>
        </w:rPr>
        <w:t>29%</w:t>
      </w:r>
      <w:r>
        <w:rPr>
          <w:color w:val="000000"/>
          <w:spacing w:val="0"/>
          <w:w w:val="100"/>
          <w:position w:val="0"/>
        </w:rPr>
        <w:t>，其中新型储能累计装机超过</w:t>
      </w:r>
      <w:r>
        <w:rPr>
          <w:rFonts w:ascii="Times New Roman" w:eastAsia="Times New Roman" w:hAnsi="Times New Roman" w:cs="Times New Roman"/>
          <w:color w:val="000000"/>
          <w:spacing w:val="0"/>
          <w:w w:val="100"/>
          <w:position w:val="0"/>
        </w:rPr>
        <w:t>400</w:t>
      </w:r>
      <w:r>
        <w:rPr>
          <w:color w:val="000000"/>
          <w:spacing w:val="0"/>
          <w:w w:val="100"/>
          <w:position w:val="0"/>
        </w:rPr>
        <w:t>万千瓦。</w:t>
      </w:r>
    </w:p>
    <w:p>
      <w:pPr>
        <w:pStyle w:val="Style28"/>
        <w:keepNext w:val="0"/>
        <w:keepLines w:val="0"/>
        <w:widowControl w:val="0"/>
        <w:shd w:val="clear" w:color="auto" w:fill="auto"/>
        <w:bidi w:val="0"/>
        <w:spacing w:before="0" w:after="16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年，重点电力企业完成投资</w:t>
      </w:r>
      <w:r>
        <w:rPr>
          <w:rFonts w:ascii="Times New Roman" w:eastAsia="Times New Roman" w:hAnsi="Times New Roman" w:cs="Times New Roman"/>
          <w:color w:val="000000"/>
          <w:spacing w:val="0"/>
          <w:w w:val="100"/>
          <w:position w:val="0"/>
        </w:rPr>
        <w:t>10481</w:t>
      </w:r>
      <w:r>
        <w:rPr>
          <w:color w:val="000000"/>
          <w:spacing w:val="0"/>
          <w:w w:val="100"/>
          <w:position w:val="0"/>
        </w:rPr>
        <w:t>亿元，同比增长</w:t>
      </w:r>
      <w:r>
        <w:rPr>
          <w:rFonts w:ascii="Times New Roman" w:eastAsia="Times New Roman" w:hAnsi="Times New Roman" w:cs="Times New Roman"/>
          <w:color w:val="000000"/>
          <w:spacing w:val="0"/>
          <w:w w:val="100"/>
          <w:position w:val="0"/>
        </w:rPr>
        <w:t>2.9%</w:t>
      </w:r>
      <w:r>
        <w:rPr>
          <w:color w:val="000000"/>
          <w:spacing w:val="0"/>
          <w:w w:val="100"/>
          <w:position w:val="0"/>
        </w:rPr>
        <w:t>。其中，非化石能源发电投资占电源投资 比重达到</w:t>
      </w:r>
      <w:r>
        <w:rPr>
          <w:rFonts w:ascii="Times New Roman" w:eastAsia="Times New Roman" w:hAnsi="Times New Roman" w:cs="Times New Roman"/>
          <w:color w:val="000000"/>
          <w:spacing w:val="0"/>
          <w:w w:val="100"/>
          <w:position w:val="0"/>
        </w:rPr>
        <w:t>88.6%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年，全国新增发电装机容量</w:t>
      </w:r>
      <w:r>
        <w:rPr>
          <w:rFonts w:ascii="Times New Roman" w:eastAsia="Times New Roman" w:hAnsi="Times New Roman" w:cs="Times New Roman"/>
          <w:color w:val="000000"/>
          <w:spacing w:val="0"/>
          <w:w w:val="100"/>
          <w:position w:val="0"/>
        </w:rPr>
        <w:t>17629</w:t>
      </w:r>
      <w:r>
        <w:rPr>
          <w:color w:val="000000"/>
          <w:spacing w:val="0"/>
          <w:w w:val="100"/>
          <w:position w:val="0"/>
        </w:rPr>
        <w:t>万千瓦，其中，新增非化石能源发电装机容量</w:t>
      </w:r>
      <w:r>
        <w:rPr>
          <w:rFonts w:ascii="Times New Roman" w:eastAsia="Times New Roman" w:hAnsi="Times New Roman" w:cs="Times New Roman"/>
          <w:color w:val="000000"/>
          <w:spacing w:val="0"/>
          <w:w w:val="100"/>
          <w:position w:val="0"/>
        </w:rPr>
        <w:t xml:space="preserve">13809 </w:t>
      </w:r>
      <w:r>
        <w:rPr>
          <w:color w:val="000000"/>
          <w:spacing w:val="0"/>
          <w:w w:val="100"/>
          <w:position w:val="0"/>
        </w:rPr>
        <w:t>万千瓦，占比为</w:t>
      </w:r>
      <w:r>
        <w:rPr>
          <w:rFonts w:ascii="Times New Roman" w:eastAsia="Times New Roman" w:hAnsi="Times New Roman" w:cs="Times New Roman"/>
          <w:color w:val="000000"/>
          <w:spacing w:val="0"/>
          <w:w w:val="100"/>
          <w:position w:val="0"/>
        </w:rPr>
        <w:t>78.3%</w:t>
      </w:r>
      <w:r>
        <w:rPr>
          <w:color w:val="000000"/>
          <w:spacing w:val="0"/>
          <w:w w:val="100"/>
          <w:position w:val="0"/>
        </w:rPr>
        <w:t>。光伏、风电等新能源新增装机容量快速增长，光伏新增装机量约为</w:t>
      </w:r>
      <w:r>
        <w:rPr>
          <w:rFonts w:ascii="Times New Roman" w:eastAsia="Times New Roman" w:hAnsi="Times New Roman" w:cs="Times New Roman"/>
          <w:color w:val="000000"/>
          <w:spacing w:val="0"/>
          <w:w w:val="100"/>
          <w:position w:val="0"/>
        </w:rPr>
        <w:t>5300</w:t>
      </w:r>
      <w:r>
        <w:rPr>
          <w:color w:val="000000"/>
          <w:spacing w:val="0"/>
          <w:w w:val="100"/>
          <w:position w:val="0"/>
        </w:rPr>
        <w:t>万千瓦， 风电新增装机量约为</w:t>
      </w:r>
      <w:r>
        <w:rPr>
          <w:rFonts w:ascii="Times New Roman" w:eastAsia="Times New Roman" w:hAnsi="Times New Roman" w:cs="Times New Roman"/>
          <w:color w:val="000000"/>
          <w:spacing w:val="0"/>
          <w:w w:val="100"/>
          <w:position w:val="0"/>
        </w:rPr>
        <w:t>4800</w:t>
      </w:r>
      <w:r>
        <w:rPr>
          <w:color w:val="000000"/>
          <w:spacing w:val="0"/>
          <w:w w:val="100"/>
          <w:position w:val="0"/>
        </w:rPr>
        <w:t>万千瓦；其中海上风电全年新增装机容量</w:t>
      </w:r>
      <w:r>
        <w:rPr>
          <w:rFonts w:ascii="Times New Roman" w:eastAsia="Times New Roman" w:hAnsi="Times New Roman" w:cs="Times New Roman"/>
          <w:color w:val="000000"/>
          <w:spacing w:val="0"/>
          <w:w w:val="100"/>
          <w:position w:val="0"/>
        </w:rPr>
        <w:t>1690</w:t>
      </w:r>
      <w:r>
        <w:rPr>
          <w:color w:val="000000"/>
          <w:spacing w:val="0"/>
          <w:w w:val="100"/>
          <w:position w:val="0"/>
        </w:rPr>
        <w:t>万千瓦，是之前总装机量的</w:t>
      </w:r>
      <w:r>
        <w:rPr>
          <w:rFonts w:ascii="Times New Roman" w:eastAsia="Times New Roman" w:hAnsi="Times New Roman" w:cs="Times New Roman"/>
          <w:color w:val="000000"/>
          <w:spacing w:val="0"/>
          <w:w w:val="100"/>
          <w:position w:val="0"/>
        </w:rPr>
        <w:t>1.8</w:t>
      </w:r>
      <w:r>
        <w:rPr>
          <w:color w:val="000000"/>
          <w:spacing w:val="0"/>
          <w:w w:val="100"/>
          <w:position w:val="0"/>
        </w:rPr>
        <w:t>倍， 到</w:t>
      </w:r>
      <w:r>
        <w:rPr>
          <w:rFonts w:ascii="Times New Roman" w:eastAsia="Times New Roman" w:hAnsi="Times New Roman" w:cs="Times New Roman"/>
          <w:color w:val="000000"/>
          <w:spacing w:val="0"/>
          <w:w w:val="100"/>
          <w:position w:val="0"/>
        </w:rPr>
        <w:t>2021</w:t>
      </w:r>
      <w:r>
        <w:rPr>
          <w:color w:val="000000"/>
          <w:spacing w:val="0"/>
          <w:w w:val="100"/>
          <w:position w:val="0"/>
        </w:rPr>
        <w:t>年底海上风电的装机量达到</w:t>
      </w:r>
      <w:r>
        <w:rPr>
          <w:rFonts w:ascii="Times New Roman" w:eastAsia="Times New Roman" w:hAnsi="Times New Roman" w:cs="Times New Roman"/>
          <w:color w:val="000000"/>
          <w:spacing w:val="0"/>
          <w:w w:val="100"/>
          <w:position w:val="0"/>
        </w:rPr>
        <w:t>2600</w:t>
      </w:r>
      <w:r>
        <w:rPr>
          <w:color w:val="000000"/>
          <w:spacing w:val="0"/>
          <w:w w:val="100"/>
          <w:position w:val="0"/>
        </w:rPr>
        <w:t>万千瓦。</w:t>
      </w:r>
      <w:r>
        <w:rPr>
          <w:rFonts w:ascii="Times New Roman" w:eastAsia="Times New Roman" w:hAnsi="Times New Roman" w:cs="Times New Roman"/>
          <w:color w:val="000000"/>
          <w:spacing w:val="0"/>
          <w:w w:val="100"/>
          <w:position w:val="0"/>
        </w:rPr>
        <w:t>2021</w:t>
      </w:r>
      <w:r>
        <w:rPr>
          <w:color w:val="000000"/>
          <w:spacing w:val="0"/>
          <w:w w:val="100"/>
          <w:position w:val="0"/>
        </w:rPr>
        <w:t>年，电力储能装机继续保持高速增长，同比增长</w:t>
      </w:r>
      <w:r>
        <w:rPr>
          <w:rFonts w:ascii="Times New Roman" w:eastAsia="Times New Roman" w:hAnsi="Times New Roman" w:cs="Times New Roman"/>
          <w:color w:val="000000"/>
          <w:spacing w:val="0"/>
          <w:w w:val="100"/>
          <w:position w:val="0"/>
        </w:rPr>
        <w:t>220%</w:t>
      </w:r>
      <w:r>
        <w:rPr>
          <w:color w:val="000000"/>
          <w:spacing w:val="0"/>
          <w:w w:val="100"/>
          <w:position w:val="0"/>
        </w:rPr>
        <w:t>， 新增投运规模达</w:t>
      </w:r>
      <w:r>
        <w:rPr>
          <w:rFonts w:ascii="Times New Roman" w:eastAsia="Times New Roman" w:hAnsi="Times New Roman" w:cs="Times New Roman"/>
          <w:color w:val="000000"/>
          <w:spacing w:val="0"/>
          <w:w w:val="100"/>
          <w:position w:val="0"/>
        </w:rPr>
        <w:t>1014</w:t>
      </w:r>
      <w:r>
        <w:rPr>
          <w:color w:val="000000"/>
          <w:spacing w:val="0"/>
          <w:w w:val="100"/>
          <w:position w:val="0"/>
        </w:rPr>
        <w:t>万千瓦，其中，新型储能规模为</w:t>
      </w:r>
      <w:r>
        <w:rPr>
          <w:rFonts w:ascii="Times New Roman" w:eastAsia="Times New Roman" w:hAnsi="Times New Roman" w:cs="Times New Roman"/>
          <w:color w:val="000000"/>
          <w:spacing w:val="0"/>
          <w:w w:val="100"/>
          <w:position w:val="0"/>
        </w:rPr>
        <w:t>187</w:t>
      </w:r>
      <w:r>
        <w:rPr>
          <w:color w:val="000000"/>
          <w:spacing w:val="0"/>
          <w:w w:val="100"/>
          <w:position w:val="0"/>
        </w:rPr>
        <w:t>万千瓦</w:t>
      </w:r>
      <w:r>
        <w:rPr>
          <w:rFonts w:ascii="Times New Roman" w:eastAsia="Times New Roman" w:hAnsi="Times New Roman" w:cs="Times New Roman"/>
          <w:color w:val="000000"/>
          <w:spacing w:val="0"/>
          <w:w w:val="100"/>
          <w:position w:val="0"/>
        </w:rPr>
        <w:t>/349</w:t>
      </w:r>
      <w:r>
        <w:rPr>
          <w:color w:val="000000"/>
          <w:spacing w:val="0"/>
          <w:w w:val="100"/>
          <w:position w:val="0"/>
        </w:rPr>
        <w:t>万千瓦时。</w:t>
      </w:r>
    </w:p>
    <w:p>
      <w:pPr>
        <w:pStyle w:val="Style28"/>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电力需求长期发展态势向好。预计</w:t>
      </w:r>
      <w:r>
        <w:rPr>
          <w:rFonts w:ascii="Times New Roman" w:eastAsia="Times New Roman" w:hAnsi="Times New Roman" w:cs="Times New Roman"/>
          <w:color w:val="000000"/>
          <w:spacing w:val="0"/>
          <w:w w:val="100"/>
          <w:position w:val="0"/>
        </w:rPr>
        <w:t>2022</w:t>
      </w:r>
      <w:r>
        <w:rPr>
          <w:color w:val="000000"/>
          <w:spacing w:val="0"/>
          <w:w w:val="100"/>
          <w:position w:val="0"/>
        </w:rPr>
        <w:t>年全社会用电量增长</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年底非化石能源发电装机占 总装机比重有望首次达到</w:t>
      </w:r>
      <w:r>
        <w:rPr>
          <w:rFonts w:ascii="Times New Roman" w:eastAsia="Times New Roman" w:hAnsi="Times New Roman" w:cs="Times New Roman"/>
          <w:color w:val="000000"/>
          <w:spacing w:val="0"/>
          <w:w w:val="100"/>
          <w:position w:val="0"/>
        </w:rPr>
        <w:t>50%</w:t>
      </w:r>
      <w:r>
        <w:rPr>
          <w:color w:val="000000"/>
          <w:spacing w:val="0"/>
          <w:w w:val="100"/>
          <w:position w:val="0"/>
        </w:rPr>
        <w:t>。我国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期间特高压工程开工数量或达</w:t>
      </w:r>
      <w:r>
        <w:rPr>
          <w:rFonts w:ascii="Times New Roman" w:eastAsia="Times New Roman" w:hAnsi="Times New Roman" w:cs="Times New Roman"/>
          <w:color w:val="000000"/>
          <w:spacing w:val="0"/>
          <w:w w:val="100"/>
          <w:position w:val="0"/>
        </w:rPr>
        <w:t>14</w:t>
      </w:r>
      <w:r>
        <w:rPr>
          <w:color w:val="000000"/>
          <w:spacing w:val="0"/>
          <w:w w:val="100"/>
          <w:position w:val="0"/>
        </w:rPr>
        <w:t>条。根据公开报道预计：风 电累计装机规模将由</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3.3</w:t>
      </w:r>
      <w:r>
        <w:rPr>
          <w:color w:val="000000"/>
          <w:spacing w:val="0"/>
          <w:w w:val="100"/>
          <w:position w:val="0"/>
        </w:rPr>
        <w:t>亿千瓦提升至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5.5</w:t>
      </w:r>
      <w:r>
        <w:rPr>
          <w:color w:val="000000"/>
          <w:spacing w:val="0"/>
          <w:w w:val="100"/>
          <w:position w:val="0"/>
        </w:rPr>
        <w:t>亿千瓦、</w:t>
      </w:r>
      <w:r>
        <w:rPr>
          <w:rFonts w:ascii="Times New Roman" w:eastAsia="Times New Roman" w:hAnsi="Times New Roman" w:cs="Times New Roman"/>
          <w:color w:val="000000"/>
          <w:spacing w:val="0"/>
          <w:w w:val="100"/>
          <w:position w:val="0"/>
        </w:rPr>
        <w:t>2050</w:t>
      </w:r>
      <w:r>
        <w:rPr>
          <w:color w:val="000000"/>
          <w:spacing w:val="0"/>
          <w:w w:val="100"/>
          <w:position w:val="0"/>
        </w:rPr>
        <w:t>年</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1</w:t>
      </w:r>
      <w:r>
        <w:rPr>
          <w:color w:val="000000"/>
          <w:spacing w:val="0"/>
          <w:w w:val="100"/>
          <w:position w:val="0"/>
        </w:rPr>
        <w:t>亿千瓦，</w:t>
      </w:r>
      <w:r>
        <w:rPr>
          <w:rFonts w:ascii="Times New Roman" w:eastAsia="Times New Roman" w:hAnsi="Times New Roman" w:cs="Times New Roman"/>
          <w:color w:val="000000"/>
          <w:spacing w:val="0"/>
          <w:w w:val="100"/>
          <w:position w:val="0"/>
        </w:rPr>
        <w:t>2020-2050</w:t>
      </w:r>
      <w:r>
        <w:rPr>
          <w:color w:val="000000"/>
          <w:spacing w:val="0"/>
          <w:w w:val="100"/>
          <w:position w:val="0"/>
        </w:rPr>
        <w:t>年复合年均 增长率达</w:t>
      </w:r>
      <w:r>
        <w:rPr>
          <w:rFonts w:ascii="Times New Roman" w:eastAsia="Times New Roman" w:hAnsi="Times New Roman" w:cs="Times New Roman"/>
          <w:color w:val="000000"/>
          <w:spacing w:val="0"/>
          <w:w w:val="100"/>
          <w:position w:val="0"/>
        </w:rPr>
        <w:t>6.8%</w:t>
      </w:r>
      <w:r>
        <w:rPr>
          <w:color w:val="000000"/>
          <w:spacing w:val="0"/>
          <w:w w:val="100"/>
          <w:position w:val="0"/>
        </w:rPr>
        <w:t>；光伏累计装机规模将由</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rPr>
        <w:t>1</w:t>
      </w:r>
      <w:r>
        <w:rPr>
          <w:color w:val="000000"/>
          <w:spacing w:val="0"/>
          <w:w w:val="100"/>
          <w:position w:val="0"/>
        </w:rPr>
        <w:t>亿千瓦提升至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7.1</w:t>
      </w:r>
      <w:r>
        <w:rPr>
          <w:color w:val="000000"/>
          <w:spacing w:val="0"/>
          <w:w w:val="100"/>
          <w:position w:val="0"/>
        </w:rPr>
        <w:t>亿千瓦、</w:t>
      </w:r>
      <w:r>
        <w:rPr>
          <w:rFonts w:ascii="Times New Roman" w:eastAsia="Times New Roman" w:hAnsi="Times New Roman" w:cs="Times New Roman"/>
          <w:color w:val="000000"/>
          <w:spacing w:val="0"/>
          <w:w w:val="100"/>
          <w:position w:val="0"/>
        </w:rPr>
        <w:t>2050</w:t>
      </w:r>
      <w:r>
        <w:rPr>
          <w:color w:val="000000"/>
          <w:spacing w:val="0"/>
          <w:w w:val="100"/>
          <w:position w:val="0"/>
        </w:rPr>
        <w:t>年</w:t>
      </w:r>
      <w:r>
        <w:rPr>
          <w:rFonts w:ascii="Times New Roman" w:eastAsia="Times New Roman" w:hAnsi="Times New Roman" w:cs="Times New Roman"/>
          <w:color w:val="000000"/>
          <w:spacing w:val="0"/>
          <w:w w:val="100"/>
          <w:position w:val="0"/>
        </w:rPr>
        <w:t>30.6</w:t>
      </w:r>
      <w:r>
        <w:rPr>
          <w:color w:val="000000"/>
          <w:spacing w:val="0"/>
          <w:w w:val="100"/>
          <w:position w:val="0"/>
        </w:rPr>
        <w:t xml:space="preserve">亿千瓦， </w:t>
      </w:r>
      <w:r>
        <w:rPr>
          <w:rFonts w:ascii="Times New Roman" w:eastAsia="Times New Roman" w:hAnsi="Times New Roman" w:cs="Times New Roman"/>
          <w:color w:val="000000"/>
          <w:spacing w:val="0"/>
          <w:w w:val="100"/>
          <w:position w:val="0"/>
        </w:rPr>
        <w:t>2020-2050</w:t>
      </w:r>
      <w:r>
        <w:rPr>
          <w:color w:val="000000"/>
          <w:spacing w:val="0"/>
          <w:w w:val="100"/>
          <w:position w:val="0"/>
        </w:rPr>
        <w:t>年复合年均增长率达</w:t>
      </w:r>
      <w:r>
        <w:rPr>
          <w:rFonts w:ascii="Times New Roman" w:eastAsia="Times New Roman" w:hAnsi="Times New Roman" w:cs="Times New Roman"/>
          <w:color w:val="000000"/>
          <w:spacing w:val="0"/>
          <w:w w:val="100"/>
          <w:position w:val="0"/>
        </w:rPr>
        <w:t>8.7%</w:t>
      </w:r>
      <w:r>
        <w:rPr>
          <w:color w:val="000000"/>
          <w:spacing w:val="0"/>
          <w:w w:val="100"/>
          <w:position w:val="0"/>
        </w:rPr>
        <w:t>。根据《电力行业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发展规划研究》，预计</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年全社会用电量 </w:t>
      </w:r>
      <w:r>
        <w:rPr>
          <w:rFonts w:ascii="Times New Roman" w:eastAsia="Times New Roman" w:hAnsi="Times New Roman" w:cs="Times New Roman"/>
          <w:color w:val="000000"/>
          <w:spacing w:val="0"/>
          <w:w w:val="100"/>
          <w:position w:val="0"/>
        </w:rPr>
        <w:t>9.5</w:t>
      </w:r>
      <w:r>
        <w:rPr>
          <w:color w:val="000000"/>
          <w:spacing w:val="0"/>
          <w:w w:val="100"/>
          <w:position w:val="0"/>
        </w:rPr>
        <w:t>万亿千瓦时，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期间年均增速将达到</w:t>
      </w:r>
      <w:r>
        <w:rPr>
          <w:rFonts w:ascii="Times New Roman" w:eastAsia="Times New Roman" w:hAnsi="Times New Roman" w:cs="Times New Roman"/>
          <w:color w:val="000000"/>
          <w:spacing w:val="0"/>
          <w:w w:val="100"/>
          <w:position w:val="0"/>
        </w:rPr>
        <w:t>5.9%</w:t>
      </w:r>
      <w:r>
        <w:rPr>
          <w:color w:val="000000"/>
          <w:spacing w:val="0"/>
          <w:w w:val="100"/>
          <w:position w:val="0"/>
        </w:rPr>
        <w:t>，全国发电装机容量达</w:t>
      </w:r>
      <w:r>
        <w:rPr>
          <w:rFonts w:ascii="Times New Roman" w:eastAsia="Times New Roman" w:hAnsi="Times New Roman" w:cs="Times New Roman"/>
          <w:color w:val="000000"/>
          <w:spacing w:val="0"/>
          <w:w w:val="100"/>
          <w:position w:val="0"/>
        </w:rPr>
        <w:t>28.5</w:t>
      </w:r>
      <w:r>
        <w:rPr>
          <w:color w:val="000000"/>
          <w:spacing w:val="0"/>
          <w:w w:val="100"/>
          <w:position w:val="0"/>
        </w:rPr>
        <w:t>亿千瓦。</w:t>
      </w:r>
    </w:p>
    <w:p>
      <w:pPr>
        <w:pStyle w:val="Style28"/>
        <w:keepNext w:val="0"/>
        <w:keepLines w:val="0"/>
        <w:widowControl w:val="0"/>
        <w:shd w:val="clear" w:color="auto" w:fill="auto"/>
        <w:bidi w:val="0"/>
        <w:spacing w:before="0" w:after="16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月，国家发改委、国家能源局联合发布《关于加快推动新型储能发展的指导意见》，明确提出 到</w:t>
      </w:r>
      <w:r>
        <w:rPr>
          <w:rFonts w:ascii="Times New Roman" w:eastAsia="Times New Roman" w:hAnsi="Times New Roman" w:cs="Times New Roman"/>
          <w:color w:val="000000"/>
          <w:spacing w:val="0"/>
          <w:w w:val="100"/>
          <w:position w:val="0"/>
        </w:rPr>
        <w:t>2025</w:t>
      </w:r>
      <w:r>
        <w:rPr>
          <w:color w:val="000000"/>
          <w:spacing w:val="0"/>
          <w:w w:val="100"/>
          <w:position w:val="0"/>
        </w:rPr>
        <w:t>年实现累计装机</w:t>
      </w:r>
      <w:r>
        <w:rPr>
          <w:rFonts w:ascii="Times New Roman" w:eastAsia="Times New Roman" w:hAnsi="Times New Roman" w:cs="Times New Roman"/>
          <w:color w:val="000000"/>
          <w:spacing w:val="0"/>
          <w:w w:val="100"/>
          <w:position w:val="0"/>
        </w:rPr>
        <w:t>3000</w:t>
      </w:r>
      <w:r>
        <w:rPr>
          <w:color w:val="000000"/>
          <w:spacing w:val="0"/>
          <w:w w:val="100"/>
          <w:position w:val="0"/>
        </w:rPr>
        <w:t>万千瓦的发展目标。预计</w:t>
      </w:r>
      <w:r>
        <w:rPr>
          <w:rFonts w:ascii="Times New Roman" w:eastAsia="Times New Roman" w:hAnsi="Times New Roman" w:cs="Times New Roman"/>
          <w:color w:val="000000"/>
          <w:spacing w:val="0"/>
          <w:w w:val="100"/>
          <w:position w:val="0"/>
        </w:rPr>
        <w:t>2035</w:t>
      </w:r>
      <w:r>
        <w:rPr>
          <w:color w:val="000000"/>
          <w:spacing w:val="0"/>
          <w:w w:val="100"/>
          <w:position w:val="0"/>
        </w:rPr>
        <w:t>年、</w:t>
      </w:r>
      <w:r>
        <w:rPr>
          <w:rFonts w:ascii="Times New Roman" w:eastAsia="Times New Roman" w:hAnsi="Times New Roman" w:cs="Times New Roman"/>
          <w:color w:val="000000"/>
          <w:spacing w:val="0"/>
          <w:w w:val="100"/>
          <w:position w:val="0"/>
        </w:rPr>
        <w:t>2050</w:t>
      </w:r>
      <w:r>
        <w:rPr>
          <w:color w:val="000000"/>
          <w:spacing w:val="0"/>
          <w:w w:val="100"/>
          <w:position w:val="0"/>
        </w:rPr>
        <w:t>年电化学等新型储能容量将达到</w:t>
      </w:r>
      <w:r>
        <w:rPr>
          <w:rFonts w:ascii="Times New Roman" w:eastAsia="Times New Roman" w:hAnsi="Times New Roman" w:cs="Times New Roman"/>
          <w:color w:val="000000"/>
          <w:spacing w:val="0"/>
          <w:w w:val="100"/>
          <w:position w:val="0"/>
        </w:rPr>
        <w:t>2.4</w:t>
      </w:r>
      <w:r>
        <w:rPr>
          <w:color w:val="000000"/>
          <w:spacing w:val="0"/>
          <w:w w:val="100"/>
          <w:position w:val="0"/>
        </w:rPr>
        <w:t>亿千 瓦、</w:t>
      </w:r>
      <w:r>
        <w:rPr>
          <w:rFonts w:ascii="Times New Roman" w:eastAsia="Times New Roman" w:hAnsi="Times New Roman" w:cs="Times New Roman"/>
          <w:color w:val="000000"/>
          <w:spacing w:val="0"/>
          <w:w w:val="100"/>
          <w:position w:val="0"/>
        </w:rPr>
        <w:t>6.1</w:t>
      </w:r>
      <w:r>
        <w:rPr>
          <w:color w:val="000000"/>
          <w:spacing w:val="0"/>
          <w:w w:val="100"/>
          <w:position w:val="0"/>
        </w:rPr>
        <w:t>亿千瓦。国内随着电力现货市场的启动，储能具备了多种可以盈利商业模式，如容量租赁、辅助服 务、优先发电权交易、虚拟电厂、消峰填谷等。今后储能建设有望持续</w:t>
      </w:r>
      <w:r>
        <w:rPr>
          <w:rFonts w:ascii="Times New Roman" w:eastAsia="Times New Roman" w:hAnsi="Times New Roman" w:cs="Times New Roman"/>
          <w:color w:val="000000"/>
          <w:spacing w:val="0"/>
          <w:w w:val="100"/>
          <w:position w:val="0"/>
        </w:rPr>
        <w:t>“</w:t>
      </w:r>
      <w:r>
        <w:rPr>
          <w:color w:val="000000"/>
          <w:spacing w:val="0"/>
          <w:w w:val="100"/>
          <w:position w:val="0"/>
        </w:rPr>
        <w:t>加速跑</w:t>
      </w:r>
      <w:r>
        <w:rPr>
          <w:rFonts w:ascii="Times New Roman" w:eastAsia="Times New Roman" w:hAnsi="Times New Roman" w:cs="Times New Roman"/>
          <w:color w:val="000000"/>
          <w:spacing w:val="0"/>
          <w:w w:val="100"/>
          <w:position w:val="0"/>
        </w:rPr>
        <w:t>”</w:t>
      </w:r>
      <w:r>
        <w:rPr>
          <w:color w:val="000000"/>
          <w:spacing w:val="0"/>
          <w:w w:val="100"/>
          <w:position w:val="0"/>
        </w:rPr>
        <w:t>一多元技术加速发力， 大规模项目持续落地，行业将迎来更多良机。</w:t>
      </w:r>
    </w:p>
    <w:p>
      <w:pPr>
        <w:pStyle w:val="Style28"/>
        <w:keepNext w:val="0"/>
        <w:keepLines w:val="0"/>
        <w:widowControl w:val="0"/>
        <w:shd w:val="clear" w:color="auto" w:fill="auto"/>
        <w:bidi w:val="0"/>
        <w:spacing w:before="0" w:after="160" w:line="319" w:lineRule="exact"/>
        <w:ind w:left="0" w:right="0" w:firstLine="440"/>
        <w:jc w:val="both"/>
      </w:pPr>
      <w:r>
        <w:rPr>
          <w:b/>
          <w:bCs/>
          <w:color w:val="000000"/>
          <w:spacing w:val="0"/>
          <w:w w:val="100"/>
          <w:position w:val="0"/>
        </w:rPr>
        <w:t>以上数据表明，一方面得益于国家长期稳健的经济增长和行业投资发展，另一方面在双碳政策下，建 设以新能源为主体的新型电力系统将大力带动风电、光伏、特高压、储能等多业态迎来重大发展机遇和风 口期。</w:t>
      </w:r>
    </w:p>
    <w:p>
      <w:pPr>
        <w:pStyle w:val="Style28"/>
        <w:keepNext w:val="0"/>
        <w:keepLines w:val="0"/>
        <w:widowControl w:val="0"/>
        <w:shd w:val="clear" w:color="auto" w:fill="auto"/>
        <w:bidi w:val="0"/>
        <w:spacing w:before="0" w:after="160" w:line="31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是推动我国能源转型的关键窗口期，新发展理念对电力高质量发展提出更高要求。在新形势 下行业发展必然会具备以下特点：</w:t>
      </w:r>
    </w:p>
    <w:p>
      <w:pPr>
        <w:pStyle w:val="Style28"/>
        <w:keepNext w:val="0"/>
        <w:keepLines w:val="0"/>
        <w:widowControl w:val="0"/>
        <w:numPr>
          <w:ilvl w:val="0"/>
          <w:numId w:val="1"/>
        </w:numPr>
        <w:shd w:val="clear" w:color="auto" w:fill="auto"/>
        <w:bidi w:val="0"/>
        <w:spacing w:before="0" w:after="160" w:line="312" w:lineRule="exact"/>
        <w:ind w:left="0" w:right="0" w:firstLine="440"/>
        <w:jc w:val="both"/>
        <w:sectPr>
          <w:footnotePr>
            <w:pos w:val="pageBottom"/>
            <w:numFmt w:val="decimal"/>
            <w:numRestart w:val="continuous"/>
          </w:footnotePr>
          <w:pgSz w:w="11900" w:h="16840"/>
          <w:pgMar w:top="2055" w:right="1004" w:bottom="1498" w:left="1104" w:header="0" w:footer="3" w:gutter="0"/>
          <w:cols w:space="720"/>
          <w:noEndnote/>
          <w:rtlGutter w:val="0"/>
          <w:docGrid w:linePitch="360"/>
        </w:sectPr>
      </w:pPr>
      <w:bookmarkStart w:id="58" w:name="bookmark58"/>
      <w:bookmarkEnd w:id="58"/>
      <w:r>
        <w:rPr>
          <w:color w:val="000000"/>
          <w:spacing w:val="0"/>
          <w:w w:val="100"/>
          <w:position w:val="0"/>
        </w:rPr>
        <w:t>强化能源安全，优化资源管理，大力发展新能源。在保障传统能源的储备开采供应，解决煤电价格 矛盾，发挥潜能和技改提升，协调处理经济民生及能源转型供应之间矛盾的基础上。多头并举发展水电、</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line="319" w:lineRule="exact"/>
        <w:ind w:left="0" w:right="0" w:firstLine="5820"/>
        <w:jc w:val="both"/>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核电、风电和太阳能发电等非化石类清洁能源。尤其大力发展可再生新能源及其光热储充、风光热储一体 化、环境友好化。到</w:t>
      </w:r>
      <w:r>
        <w:rPr>
          <w:rFonts w:ascii="Times New Roman" w:eastAsia="Times New Roman" w:hAnsi="Times New Roman" w:cs="Times New Roman"/>
          <w:color w:val="000000"/>
          <w:spacing w:val="0"/>
          <w:w w:val="100"/>
          <w:position w:val="0"/>
        </w:rPr>
        <w:t>2030</w:t>
      </w:r>
      <w:r>
        <w:rPr>
          <w:color w:val="000000"/>
          <w:spacing w:val="0"/>
          <w:w w:val="100"/>
          <w:position w:val="0"/>
        </w:rPr>
        <w:t>年，中国风电、太阳能发电总装机容量将达到</w:t>
      </w:r>
      <w:r>
        <w:rPr>
          <w:rFonts w:ascii="Times New Roman" w:eastAsia="Times New Roman" w:hAnsi="Times New Roman" w:cs="Times New Roman"/>
          <w:color w:val="000000"/>
          <w:spacing w:val="0"/>
          <w:w w:val="100"/>
          <w:position w:val="0"/>
        </w:rPr>
        <w:t>12</w:t>
      </w:r>
      <w:r>
        <w:rPr>
          <w:color w:val="000000"/>
          <w:spacing w:val="0"/>
          <w:w w:val="100"/>
          <w:position w:val="0"/>
        </w:rPr>
        <w:t>亿千瓦以上，年均增长</w:t>
      </w:r>
      <w:r>
        <w:rPr>
          <w:rFonts w:ascii="Times New Roman" w:eastAsia="Times New Roman" w:hAnsi="Times New Roman" w:cs="Times New Roman"/>
          <w:color w:val="000000"/>
          <w:spacing w:val="0"/>
          <w:w w:val="100"/>
          <w:position w:val="0"/>
        </w:rPr>
        <w:t>150GW</w:t>
      </w:r>
      <w:r>
        <w:rPr>
          <w:color w:val="000000"/>
          <w:spacing w:val="0"/>
          <w:w w:val="100"/>
          <w:position w:val="0"/>
        </w:rPr>
        <w:t>。</w:t>
      </w:r>
    </w:p>
    <w:p>
      <w:pPr>
        <w:pStyle w:val="Style28"/>
        <w:keepNext w:val="0"/>
        <w:keepLines w:val="0"/>
        <w:widowControl w:val="0"/>
        <w:numPr>
          <w:ilvl w:val="0"/>
          <w:numId w:val="1"/>
        </w:numPr>
        <w:shd w:val="clear" w:color="auto" w:fill="auto"/>
        <w:bidi w:val="0"/>
        <w:spacing w:before="0" w:line="315" w:lineRule="exact"/>
        <w:ind w:left="0" w:right="0" w:firstLine="480"/>
        <w:jc w:val="both"/>
      </w:pPr>
      <w:bookmarkStart w:id="59" w:name="bookmark59"/>
      <w:bookmarkEnd w:id="59"/>
      <w:r>
        <w:rPr>
          <w:color w:val="000000"/>
          <w:spacing w:val="0"/>
          <w:w w:val="100"/>
          <w:position w:val="0"/>
        </w:rPr>
        <w:t>大力发展新能源</w:t>
      </w:r>
      <w:r>
        <w:rPr>
          <w:rFonts w:ascii="Times New Roman" w:eastAsia="Times New Roman" w:hAnsi="Times New Roman" w:cs="Times New Roman"/>
          <w:color w:val="000000"/>
          <w:spacing w:val="0"/>
          <w:w w:val="100"/>
          <w:position w:val="0"/>
        </w:rPr>
        <w:t>+</w:t>
      </w:r>
      <w:r>
        <w:rPr>
          <w:color w:val="000000"/>
          <w:spacing w:val="0"/>
          <w:w w:val="100"/>
          <w:position w:val="0"/>
        </w:rPr>
        <w:t>储能的新型电力系统。结合国际形势和我国国情，实现新型电力系统必须要克服新 能源受季节气候等变化波动而产生的供应不稳定和系统安全性问题，克服我国能源分布和使用的区域差 异，充分发挥储能作用，实现</w:t>
      </w:r>
      <w:r>
        <w:rPr>
          <w:rFonts w:ascii="Times New Roman" w:eastAsia="Times New Roman" w:hAnsi="Times New Roman" w:cs="Times New Roman"/>
          <w:color w:val="000000"/>
          <w:spacing w:val="0"/>
          <w:w w:val="100"/>
          <w:position w:val="0"/>
        </w:rPr>
        <w:t>“</w:t>
      </w:r>
      <w:r>
        <w:rPr>
          <w:color w:val="000000"/>
          <w:spacing w:val="0"/>
          <w:w w:val="100"/>
          <w:position w:val="0"/>
        </w:rPr>
        <w:t>源网荷储</w:t>
      </w:r>
      <w:r>
        <w:rPr>
          <w:rFonts w:ascii="Times New Roman" w:eastAsia="Times New Roman" w:hAnsi="Times New Roman" w:cs="Times New Roman"/>
          <w:color w:val="000000"/>
          <w:spacing w:val="0"/>
          <w:w w:val="100"/>
          <w:position w:val="0"/>
        </w:rPr>
        <w:t>''</w:t>
      </w:r>
      <w:r>
        <w:rPr>
          <w:color w:val="000000"/>
          <w:spacing w:val="0"/>
          <w:w w:val="100"/>
          <w:position w:val="0"/>
        </w:rPr>
        <w:t>一体化。完善储能的市场化应用和多业态技术研发降本增效。储 能在电力系统中的重要性逐渐增强，我国大力发展氢能、抽水蓄能和电化学储能。特别是电化学储能增速 快，同时叠加其成本下降和政策支持，产品功能愈加强大更加集成化、智能化。应用场景也从输配电侧增 至发电侧配建、用户侧和共享式等多种类型。</w:t>
      </w:r>
      <w:r>
        <w:rPr>
          <w:rFonts w:ascii="Times New Roman" w:eastAsia="Times New Roman" w:hAnsi="Times New Roman" w:cs="Times New Roman"/>
          <w:color w:val="000000"/>
          <w:spacing w:val="0"/>
          <w:w w:val="100"/>
          <w:position w:val="0"/>
        </w:rPr>
        <w:t>2030</w:t>
      </w:r>
      <w:r>
        <w:rPr>
          <w:color w:val="000000"/>
          <w:spacing w:val="0"/>
          <w:w w:val="100"/>
          <w:position w:val="0"/>
        </w:rPr>
        <w:t>年将完成新型储能的全面市场化应用，充分满足系统需 求，助力碳达峰。因此储能行业将是保持高速增长的赛道。</w:t>
      </w:r>
    </w:p>
    <w:p>
      <w:pPr>
        <w:pStyle w:val="Style28"/>
        <w:keepNext w:val="0"/>
        <w:keepLines w:val="0"/>
        <w:widowControl w:val="0"/>
        <w:numPr>
          <w:ilvl w:val="0"/>
          <w:numId w:val="1"/>
        </w:numPr>
        <w:shd w:val="clear" w:color="auto" w:fill="auto"/>
        <w:bidi w:val="0"/>
        <w:spacing w:before="0" w:line="319" w:lineRule="exact"/>
        <w:ind w:left="0" w:right="0" w:firstLine="480"/>
        <w:jc w:val="both"/>
      </w:pPr>
      <w:bookmarkStart w:id="60" w:name="bookmark60"/>
      <w:bookmarkEnd w:id="60"/>
      <w:r>
        <w:rPr>
          <w:color w:val="000000"/>
          <w:spacing w:val="0"/>
          <w:w w:val="100"/>
          <w:position w:val="0"/>
        </w:rPr>
        <w:t>充分适应新型能源系统要求，加快构建大容量传输为骨干，以数字化赋能、区域微网、柔性直流为 特色的扎实灵活的智能电网。继续加强和扩大特高压建设。深化电力体制改革，加快形成统一、开放、有 序的电力交易市场。</w:t>
      </w:r>
    </w:p>
    <w:p>
      <w:pPr>
        <w:pStyle w:val="Style28"/>
        <w:keepNext w:val="0"/>
        <w:keepLines w:val="0"/>
        <w:widowControl w:val="0"/>
        <w:numPr>
          <w:ilvl w:val="0"/>
          <w:numId w:val="1"/>
        </w:numPr>
        <w:shd w:val="clear" w:color="auto" w:fill="auto"/>
        <w:bidi w:val="0"/>
        <w:spacing w:before="0" w:line="322" w:lineRule="exact"/>
        <w:ind w:left="0" w:right="0" w:firstLine="480"/>
        <w:jc w:val="both"/>
      </w:pPr>
      <w:bookmarkStart w:id="61" w:name="bookmark61"/>
      <w:bookmarkEnd w:id="61"/>
      <w:r>
        <w:rPr>
          <w:color w:val="000000"/>
          <w:spacing w:val="0"/>
          <w:w w:val="100"/>
          <w:position w:val="0"/>
        </w:rPr>
        <w:t>电动汽车是实现双碳目标的重要抓手。十四五期间，电动汽车的保有量将由</w:t>
      </w:r>
      <w:r>
        <w:rPr>
          <w:rFonts w:ascii="Times New Roman" w:eastAsia="Times New Roman" w:hAnsi="Times New Roman" w:cs="Times New Roman"/>
          <w:color w:val="000000"/>
          <w:spacing w:val="0"/>
          <w:w w:val="100"/>
          <w:position w:val="0"/>
        </w:rPr>
        <w:t>640</w:t>
      </w:r>
      <w:r>
        <w:rPr>
          <w:color w:val="000000"/>
          <w:spacing w:val="0"/>
          <w:w w:val="100"/>
          <w:position w:val="0"/>
        </w:rPr>
        <w:t>万辆增至</w:t>
      </w:r>
      <w:r>
        <w:rPr>
          <w:rFonts w:ascii="Times New Roman" w:eastAsia="Times New Roman" w:hAnsi="Times New Roman" w:cs="Times New Roman"/>
          <w:color w:val="000000"/>
          <w:spacing w:val="0"/>
          <w:w w:val="100"/>
          <w:position w:val="0"/>
        </w:rPr>
        <w:t>2180</w:t>
      </w:r>
      <w:r>
        <w:rPr>
          <w:color w:val="000000"/>
          <w:spacing w:val="0"/>
          <w:w w:val="100"/>
          <w:position w:val="0"/>
        </w:rPr>
        <w:t>万辆， 由此而带来的新一轮的新型充电桩建设和光储充一体化大力发展的高潮。</w:t>
      </w:r>
    </w:p>
    <w:p>
      <w:pPr>
        <w:pStyle w:val="Style28"/>
        <w:keepNext w:val="0"/>
        <w:keepLines w:val="0"/>
        <w:widowControl w:val="0"/>
        <w:numPr>
          <w:ilvl w:val="0"/>
          <w:numId w:val="1"/>
        </w:numPr>
        <w:shd w:val="clear" w:color="auto" w:fill="auto"/>
        <w:bidi w:val="0"/>
        <w:spacing w:before="0" w:line="315" w:lineRule="exact"/>
        <w:ind w:left="0" w:right="0" w:firstLine="480"/>
        <w:jc w:val="both"/>
      </w:pPr>
      <w:bookmarkStart w:id="62" w:name="bookmark62"/>
      <w:bookmarkEnd w:id="62"/>
      <w:r>
        <w:rPr>
          <w:color w:val="000000"/>
          <w:spacing w:val="0"/>
          <w:w w:val="100"/>
          <w:position w:val="0"/>
        </w:rPr>
        <w:t>深化落实国家双碳政策。结合相关行动指南纲领。从社会、经济和生活各环节加强环保节能措施。 培育碳交易市场化和碳金融，逐渐实现能源全领域的电气化、清洁化和智能化。加大技术创新应用并以此 培育产业。如大数据、人工智能、仿真、新型材料技术在新能源设备的应用。推广建筑绿色低碳节能技术 和建筑光伏一体化（</w:t>
      </w:r>
      <w:r>
        <w:rPr>
          <w:rFonts w:ascii="Times New Roman" w:eastAsia="Times New Roman" w:hAnsi="Times New Roman" w:cs="Times New Roman"/>
          <w:color w:val="000000"/>
          <w:spacing w:val="0"/>
          <w:w w:val="100"/>
          <w:position w:val="0"/>
        </w:rPr>
        <w:t>BIPV</w:t>
      </w:r>
      <w:r>
        <w:rPr>
          <w:color w:val="000000"/>
          <w:spacing w:val="0"/>
          <w:w w:val="100"/>
          <w:position w:val="0"/>
        </w:rPr>
        <w:t>）。</w:t>
      </w:r>
    </w:p>
    <w:p>
      <w:pPr>
        <w:pStyle w:val="Style28"/>
        <w:keepNext w:val="0"/>
        <w:keepLines w:val="0"/>
        <w:widowControl w:val="0"/>
        <w:numPr>
          <w:ilvl w:val="0"/>
          <w:numId w:val="1"/>
        </w:numPr>
        <w:shd w:val="clear" w:color="auto" w:fill="auto"/>
        <w:bidi w:val="0"/>
        <w:spacing w:before="0" w:line="331" w:lineRule="exact"/>
        <w:ind w:left="0" w:right="0" w:firstLine="480"/>
        <w:jc w:val="both"/>
      </w:pPr>
      <w:bookmarkStart w:id="63" w:name="bookmark63"/>
      <w:bookmarkEnd w:id="63"/>
      <w:r>
        <w:rPr>
          <w:color w:val="000000"/>
          <w:spacing w:val="0"/>
          <w:w w:val="100"/>
          <w:position w:val="0"/>
        </w:rPr>
        <w:t>呼应国家双循环经济政策，在提高行业技术效益同时参与全球能源转型变革，发挥我国储能、特高 压和智能电网、新能源装备和工程建设优势，建设好</w:t>
      </w:r>
      <w:r>
        <w:rPr>
          <w:rFonts w:ascii="Times New Roman" w:eastAsia="Times New Roman" w:hAnsi="Times New Roman" w:cs="Times New Roman"/>
          <w:color w:val="000000"/>
          <w:spacing w:val="0"/>
          <w:w w:val="100"/>
          <w:position w:val="0"/>
        </w:rPr>
        <w:t>“</w:t>
      </w:r>
      <w:r>
        <w:rPr>
          <w:color w:val="000000"/>
          <w:spacing w:val="0"/>
          <w:w w:val="100"/>
          <w:position w:val="0"/>
        </w:rPr>
        <w:t>一带一路''能源合作伙伴关系，促进国际合作。</w:t>
      </w:r>
    </w:p>
    <w:p>
      <w:pPr>
        <w:pStyle w:val="Style28"/>
        <w:keepNext w:val="0"/>
        <w:keepLines w:val="0"/>
        <w:widowControl w:val="0"/>
        <w:shd w:val="clear" w:color="auto" w:fill="auto"/>
        <w:bidi w:val="0"/>
        <w:spacing w:before="0" w:line="315" w:lineRule="exact"/>
        <w:ind w:left="0" w:right="0" w:firstLine="480"/>
        <w:jc w:val="both"/>
      </w:pPr>
      <w:bookmarkStart w:id="64" w:name="bookmark64"/>
      <w:r>
        <w:rPr>
          <w:b/>
          <w:bCs/>
          <w:color w:val="000000"/>
          <w:spacing w:val="0"/>
          <w:w w:val="100"/>
          <w:position w:val="0"/>
        </w:rPr>
        <w:t>（</w:t>
      </w:r>
      <w:bookmarkEnd w:id="64"/>
      <w:r>
        <w:rPr>
          <w:b/>
          <w:bCs/>
          <w:color w:val="000000"/>
          <w:spacing w:val="0"/>
          <w:w w:val="100"/>
          <w:position w:val="0"/>
        </w:rPr>
        <w:t>二）公司所处行业的主要政策</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为深入贯彻国家双碳政策，加快构建清洁低碳安全高效的能源体系。</w:t>
      </w:r>
      <w:r>
        <w:rPr>
          <w:rFonts w:ascii="Times New Roman" w:eastAsia="Times New Roman" w:hAnsi="Times New Roman" w:cs="Times New Roman"/>
          <w:color w:val="000000"/>
          <w:spacing w:val="0"/>
          <w:w w:val="100"/>
          <w:position w:val="0"/>
        </w:rPr>
        <w:t>2021</w:t>
      </w:r>
      <w:r>
        <w:rPr>
          <w:color w:val="000000"/>
          <w:spacing w:val="0"/>
          <w:w w:val="100"/>
          <w:position w:val="0"/>
        </w:rPr>
        <w:t>年至今先后公布出台相关配 套政策，全面推进风电、太阳能发电大规模开发，大力发展新型储能，推进源网荷储一体化。这些政策已 成为推动经济社会发展、践行生态文明战略目标的重要力量。不仅为行业打开了全新的发展格局，更为企 业的价值创造与再造锚定了方向。助力构建以新能源为主体的新型电力系统，推动实现国家</w:t>
      </w:r>
      <w:r>
        <w:rPr>
          <w:rFonts w:ascii="Times New Roman" w:eastAsia="Times New Roman" w:hAnsi="Times New Roman" w:cs="Times New Roman"/>
          <w:color w:val="000000"/>
          <w:spacing w:val="0"/>
          <w:w w:val="100"/>
          <w:position w:val="0"/>
        </w:rPr>
        <w:t>“</w:t>
      </w:r>
      <w:r>
        <w:rPr>
          <w:color w:val="000000"/>
          <w:spacing w:val="0"/>
          <w:w w:val="100"/>
          <w:position w:val="0"/>
        </w:rPr>
        <w:t>碳达峰、碳 中和</w:t>
      </w:r>
      <w:r>
        <w:rPr>
          <w:rFonts w:ascii="Times New Roman" w:eastAsia="Times New Roman" w:hAnsi="Times New Roman" w:cs="Times New Roman"/>
          <w:color w:val="000000"/>
          <w:spacing w:val="0"/>
          <w:w w:val="100"/>
          <w:position w:val="0"/>
        </w:rPr>
        <w:t>”</w:t>
      </w:r>
      <w:r>
        <w:rPr>
          <w:color w:val="000000"/>
          <w:spacing w:val="0"/>
          <w:w w:val="100"/>
          <w:position w:val="0"/>
        </w:rPr>
        <w:t>目标。</w:t>
      </w:r>
    </w:p>
    <w:tbl>
      <w:tblPr>
        <w:tblOverlap w:val="never"/>
        <w:jc w:val="center"/>
        <w:tblLayout w:type="fixed"/>
      </w:tblPr>
      <w:tblGrid>
        <w:gridCol w:w="677"/>
        <w:gridCol w:w="1085"/>
        <w:gridCol w:w="1243"/>
        <w:gridCol w:w="1862"/>
        <w:gridCol w:w="451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发布时间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发布单位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政策名称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政策内容</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国家发展改 革委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关于加快建立健全 绿色低碳循环发展 经济体系的指导意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意见提出，加快基础设施绿色升级，推动能源体 系绿色低碳转型。提升可再生能源利用比例，大 力推动风电、光伏发电发展，因地制宜发展水能、 地热能、海洋能、氢能、生物质能、光热发电。 加快大容量储能技术研发推广，提升电网汇集和 外送能力。</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国家发展改 革委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关于推进</w:t>
            </w:r>
            <w:r>
              <w:rPr>
                <w:rFonts w:ascii="Times New Roman" w:eastAsia="Times New Roman" w:hAnsi="Times New Roman" w:cs="Times New Roman"/>
                <w:color w:val="000000"/>
                <w:spacing w:val="0"/>
                <w:w w:val="100"/>
                <w:position w:val="0"/>
              </w:rPr>
              <w:t>2021</w:t>
            </w:r>
            <w:r>
              <w:rPr>
                <w:color w:val="000000"/>
                <w:spacing w:val="0"/>
                <w:w w:val="100"/>
                <w:position w:val="0"/>
              </w:rPr>
              <w:t>年度 电力源网荷储一体 化和多能互补发展 工作的通知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通知表示，各省级能源主管部门应开展</w:t>
            </w:r>
            <w:r>
              <w:rPr>
                <w:rFonts w:ascii="Times New Roman" w:eastAsia="Times New Roman" w:hAnsi="Times New Roman" w:cs="Times New Roman"/>
                <w:color w:val="000000"/>
                <w:spacing w:val="0"/>
                <w:w w:val="100"/>
                <w:position w:val="0"/>
              </w:rPr>
              <w:t>“</w:t>
            </w:r>
            <w:r>
              <w:rPr>
                <w:color w:val="000000"/>
                <w:spacing w:val="0"/>
                <w:w w:val="100"/>
                <w:position w:val="0"/>
              </w:rPr>
              <w:t>一体化</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项目评估工作，与国家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可再生能源发展 规划充分衔接，论证明确</w:t>
            </w:r>
            <w:r>
              <w:rPr>
                <w:rFonts w:ascii="Times New Roman" w:eastAsia="Times New Roman" w:hAnsi="Times New Roman" w:cs="Times New Roman"/>
                <w:color w:val="000000"/>
                <w:spacing w:val="0"/>
                <w:w w:val="100"/>
                <w:position w:val="0"/>
              </w:rPr>
              <w:t>“</w:t>
            </w:r>
            <w:r>
              <w:rPr>
                <w:color w:val="000000"/>
                <w:spacing w:val="0"/>
                <w:w w:val="100"/>
                <w:position w:val="0"/>
              </w:rPr>
              <w:t>一体化</w:t>
            </w:r>
            <w:r>
              <w:rPr>
                <w:rFonts w:ascii="Times New Roman" w:eastAsia="Times New Roman" w:hAnsi="Times New Roman" w:cs="Times New Roman"/>
                <w:color w:val="000000"/>
                <w:spacing w:val="0"/>
                <w:w w:val="100"/>
                <w:position w:val="0"/>
              </w:rPr>
              <w:t>''</w:t>
            </w:r>
            <w:r>
              <w:rPr>
                <w:color w:val="000000"/>
                <w:spacing w:val="0"/>
                <w:w w:val="100"/>
                <w:position w:val="0"/>
              </w:rPr>
              <w:t>项目立项条件、 消纳条件、建设规模、接入系统方案、配套电网 工程等，在充分征求相关电力企业意见基础上， 于</w:t>
            </w:r>
            <w:r>
              <w:rPr>
                <w:rFonts w:ascii="Times New Roman" w:eastAsia="Times New Roman" w:hAnsi="Times New Roman" w:cs="Times New Roman"/>
                <w:color w:val="000000"/>
                <w:spacing w:val="0"/>
                <w:w w:val="100"/>
                <w:position w:val="0"/>
              </w:rPr>
              <w:t>12</w:t>
            </w:r>
            <w:r>
              <w:rPr>
                <w:color w:val="000000"/>
                <w:spacing w:val="0"/>
                <w:w w:val="100"/>
                <w:position w:val="0"/>
              </w:rPr>
              <w:t>月底前择优纳入本省（区、市）电力规划。</w:t>
            </w:r>
          </w:p>
        </w:tc>
      </w:tr>
    </w:tbl>
    <w:p>
      <w:pPr>
        <w:sectPr>
          <w:footnotePr>
            <w:pos w:val="pageBottom"/>
            <w:numFmt w:val="decimal"/>
            <w:numRestart w:val="continuous"/>
          </w:footnotePr>
          <w:pgSz w:w="11900" w:h="16840"/>
          <w:pgMar w:top="985" w:right="1032" w:bottom="1201" w:left="1066" w:header="0" w:footer="3" w:gutter="0"/>
          <w:cols w:space="720"/>
          <w:noEndnote/>
          <w:rtlGutter w:val="0"/>
          <w:docGrid w:linePitch="360"/>
        </w:sectPr>
      </w:pPr>
    </w:p>
    <w:tbl>
      <w:tblPr>
        <w:tblOverlap w:val="never"/>
        <w:jc w:val="center"/>
        <w:tblLayout w:type="fixed"/>
      </w:tblPr>
      <w:tblGrid>
        <w:gridCol w:w="677"/>
        <w:gridCol w:w="1085"/>
        <w:gridCol w:w="1243"/>
        <w:gridCol w:w="1862"/>
        <w:gridCol w:w="4512"/>
      </w:tblGrid>
      <w:tr>
        <w:trPr>
          <w:trHeight w:val="196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2021-03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中华人民共和国国 民经济和社会发展 第十四个五年规划 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 纲要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纲要指出，加快电网基础设施智能化改造和智能 微电网建设，提高电力系统互补互济和智能调节 能力，加强源网荷储衔接，提升清洁能源消纳和 存储能力，提升向边远地区输配电能力，推进煤 电灵活性改造，加快抽水蓄能电站建设和新型储 能技术规模化应用。</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具有中国特色国际 领先的能源互联网 规划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规划提出，到</w:t>
            </w:r>
            <w:r>
              <w:rPr>
                <w:rFonts w:ascii="Times New Roman" w:eastAsia="Times New Roman" w:hAnsi="Times New Roman" w:cs="Times New Roman"/>
                <w:color w:val="000000"/>
                <w:spacing w:val="0"/>
                <w:w w:val="100"/>
                <w:position w:val="0"/>
              </w:rPr>
              <w:t>2025</w:t>
            </w:r>
            <w:r>
              <w:rPr>
                <w:color w:val="000000"/>
                <w:spacing w:val="0"/>
                <w:w w:val="100"/>
                <w:position w:val="0"/>
              </w:rPr>
              <w:t>年基本建成、</w:t>
            </w:r>
            <w:r>
              <w:rPr>
                <w:rFonts w:ascii="Times New Roman" w:eastAsia="Times New Roman" w:hAnsi="Times New Roman" w:cs="Times New Roman"/>
                <w:color w:val="000000"/>
                <w:spacing w:val="0"/>
                <w:w w:val="100"/>
                <w:position w:val="0"/>
              </w:rPr>
              <w:t>2035</w:t>
            </w:r>
            <w:r>
              <w:rPr>
                <w:color w:val="000000"/>
                <w:spacing w:val="0"/>
                <w:w w:val="100"/>
                <w:position w:val="0"/>
              </w:rPr>
              <w:t>年全面建成 具有中国特色国际领先的能源互联网。</w:t>
            </w:r>
            <w:r>
              <w:rPr>
                <w:rFonts w:ascii="Times New Roman" w:eastAsia="Times New Roman" w:hAnsi="Times New Roman" w:cs="Times New Roman"/>
                <w:color w:val="000000"/>
                <w:spacing w:val="0"/>
                <w:w w:val="100"/>
                <w:position w:val="0"/>
              </w:rPr>
              <w:t>2025</w:t>
            </w:r>
            <w:r>
              <w:rPr>
                <w:color w:val="000000"/>
                <w:spacing w:val="0"/>
                <w:w w:val="100"/>
                <w:position w:val="0"/>
              </w:rPr>
              <w:t>年实 现非化石能源站一次能源比重达</w:t>
            </w:r>
            <w:r>
              <w:rPr>
                <w:rFonts w:ascii="Times New Roman" w:eastAsia="Times New Roman" w:hAnsi="Times New Roman" w:cs="Times New Roman"/>
                <w:color w:val="000000"/>
                <w:spacing w:val="0"/>
                <w:w w:val="100"/>
                <w:position w:val="0"/>
              </w:rPr>
              <w:t>20%</w:t>
            </w:r>
            <w:r>
              <w:rPr>
                <w:color w:val="000000"/>
                <w:spacing w:val="0"/>
                <w:w w:val="100"/>
                <w:position w:val="0"/>
              </w:rPr>
              <w:t>，电能站终端 能源消费比重达到</w:t>
            </w:r>
            <w:r>
              <w:rPr>
                <w:rFonts w:ascii="Times New Roman" w:eastAsia="Times New Roman" w:hAnsi="Times New Roman" w:cs="Times New Roman"/>
                <w:color w:val="000000"/>
                <w:spacing w:val="0"/>
                <w:w w:val="100"/>
                <w:position w:val="0"/>
              </w:rPr>
              <w:t>30%</w:t>
            </w:r>
            <w:r>
              <w:rPr>
                <w:color w:val="000000"/>
                <w:spacing w:val="0"/>
                <w:w w:val="100"/>
                <w:position w:val="0"/>
              </w:rPr>
              <w:t>，跨省跨区输电能力达到</w:t>
            </w:r>
            <w:r>
              <w:rPr>
                <w:rFonts w:ascii="Times New Roman" w:eastAsia="Times New Roman" w:hAnsi="Times New Roman" w:cs="Times New Roman"/>
                <w:color w:val="000000"/>
                <w:spacing w:val="0"/>
                <w:w w:val="100"/>
                <w:position w:val="0"/>
              </w:rPr>
              <w:t xml:space="preserve">3 </w:t>
            </w:r>
            <w:r>
              <w:rPr>
                <w:color w:val="000000"/>
                <w:spacing w:val="0"/>
                <w:w w:val="100"/>
                <w:position w:val="0"/>
              </w:rPr>
              <w:t>亿千瓦。紧密围绕实现双碳目标和构建新型电力 系统，建设能源互联网，一是坚强网架为平台， 促进多能互补，多元互动，确保能源安全供应， 二是通过电网数字化转型全面提升处理、应用安 全等能力，推动智能电网向智慧电网升级。</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国家能源局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年风电、光 伏发电开发建设有 关事项的通知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意见表示，要落实碳达峰、碳中和目标，以及</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年非化石能源占一次能源消费比重达到</w:t>
            </w:r>
            <w:r>
              <w:rPr>
                <w:rFonts w:ascii="Times New Roman" w:eastAsia="Times New Roman" w:hAnsi="Times New Roman" w:cs="Times New Roman"/>
                <w:color w:val="000000"/>
                <w:spacing w:val="0"/>
                <w:w w:val="100"/>
                <w:position w:val="0"/>
              </w:rPr>
              <w:t>25%</w:t>
            </w:r>
            <w:r>
              <w:rPr>
                <w:color w:val="000000"/>
                <w:spacing w:val="0"/>
                <w:w w:val="100"/>
                <w:position w:val="0"/>
              </w:rPr>
              <w:t>左右、 风电太阳能发电总装机容量达到</w:t>
            </w:r>
            <w:r>
              <w:rPr>
                <w:rFonts w:ascii="Times New Roman" w:eastAsia="Times New Roman" w:hAnsi="Times New Roman" w:cs="Times New Roman"/>
                <w:color w:val="000000"/>
                <w:spacing w:val="0"/>
                <w:w w:val="100"/>
                <w:position w:val="0"/>
              </w:rPr>
              <w:t>12</w:t>
            </w:r>
            <w:r>
              <w:rPr>
                <w:color w:val="000000"/>
                <w:spacing w:val="0"/>
                <w:w w:val="100"/>
                <w:position w:val="0"/>
              </w:rPr>
              <w:t>亿千瓦以上等 任务，坚持目标导向，完善发展机制，释放消纳 空间，优化发展环境，发挥地方主导作用，调动 投资主体积极性，推动风电、光伏发电高质量跃 升发展。</w:t>
            </w:r>
            <w:r>
              <w:rPr>
                <w:rFonts w:ascii="Times New Roman" w:eastAsia="Times New Roman" w:hAnsi="Times New Roman" w:cs="Times New Roman"/>
                <w:color w:val="000000"/>
                <w:spacing w:val="0"/>
                <w:w w:val="100"/>
                <w:position w:val="0"/>
              </w:rPr>
              <w:t>2021</w:t>
            </w:r>
            <w:r>
              <w:rPr>
                <w:color w:val="000000"/>
                <w:spacing w:val="0"/>
                <w:w w:val="100"/>
                <w:position w:val="0"/>
              </w:rPr>
              <w:t>年，全国风电、光伏发电发电量占 全社会用电量的比重达到</w:t>
            </w:r>
            <w:r>
              <w:rPr>
                <w:rFonts w:ascii="Times New Roman" w:eastAsia="Times New Roman" w:hAnsi="Times New Roman" w:cs="Times New Roman"/>
                <w:color w:val="000000"/>
                <w:spacing w:val="0"/>
                <w:w w:val="100"/>
                <w:position w:val="0"/>
              </w:rPr>
              <w:t>11%</w:t>
            </w:r>
            <w:r>
              <w:rPr>
                <w:color w:val="000000"/>
                <w:spacing w:val="0"/>
                <w:w w:val="100"/>
                <w:position w:val="0"/>
              </w:rPr>
              <w:t>左右，后续逐年提 高，到</w:t>
            </w:r>
            <w:r>
              <w:rPr>
                <w:rFonts w:ascii="Times New Roman" w:eastAsia="Times New Roman" w:hAnsi="Times New Roman" w:cs="Times New Roman"/>
                <w:color w:val="000000"/>
                <w:spacing w:val="0"/>
                <w:w w:val="100"/>
                <w:position w:val="0"/>
              </w:rPr>
              <w:t>2025</w:t>
            </w:r>
            <w:r>
              <w:rPr>
                <w:color w:val="000000"/>
                <w:spacing w:val="0"/>
                <w:w w:val="100"/>
                <w:position w:val="0"/>
              </w:rPr>
              <w:t>年达到</w:t>
            </w:r>
            <w:r>
              <w:rPr>
                <w:rFonts w:ascii="Times New Roman" w:eastAsia="Times New Roman" w:hAnsi="Times New Roman" w:cs="Times New Roman"/>
                <w:color w:val="000000"/>
                <w:spacing w:val="0"/>
                <w:w w:val="100"/>
                <w:position w:val="0"/>
              </w:rPr>
              <w:t>16.5%</w:t>
            </w:r>
            <w:r>
              <w:rPr>
                <w:color w:val="000000"/>
                <w:spacing w:val="0"/>
                <w:w w:val="100"/>
                <w:position w:val="0"/>
              </w:rPr>
              <w:t>左右。</w:t>
            </w:r>
          </w:p>
        </w:tc>
      </w:tr>
      <w:tr>
        <w:trPr>
          <w:trHeight w:val="28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国家发展改 革委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关于加快推动新型 储能发展的指导意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意见明确，</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30GW</w:t>
            </w:r>
            <w:r>
              <w:rPr>
                <w:color w:val="000000"/>
                <w:spacing w:val="0"/>
                <w:w w:val="100"/>
                <w:position w:val="0"/>
              </w:rPr>
              <w:t xml:space="preserve">的发展目标，未来五年将 实现新型储能从商业化初期向规模化转变，到 </w:t>
            </w:r>
            <w:r>
              <w:rPr>
                <w:rFonts w:ascii="Times New Roman" w:eastAsia="Times New Roman" w:hAnsi="Times New Roman" w:cs="Times New Roman"/>
                <w:color w:val="000000"/>
                <w:spacing w:val="0"/>
                <w:w w:val="100"/>
                <w:position w:val="0"/>
              </w:rPr>
              <w:t>2030</w:t>
            </w:r>
            <w:r>
              <w:rPr>
                <w:color w:val="000000"/>
                <w:spacing w:val="0"/>
                <w:w w:val="100"/>
                <w:position w:val="0"/>
              </w:rPr>
              <w:t>年实现新型储能全面市场化发展，鼓励储能 多元发展，进一步完善储能价格回收机制，支持 共享储能发展。明确电源侧着力于系统友好型新 能源电站和多能互补的大型清洁能源基地等重点 方向；电网侧围绕提升系统灵活调节能力、安全、 供电保障能力合理布局；用户侧鼓励围绕跨界融 合和商业模式探索创新。</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国家能源局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关于公布整县（市、 区）屋顶分布式光伏 开发试点名单的通 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通知明确全国共有</w:t>
            </w:r>
            <w:r>
              <w:rPr>
                <w:rFonts w:ascii="Times New Roman" w:eastAsia="Times New Roman" w:hAnsi="Times New Roman" w:cs="Times New Roman"/>
                <w:color w:val="000000"/>
                <w:spacing w:val="0"/>
                <w:w w:val="100"/>
                <w:position w:val="0"/>
              </w:rPr>
              <w:t>676</w:t>
            </w:r>
            <w:r>
              <w:rPr>
                <w:color w:val="000000"/>
                <w:spacing w:val="0"/>
                <w:w w:val="100"/>
                <w:position w:val="0"/>
              </w:rPr>
              <w:t xml:space="preserve">个，全部列为整县（市、区） 屋顶分布式光伏开发试点，试点工作要严格落实 </w:t>
            </w:r>
            <w:r>
              <w:rPr>
                <w:rFonts w:ascii="Times New Roman" w:eastAsia="Times New Roman" w:hAnsi="Times New Roman" w:cs="Times New Roman"/>
                <w:color w:val="000000"/>
                <w:spacing w:val="0"/>
                <w:w w:val="100"/>
                <w:position w:val="0"/>
              </w:rPr>
              <w:t>“</w:t>
            </w:r>
            <w:r>
              <w:rPr>
                <w:color w:val="000000"/>
                <w:spacing w:val="0"/>
                <w:w w:val="100"/>
                <w:position w:val="0"/>
              </w:rPr>
              <w:t>自愿不强制、试点不审批、到位不越位、竞争不 垄断、工作不暂停</w:t>
            </w:r>
            <w:r>
              <w:rPr>
                <w:rFonts w:ascii="Times New Roman" w:eastAsia="Times New Roman" w:hAnsi="Times New Roman" w:cs="Times New Roman"/>
                <w:color w:val="000000"/>
                <w:spacing w:val="0"/>
                <w:w w:val="100"/>
                <w:position w:val="0"/>
              </w:rPr>
              <w:t>”</w:t>
            </w:r>
            <w:r>
              <w:rPr>
                <w:color w:val="000000"/>
                <w:spacing w:val="0"/>
                <w:w w:val="100"/>
                <w:position w:val="0"/>
              </w:rPr>
              <w:t>的工作要求。</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中共中央国 务院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关于完整准确全面 贯彻新发展理念做 好碳达峰碳中和工 作的意见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中共中央、国务院积极发展非化石能源。实施可 再生能源替代行动，大力发展风能、太阳能、生 物质能、海洋能、地热能等，不断提高非化石能 源消费比重。坚持集中式与分布式并举，优先推 动风能、太阳能就地就近开发利用。因地制宜开 发水能。积极安全有序发展核电。合理利用生物</w:t>
            </w:r>
          </w:p>
        </w:tc>
      </w:tr>
    </w:tbl>
    <w:p>
      <w:pPr>
        <w:spacing w:lineRule="exact" w:line="1"/>
        <w:rPr>
          <w:sz w:val="2"/>
          <w:szCs w:val="2"/>
        </w:rPr>
      </w:pPr>
      <w:r>
        <w:br w:type="page"/>
      </w:r>
    </w:p>
    <w:tbl>
      <w:tblPr>
        <w:tblOverlap w:val="never"/>
        <w:jc w:val="center"/>
        <w:tblLayout w:type="fixed"/>
      </w:tblPr>
      <w:tblGrid>
        <w:gridCol w:w="677"/>
        <w:gridCol w:w="1085"/>
        <w:gridCol w:w="1243"/>
        <w:gridCol w:w="1862"/>
        <w:gridCol w:w="4512"/>
      </w:tblGrid>
      <w:tr>
        <w:trPr>
          <w:trHeight w:val="13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质能。加快推进抽水蓄能和新型储能规模化应用。 统筹推进氢能</w:t>
            </w:r>
            <w:r>
              <w:rPr>
                <w:rFonts w:ascii="Times New Roman" w:eastAsia="Times New Roman" w:hAnsi="Times New Roman" w:cs="Times New Roman"/>
                <w:color w:val="000000"/>
                <w:spacing w:val="0"/>
                <w:w w:val="100"/>
                <w:position w:val="0"/>
              </w:rPr>
              <w:t>“</w:t>
            </w:r>
            <w:r>
              <w:rPr>
                <w:color w:val="000000"/>
                <w:spacing w:val="0"/>
                <w:w w:val="100"/>
                <w:position w:val="0"/>
              </w:rPr>
              <w:t>制储输用</w:t>
            </w:r>
            <w:r>
              <w:rPr>
                <w:rFonts w:ascii="Times New Roman" w:eastAsia="Times New Roman" w:hAnsi="Times New Roman" w:cs="Times New Roman"/>
                <w:color w:val="000000"/>
                <w:spacing w:val="0"/>
                <w:w w:val="100"/>
                <w:position w:val="0"/>
              </w:rPr>
              <w:t>”</w:t>
            </w:r>
            <w:r>
              <w:rPr>
                <w:color w:val="000000"/>
                <w:spacing w:val="0"/>
                <w:w w:val="100"/>
                <w:position w:val="0"/>
              </w:rPr>
              <w:t>全链条发展。构建以新 能源为主体的新型电力系统，提高电网对高比例 可再生能源的消纳和调控能力。</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2030</w:t>
            </w:r>
            <w:r>
              <w:rPr>
                <w:color w:val="000000"/>
                <w:spacing w:val="0"/>
                <w:w w:val="100"/>
                <w:position w:val="0"/>
              </w:rPr>
              <w:t>年前碳达峰行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方案强调，要坚持</w:t>
            </w:r>
            <w:r>
              <w:rPr>
                <w:rFonts w:ascii="Times New Roman" w:eastAsia="Times New Roman" w:hAnsi="Times New Roman" w:cs="Times New Roman"/>
                <w:color w:val="000000"/>
                <w:spacing w:val="0"/>
                <w:w w:val="100"/>
                <w:position w:val="0"/>
              </w:rPr>
              <w:t>“</w:t>
            </w:r>
            <w:r>
              <w:rPr>
                <w:color w:val="000000"/>
                <w:spacing w:val="0"/>
                <w:w w:val="100"/>
                <w:position w:val="0"/>
              </w:rPr>
              <w:t>总体部署、分类施策，系统推 进、重点突破，双轮驱动、两手发力，稳妥有序、 安全降碳</w:t>
            </w:r>
            <w:r>
              <w:rPr>
                <w:rFonts w:ascii="Times New Roman" w:eastAsia="Times New Roman" w:hAnsi="Times New Roman" w:cs="Times New Roman"/>
                <w:color w:val="000000"/>
                <w:spacing w:val="0"/>
                <w:w w:val="100"/>
                <w:position w:val="0"/>
              </w:rPr>
              <w:t>”</w:t>
            </w:r>
            <w:r>
              <w:rPr>
                <w:color w:val="000000"/>
                <w:spacing w:val="0"/>
                <w:w w:val="100"/>
                <w:position w:val="0"/>
              </w:rPr>
              <w:t>的工作原则，强化顶层设计和各方统 筹，加强政策的系统性、协同性，更好发挥政府 作用，充分发挥市场机制作用，坚持先立后破， 以保障国家能源安全和经济发展为底线，推动能 源低碳转型平稳过渡，稳妥有序、循序渐进推进 碳达峰行动。《方案》提出了非化石能源消费比重、 能源利用效率提升、二氧化碳排放强度降低等主 要目标。</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国家发展改</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革委、国家能</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源局</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118 </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关于加快建设全国 统一电力市场体系 的指导意见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意见指出，到</w:t>
            </w:r>
            <w:r>
              <w:rPr>
                <w:rFonts w:ascii="Times New Roman" w:eastAsia="Times New Roman" w:hAnsi="Times New Roman" w:cs="Times New Roman"/>
                <w:color w:val="000000"/>
                <w:spacing w:val="0"/>
                <w:w w:val="100"/>
                <w:position w:val="0"/>
              </w:rPr>
              <w:t>2025</w:t>
            </w:r>
            <w:r>
              <w:rPr>
                <w:color w:val="000000"/>
                <w:spacing w:val="0"/>
                <w:w w:val="100"/>
                <w:position w:val="0"/>
              </w:rPr>
              <w:t>年，全国统一电力市场体系初 步建成，电力中长期、现货、辅助服务市场一体 化设计、联合运营，跨省跨区资源市场化配置和 绿色电力交易规模显著提高，有利于新能源、储 能等发展的市场交易和价格机制初步形成。鼓励 抽水蓄能、储能、虚拟电厂等调节电源的投资建 设。鼓励分布式光伏、分散式风电等主体与周边 用户直接交易，完善微电网、存量小电网、增量 配电网与大电网间的交易结算、运行调度等机制， 增强就近消纳新能源和安全运行能力。</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落实中央决策部署 加快推进电力市场 体系建设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84" w:val="left"/>
              </w:tabs>
              <w:bidi w:val="0"/>
              <w:spacing w:before="0" w:after="0" w:line="314" w:lineRule="exact"/>
              <w:ind w:left="0" w:right="0" w:firstLine="0"/>
              <w:jc w:val="both"/>
            </w:pPr>
            <w:r>
              <w:rPr>
                <w:color w:val="000000"/>
                <w:spacing w:val="0"/>
                <w:w w:val="100"/>
                <w:position w:val="0"/>
              </w:rPr>
              <w:t>一、</w:t>
              <w:tab/>
              <w:t>深刻认识建设统一电力市场体系的重大意义。</w:t>
            </w:r>
          </w:p>
          <w:p>
            <w:pPr>
              <w:pStyle w:val="Style2"/>
              <w:keepNext w:val="0"/>
              <w:keepLines w:val="0"/>
              <w:widowControl w:val="0"/>
              <w:shd w:val="clear" w:color="auto" w:fill="auto"/>
              <w:tabs>
                <w:tab w:pos="432" w:val="left"/>
              </w:tabs>
              <w:bidi w:val="0"/>
              <w:spacing w:before="0" w:after="0" w:line="314" w:lineRule="exact"/>
              <w:ind w:left="0" w:right="0" w:firstLine="0"/>
              <w:jc w:val="both"/>
            </w:pPr>
            <w:r>
              <w:rPr>
                <w:color w:val="000000"/>
                <w:spacing w:val="0"/>
                <w:w w:val="100"/>
                <w:position w:val="0"/>
              </w:rPr>
              <w:t>二、</w:t>
              <w:tab/>
              <w:t>坚决落实市场化改革要求，电力市场建设基 础不断夯实。三、坚持市场化改革方向，积极稳 妥推动电力市场体系建设。</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国家发展改 革委、国家能 源局</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206</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关于完善能源绿色 低碳转型体制机制 和政策措施的意见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意见提出，到</w:t>
            </w:r>
            <w:r>
              <w:rPr>
                <w:rFonts w:ascii="Times New Roman" w:eastAsia="Times New Roman" w:hAnsi="Times New Roman" w:cs="Times New Roman"/>
                <w:color w:val="000000"/>
                <w:spacing w:val="0"/>
                <w:w w:val="100"/>
                <w:position w:val="0"/>
              </w:rPr>
              <w:t>2030</w:t>
            </w:r>
            <w:r>
              <w:rPr>
                <w:color w:val="000000"/>
                <w:spacing w:val="0"/>
                <w:w w:val="100"/>
                <w:position w:val="0"/>
              </w:rPr>
              <w:t>年基本建立完整的能源绿色低 碳发展基本制度和政策体系并对推进能源绿色低 碳转型工作作出了详细部署。全面强调新能源发 展措施意见，包括风光基地、分布式、</w:t>
            </w:r>
            <w:r>
              <w:rPr>
                <w:rFonts w:ascii="Times New Roman" w:eastAsia="Times New Roman" w:hAnsi="Times New Roman" w:cs="Times New Roman"/>
                <w:color w:val="000000"/>
                <w:spacing w:val="0"/>
                <w:w w:val="100"/>
                <w:position w:val="0"/>
              </w:rPr>
              <w:t>BIPV</w:t>
            </w:r>
            <w:r>
              <w:rPr>
                <w:color w:val="000000"/>
                <w:spacing w:val="0"/>
                <w:w w:val="100"/>
                <w:position w:val="0"/>
              </w:rPr>
              <w:t>、储 能、新型电力系统、新能源汽车等。</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国家发展改 革委、国家能 源局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新型储能 发展实施方案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文件提出，到</w:t>
            </w:r>
            <w:r>
              <w:rPr>
                <w:rFonts w:ascii="Times New Roman" w:eastAsia="Times New Roman" w:hAnsi="Times New Roman" w:cs="Times New Roman"/>
                <w:color w:val="000000"/>
                <w:spacing w:val="0"/>
                <w:w w:val="100"/>
                <w:position w:val="0"/>
              </w:rPr>
              <w:t>2025</w:t>
            </w:r>
            <w:r>
              <w:rPr>
                <w:color w:val="000000"/>
                <w:spacing w:val="0"/>
                <w:w w:val="100"/>
                <w:position w:val="0"/>
              </w:rPr>
              <w:t>年，新型储能由商业化初期步 入规模化发展阶段、具备大规模商业化应用条件。 其中，电化学储能系统成本降低</w:t>
            </w:r>
            <w:r>
              <w:rPr>
                <w:rFonts w:ascii="Times New Roman" w:eastAsia="Times New Roman" w:hAnsi="Times New Roman" w:cs="Times New Roman"/>
                <w:color w:val="000000"/>
                <w:spacing w:val="0"/>
                <w:w w:val="100"/>
                <w:position w:val="0"/>
              </w:rPr>
              <w:t>30%</w:t>
            </w:r>
            <w:r>
              <w:rPr>
                <w:color w:val="000000"/>
                <w:spacing w:val="0"/>
                <w:w w:val="100"/>
                <w:position w:val="0"/>
              </w:rPr>
              <w:t>以上。在光伏 方面：支持高比例可再生能源基地外送。依托存 量和</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新增跨省区输电通道，在东北、华 北、西北、西南等地区充分发挥大规模新型储能 作用，通过</w:t>
            </w:r>
            <w:r>
              <w:rPr>
                <w:rFonts w:ascii="Times New Roman" w:eastAsia="Times New Roman" w:hAnsi="Times New Roman" w:cs="Times New Roman"/>
                <w:color w:val="000000"/>
                <w:spacing w:val="0"/>
                <w:w w:val="100"/>
                <w:position w:val="0"/>
              </w:rPr>
              <w:t>“</w:t>
            </w:r>
            <w:r>
              <w:rPr>
                <w:color w:val="000000"/>
                <w:spacing w:val="0"/>
                <w:w w:val="100"/>
                <w:position w:val="0"/>
              </w:rPr>
              <w:t>风光水火储一体化</w:t>
            </w:r>
            <w:r>
              <w:rPr>
                <w:rFonts w:ascii="Times New Roman" w:eastAsia="Times New Roman" w:hAnsi="Times New Roman" w:cs="Times New Roman"/>
                <w:color w:val="000000"/>
                <w:spacing w:val="0"/>
                <w:w w:val="100"/>
                <w:position w:val="0"/>
              </w:rPr>
              <w:t>”</w:t>
            </w:r>
            <w:r>
              <w:rPr>
                <w:color w:val="000000"/>
                <w:spacing w:val="0"/>
                <w:w w:val="100"/>
                <w:position w:val="0"/>
              </w:rPr>
              <w:t>多能互补模式， 促进大规模新能源跨省区外送消纳，提升通道利 用率和可再生能源电量占比。</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政府工作报告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年成就：可再生能源发电装机规模突破</w:t>
            </w:r>
            <w:r>
              <w:rPr>
                <w:rFonts w:ascii="Times New Roman" w:eastAsia="Times New Roman" w:hAnsi="Times New Roman" w:cs="Times New Roman"/>
                <w:color w:val="000000"/>
                <w:spacing w:val="0"/>
                <w:w w:val="100"/>
                <w:position w:val="0"/>
              </w:rPr>
              <w:t>10</w:t>
            </w:r>
            <w:r>
              <w:rPr>
                <w:color w:val="000000"/>
                <w:spacing w:val="0"/>
                <w:w w:val="100"/>
                <w:position w:val="0"/>
              </w:rPr>
              <w:t>亿</w:t>
            </w:r>
          </w:p>
        </w:tc>
      </w:tr>
    </w:tbl>
    <w:tbl>
      <w:tblPr>
        <w:tblOverlap w:val="never"/>
        <w:jc w:val="center"/>
        <w:tblLayout w:type="fixed"/>
      </w:tblPr>
      <w:tblGrid>
        <w:gridCol w:w="677"/>
        <w:gridCol w:w="1085"/>
        <w:gridCol w:w="1243"/>
        <w:gridCol w:w="1862"/>
        <w:gridCol w:w="4512"/>
      </w:tblGrid>
      <w:tr>
        <w:trPr>
          <w:trHeight w:val="25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千瓦。出台碳达峰行动方案。启动全国碳排放权 交易市场。报告提出：</w:t>
            </w:r>
            <w:r>
              <w:rPr>
                <w:rFonts w:ascii="Times New Roman" w:eastAsia="Times New Roman" w:hAnsi="Times New Roman" w:cs="Times New Roman"/>
                <w:color w:val="000000"/>
                <w:spacing w:val="0"/>
                <w:w w:val="100"/>
                <w:position w:val="0"/>
              </w:rPr>
              <w:t>2022</w:t>
            </w:r>
            <w:r>
              <w:rPr>
                <w:color w:val="000000"/>
                <w:spacing w:val="0"/>
                <w:w w:val="100"/>
                <w:position w:val="0"/>
              </w:rPr>
              <w:t>年，有序推进碳达峰 碳中和工作。推动能源革命，确保能源供应，立 足资源禀赋，坚持先立后破、通盘谋划，推进能 源低碳转型。加强煤炭清洁高效利用，有序减量 替代，推动煤电节能降碳改造、供热改造。推进 大型风光电基地及其配套调节性电源规划建设， 提升电网对可再生能源发电的消纳能力。</w:t>
            </w:r>
          </w:p>
        </w:tc>
      </w:tr>
    </w:tbl>
    <w:p>
      <w:pPr>
        <w:widowControl w:val="0"/>
        <w:spacing w:after="139" w:line="1" w:lineRule="exact"/>
      </w:pPr>
    </w:p>
    <w:p>
      <w:pPr>
        <w:pStyle w:val="Style28"/>
        <w:keepNext w:val="0"/>
        <w:keepLines w:val="0"/>
        <w:widowControl w:val="0"/>
        <w:shd w:val="clear" w:color="auto" w:fill="auto"/>
        <w:bidi w:val="0"/>
        <w:spacing w:before="0" w:line="312"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三）公司所处的行业地位</w:t>
      </w:r>
    </w:p>
    <w:p>
      <w:pPr>
        <w:pStyle w:val="Style28"/>
        <w:keepNext w:val="0"/>
        <w:keepLines w:val="0"/>
        <w:widowControl w:val="0"/>
        <w:shd w:val="clear" w:color="auto" w:fill="auto"/>
        <w:bidi w:val="0"/>
        <w:spacing w:before="0" w:line="314" w:lineRule="exact"/>
        <w:ind w:left="0" w:right="0" w:firstLine="440"/>
        <w:jc w:val="both"/>
      </w:pPr>
      <w:r>
        <w:rPr>
          <w:color w:val="000000"/>
          <w:spacing w:val="0"/>
          <w:w w:val="100"/>
          <w:position w:val="0"/>
        </w:rPr>
        <w:t>公司深耕电力行业，聚焦能源绿色低碳转型，拥有电力全产业链资质，是国内唯一一家自主上市的能 承担大型发电、输变电业务的电力勘察设计企业。公司在新能源、特高压、海上风电、综合能源和储能等 领域具有技术优势和突出业绩。公司传统业务（电力工程勘察设计与</w:t>
      </w:r>
      <w:r>
        <w:rPr>
          <w:rFonts w:ascii="Times New Roman" w:eastAsia="Times New Roman" w:hAnsi="Times New Roman" w:cs="Times New Roman"/>
          <w:color w:val="000000"/>
          <w:spacing w:val="0"/>
          <w:w w:val="100"/>
          <w:position w:val="0"/>
        </w:rPr>
        <w:t>EPC</w:t>
      </w:r>
      <w:r>
        <w:rPr>
          <w:color w:val="000000"/>
          <w:spacing w:val="0"/>
          <w:w w:val="100"/>
          <w:position w:val="0"/>
        </w:rPr>
        <w:t>工程总承包）不断做强做大，新 兴业务（智慧能源、智能运维、储能等）持续做优做实，主营业务持续拓展，正由电力能源系统集成解决 方案提供商向电力能源综合服务商转型。</w:t>
      </w:r>
    </w:p>
    <w:p>
      <w:pPr>
        <w:pStyle w:val="Style28"/>
        <w:keepNext w:val="0"/>
        <w:keepLines w:val="0"/>
        <w:widowControl w:val="0"/>
        <w:shd w:val="clear" w:color="auto" w:fill="auto"/>
        <w:bidi w:val="0"/>
        <w:spacing w:before="0" w:line="312" w:lineRule="exact"/>
        <w:ind w:left="0" w:right="0" w:firstLine="440"/>
        <w:jc w:val="both"/>
      </w:pPr>
      <w:r>
        <w:rPr>
          <w:color w:val="000000"/>
          <w:spacing w:val="0"/>
          <w:w w:val="100"/>
          <w:position w:val="0"/>
        </w:rPr>
        <w:t>永福股份积极构建</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产业链生态。引入宁德时代为第二大股东并合资成立时代永福科技 有限公司共同致力提供新能源和储能服务与产品，陆续投资一道新能源科技</w:t>
      </w:r>
      <w:r>
        <w:rPr>
          <w:rFonts w:ascii="Times New Roman" w:eastAsia="Times New Roman" w:hAnsi="Times New Roman" w:cs="Times New Roman"/>
          <w:color w:val="000000"/>
          <w:spacing w:val="0"/>
          <w:w w:val="100"/>
          <w:position w:val="0"/>
        </w:rPr>
        <w:t>（</w:t>
      </w:r>
      <w:r>
        <w:rPr>
          <w:color w:val="000000"/>
          <w:spacing w:val="0"/>
          <w:w w:val="100"/>
          <w:position w:val="0"/>
        </w:rPr>
        <w:t>衢州</w:t>
      </w:r>
      <w:r>
        <w:rPr>
          <w:rFonts w:ascii="Times New Roman" w:eastAsia="Times New Roman" w:hAnsi="Times New Roman" w:cs="Times New Roman"/>
          <w:color w:val="000000"/>
          <w:spacing w:val="0"/>
          <w:w w:val="100"/>
          <w:position w:val="0"/>
        </w:rPr>
        <w:t>）</w:t>
      </w:r>
      <w:r>
        <w:rPr>
          <w:color w:val="000000"/>
          <w:spacing w:val="0"/>
          <w:w w:val="100"/>
          <w:position w:val="0"/>
        </w:rPr>
        <w:t>有限公司、北京索英电 气技术有限公司、上海快卜新能源科技有限公司等上下游公司，汇聚优质资源，协同发展。</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公司适应新型电力系统背景，顺应时代潮流变化发展，拥有电力自动化和信息技术团队，深度融合电 力技术、自动化技术和大数据、云平台、物联网等新一代信息技术，提供数字能源、数字储能、智能电网、 城市智慧能源网等领域集成解决方案和相关软硬件产品，具有独特行业竞争优势。</w:t>
      </w:r>
    </w:p>
    <w:p>
      <w:pPr>
        <w:pStyle w:val="Style22"/>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、报告期内公司从事的主要业务</w:t>
      </w:r>
      <w:bookmarkEnd w:id="66"/>
      <w:bookmarkEnd w:id="67"/>
      <w:bookmarkEnd w:id="69"/>
    </w:p>
    <w:p>
      <w:pPr>
        <w:pStyle w:val="Style28"/>
        <w:keepNext w:val="0"/>
        <w:keepLines w:val="0"/>
        <w:widowControl w:val="0"/>
        <w:shd w:val="clear" w:color="auto" w:fill="auto"/>
        <w:bidi w:val="0"/>
        <w:spacing w:before="0" w:line="312" w:lineRule="exact"/>
        <w:ind w:left="0" w:right="0" w:firstLine="440"/>
        <w:jc w:val="both"/>
      </w:pPr>
      <w:bookmarkStart w:id="70" w:name="bookmark70"/>
      <w:r>
        <w:rPr>
          <w:b/>
          <w:bCs/>
          <w:color w:val="000000"/>
          <w:spacing w:val="0"/>
          <w:w w:val="100"/>
          <w:position w:val="0"/>
        </w:rPr>
        <w:t>（</w:t>
      </w:r>
      <w:bookmarkEnd w:id="70"/>
      <w:r>
        <w:rPr>
          <w:b/>
          <w:bCs/>
          <w:color w:val="000000"/>
          <w:spacing w:val="0"/>
          <w:w w:val="100"/>
          <w:position w:val="0"/>
        </w:rPr>
        <w:t>一）报告期内公司所从事的主要业务</w:t>
      </w:r>
    </w:p>
    <w:p>
      <w:pPr>
        <w:pStyle w:val="Style28"/>
        <w:keepNext w:val="0"/>
        <w:keepLines w:val="0"/>
        <w:widowControl w:val="0"/>
        <w:shd w:val="clear" w:color="auto" w:fill="auto"/>
        <w:bidi w:val="0"/>
        <w:spacing w:before="0" w:line="311" w:lineRule="exact"/>
        <w:ind w:left="0" w:right="0" w:firstLine="440"/>
        <w:jc w:val="both"/>
      </w:pPr>
      <w:r>
        <w:rPr>
          <w:color w:val="000000"/>
          <w:spacing w:val="0"/>
          <w:w w:val="100"/>
          <w:position w:val="0"/>
        </w:rPr>
        <w:t>公司致力于成为一家国际知名的电力能源综合服务商，为客户提供电力能源系统集成解决方案、产品 和服务，服务涵盖电力能源项目开发、规划咨询、勘察设计、工程建设、数字能源服务、运维管理等全生 命周期，业务具体可分为电力规划咨询</w:t>
      </w:r>
      <w:r>
        <w:rPr>
          <w:rFonts w:ascii="Times New Roman" w:eastAsia="Times New Roman" w:hAnsi="Times New Roman" w:cs="Times New Roman"/>
          <w:color w:val="000000"/>
          <w:spacing w:val="0"/>
          <w:w w:val="100"/>
          <w:position w:val="0"/>
        </w:rPr>
        <w:t>/</w:t>
      </w:r>
      <w:r>
        <w:rPr>
          <w:color w:val="000000"/>
          <w:spacing w:val="0"/>
          <w:w w:val="100"/>
          <w:position w:val="0"/>
        </w:rPr>
        <w:t>勘察设计、</w:t>
      </w:r>
      <w:r>
        <w:rPr>
          <w:rFonts w:ascii="Times New Roman" w:eastAsia="Times New Roman" w:hAnsi="Times New Roman" w:cs="Times New Roman"/>
          <w:color w:val="000000"/>
          <w:spacing w:val="0"/>
          <w:w w:val="100"/>
          <w:position w:val="0"/>
        </w:rPr>
        <w:t>EPC</w:t>
      </w:r>
      <w:r>
        <w:rPr>
          <w:color w:val="000000"/>
          <w:spacing w:val="0"/>
          <w:w w:val="100"/>
          <w:position w:val="0"/>
        </w:rPr>
        <w:t>总承包、智慧能源、智能运维、储能系统集成和电 力能源投资等板块，涉及电力、石油、化工、钢铁和通信等行业客户，市场范围遍及国内三十个省份及东 南亚、非洲、中东等十几个</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w:t>
      </w:r>
    </w:p>
    <w:p>
      <w:pPr>
        <w:pStyle w:val="Style28"/>
        <w:keepNext w:val="0"/>
        <w:keepLines w:val="0"/>
        <w:widowControl w:val="0"/>
        <w:numPr>
          <w:ilvl w:val="0"/>
          <w:numId w:val="3"/>
        </w:numPr>
        <w:shd w:val="clear" w:color="auto" w:fill="auto"/>
        <w:bidi w:val="0"/>
        <w:spacing w:before="0" w:line="312" w:lineRule="exact"/>
        <w:ind w:left="0" w:right="0" w:firstLine="440"/>
        <w:jc w:val="both"/>
      </w:pPr>
      <w:bookmarkStart w:id="71" w:name="bookmark71"/>
      <w:bookmarkEnd w:id="71"/>
      <w:r>
        <w:rPr>
          <w:b/>
          <w:bCs/>
          <w:color w:val="000000"/>
          <w:spacing w:val="0"/>
          <w:w w:val="100"/>
          <w:position w:val="0"/>
        </w:rPr>
        <w:t>电力工程勘察设计（含规划咨询）</w:t>
      </w:r>
    </w:p>
    <w:p>
      <w:pPr>
        <w:pStyle w:val="Style28"/>
        <w:keepNext w:val="0"/>
        <w:keepLines w:val="0"/>
        <w:widowControl w:val="0"/>
        <w:shd w:val="clear" w:color="auto" w:fill="auto"/>
        <w:tabs>
          <w:tab w:pos="891" w:val="left"/>
        </w:tabs>
        <w:bidi w:val="0"/>
        <w:spacing w:before="0" w:line="312"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t>电力规划咨询</w:t>
      </w:r>
    </w:p>
    <w:p>
      <w:pPr>
        <w:pStyle w:val="Style28"/>
        <w:keepNext w:val="0"/>
        <w:keepLines w:val="0"/>
        <w:widowControl w:val="0"/>
        <w:shd w:val="clear" w:color="auto" w:fill="auto"/>
        <w:bidi w:val="0"/>
        <w:spacing w:before="0" w:line="313" w:lineRule="exact"/>
        <w:ind w:left="0" w:right="0" w:firstLine="440"/>
        <w:jc w:val="both"/>
      </w:pPr>
      <w:r>
        <w:rPr>
          <w:color w:val="000000"/>
          <w:spacing w:val="0"/>
          <w:w w:val="100"/>
          <w:position w:val="0"/>
        </w:rPr>
        <w:t>电力规划咨询业务主要为各级政府编制国家级、省级发展规划做参谋，为项目投资人的投资决策充当 第一把关人，优化项目建设方案，防范投资风险，减少和避免决策失误，提高投资效益，类型包括电源、 电网、电力设施布局、智能配电网、电力通信网、用户接入系统、综合能源等规划咨询服务。综合能源规 划研究涵盖工业园区、数据产业园、大型数据中心、医院、电厂直供区等应用场景，实现了综合能源项目 开发在</w:t>
      </w:r>
      <w:r>
        <w:rPr>
          <w:rFonts w:ascii="Times New Roman" w:eastAsia="Times New Roman" w:hAnsi="Times New Roman" w:cs="Times New Roman"/>
          <w:color w:val="000000"/>
          <w:spacing w:val="0"/>
          <w:w w:val="100"/>
          <w:position w:val="0"/>
        </w:rPr>
        <w:t>“</w:t>
      </w:r>
      <w:r>
        <w:rPr>
          <w:color w:val="000000"/>
          <w:spacing w:val="0"/>
          <w:w w:val="100"/>
          <w:position w:val="0"/>
        </w:rPr>
        <w:t>源</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荷</w:t>
      </w:r>
      <w:r>
        <w:rPr>
          <w:rFonts w:ascii="Times New Roman" w:eastAsia="Times New Roman" w:hAnsi="Times New Roman" w:cs="Times New Roman"/>
          <w:color w:val="000000"/>
          <w:spacing w:val="0"/>
          <w:w w:val="100"/>
          <w:position w:val="0"/>
        </w:rPr>
        <w:t>-</w:t>
      </w:r>
      <w:r>
        <w:rPr>
          <w:color w:val="000000"/>
          <w:spacing w:val="0"/>
          <w:w w:val="100"/>
          <w:position w:val="0"/>
        </w:rPr>
        <w:t>储''的全覆盖，储备了多种类型的综合能源项目，在项目开发模式、多种综合能源技术解 决方案和商业模式探索取得了明显成效，将有效支撑和促进综合能源业务快速发展。</w:t>
      </w:r>
    </w:p>
    <w:p>
      <w:pPr>
        <w:pStyle w:val="Style28"/>
        <w:keepNext w:val="0"/>
        <w:keepLines w:val="0"/>
        <w:widowControl w:val="0"/>
        <w:shd w:val="clear" w:color="auto" w:fill="auto"/>
        <w:tabs>
          <w:tab w:pos="891" w:val="left"/>
        </w:tabs>
        <w:bidi w:val="0"/>
        <w:spacing w:before="0" w:line="312"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勘察设计</w:t>
      </w:r>
    </w:p>
    <w:p>
      <w:pPr>
        <w:pStyle w:val="Style28"/>
        <w:keepNext w:val="0"/>
        <w:keepLines w:val="0"/>
        <w:widowControl w:val="0"/>
        <w:shd w:val="clear" w:color="auto" w:fill="auto"/>
        <w:bidi w:val="0"/>
        <w:spacing w:before="0" w:line="312" w:lineRule="exact"/>
        <w:ind w:left="0" w:right="0" w:firstLine="440"/>
        <w:jc w:val="both"/>
        <w:sectPr>
          <w:footnotePr>
            <w:pos w:val="pageBottom"/>
            <w:numFmt w:val="decimal"/>
            <w:numRestart w:val="continuous"/>
          </w:footnotePr>
          <w:pgSz w:w="11900" w:h="16840"/>
          <w:pgMar w:top="1532" w:right="1073" w:bottom="1509" w:left="1025" w:header="0" w:footer="3" w:gutter="0"/>
          <w:cols w:space="720"/>
          <w:noEndnote/>
          <w:rtlGutter w:val="0"/>
          <w:docGrid w:linePitch="360"/>
        </w:sectPr>
      </w:pPr>
      <w:r>
        <w:rPr>
          <w:color w:val="000000"/>
          <w:spacing w:val="0"/>
          <w:w w:val="100"/>
          <w:position w:val="0"/>
        </w:rPr>
        <w:t>勘察设计服务是从客户需求出发，综合技术、经济、资源、环境等条件，为客户提供电力能源系统集</w:t>
      </w:r>
    </w:p>
    <w:p>
      <w:pPr>
        <w:pStyle w:val="Style28"/>
        <w:keepNext w:val="0"/>
        <w:framePr w:dropCap="drop" w:hAnchor="text" w:lines="1" w:vAnchor="text" w:hSpace="1099" w:vSpace="1099"/>
        <w:widowControl w:val="0"/>
        <w:shd w:val="clear" w:color="auto" w:fill="auto"/>
        <w:spacing w:before="12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12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line="324" w:lineRule="exact"/>
        <w:ind w:left="0" w:right="0" w:firstLine="5820"/>
        <w:jc w:val="both"/>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成解决方案和应用服务。公司在清洁能源及新能源、特高压、全类型电缆和高端配电网勘察设计领域拥有 丰富业绩和核心竞争力，并在行业内率先实现可根据客户需求提供全数字化设计和移交服务。</w:t>
      </w:r>
    </w:p>
    <w:p>
      <w:pPr>
        <w:pStyle w:val="Style28"/>
        <w:keepNext w:val="0"/>
        <w:keepLines w:val="0"/>
        <w:widowControl w:val="0"/>
        <w:numPr>
          <w:ilvl w:val="0"/>
          <w:numId w:val="5"/>
        </w:numPr>
        <w:shd w:val="clear" w:color="auto" w:fill="auto"/>
        <w:bidi w:val="0"/>
        <w:spacing w:before="0" w:line="313" w:lineRule="exact"/>
        <w:ind w:left="0" w:right="0" w:firstLine="480"/>
        <w:jc w:val="both"/>
      </w:pPr>
      <w:bookmarkStart w:id="74" w:name="bookmark74"/>
      <w:bookmarkEnd w:id="74"/>
      <w:r>
        <w:rPr>
          <w:color w:val="000000"/>
          <w:spacing w:val="0"/>
          <w:w w:val="100"/>
          <w:position w:val="0"/>
        </w:rPr>
        <w:t>发电工程勘察设计</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发电工程勘察设计服务涵盖核电（常规岛设计）、火力发电（燃煤、燃气）、风力发电（陆上风电、海 上风电）、新能源发电（太阳能、生物质、垃圾发电）等类型，其中，燃气发电和风电、光伏等清洁能源 及新能源发电业务是公司发电工程业务重点。公司是国内少数具有世界主要燃机供货商</w:t>
      </w:r>
      <w:r>
        <w:rPr>
          <w:color w:val="000000"/>
          <w:spacing w:val="0"/>
          <w:w w:val="100"/>
          <w:position w:val="0"/>
        </w:rPr>
        <w:t>（</w:t>
      </w:r>
      <w:r>
        <w:rPr>
          <w:rFonts w:ascii="Times New Roman" w:eastAsia="Times New Roman" w:hAnsi="Times New Roman" w:cs="Times New Roman"/>
          <w:color w:val="000000"/>
          <w:spacing w:val="0"/>
          <w:w w:val="100"/>
          <w:position w:val="0"/>
        </w:rPr>
        <w:t>GE</w:t>
      </w:r>
      <w:r>
        <w:rPr>
          <w:color w:val="000000"/>
          <w:spacing w:val="0"/>
          <w:w w:val="100"/>
          <w:position w:val="0"/>
        </w:rPr>
        <w:t>、</w:t>
      </w:r>
      <w:r>
        <w:rPr>
          <w:rFonts w:ascii="Times New Roman" w:eastAsia="Times New Roman" w:hAnsi="Times New Roman" w:cs="Times New Roman"/>
          <w:color w:val="000000"/>
          <w:spacing w:val="0"/>
          <w:w w:val="100"/>
          <w:position w:val="0"/>
        </w:rPr>
        <w:t>SIEMENS</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ANSALD </w:t>
      </w:r>
      <w:r>
        <w:rPr>
          <w:rFonts w:ascii="Times New Roman" w:eastAsia="Times New Roman" w:hAnsi="Times New Roman" w:cs="Times New Roman"/>
          <w:color w:val="000000"/>
          <w:spacing w:val="0"/>
          <w:w w:val="100"/>
          <w:position w:val="0"/>
        </w:rPr>
        <w:t>0</w:t>
      </w:r>
      <w:r>
        <w:rPr>
          <w:color w:val="000000"/>
          <w:spacing w:val="0"/>
          <w:w w:val="100"/>
          <w:position w:val="0"/>
        </w:rPr>
        <w:t>）各主力重型燃机机型电站设计业绩的电力设计企业；公司海上风电勘察设计能力名列国内前 茅，共获专利</w:t>
      </w:r>
      <w:r>
        <w:rPr>
          <w:rFonts w:ascii="Times New Roman" w:eastAsia="Times New Roman" w:hAnsi="Times New Roman" w:cs="Times New Roman"/>
          <w:color w:val="000000"/>
          <w:spacing w:val="0"/>
          <w:w w:val="100"/>
          <w:position w:val="0"/>
        </w:rPr>
        <w:t>41</w:t>
      </w:r>
      <w:r>
        <w:rPr>
          <w:color w:val="000000"/>
          <w:spacing w:val="0"/>
          <w:w w:val="100"/>
          <w:position w:val="0"/>
        </w:rPr>
        <w:t>项，主编</w:t>
      </w:r>
      <w:r>
        <w:rPr>
          <w:rFonts w:ascii="Times New Roman" w:eastAsia="Times New Roman" w:hAnsi="Times New Roman" w:cs="Times New Roman"/>
          <w:color w:val="000000"/>
          <w:spacing w:val="0"/>
          <w:w w:val="100"/>
          <w:position w:val="0"/>
        </w:rPr>
        <w:t>7</w:t>
      </w:r>
      <w:r>
        <w:rPr>
          <w:color w:val="000000"/>
          <w:spacing w:val="0"/>
          <w:w w:val="100"/>
          <w:position w:val="0"/>
        </w:rPr>
        <w:t>项、参编</w:t>
      </w:r>
      <w:r>
        <w:rPr>
          <w:rFonts w:ascii="Times New Roman" w:eastAsia="Times New Roman" w:hAnsi="Times New Roman" w:cs="Times New Roman"/>
          <w:color w:val="000000"/>
          <w:spacing w:val="0"/>
          <w:w w:val="100"/>
          <w:position w:val="0"/>
        </w:rPr>
        <w:t>10</w:t>
      </w:r>
      <w:r>
        <w:rPr>
          <w:color w:val="000000"/>
          <w:spacing w:val="0"/>
          <w:w w:val="100"/>
          <w:position w:val="0"/>
        </w:rPr>
        <w:t>项国家、能源行业海上风电标准，并与</w:t>
      </w:r>
      <w:r>
        <w:rPr>
          <w:rFonts w:ascii="Times New Roman" w:eastAsia="Times New Roman" w:hAnsi="Times New Roman" w:cs="Times New Roman"/>
          <w:color w:val="000000"/>
          <w:spacing w:val="0"/>
          <w:w w:val="100"/>
          <w:position w:val="0"/>
        </w:rPr>
        <w:t>SPT</w:t>
      </w:r>
      <w:r>
        <w:rPr>
          <w:color w:val="000000"/>
          <w:spacing w:val="0"/>
          <w:w w:val="100"/>
          <w:position w:val="0"/>
        </w:rPr>
        <w:t>等国际一流海上风电公司 合作。</w:t>
      </w:r>
    </w:p>
    <w:p>
      <w:pPr>
        <w:pStyle w:val="Style28"/>
        <w:keepNext w:val="0"/>
        <w:keepLines w:val="0"/>
        <w:widowControl w:val="0"/>
        <w:numPr>
          <w:ilvl w:val="0"/>
          <w:numId w:val="5"/>
        </w:numPr>
        <w:shd w:val="clear" w:color="auto" w:fill="auto"/>
        <w:bidi w:val="0"/>
        <w:spacing w:before="0" w:line="313" w:lineRule="exact"/>
        <w:ind w:left="0" w:right="0" w:firstLine="480"/>
        <w:jc w:val="both"/>
      </w:pPr>
      <w:bookmarkStart w:id="75" w:name="bookmark75"/>
      <w:bookmarkEnd w:id="75"/>
      <w:r>
        <w:rPr>
          <w:color w:val="000000"/>
          <w:spacing w:val="0"/>
          <w:w w:val="100"/>
          <w:position w:val="0"/>
        </w:rPr>
        <w:t>电网工程勘察设计</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电网工程勘察设计服务涵盖</w:t>
      </w:r>
      <w:r>
        <w:rPr>
          <w:rFonts w:ascii="Times New Roman" w:eastAsia="Times New Roman" w:hAnsi="Times New Roman" w:cs="Times New Roman"/>
          <w:color w:val="000000"/>
          <w:spacing w:val="0"/>
          <w:w w:val="100"/>
          <w:position w:val="0"/>
        </w:rPr>
        <w:t>220V</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1100kV</w:t>
      </w:r>
      <w:r>
        <w:rPr>
          <w:color w:val="000000"/>
          <w:spacing w:val="0"/>
          <w:w w:val="100"/>
          <w:position w:val="0"/>
        </w:rPr>
        <w:t>全电压等级架空输电线路（交、直流特高压、超高压、 高压等）、电缆（陆缆、海缆、桥缆和隧缆等）、智能变电站和高端配电网。公司的特高压、全类型电缆勘 察设计综合能力位列国内第一梯队；在智能电网、数字电网规划设计等领域积累了丰富的业绩。</w:t>
      </w:r>
    </w:p>
    <w:p>
      <w:pPr>
        <w:pStyle w:val="Style28"/>
        <w:keepNext w:val="0"/>
        <w:keepLines w:val="0"/>
        <w:widowControl w:val="0"/>
        <w:shd w:val="clear" w:color="auto" w:fill="auto"/>
        <w:bidi w:val="0"/>
        <w:spacing w:before="0" w:line="313" w:lineRule="exact"/>
        <w:ind w:left="0" w:right="0" w:firstLine="480"/>
        <w:jc w:val="both"/>
      </w:pPr>
      <w:r>
        <w:rPr>
          <w:rFonts w:ascii="Times New Roman" w:eastAsia="Times New Roman" w:hAnsi="Times New Roman" w:cs="Times New Roman"/>
          <w:b/>
          <w:bCs/>
          <w:color w:val="000000"/>
          <w:spacing w:val="0"/>
          <w:w w:val="100"/>
          <w:position w:val="0"/>
        </w:rPr>
        <w:t>2.EPC</w:t>
      </w:r>
      <w:r>
        <w:rPr>
          <w:b/>
          <w:bCs/>
          <w:color w:val="000000"/>
          <w:spacing w:val="0"/>
          <w:w w:val="100"/>
          <w:position w:val="0"/>
        </w:rPr>
        <w:t>工程总承包</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公司提供的是以设计为龙头的</w:t>
      </w:r>
      <w:r>
        <w:rPr>
          <w:rFonts w:ascii="Times New Roman" w:eastAsia="Times New Roman" w:hAnsi="Times New Roman" w:cs="Times New Roman"/>
          <w:color w:val="000000"/>
          <w:spacing w:val="0"/>
          <w:w w:val="100"/>
          <w:position w:val="0"/>
        </w:rPr>
        <w:t>EPC</w:t>
      </w:r>
      <w:r>
        <w:rPr>
          <w:color w:val="000000"/>
          <w:spacing w:val="0"/>
          <w:w w:val="100"/>
          <w:position w:val="0"/>
        </w:rPr>
        <w:t>工程总承包服务，主要负责项目管理、设计、采购等核心环节，施 工环节采用专业分包。可充分发挥设计企业在设计、采购和项目管理方面的能力和优势，为业主提供项目 建设全过程设计优化，有效控制项目进度、成本和质量，满足客户对最优工程建设效果的追求。</w:t>
      </w:r>
    </w:p>
    <w:p>
      <w:pPr>
        <w:pStyle w:val="Style28"/>
        <w:keepNext w:val="0"/>
        <w:keepLines w:val="0"/>
        <w:widowControl w:val="0"/>
        <w:numPr>
          <w:ilvl w:val="0"/>
          <w:numId w:val="7"/>
        </w:numPr>
        <w:shd w:val="clear" w:color="auto" w:fill="auto"/>
        <w:bidi w:val="0"/>
        <w:spacing w:before="0" w:line="313" w:lineRule="exact"/>
        <w:ind w:left="0" w:right="0" w:firstLine="480"/>
        <w:jc w:val="both"/>
      </w:pPr>
      <w:bookmarkStart w:id="76" w:name="bookmark76"/>
      <w:bookmarkEnd w:id="76"/>
      <w:r>
        <w:rPr>
          <w:b/>
          <w:bCs/>
          <w:color w:val="000000"/>
          <w:spacing w:val="0"/>
          <w:w w:val="100"/>
          <w:position w:val="0"/>
        </w:rPr>
        <w:t>智慧能源</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公司自主研发电力工程数字挛生平台以及光伏云、储能云、综能云平台产品，向客户提供数字能源的 整体解决方案；同时数字孪生平台赋能公司传统勘察设计及</w:t>
      </w:r>
      <w:r>
        <w:rPr>
          <w:rFonts w:ascii="Times New Roman" w:eastAsia="Times New Roman" w:hAnsi="Times New Roman" w:cs="Times New Roman"/>
          <w:color w:val="000000"/>
          <w:spacing w:val="0"/>
          <w:w w:val="100"/>
          <w:position w:val="0"/>
        </w:rPr>
        <w:t>EPC</w:t>
      </w:r>
      <w:r>
        <w:rPr>
          <w:color w:val="000000"/>
          <w:spacing w:val="0"/>
          <w:w w:val="100"/>
          <w:position w:val="0"/>
        </w:rPr>
        <w:t>总承包业务，光伏云、储能云、综能云平 台产品赋能公司智能运维业务，提升公司核心竞争力。公司充分发挥设计数据源头优势，基于</w:t>
      </w:r>
      <w:r>
        <w:rPr>
          <w:rFonts w:ascii="Times New Roman" w:eastAsia="Times New Roman" w:hAnsi="Times New Roman" w:cs="Times New Roman"/>
          <w:color w:val="000000"/>
          <w:spacing w:val="0"/>
          <w:w w:val="100"/>
          <w:position w:val="0"/>
        </w:rPr>
        <w:t xml:space="preserve">BIM+GIM </w:t>
      </w:r>
      <w:r>
        <w:rPr>
          <w:color w:val="000000"/>
          <w:spacing w:val="0"/>
          <w:w w:val="100"/>
          <w:position w:val="0"/>
        </w:rPr>
        <w:t>技术和数字挛生技术，自主研发电力工程数字挛生平台，在为客户交付工程实物资产的同时，交付贯穿资 产全生命周期的，可对实物资产及其动态性能进行虚拟可视和仿真的数字挛生平台，帮助客户更好的理解、 验证、分析其资产数据，提升公司传统业务核心竞争力。公司采用</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技术，自主研 发基于云计算架构的海量实时能源物联大数据平台，面向不同的业务场景，为能源集团、电池厂商等客户 提供光伏云、储能云、综能云等平台产品，提供资产管理、智能运维、智慧经营、能效管理等整体解决方 案。</w:t>
      </w:r>
    </w:p>
    <w:p>
      <w:pPr>
        <w:pStyle w:val="Style28"/>
        <w:keepNext w:val="0"/>
        <w:keepLines w:val="0"/>
        <w:widowControl w:val="0"/>
        <w:numPr>
          <w:ilvl w:val="0"/>
          <w:numId w:val="7"/>
        </w:numPr>
        <w:shd w:val="clear" w:color="auto" w:fill="auto"/>
        <w:bidi w:val="0"/>
        <w:spacing w:before="0" w:line="313" w:lineRule="exact"/>
        <w:ind w:left="0" w:right="0" w:firstLine="480"/>
        <w:jc w:val="both"/>
      </w:pPr>
      <w:bookmarkStart w:id="77" w:name="bookmark77"/>
      <w:bookmarkEnd w:id="77"/>
      <w:r>
        <w:rPr>
          <w:b/>
          <w:bCs/>
          <w:color w:val="000000"/>
          <w:spacing w:val="0"/>
          <w:w w:val="100"/>
          <w:position w:val="0"/>
        </w:rPr>
        <w:t>智能运维</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公司致力于风电、光伏、储能等智能化运维服务，基于大数据、云计算、人工智能等先进技术，构建 全过程数字化、智能化管控平台，为客户资产提供全生命周期的优质服务，提升系统效率、降低运维成本， 最大限度地为客户创造价值，实现互利共赢。</w:t>
      </w:r>
    </w:p>
    <w:p>
      <w:pPr>
        <w:pStyle w:val="Style28"/>
        <w:keepNext w:val="0"/>
        <w:keepLines w:val="0"/>
        <w:widowControl w:val="0"/>
        <w:numPr>
          <w:ilvl w:val="0"/>
          <w:numId w:val="7"/>
        </w:numPr>
        <w:shd w:val="clear" w:color="auto" w:fill="auto"/>
        <w:bidi w:val="0"/>
        <w:spacing w:before="0" w:line="313" w:lineRule="exact"/>
        <w:ind w:left="0" w:right="0" w:firstLine="480"/>
        <w:jc w:val="both"/>
      </w:pPr>
      <w:bookmarkStart w:id="78" w:name="bookmark78"/>
      <w:bookmarkEnd w:id="78"/>
      <w:r>
        <w:rPr>
          <w:b/>
          <w:bCs/>
          <w:color w:val="000000"/>
          <w:spacing w:val="0"/>
          <w:w w:val="100"/>
          <w:position w:val="0"/>
        </w:rPr>
        <w:t>储能系统集成业务</w:t>
      </w:r>
    </w:p>
    <w:p>
      <w:pPr>
        <w:pStyle w:val="Style28"/>
        <w:keepNext w:val="0"/>
        <w:keepLines w:val="0"/>
        <w:widowControl w:val="0"/>
        <w:shd w:val="clear" w:color="auto" w:fill="auto"/>
        <w:bidi w:val="0"/>
        <w:spacing w:before="0" w:line="310" w:lineRule="exact"/>
        <w:ind w:left="0" w:right="0" w:firstLine="480"/>
        <w:jc w:val="both"/>
      </w:pPr>
      <w:r>
        <w:rPr>
          <w:color w:val="000000"/>
          <w:spacing w:val="0"/>
          <w:w w:val="100"/>
          <w:position w:val="0"/>
        </w:rPr>
        <w:t>公司聚焦于为客户提供储能工程全过程技术服务、数字储能整体解决方案以及储能相关集成产品。公 司大力培育储能业务综合服务能力，面向发电侧储能、电网侧储能、用户侧储能不同场景，提供全过程技 术服务、数字能源产品、系统集成等</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解决方案。全过程技术服务包括政策研究与商业模式创新、 全过程咨询、勘测设计、</w:t>
      </w:r>
      <w:r>
        <w:rPr>
          <w:rFonts w:ascii="Times New Roman" w:eastAsia="Times New Roman" w:hAnsi="Times New Roman" w:cs="Times New Roman"/>
          <w:color w:val="000000"/>
          <w:spacing w:val="0"/>
          <w:w w:val="100"/>
          <w:position w:val="0"/>
        </w:rPr>
        <w:t>EPC</w:t>
      </w:r>
      <w:r>
        <w:rPr>
          <w:color w:val="000000"/>
          <w:spacing w:val="0"/>
          <w:w w:val="100"/>
          <w:position w:val="0"/>
        </w:rPr>
        <w:t>等。公司自主研发可接入</w:t>
      </w:r>
      <w:r>
        <w:rPr>
          <w:rFonts w:ascii="Times New Roman" w:eastAsia="Times New Roman" w:hAnsi="Times New Roman" w:cs="Times New Roman"/>
          <w:color w:val="000000"/>
          <w:spacing w:val="0"/>
          <w:w w:val="100"/>
          <w:position w:val="0"/>
        </w:rPr>
        <w:t>GW</w:t>
      </w:r>
      <w:r>
        <w:rPr>
          <w:color w:val="000000"/>
          <w:spacing w:val="0"/>
          <w:w w:val="100"/>
          <w:position w:val="0"/>
        </w:rPr>
        <w:t>级储能站海量数据的能量管理系统</w:t>
      </w:r>
      <w:r>
        <w:rPr>
          <w:color w:val="000000"/>
          <w:spacing w:val="0"/>
          <w:w w:val="100"/>
          <w:position w:val="0"/>
        </w:rPr>
        <w:t>（</w:t>
      </w:r>
      <w:r>
        <w:rPr>
          <w:rFonts w:ascii="Times New Roman" w:eastAsia="Times New Roman" w:hAnsi="Times New Roman" w:cs="Times New Roman"/>
          <w:color w:val="000000"/>
          <w:spacing w:val="0"/>
          <w:w w:val="100"/>
          <w:position w:val="0"/>
        </w:rPr>
        <w:t>EMS</w:t>
      </w:r>
      <w:r>
        <w:rPr>
          <w:color w:val="000000"/>
          <w:spacing w:val="0"/>
          <w:w w:val="100"/>
          <w:position w:val="0"/>
        </w:rPr>
        <w:t>）</w:t>
      </w:r>
      <w:r>
        <w:rPr>
          <w:color w:val="000000"/>
          <w:spacing w:val="0"/>
          <w:w w:val="100"/>
          <w:position w:val="0"/>
        </w:rPr>
        <w:t>、储 能电池状态监测与智能诊断系统、储能云平台，实现电力自动化与新一代信息技术深度融合，为客户提供 从站端监控级到集团平台级数字能源产品。基于</w:t>
      </w:r>
      <w:r>
        <w:rPr>
          <w:rFonts w:ascii="Times New Roman" w:eastAsia="Times New Roman" w:hAnsi="Times New Roman" w:cs="Times New Roman"/>
          <w:color w:val="000000"/>
          <w:spacing w:val="0"/>
          <w:w w:val="100"/>
          <w:position w:val="0"/>
        </w:rPr>
        <w:t>3S（BMS</w:t>
      </w:r>
      <w:r>
        <w:rPr>
          <w:color w:val="000000"/>
          <w:spacing w:val="0"/>
          <w:w w:val="100"/>
          <w:position w:val="0"/>
        </w:rPr>
        <w:t>、</w:t>
      </w:r>
      <w:r>
        <w:rPr>
          <w:rFonts w:ascii="Times New Roman" w:eastAsia="Times New Roman" w:hAnsi="Times New Roman" w:cs="Times New Roman"/>
          <w:color w:val="000000"/>
          <w:spacing w:val="0"/>
          <w:w w:val="100"/>
          <w:position w:val="0"/>
        </w:rPr>
        <w:t>PCS</w:t>
      </w:r>
      <w:r>
        <w:rPr>
          <w:color w:val="000000"/>
          <w:spacing w:val="0"/>
          <w:w w:val="100"/>
          <w:position w:val="0"/>
        </w:rPr>
        <w:t>、</w:t>
      </w:r>
      <w:r>
        <w:rPr>
          <w:rFonts w:ascii="Times New Roman" w:eastAsia="Times New Roman" w:hAnsi="Times New Roman" w:cs="Times New Roman"/>
          <w:color w:val="000000"/>
          <w:spacing w:val="0"/>
          <w:w w:val="100"/>
          <w:position w:val="0"/>
        </w:rPr>
        <w:t>EMS</w:t>
      </w:r>
      <w:r>
        <w:rPr>
          <w:color w:val="000000"/>
          <w:spacing w:val="0"/>
          <w:w w:val="100"/>
          <w:position w:val="0"/>
        </w:rPr>
        <w:t>）</w:t>
      </w:r>
      <w:r>
        <w:rPr>
          <w:color w:val="000000"/>
          <w:spacing w:val="0"/>
          <w:w w:val="100"/>
          <w:position w:val="0"/>
        </w:rPr>
        <w:t>融合理念打造储能站系统集成产品，</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line="341" w:lineRule="exact"/>
        <w:ind w:left="0" w:right="0" w:firstLine="5820"/>
        <w:jc w:val="both"/>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为客户交付更安全、更高效、更经济的储能系统。</w:t>
      </w:r>
    </w:p>
    <w:p>
      <w:pPr>
        <w:pStyle w:val="Style28"/>
        <w:keepNext w:val="0"/>
        <w:keepLines w:val="0"/>
        <w:widowControl w:val="0"/>
        <w:numPr>
          <w:ilvl w:val="0"/>
          <w:numId w:val="7"/>
        </w:numPr>
        <w:shd w:val="clear" w:color="auto" w:fill="auto"/>
        <w:bidi w:val="0"/>
        <w:spacing w:before="0" w:line="312" w:lineRule="exact"/>
        <w:ind w:left="0" w:right="0" w:firstLine="480"/>
        <w:jc w:val="both"/>
      </w:pPr>
      <w:bookmarkStart w:id="79" w:name="bookmark79"/>
      <w:bookmarkEnd w:id="79"/>
      <w:r>
        <w:rPr>
          <w:b/>
          <w:bCs/>
          <w:color w:val="000000"/>
          <w:spacing w:val="0"/>
          <w:w w:val="100"/>
          <w:position w:val="0"/>
        </w:rPr>
        <w:t>电力能源投资</w:t>
      </w:r>
    </w:p>
    <w:p>
      <w:pPr>
        <w:pStyle w:val="Style28"/>
        <w:keepNext w:val="0"/>
        <w:keepLines w:val="0"/>
        <w:widowControl w:val="0"/>
        <w:shd w:val="clear" w:color="auto" w:fill="auto"/>
        <w:bidi w:val="0"/>
        <w:spacing w:before="0" w:line="317" w:lineRule="exact"/>
        <w:ind w:left="0" w:right="0" w:firstLine="480"/>
        <w:jc w:val="left"/>
      </w:pPr>
      <w:r>
        <w:rPr>
          <w:color w:val="000000"/>
          <w:spacing w:val="0"/>
          <w:w w:val="100"/>
          <w:position w:val="0"/>
        </w:rPr>
        <w:t>公司积极开展清洁能源、新能源项目开发。在国内，设立项目开发平台，推进新能源项目和水电项目 的开发工作；在国外，借助已经实施的项目积累的口碑，积极开发一些潜在的优质项目。</w:t>
      </w:r>
    </w:p>
    <w:p>
      <w:pPr>
        <w:pStyle w:val="Style28"/>
        <w:keepNext w:val="0"/>
        <w:keepLines w:val="0"/>
        <w:widowControl w:val="0"/>
        <w:shd w:val="clear" w:color="auto" w:fill="auto"/>
        <w:bidi w:val="0"/>
        <w:spacing w:before="0" w:line="312" w:lineRule="exact"/>
        <w:ind w:left="0" w:right="0" w:firstLine="480"/>
        <w:jc w:val="left"/>
      </w:pPr>
      <w:bookmarkStart w:id="80" w:name="bookmark80"/>
      <w:r>
        <w:rPr>
          <w:b/>
          <w:bCs/>
          <w:color w:val="000000"/>
          <w:spacing w:val="0"/>
          <w:w w:val="100"/>
          <w:position w:val="0"/>
        </w:rPr>
        <w:t>（</w:t>
      </w:r>
      <w:bookmarkEnd w:id="80"/>
      <w:r>
        <w:rPr>
          <w:b/>
          <w:bCs/>
          <w:color w:val="000000"/>
          <w:spacing w:val="0"/>
          <w:w w:val="100"/>
          <w:position w:val="0"/>
        </w:rPr>
        <w:t>二）公司业务经营模式</w:t>
      </w:r>
    </w:p>
    <w:p>
      <w:pPr>
        <w:pStyle w:val="Style28"/>
        <w:keepNext w:val="0"/>
        <w:keepLines w:val="0"/>
        <w:widowControl w:val="0"/>
        <w:shd w:val="clear" w:color="auto" w:fill="auto"/>
        <w:bidi w:val="0"/>
        <w:spacing w:before="0" w:line="312" w:lineRule="exact"/>
        <w:ind w:left="0" w:right="0" w:firstLine="480"/>
        <w:jc w:val="left"/>
      </w:pPr>
      <w:r>
        <w:rPr>
          <w:color w:val="000000"/>
          <w:spacing w:val="0"/>
          <w:w w:val="100"/>
          <w:position w:val="0"/>
        </w:rPr>
        <w:t>公司的经营模式按运营环节可以分为研发模式、采购模式、生产模式和销售模式。影响公司经营模式 的主要因素包括下游客户的需求、上游供应商的服务模式和服务能力、市场竞争情况及国家法律法规政策 等因素。报告期内，影响公司主要经营模式的因素未出现重大不利变化趋势。</w:t>
      </w:r>
    </w:p>
    <w:p>
      <w:pPr>
        <w:pStyle w:val="Style28"/>
        <w:keepNext w:val="0"/>
        <w:keepLines w:val="0"/>
        <w:widowControl w:val="0"/>
        <w:numPr>
          <w:ilvl w:val="0"/>
          <w:numId w:val="9"/>
        </w:numPr>
        <w:shd w:val="clear" w:color="auto" w:fill="auto"/>
        <w:bidi w:val="0"/>
        <w:spacing w:before="0" w:line="312" w:lineRule="exact"/>
        <w:ind w:left="0" w:right="0" w:firstLine="480"/>
        <w:jc w:val="left"/>
      </w:pPr>
      <w:bookmarkStart w:id="81" w:name="bookmark81"/>
      <w:bookmarkEnd w:id="81"/>
      <w:r>
        <w:rPr>
          <w:b/>
          <w:bCs/>
          <w:color w:val="000000"/>
          <w:spacing w:val="0"/>
          <w:w w:val="100"/>
          <w:position w:val="0"/>
        </w:rPr>
        <w:t>研发模式</w:t>
      </w:r>
    </w:p>
    <w:p>
      <w:pPr>
        <w:pStyle w:val="Style28"/>
        <w:keepNext w:val="0"/>
        <w:keepLines w:val="0"/>
        <w:widowControl w:val="0"/>
        <w:shd w:val="clear" w:color="auto" w:fill="auto"/>
        <w:bidi w:val="0"/>
        <w:spacing w:before="0" w:line="312" w:lineRule="exact"/>
        <w:ind w:left="0" w:right="0" w:firstLine="480"/>
        <w:jc w:val="left"/>
      </w:pPr>
      <w:r>
        <w:rPr>
          <w:color w:val="000000"/>
          <w:spacing w:val="0"/>
          <w:w w:val="100"/>
          <w:position w:val="0"/>
        </w:rPr>
        <w:t>公司专注于为电力工程提供技术服务，始终重视技术创新与研发，形成了先进的设计理念及经验。为 保持并扩大公司在专业领域的技术优势，公司通过以下措施来提升设计水平，促进技术创新：</w:t>
      </w:r>
    </w:p>
    <w:p>
      <w:pPr>
        <w:pStyle w:val="Style28"/>
        <w:keepNext w:val="0"/>
        <w:keepLines w:val="0"/>
        <w:widowControl w:val="0"/>
        <w:shd w:val="clear" w:color="auto" w:fill="auto"/>
        <w:bidi w:val="0"/>
        <w:spacing w:before="0" w:line="312" w:lineRule="exact"/>
        <w:ind w:left="0" w:right="0" w:firstLine="480"/>
        <w:jc w:val="left"/>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1</w:t>
      </w:r>
      <w:r>
        <w:rPr>
          <w:color w:val="000000"/>
          <w:spacing w:val="0"/>
          <w:w w:val="100"/>
          <w:position w:val="0"/>
        </w:rPr>
        <w:t>）积极研发新技术</w:t>
      </w:r>
    </w:p>
    <w:p>
      <w:pPr>
        <w:pStyle w:val="Style28"/>
        <w:keepNext w:val="0"/>
        <w:keepLines w:val="0"/>
        <w:widowControl w:val="0"/>
        <w:shd w:val="clear" w:color="auto" w:fill="auto"/>
        <w:bidi w:val="0"/>
        <w:spacing w:before="0" w:line="317" w:lineRule="exact"/>
        <w:ind w:left="0" w:right="0" w:firstLine="480"/>
        <w:jc w:val="left"/>
      </w:pPr>
      <w:r>
        <w:rPr>
          <w:color w:val="000000"/>
          <w:spacing w:val="0"/>
          <w:w w:val="100"/>
          <w:position w:val="0"/>
        </w:rPr>
        <w:t>为提升公司的技术创新能力，公司紧跟行业发展趋势，积极研究电力工程领域的新技术、新方法，并 通过集成创新、原始创新等方式，将相关研究转化为公司的成果。</w:t>
      </w:r>
    </w:p>
    <w:p>
      <w:pPr>
        <w:pStyle w:val="Style28"/>
        <w:keepNext w:val="0"/>
        <w:keepLines w:val="0"/>
        <w:widowControl w:val="0"/>
        <w:shd w:val="clear" w:color="auto" w:fill="auto"/>
        <w:bidi w:val="0"/>
        <w:spacing w:before="0" w:line="312" w:lineRule="exact"/>
        <w:ind w:left="0" w:right="0" w:firstLine="48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2</w:t>
      </w:r>
      <w:r>
        <w:rPr>
          <w:color w:val="000000"/>
          <w:spacing w:val="0"/>
          <w:w w:val="100"/>
          <w:position w:val="0"/>
        </w:rPr>
        <w:t>）与高端客户开展交流与合作</w:t>
      </w:r>
    </w:p>
    <w:p>
      <w:pPr>
        <w:pStyle w:val="Style28"/>
        <w:keepNext w:val="0"/>
        <w:keepLines w:val="0"/>
        <w:widowControl w:val="0"/>
        <w:shd w:val="clear" w:color="auto" w:fill="auto"/>
        <w:bidi w:val="0"/>
        <w:spacing w:before="0" w:line="312" w:lineRule="exact"/>
        <w:ind w:left="0" w:right="0" w:firstLine="480"/>
        <w:jc w:val="left"/>
      </w:pPr>
      <w:r>
        <w:rPr>
          <w:color w:val="000000"/>
          <w:spacing w:val="0"/>
          <w:w w:val="100"/>
          <w:position w:val="0"/>
        </w:rPr>
        <w:t>公司同国网、大型发电集团、上海电气等大型国有企业及其下属公司等优质高端客户建立了稳定的合 作关系。优质高端客户与公司长期合作关系的确立，使公司进一步了解客户业务需求等信息，学习国内外 先进的设计理念、工程技术、管理模式，从而获得持续改进和创新的源动力。</w:t>
      </w:r>
    </w:p>
    <w:p>
      <w:pPr>
        <w:pStyle w:val="Style28"/>
        <w:keepNext w:val="0"/>
        <w:keepLines w:val="0"/>
        <w:widowControl w:val="0"/>
        <w:shd w:val="clear" w:color="auto" w:fill="auto"/>
        <w:bidi w:val="0"/>
        <w:spacing w:before="0" w:line="312" w:lineRule="exact"/>
        <w:ind w:left="0" w:right="0" w:firstLine="48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3</w:t>
      </w:r>
      <w:r>
        <w:rPr>
          <w:color w:val="000000"/>
          <w:spacing w:val="0"/>
          <w:w w:val="100"/>
          <w:position w:val="0"/>
        </w:rPr>
        <w:t>）持续有效的培训机制</w:t>
      </w:r>
    </w:p>
    <w:p>
      <w:pPr>
        <w:pStyle w:val="Style28"/>
        <w:keepNext w:val="0"/>
        <w:keepLines w:val="0"/>
        <w:widowControl w:val="0"/>
        <w:shd w:val="clear" w:color="auto" w:fill="auto"/>
        <w:bidi w:val="0"/>
        <w:spacing w:before="0" w:line="314" w:lineRule="exact"/>
        <w:ind w:left="0" w:right="0" w:firstLine="480"/>
        <w:jc w:val="left"/>
      </w:pPr>
      <w:r>
        <w:rPr>
          <w:color w:val="000000"/>
          <w:spacing w:val="0"/>
          <w:w w:val="100"/>
          <w:position w:val="0"/>
        </w:rPr>
        <w:t>人才是公司的核心竞争力，是公司稳健发展的重要基石。公司只有通过全方位的技能培训，不断提高 科研、创新能力，才能获得长远发展。目前公司已搭建以人力资源部、副总工、主任工、专工为责任主体 的培训组织构架，初步建立中高层培训、综合素质培训、专业技术类培训、入职培训等培训项目，并逐步 通过建设内部讲师队伍开展教育培训活动。</w:t>
      </w:r>
    </w:p>
    <w:p>
      <w:pPr>
        <w:pStyle w:val="Style28"/>
        <w:keepNext w:val="0"/>
        <w:keepLines w:val="0"/>
        <w:widowControl w:val="0"/>
        <w:shd w:val="clear" w:color="auto" w:fill="auto"/>
        <w:bidi w:val="0"/>
        <w:spacing w:before="0" w:line="312" w:lineRule="exact"/>
        <w:ind w:left="0" w:right="0" w:firstLine="48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4</w:t>
      </w:r>
      <w:r>
        <w:rPr>
          <w:color w:val="000000"/>
          <w:spacing w:val="0"/>
          <w:w w:val="100"/>
          <w:position w:val="0"/>
        </w:rPr>
        <w:t>）智慧能源业务研发机制</w:t>
      </w:r>
    </w:p>
    <w:p>
      <w:pPr>
        <w:pStyle w:val="Style28"/>
        <w:keepNext w:val="0"/>
        <w:keepLines w:val="0"/>
        <w:widowControl w:val="0"/>
        <w:shd w:val="clear" w:color="auto" w:fill="auto"/>
        <w:bidi w:val="0"/>
        <w:spacing w:before="0" w:line="311" w:lineRule="exact"/>
        <w:ind w:left="0" w:right="0" w:firstLine="480"/>
        <w:jc w:val="left"/>
      </w:pPr>
      <w:r>
        <w:rPr>
          <w:color w:val="000000"/>
          <w:spacing w:val="0"/>
          <w:w w:val="100"/>
          <w:position w:val="0"/>
        </w:rPr>
        <w:t>公司设立专职研发部门</w:t>
      </w:r>
      <w:r>
        <w:rPr>
          <w:color w:val="000000"/>
          <w:spacing w:val="0"/>
          <w:w w:val="100"/>
          <w:position w:val="0"/>
        </w:rPr>
        <w:t>一一</w:t>
      </w:r>
      <w:r>
        <w:rPr>
          <w:color w:val="000000"/>
          <w:spacing w:val="0"/>
          <w:w w:val="100"/>
          <w:position w:val="0"/>
        </w:rPr>
        <w:t>智慧能源部，统筹负责智慧能源业务研发。一是开展工程数字化技术研发， 在公司全面推广数字化设计，将传统向客户交付设计图纸转变为交付数据。二是开展智慧能源相关软件产 品研发，公司有数百名不同业务领域的工程师，产品需求来源于不同的项目场景，智慧能源部负责对接业 务部门和客户，开展需求分析和市场分析，确定产品研发方向，并组织软件开发活动，依托工程项目进行 示范应用，逐步迭代并推广。</w:t>
      </w:r>
    </w:p>
    <w:p>
      <w:pPr>
        <w:pStyle w:val="Style28"/>
        <w:keepNext w:val="0"/>
        <w:keepLines w:val="0"/>
        <w:widowControl w:val="0"/>
        <w:numPr>
          <w:ilvl w:val="0"/>
          <w:numId w:val="9"/>
        </w:numPr>
        <w:shd w:val="clear" w:color="auto" w:fill="auto"/>
        <w:bidi w:val="0"/>
        <w:spacing w:before="0" w:line="312" w:lineRule="exact"/>
        <w:ind w:left="0" w:right="0" w:firstLine="480"/>
        <w:jc w:val="both"/>
      </w:pPr>
      <w:bookmarkStart w:id="86" w:name="bookmark86"/>
      <w:bookmarkEnd w:id="86"/>
      <w:r>
        <w:rPr>
          <w:b/>
          <w:bCs/>
          <w:color w:val="000000"/>
          <w:spacing w:val="0"/>
          <w:w w:val="100"/>
          <w:position w:val="0"/>
        </w:rPr>
        <w:t>采购模式</w:t>
      </w:r>
    </w:p>
    <w:p>
      <w:pPr>
        <w:pStyle w:val="Style28"/>
        <w:keepNext w:val="0"/>
        <w:keepLines w:val="0"/>
        <w:widowControl w:val="0"/>
        <w:shd w:val="clear" w:color="auto" w:fill="auto"/>
        <w:bidi w:val="0"/>
        <w:spacing w:before="0" w:line="312" w:lineRule="exact"/>
        <w:ind w:left="0" w:right="0" w:firstLine="48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1</w:t>
      </w:r>
      <w:r>
        <w:rPr>
          <w:color w:val="000000"/>
          <w:spacing w:val="0"/>
          <w:w w:val="100"/>
          <w:position w:val="0"/>
        </w:rPr>
        <w:t>）电力工程勘察设计（含规划咨询）业务采购模式</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公司在开展工程勘察设计业务过程中，根据项目需要对外进行服务采购，主要包括现场钻探、现场测 量业务采购和少量基础数据、专项评价服务等。</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公司所有的服务采购，执行公司的质量、环境、职业健康安全一体化程序，并由公司制定技术原则、 主要技术方案，由公司进行技术评审和把关，对采购服务进行质量与进度的考核，以全面保障产品质量与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line="346" w:lineRule="exact"/>
        <w:ind w:left="0" w:right="0" w:firstLine="5820"/>
        <w:jc w:val="both"/>
        <w:rPr>
          <w:sz w:val="20"/>
          <w:szCs w:val="20"/>
        </w:rPr>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sz w:val="20"/>
          <w:szCs w:val="20"/>
        </w:rPr>
        <w:t>进度。</w:t>
      </w:r>
    </w:p>
    <w:p>
      <w:pPr>
        <w:pStyle w:val="Style28"/>
        <w:keepNext w:val="0"/>
        <w:keepLines w:val="0"/>
        <w:widowControl w:val="0"/>
        <w:shd w:val="clear" w:color="auto" w:fill="auto"/>
        <w:tabs>
          <w:tab w:pos="968" w:val="left"/>
        </w:tabs>
        <w:bidi w:val="0"/>
        <w:spacing w:before="0" w:line="317" w:lineRule="exact"/>
        <w:ind w:left="0" w:right="0" w:firstLine="480"/>
        <w:jc w:val="both"/>
      </w:pPr>
      <w:bookmarkStart w:id="88" w:name="bookmark88"/>
      <w:r>
        <w:rPr>
          <w:color w:val="000000"/>
          <w:spacing w:val="0"/>
          <w:w w:val="100"/>
          <w:position w:val="0"/>
          <w:shd w:val="clear" w:color="auto" w:fill="FFFFFF"/>
        </w:rPr>
        <w:t>（</w:t>
      </w:r>
      <w:bookmarkEnd w:id="88"/>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工程总承包业务采购模式</w:t>
      </w:r>
    </w:p>
    <w:p>
      <w:pPr>
        <w:pStyle w:val="Style28"/>
        <w:keepNext w:val="0"/>
        <w:keepLines w:val="0"/>
        <w:widowControl w:val="0"/>
        <w:shd w:val="clear" w:color="auto" w:fill="auto"/>
        <w:bidi w:val="0"/>
        <w:spacing w:before="0" w:line="317" w:lineRule="exact"/>
        <w:ind w:left="0" w:right="0" w:firstLine="480"/>
        <w:jc w:val="both"/>
      </w:pPr>
      <w:r>
        <w:rPr>
          <w:rFonts w:ascii="Times New Roman" w:eastAsia="Times New Roman" w:hAnsi="Times New Roman" w:cs="Times New Roman"/>
          <w:color w:val="000000"/>
          <w:spacing w:val="0"/>
          <w:w w:val="100"/>
          <w:position w:val="0"/>
        </w:rPr>
        <w:t>EPC</w:t>
      </w:r>
      <w:r>
        <w:rPr>
          <w:color w:val="000000"/>
          <w:spacing w:val="0"/>
          <w:w w:val="100"/>
          <w:position w:val="0"/>
        </w:rPr>
        <w:t>工程总承包业务采购包括设备、材料采购以及施工分包。</w:t>
      </w:r>
    </w:p>
    <w:p>
      <w:pPr>
        <w:pStyle w:val="Style28"/>
        <w:keepNext w:val="0"/>
        <w:keepLines w:val="0"/>
        <w:widowControl w:val="0"/>
        <w:numPr>
          <w:ilvl w:val="0"/>
          <w:numId w:val="11"/>
        </w:numPr>
        <w:shd w:val="clear" w:color="auto" w:fill="auto"/>
        <w:bidi w:val="0"/>
        <w:spacing w:before="0" w:line="317" w:lineRule="exact"/>
        <w:ind w:left="0" w:right="0" w:firstLine="480"/>
        <w:jc w:val="both"/>
      </w:pPr>
      <w:bookmarkStart w:id="89" w:name="bookmark89"/>
      <w:bookmarkEnd w:id="89"/>
      <w:r>
        <w:rPr>
          <w:color w:val="000000"/>
          <w:spacing w:val="0"/>
          <w:w w:val="100"/>
          <w:position w:val="0"/>
        </w:rPr>
        <w:t>设备、材料采购</w:t>
      </w:r>
    </w:p>
    <w:p>
      <w:pPr>
        <w:pStyle w:val="Style28"/>
        <w:keepNext w:val="0"/>
        <w:keepLines w:val="0"/>
        <w:widowControl w:val="0"/>
        <w:shd w:val="clear" w:color="auto" w:fill="auto"/>
        <w:bidi w:val="0"/>
        <w:spacing w:before="0" w:line="326" w:lineRule="exact"/>
        <w:ind w:left="0" w:right="0" w:firstLine="480"/>
        <w:jc w:val="both"/>
      </w:pPr>
      <w:r>
        <w:rPr>
          <w:color w:val="000000"/>
          <w:spacing w:val="0"/>
          <w:w w:val="100"/>
          <w:position w:val="0"/>
        </w:rPr>
        <w:t>公司对工程项目设备、材料采购的质量实施全过程控制，确保采购过程有序、规范，采购的设备、材 料质量符合法律法规、标准、规范及客户要求。</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公司根据工程特点将设备、材料分为甲供、乙供两类进行控制。其中甲供设备、材料是指总承包方自 行采购的设备、材料；乙供设备、材料是指总承包方委托施工分包方采购的设备、材料，所使用材料的生 产厂家须经总承包商确认后方可采购使用。</w:t>
      </w:r>
    </w:p>
    <w:p>
      <w:pPr>
        <w:pStyle w:val="Style28"/>
        <w:keepNext w:val="0"/>
        <w:keepLines w:val="0"/>
        <w:widowControl w:val="0"/>
        <w:numPr>
          <w:ilvl w:val="0"/>
          <w:numId w:val="11"/>
        </w:numPr>
        <w:shd w:val="clear" w:color="auto" w:fill="auto"/>
        <w:bidi w:val="0"/>
        <w:spacing w:before="0" w:line="317" w:lineRule="exact"/>
        <w:ind w:left="0" w:right="0" w:firstLine="480"/>
        <w:jc w:val="both"/>
      </w:pPr>
      <w:bookmarkStart w:id="90" w:name="bookmark90"/>
      <w:bookmarkEnd w:id="90"/>
      <w:r>
        <w:rPr>
          <w:color w:val="000000"/>
          <w:spacing w:val="0"/>
          <w:w w:val="100"/>
          <w:position w:val="0"/>
        </w:rPr>
        <w:t>施工分包</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对于</w:t>
      </w:r>
      <w:r>
        <w:rPr>
          <w:rFonts w:ascii="Times New Roman" w:eastAsia="Times New Roman" w:hAnsi="Times New Roman" w:cs="Times New Roman"/>
          <w:color w:val="000000"/>
          <w:spacing w:val="0"/>
          <w:w w:val="100"/>
          <w:position w:val="0"/>
        </w:rPr>
        <w:t>EPC</w:t>
      </w:r>
      <w:r>
        <w:rPr>
          <w:color w:val="000000"/>
          <w:spacing w:val="0"/>
          <w:w w:val="100"/>
          <w:position w:val="0"/>
        </w:rPr>
        <w:t>工程总承包项目，公司建立了较为完善的施工质量全过程控制与管理机制，通过分包方式将 施工工作交给具备相应资质的专业施工单位，保证工程建设过程符合法律法规及客户要求。</w:t>
      </w:r>
    </w:p>
    <w:p>
      <w:pPr>
        <w:pStyle w:val="Style28"/>
        <w:keepNext w:val="0"/>
        <w:keepLines w:val="0"/>
        <w:widowControl w:val="0"/>
        <w:numPr>
          <w:ilvl w:val="0"/>
          <w:numId w:val="11"/>
        </w:numPr>
        <w:shd w:val="clear" w:color="auto" w:fill="auto"/>
        <w:bidi w:val="0"/>
        <w:spacing w:before="0" w:line="317" w:lineRule="exact"/>
        <w:ind w:left="0" w:right="0" w:firstLine="480"/>
        <w:jc w:val="both"/>
      </w:pPr>
      <w:bookmarkStart w:id="91" w:name="bookmark91"/>
      <w:bookmarkEnd w:id="91"/>
      <w:r>
        <w:rPr>
          <w:color w:val="000000"/>
          <w:spacing w:val="0"/>
          <w:w w:val="100"/>
          <w:position w:val="0"/>
        </w:rPr>
        <w:t>交易定价原则</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公司通过邀标方式确定采购交易价格。结合近期市场价格情况，公司首先对价格进行测算，形成参考 价。邀标过程中，在满足邀标资质、资格条件的前提下，公司对供应商投标材料进行专业评审，在参考价 的基础上，综合考虑各单位报价，最终确定供应商，确保采购价格公允、合理。</w:t>
      </w:r>
    </w:p>
    <w:p>
      <w:pPr>
        <w:pStyle w:val="Style28"/>
        <w:keepNext w:val="0"/>
        <w:keepLines w:val="0"/>
        <w:widowControl w:val="0"/>
        <w:shd w:val="clear" w:color="auto" w:fill="auto"/>
        <w:bidi w:val="0"/>
        <w:spacing w:before="0" w:line="317" w:lineRule="exact"/>
        <w:ind w:left="0" w:right="0" w:firstLine="48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）智慧能源业务采购模式</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公司在开展智慧能源业务过程中，根据项目需要对外进行软、硬件采购以及其他服务采购等。服务器、 工作站等硬件设备以及部分商用中间件、图形引擎，业内有专业化的厂商提供，可以根据需要随时采购。</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其他服务采购，主要是软件代码实现部分外包。公司所有的服务采购，执行公司的质量、环境、职业 健康安全一体化程序，并由公司制定技术原则、主要技术方案，由公司进行技术评审和把关，对采购服务 进行质量与进度的考核，以全面保障产品质量与进度。公司对产品或服务的质量负责。</w:t>
      </w:r>
    </w:p>
    <w:p>
      <w:pPr>
        <w:pStyle w:val="Style28"/>
        <w:keepNext w:val="0"/>
        <w:keepLines w:val="0"/>
        <w:widowControl w:val="0"/>
        <w:shd w:val="clear" w:color="auto" w:fill="auto"/>
        <w:bidi w:val="0"/>
        <w:spacing w:before="0" w:line="317" w:lineRule="exact"/>
        <w:ind w:left="0" w:right="0" w:firstLine="48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4</w:t>
      </w:r>
      <w:r>
        <w:rPr>
          <w:color w:val="000000"/>
          <w:spacing w:val="0"/>
          <w:w w:val="100"/>
          <w:position w:val="0"/>
        </w:rPr>
        <w:t>）智能运维业务采购模式</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公司依托自主研发的智能运维平台的仓管模块，合理对备品备件采购信息、出入库、库存管理等环节 进行动态控制、预警管理，提高备品备件利用率，降低采购成本，节约储备资金，减少积压和浪费。</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运维项目临时性的劳务人员需求，需编制劳务外包方案报备业主后实施。公司所有的劳务服务采购， 执行公司的质量、环境、职业健康安全一体化程序，公司对运维服务的质量负责。</w:t>
      </w:r>
    </w:p>
    <w:p>
      <w:pPr>
        <w:pStyle w:val="Style28"/>
        <w:keepNext w:val="0"/>
        <w:keepLines w:val="0"/>
        <w:widowControl w:val="0"/>
        <w:shd w:val="clear" w:color="auto" w:fill="auto"/>
        <w:bidi w:val="0"/>
        <w:spacing w:before="0" w:line="317" w:lineRule="exact"/>
        <w:ind w:left="0" w:right="0" w:firstLine="48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5</w:t>
      </w:r>
      <w:r>
        <w:rPr>
          <w:color w:val="000000"/>
          <w:spacing w:val="0"/>
          <w:w w:val="100"/>
          <w:position w:val="0"/>
        </w:rPr>
        <w:t>）储能业务采购模式</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储能业务根据采购的不同类型分别采用上述相应的采购模式。</w:t>
      </w:r>
    </w:p>
    <w:p>
      <w:pPr>
        <w:pStyle w:val="Style28"/>
        <w:keepNext w:val="0"/>
        <w:keepLines w:val="0"/>
        <w:widowControl w:val="0"/>
        <w:numPr>
          <w:ilvl w:val="0"/>
          <w:numId w:val="9"/>
        </w:numPr>
        <w:shd w:val="clear" w:color="auto" w:fill="auto"/>
        <w:bidi w:val="0"/>
        <w:spacing w:before="0" w:line="317" w:lineRule="exact"/>
        <w:ind w:left="0" w:right="0" w:firstLine="480"/>
        <w:jc w:val="both"/>
      </w:pPr>
      <w:bookmarkStart w:id="95" w:name="bookmark95"/>
      <w:bookmarkEnd w:id="95"/>
      <w:r>
        <w:rPr>
          <w:b/>
          <w:bCs/>
          <w:color w:val="000000"/>
          <w:spacing w:val="0"/>
          <w:w w:val="100"/>
          <w:position w:val="0"/>
        </w:rPr>
        <w:t>生产模式</w:t>
      </w:r>
    </w:p>
    <w:p>
      <w:pPr>
        <w:pStyle w:val="Style28"/>
        <w:keepNext w:val="0"/>
        <w:keepLines w:val="0"/>
        <w:widowControl w:val="0"/>
        <w:shd w:val="clear" w:color="auto" w:fill="auto"/>
        <w:bidi w:val="0"/>
        <w:spacing w:before="0" w:line="317" w:lineRule="exact"/>
        <w:ind w:left="0" w:right="0" w:firstLine="48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）电力工程勘察设计（含规划咨询）生产模式</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获取订单后，公司任命项目经理、组建项目执行团队，编制咨询报告、完成勘察设计工作，向客户提 交高质量的咨询报告或勘察设计成果。</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28"/>
        <w:keepNext w:val="0"/>
        <w:keepLines w:val="0"/>
        <w:widowControl w:val="0"/>
        <w:shd w:val="clear" w:color="auto" w:fill="auto"/>
        <w:tabs>
          <w:tab w:pos="968" w:val="left"/>
        </w:tabs>
        <w:bidi w:val="0"/>
        <w:spacing w:before="0" w:line="316" w:lineRule="exact"/>
        <w:ind w:left="0" w:right="0" w:firstLine="480"/>
        <w:jc w:val="both"/>
      </w:pPr>
      <w:bookmarkStart w:id="97" w:name="bookmark97"/>
      <w:r>
        <w:rPr>
          <w:color w:val="000000"/>
          <w:spacing w:val="0"/>
          <w:w w:val="100"/>
          <w:position w:val="0"/>
          <w:shd w:val="clear" w:color="auto" w:fill="FFFFFF"/>
        </w:rPr>
        <w:t>（</w:t>
      </w:r>
      <w:bookmarkEnd w:id="97"/>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EPC</w:t>
      </w:r>
      <w:r>
        <w:rPr>
          <w:color w:val="000000"/>
          <w:spacing w:val="0"/>
          <w:w w:val="100"/>
          <w:position w:val="0"/>
        </w:rPr>
        <w:t>总承包业务生产模式</w:t>
      </w:r>
    </w:p>
    <w:p>
      <w:pPr>
        <w:pStyle w:val="Style28"/>
        <w:keepNext w:val="0"/>
        <w:keepLines w:val="0"/>
        <w:widowControl w:val="0"/>
        <w:shd w:val="clear" w:color="auto" w:fill="auto"/>
        <w:bidi w:val="0"/>
        <w:spacing w:before="0" w:line="319" w:lineRule="exact"/>
        <w:ind w:left="0" w:right="0" w:firstLine="480"/>
        <w:jc w:val="both"/>
      </w:pPr>
      <w:r>
        <w:rPr>
          <w:color w:val="000000"/>
          <w:spacing w:val="0"/>
          <w:w w:val="100"/>
          <w:position w:val="0"/>
        </w:rPr>
        <w:t>获取订单后，公司任命项目经理，组建项目执行团队，负责项目管理、设计、设备采购等核心环节， 施工环节采用专业分包。充分发挥设计企业在设计、采购和项目管理方面的能力和优势，向客户移交优质 的竣工投产项目。</w:t>
      </w:r>
    </w:p>
    <w:p>
      <w:pPr>
        <w:pStyle w:val="Style28"/>
        <w:keepNext w:val="0"/>
        <w:keepLines w:val="0"/>
        <w:widowControl w:val="0"/>
        <w:shd w:val="clear" w:color="auto" w:fill="auto"/>
        <w:bidi w:val="0"/>
        <w:spacing w:before="0" w:line="316" w:lineRule="exact"/>
        <w:ind w:left="0" w:right="0" w:firstLine="48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）智慧能源业务生产模式</w:t>
      </w:r>
    </w:p>
    <w:p>
      <w:pPr>
        <w:pStyle w:val="Style28"/>
        <w:keepNext w:val="0"/>
        <w:keepLines w:val="0"/>
        <w:widowControl w:val="0"/>
        <w:numPr>
          <w:ilvl w:val="0"/>
          <w:numId w:val="13"/>
        </w:numPr>
        <w:shd w:val="clear" w:color="auto" w:fill="auto"/>
        <w:bidi w:val="0"/>
        <w:spacing w:before="0" w:line="316" w:lineRule="exact"/>
        <w:ind w:left="0" w:right="0" w:firstLine="480"/>
        <w:jc w:val="both"/>
      </w:pPr>
      <w:bookmarkStart w:id="99" w:name="bookmark99"/>
      <w:bookmarkEnd w:id="99"/>
      <w:r>
        <w:rPr>
          <w:color w:val="000000"/>
          <w:spacing w:val="0"/>
          <w:w w:val="100"/>
          <w:position w:val="0"/>
        </w:rPr>
        <w:t>定制化产品生产模式</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获取订单后，公司任命项目经理，组建项目执行团队。业务活动由设计开发和实施两大部分组成，设 计开发包含需求分析、方案设计、系统开发、开发验收、成果移交等工作内容，实施工作包括系统实施、 项目试运行验收、项目竣工验收等工作内容。</w:t>
      </w:r>
    </w:p>
    <w:p>
      <w:pPr>
        <w:pStyle w:val="Style28"/>
        <w:keepNext w:val="0"/>
        <w:keepLines w:val="0"/>
        <w:widowControl w:val="0"/>
        <w:numPr>
          <w:ilvl w:val="0"/>
          <w:numId w:val="13"/>
        </w:numPr>
        <w:shd w:val="clear" w:color="auto" w:fill="auto"/>
        <w:bidi w:val="0"/>
        <w:spacing w:before="0" w:line="316" w:lineRule="exact"/>
        <w:ind w:left="0" w:right="0" w:firstLine="480"/>
        <w:jc w:val="both"/>
      </w:pPr>
      <w:bookmarkStart w:id="100" w:name="bookmark100"/>
      <w:bookmarkEnd w:id="100"/>
      <w:r>
        <w:rPr>
          <w:color w:val="000000"/>
          <w:spacing w:val="0"/>
          <w:w w:val="100"/>
          <w:position w:val="0"/>
        </w:rPr>
        <w:t>标准化产品生产模式</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获取订单后，组建项目执行团队，在用户现场进行软件布署和交付，开展软件使用培训，在服务期内 进行售后服务，包括技术支持和升级服务。</w:t>
      </w:r>
    </w:p>
    <w:p>
      <w:pPr>
        <w:pStyle w:val="Style28"/>
        <w:keepNext w:val="0"/>
        <w:keepLines w:val="0"/>
        <w:widowControl w:val="0"/>
        <w:shd w:val="clear" w:color="auto" w:fill="auto"/>
        <w:bidi w:val="0"/>
        <w:spacing w:before="0" w:line="307" w:lineRule="exact"/>
        <w:ind w:left="0" w:right="0" w:firstLine="480"/>
        <w:jc w:val="both"/>
      </w:pPr>
      <w:r>
        <w:rPr>
          <w:color w:val="000000"/>
          <w:spacing w:val="0"/>
          <w:w w:val="100"/>
          <w:position w:val="0"/>
        </w:rPr>
        <w:t>同时，智慧能源业务也通过电力勘察设计、</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工程总承包业务方式实现，具体流程详见电力勘察设 计、</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工程总承包业务流程。</w:t>
      </w:r>
    </w:p>
    <w:p>
      <w:pPr>
        <w:pStyle w:val="Style28"/>
        <w:keepNext w:val="0"/>
        <w:keepLines w:val="0"/>
        <w:widowControl w:val="0"/>
        <w:shd w:val="clear" w:color="auto" w:fill="auto"/>
        <w:bidi w:val="0"/>
        <w:spacing w:before="0" w:line="316" w:lineRule="exact"/>
        <w:ind w:left="0" w:right="0" w:firstLine="48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）智能运维业务生产模式</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获取订单后，永福运维公司任命项目经理，组建项目执行团队，依托自主研发的哩帚荑</w:t>
      </w:r>
      <w:r>
        <w:rPr>
          <w:rFonts w:ascii="Times New Roman" w:eastAsia="Times New Roman" w:hAnsi="Times New Roman" w:cs="Times New Roman"/>
          <w:color w:val="000000"/>
          <w:spacing w:val="0"/>
          <w:w w:val="100"/>
          <w:position w:val="0"/>
        </w:rPr>
        <w:t>”</w:t>
      </w:r>
      <w:r>
        <w:rPr>
          <w:color w:val="000000"/>
          <w:spacing w:val="0"/>
          <w:w w:val="100"/>
          <w:position w:val="0"/>
        </w:rPr>
        <w:t>物联网管控平 台，按照</w:t>
      </w:r>
      <w:r>
        <w:rPr>
          <w:rFonts w:ascii="Times New Roman" w:eastAsia="Times New Roman" w:hAnsi="Times New Roman" w:cs="Times New Roman"/>
          <w:color w:val="000000"/>
          <w:spacing w:val="0"/>
          <w:w w:val="100"/>
          <w:position w:val="0"/>
        </w:rPr>
        <w:t>“</w:t>
      </w:r>
      <w:r>
        <w:rPr>
          <w:color w:val="000000"/>
          <w:spacing w:val="0"/>
          <w:w w:val="100"/>
          <w:position w:val="0"/>
        </w:rPr>
        <w:t>线上监管</w:t>
      </w:r>
      <w:r>
        <w:rPr>
          <w:rFonts w:ascii="Times New Roman" w:eastAsia="Times New Roman" w:hAnsi="Times New Roman" w:cs="Times New Roman"/>
          <w:color w:val="000000"/>
          <w:spacing w:val="0"/>
          <w:w w:val="100"/>
          <w:position w:val="0"/>
        </w:rPr>
        <w:t>+</w:t>
      </w:r>
      <w:r>
        <w:rPr>
          <w:color w:val="000000"/>
          <w:spacing w:val="0"/>
          <w:w w:val="100"/>
          <w:position w:val="0"/>
        </w:rPr>
        <w:t>线下运维</w:t>
      </w:r>
      <w:r>
        <w:rPr>
          <w:rFonts w:ascii="Times New Roman" w:eastAsia="Times New Roman" w:hAnsi="Times New Roman" w:cs="Times New Roman"/>
          <w:color w:val="000000"/>
          <w:spacing w:val="0"/>
          <w:w w:val="100"/>
          <w:position w:val="0"/>
        </w:rPr>
        <w:t>”</w:t>
      </w:r>
      <w:r>
        <w:rPr>
          <w:color w:val="000000"/>
          <w:spacing w:val="0"/>
          <w:w w:val="100"/>
          <w:position w:val="0"/>
        </w:rPr>
        <w:t>的运行模式，为客户提供专业化、定制化的运维服务。</w:t>
      </w:r>
    </w:p>
    <w:p>
      <w:pPr>
        <w:pStyle w:val="Style28"/>
        <w:keepNext w:val="0"/>
        <w:keepLines w:val="0"/>
        <w:widowControl w:val="0"/>
        <w:shd w:val="clear" w:color="auto" w:fill="auto"/>
        <w:bidi w:val="0"/>
        <w:spacing w:before="0" w:line="316" w:lineRule="exact"/>
        <w:ind w:left="0" w:right="0" w:firstLine="48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5</w:t>
      </w:r>
      <w:r>
        <w:rPr>
          <w:color w:val="000000"/>
          <w:spacing w:val="0"/>
          <w:w w:val="100"/>
          <w:position w:val="0"/>
        </w:rPr>
        <w:t>）储能业务生产模式</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获取订单后，公司任命项目经理，组建项目执行团队。根据客户不同需求提供全过程技术服务或数字 储能整体解决方案，具体生产模式同电力勘察设计、智慧能源业务。储能集成产品业务根据订单先进行工 程设计，采用或开发具有自主知识产权的软硬件产品，并采购装置、电子元器件等配套设备进行系统集成 后销售给客户。</w:t>
      </w:r>
    </w:p>
    <w:p>
      <w:pPr>
        <w:pStyle w:val="Style28"/>
        <w:keepNext w:val="0"/>
        <w:keepLines w:val="0"/>
        <w:widowControl w:val="0"/>
        <w:numPr>
          <w:ilvl w:val="0"/>
          <w:numId w:val="9"/>
        </w:numPr>
        <w:shd w:val="clear" w:color="auto" w:fill="auto"/>
        <w:bidi w:val="0"/>
        <w:spacing w:before="0" w:line="316" w:lineRule="exact"/>
        <w:ind w:left="0" w:right="0" w:firstLine="480"/>
        <w:jc w:val="both"/>
      </w:pPr>
      <w:bookmarkStart w:id="103" w:name="bookmark103"/>
      <w:bookmarkEnd w:id="103"/>
      <w:r>
        <w:rPr>
          <w:b/>
          <w:bCs/>
          <w:color w:val="000000"/>
          <w:spacing w:val="0"/>
          <w:w w:val="100"/>
          <w:position w:val="0"/>
        </w:rPr>
        <w:t>业务承接（销售）模式</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公司主要通过参与招投标（公开招投标、客户邀请招标）方式获取订单；此外，部分咨询业务和公司 独特技术业务，通过客户直接委托的方式获取订单。</w:t>
      </w:r>
    </w:p>
    <w:p>
      <w:pPr>
        <w:pStyle w:val="Style28"/>
        <w:keepNext w:val="0"/>
        <w:keepLines w:val="0"/>
        <w:widowControl w:val="0"/>
        <w:shd w:val="clear" w:color="auto" w:fill="auto"/>
        <w:bidi w:val="0"/>
        <w:spacing w:before="0" w:line="316" w:lineRule="exact"/>
        <w:ind w:left="0" w:right="0" w:firstLine="48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）招投标方式</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公司在日常经营中长期跟踪、研究国家关于电力投资的发展规划，学习、研究电力设计领域的先进理 念及优秀作品，在市场研判、专业技术储备、方案设计理念及快速反应能力上做好准备。公司的业务承接 过程主要包括项目信息收集、投标策划及投标文件的编制、投标文件评审及投标、合同拟定及签署等阶段。</w:t>
      </w:r>
    </w:p>
    <w:p>
      <w:pPr>
        <w:pStyle w:val="Style28"/>
        <w:keepNext w:val="0"/>
        <w:keepLines w:val="0"/>
        <w:widowControl w:val="0"/>
        <w:shd w:val="clear" w:color="auto" w:fill="auto"/>
        <w:bidi w:val="0"/>
        <w:spacing w:before="0" w:line="307" w:lineRule="exact"/>
        <w:ind w:left="0" w:right="0" w:firstLine="480"/>
        <w:jc w:val="both"/>
      </w:pPr>
      <w:r>
        <w:rPr>
          <w:color w:val="000000"/>
          <w:spacing w:val="0"/>
          <w:w w:val="100"/>
          <w:position w:val="0"/>
        </w:rPr>
        <w:t>公司多年来完成执行大量的各类工程项目业绩，在行业内积累了良好的口碑，综合竞争实力较强，有 助于公司在市场化的竞标中顺利承接业务。</w:t>
      </w:r>
    </w:p>
    <w:p>
      <w:pPr>
        <w:pStyle w:val="Style28"/>
        <w:keepNext w:val="0"/>
        <w:keepLines w:val="0"/>
        <w:widowControl w:val="0"/>
        <w:shd w:val="clear" w:color="auto" w:fill="auto"/>
        <w:bidi w:val="0"/>
        <w:spacing w:before="0" w:line="316" w:lineRule="exact"/>
        <w:ind w:left="0" w:right="0" w:firstLine="48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）直接委托</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公司接到客户的委托意向后，与客户接洽商谈。公司在与客户的谈判中，凭借较强的综合优势获取客 户的认可与信任，进而实现业务的承接。在该种模式下，公司自身的独特技术、综合实力、行业口碑以及 设计方案对项目承接具有重要意义。</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项目承接后，双方草拟合同，事业部或市场开拓部门组织相关部门进行合同评审，评审通过后进行合 同签署。</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公司在项目执行过程中以及项目建设完毕后，持续保持与客户的沟通，听取建议，并及时总结经验， 不断提升业务能力。</w:t>
      </w:r>
    </w:p>
    <w:p>
      <w:pPr>
        <w:pStyle w:val="Style28"/>
        <w:keepNext w:val="0"/>
        <w:keepLines w:val="0"/>
        <w:widowControl w:val="0"/>
        <w:shd w:val="clear" w:color="auto" w:fill="auto"/>
        <w:bidi w:val="0"/>
        <w:spacing w:before="0" w:line="313" w:lineRule="exact"/>
        <w:ind w:left="0" w:right="0" w:firstLine="480"/>
        <w:jc w:val="both"/>
      </w:pPr>
      <w:bookmarkStart w:id="106" w:name="bookmark106"/>
      <w:r>
        <w:rPr>
          <w:b/>
          <w:bCs/>
          <w:color w:val="000000"/>
          <w:spacing w:val="0"/>
          <w:w w:val="100"/>
          <w:position w:val="0"/>
        </w:rPr>
        <w:t>（</w:t>
      </w:r>
      <w:bookmarkEnd w:id="106"/>
      <w:r>
        <w:rPr>
          <w:b/>
          <w:bCs/>
          <w:color w:val="000000"/>
          <w:spacing w:val="0"/>
          <w:w w:val="100"/>
          <w:position w:val="0"/>
        </w:rPr>
        <w:t>三）主要的业绩驱动因素</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公司业绩增长的驱动因素主要来自于我国电力能源行业的战略转型和蓬勃发展，以及公司对风电、光 伏等新能源产业发展的前瞻性判断、提前布局和大力培育。</w:t>
      </w:r>
    </w:p>
    <w:p>
      <w:pPr>
        <w:pStyle w:val="Style28"/>
        <w:keepNext w:val="0"/>
        <w:keepLines w:val="0"/>
        <w:widowControl w:val="0"/>
        <w:shd w:val="clear" w:color="auto" w:fill="auto"/>
        <w:bidi w:val="0"/>
        <w:spacing w:before="0" w:line="313"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开局之年，随着国家</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战略的部署和推进，中央提出深化电力体制 改革，构建以新能源为主体的新型电力系统。</w:t>
      </w:r>
      <w:r>
        <w:rPr>
          <w:rFonts w:ascii="Times New Roman" w:eastAsia="Times New Roman" w:hAnsi="Times New Roman" w:cs="Times New Roman"/>
          <w:color w:val="000000"/>
          <w:spacing w:val="0"/>
          <w:w w:val="100"/>
          <w:position w:val="0"/>
        </w:rPr>
        <w:t>“</w:t>
      </w:r>
      <w:r>
        <w:rPr>
          <w:color w:val="000000"/>
          <w:spacing w:val="0"/>
          <w:w w:val="100"/>
          <w:position w:val="0"/>
        </w:rPr>
        <w:t>以新能源为主体</w:t>
      </w:r>
      <w:r>
        <w:rPr>
          <w:rFonts w:ascii="Times New Roman" w:eastAsia="Times New Roman" w:hAnsi="Times New Roman" w:cs="Times New Roman"/>
          <w:color w:val="000000"/>
          <w:spacing w:val="0"/>
          <w:w w:val="100"/>
          <w:position w:val="0"/>
        </w:rPr>
        <w:t>''</w:t>
      </w:r>
      <w:r>
        <w:rPr>
          <w:color w:val="000000"/>
          <w:spacing w:val="0"/>
          <w:w w:val="100"/>
          <w:position w:val="0"/>
        </w:rPr>
        <w:t>的特征在于新能源将占据主导地位，成为 主要的能源形式；</w:t>
      </w:r>
      <w:r>
        <w:rPr>
          <w:rFonts w:ascii="Times New Roman" w:eastAsia="Times New Roman" w:hAnsi="Times New Roman" w:cs="Times New Roman"/>
          <w:color w:val="000000"/>
          <w:spacing w:val="0"/>
          <w:w w:val="100"/>
          <w:position w:val="0"/>
        </w:rPr>
        <w:t>“</w:t>
      </w:r>
      <w:r>
        <w:rPr>
          <w:color w:val="000000"/>
          <w:spacing w:val="0"/>
          <w:w w:val="100"/>
          <w:position w:val="0"/>
        </w:rPr>
        <w:t>新型电力系统</w:t>
      </w:r>
      <w:r>
        <w:rPr>
          <w:rFonts w:ascii="Times New Roman" w:eastAsia="Times New Roman" w:hAnsi="Times New Roman" w:cs="Times New Roman"/>
          <w:color w:val="000000"/>
          <w:spacing w:val="0"/>
          <w:w w:val="100"/>
          <w:position w:val="0"/>
        </w:rPr>
        <w:t>”</w:t>
      </w:r>
      <w:r>
        <w:rPr>
          <w:color w:val="000000"/>
          <w:spacing w:val="0"/>
          <w:w w:val="100"/>
          <w:position w:val="0"/>
        </w:rPr>
        <w:t>的特征包含了数字化、多能协同互补、源网荷储互动、用能需求智控等 特点。发改委、能源局等部门先后出台了一系列利好政策，促进新能源、智慧能源产业持续向好发展。根 据国家能源局发布的统计数据，</w:t>
      </w:r>
      <w:r>
        <w:rPr>
          <w:rFonts w:ascii="Times New Roman" w:eastAsia="Times New Roman" w:hAnsi="Times New Roman" w:cs="Times New Roman"/>
          <w:color w:val="000000"/>
          <w:spacing w:val="0"/>
          <w:w w:val="100"/>
          <w:position w:val="0"/>
        </w:rPr>
        <w:t>2021</w:t>
      </w:r>
      <w:r>
        <w:rPr>
          <w:color w:val="000000"/>
          <w:spacing w:val="0"/>
          <w:w w:val="100"/>
          <w:position w:val="0"/>
        </w:rPr>
        <w:t>年全国发电装机容量约</w:t>
      </w:r>
      <w:r>
        <w:rPr>
          <w:rFonts w:ascii="Times New Roman" w:eastAsia="Times New Roman" w:hAnsi="Times New Roman" w:cs="Times New Roman"/>
          <w:color w:val="000000"/>
          <w:spacing w:val="0"/>
          <w:w w:val="100"/>
          <w:position w:val="0"/>
        </w:rPr>
        <w:t>23.8</w:t>
      </w:r>
      <w:r>
        <w:rPr>
          <w:color w:val="000000"/>
          <w:spacing w:val="0"/>
          <w:w w:val="100"/>
          <w:position w:val="0"/>
        </w:rPr>
        <w:t>亿千瓦，同比增长</w:t>
      </w:r>
      <w:r>
        <w:rPr>
          <w:rFonts w:ascii="Times New Roman" w:eastAsia="Times New Roman" w:hAnsi="Times New Roman" w:cs="Times New Roman"/>
          <w:color w:val="000000"/>
          <w:spacing w:val="0"/>
          <w:w w:val="100"/>
          <w:position w:val="0"/>
        </w:rPr>
        <w:t>7.9%</w:t>
      </w:r>
      <w:r>
        <w:rPr>
          <w:color w:val="000000"/>
          <w:spacing w:val="0"/>
          <w:w w:val="100"/>
          <w:position w:val="0"/>
        </w:rPr>
        <w:t>。其中，风电装机 容量约</w:t>
      </w:r>
      <w:r>
        <w:rPr>
          <w:rFonts w:ascii="Times New Roman" w:eastAsia="Times New Roman" w:hAnsi="Times New Roman" w:cs="Times New Roman"/>
          <w:color w:val="000000"/>
          <w:spacing w:val="0"/>
          <w:w w:val="100"/>
          <w:position w:val="0"/>
        </w:rPr>
        <w:t>3.3</w:t>
      </w:r>
      <w:r>
        <w:rPr>
          <w:color w:val="000000"/>
          <w:spacing w:val="0"/>
          <w:w w:val="100"/>
          <w:position w:val="0"/>
        </w:rPr>
        <w:t>亿千瓦，同比增长</w:t>
      </w:r>
      <w:r>
        <w:rPr>
          <w:rFonts w:ascii="Times New Roman" w:eastAsia="Times New Roman" w:hAnsi="Times New Roman" w:cs="Times New Roman"/>
          <w:color w:val="000000"/>
          <w:spacing w:val="0"/>
          <w:w w:val="100"/>
          <w:position w:val="0"/>
        </w:rPr>
        <w:t>16.6%</w:t>
      </w:r>
      <w:r>
        <w:rPr>
          <w:color w:val="000000"/>
          <w:spacing w:val="0"/>
          <w:w w:val="100"/>
          <w:position w:val="0"/>
        </w:rPr>
        <w:t>；太阳能发电装机容量约</w:t>
      </w:r>
      <w:r>
        <w:rPr>
          <w:rFonts w:ascii="Times New Roman" w:eastAsia="Times New Roman" w:hAnsi="Times New Roman" w:cs="Times New Roman"/>
          <w:color w:val="000000"/>
          <w:spacing w:val="0"/>
          <w:w w:val="100"/>
          <w:position w:val="0"/>
        </w:rPr>
        <w:t>3.1</w:t>
      </w:r>
      <w:r>
        <w:rPr>
          <w:color w:val="000000"/>
          <w:spacing w:val="0"/>
          <w:w w:val="100"/>
          <w:position w:val="0"/>
        </w:rPr>
        <w:t>亿千瓦，同比增长</w:t>
      </w:r>
      <w:r>
        <w:rPr>
          <w:rFonts w:ascii="Times New Roman" w:eastAsia="Times New Roman" w:hAnsi="Times New Roman" w:cs="Times New Roman"/>
          <w:color w:val="000000"/>
          <w:spacing w:val="0"/>
          <w:w w:val="100"/>
          <w:position w:val="0"/>
        </w:rPr>
        <w:t>20.9%</w:t>
      </w:r>
      <w:r>
        <w:rPr>
          <w:color w:val="000000"/>
          <w:spacing w:val="0"/>
          <w:w w:val="100"/>
          <w:position w:val="0"/>
        </w:rPr>
        <w:t>；可再生能源装机 规模突破</w:t>
      </w:r>
      <w:r>
        <w:rPr>
          <w:rFonts w:ascii="Times New Roman" w:eastAsia="Times New Roman" w:hAnsi="Times New Roman" w:cs="Times New Roman"/>
          <w:color w:val="000000"/>
          <w:spacing w:val="0"/>
          <w:w w:val="100"/>
          <w:position w:val="0"/>
        </w:rPr>
        <w:t>10</w:t>
      </w:r>
      <w:r>
        <w:rPr>
          <w:color w:val="000000"/>
          <w:spacing w:val="0"/>
          <w:w w:val="100"/>
          <w:position w:val="0"/>
        </w:rPr>
        <w:t>亿千瓦，新增装机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w:t>
      </w:r>
      <w:r>
        <w:rPr>
          <w:color w:val="000000"/>
          <w:spacing w:val="0"/>
          <w:w w:val="100"/>
          <w:position w:val="0"/>
        </w:rPr>
        <w:t>亿千瓦，占全国新增发电装机的</w:t>
      </w:r>
      <w:r>
        <w:rPr>
          <w:rFonts w:ascii="Times New Roman" w:eastAsia="Times New Roman" w:hAnsi="Times New Roman" w:cs="Times New Roman"/>
          <w:color w:val="000000"/>
          <w:spacing w:val="0"/>
          <w:w w:val="100"/>
          <w:position w:val="0"/>
        </w:rPr>
        <w:t>76.1%</w:t>
      </w:r>
      <w:r>
        <w:rPr>
          <w:color w:val="000000"/>
          <w:spacing w:val="0"/>
          <w:w w:val="100"/>
          <w:position w:val="0"/>
        </w:rPr>
        <w:t>。</w:t>
      </w:r>
    </w:p>
    <w:p>
      <w:pPr>
        <w:pStyle w:val="Style28"/>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公司深耕电力能源行业，深刻洞悉行业发展趋势，牢牢把握历史机遇，制定了具有前瞻性的发展战略， 提前布局了新能源产业，经过若干年培育，现已逐步呈现良好的效益，成为公司创造业绩新高的核心驱动 因素。报告期内，公司实现营业收入</w:t>
      </w:r>
      <w:r>
        <w:rPr>
          <w:rFonts w:ascii="Times New Roman" w:eastAsia="Times New Roman" w:hAnsi="Times New Roman" w:cs="Times New Roman"/>
          <w:color w:val="000000"/>
          <w:spacing w:val="0"/>
          <w:w w:val="100"/>
          <w:position w:val="0"/>
        </w:rPr>
        <w:t>15.68</w:t>
      </w:r>
      <w:r>
        <w:rPr>
          <w:color w:val="000000"/>
          <w:spacing w:val="0"/>
          <w:w w:val="100"/>
          <w:position w:val="0"/>
        </w:rPr>
        <w:t>亿元，较上年同期增加</w:t>
      </w:r>
      <w:r>
        <w:rPr>
          <w:rFonts w:ascii="Times New Roman" w:eastAsia="Times New Roman" w:hAnsi="Times New Roman" w:cs="Times New Roman"/>
          <w:color w:val="000000"/>
          <w:spacing w:val="0"/>
          <w:w w:val="100"/>
          <w:position w:val="0"/>
        </w:rPr>
        <w:t xml:space="preserve">59.92% </w:t>
      </w:r>
      <w:r>
        <w:rPr>
          <w:color w:val="000000"/>
          <w:spacing w:val="0"/>
          <w:w w:val="100"/>
          <w:position w:val="0"/>
        </w:rPr>
        <w:t>；其中新能源业务营业收入</w:t>
      </w:r>
      <w:r>
        <w:rPr>
          <w:rFonts w:ascii="Times New Roman" w:eastAsia="Times New Roman" w:hAnsi="Times New Roman" w:cs="Times New Roman"/>
          <w:color w:val="000000"/>
          <w:spacing w:val="0"/>
          <w:w w:val="100"/>
          <w:position w:val="0"/>
        </w:rPr>
        <w:t xml:space="preserve">10.19 </w:t>
      </w:r>
      <w:r>
        <w:rPr>
          <w:color w:val="000000"/>
          <w:spacing w:val="0"/>
          <w:w w:val="100"/>
          <w:position w:val="0"/>
        </w:rPr>
        <w:t>亿元，较上年同期增加</w:t>
      </w:r>
      <w:r>
        <w:rPr>
          <w:rFonts w:ascii="Times New Roman" w:eastAsia="Times New Roman" w:hAnsi="Times New Roman" w:cs="Times New Roman"/>
          <w:color w:val="000000"/>
          <w:spacing w:val="0"/>
          <w:w w:val="100"/>
          <w:position w:val="0"/>
        </w:rPr>
        <w:t>190.90%</w:t>
      </w:r>
      <w:r>
        <w:rPr>
          <w:color w:val="000000"/>
          <w:spacing w:val="0"/>
          <w:w w:val="100"/>
          <w:position w:val="0"/>
        </w:rPr>
        <w:t>。</w:t>
      </w:r>
    </w:p>
    <w:p>
      <w:pPr>
        <w:pStyle w:val="Style22"/>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三</w:t>
      </w:r>
      <w:bookmarkEnd w:id="109"/>
      <w:r>
        <w:rPr>
          <w:color w:val="000000"/>
          <w:spacing w:val="0"/>
          <w:w w:val="100"/>
          <w:position w:val="0"/>
          <w:sz w:val="24"/>
          <w:szCs w:val="24"/>
        </w:rPr>
        <w:t>、核心竞争力分析</w:t>
      </w:r>
      <w:bookmarkEnd w:id="107"/>
      <w:bookmarkEnd w:id="108"/>
      <w:bookmarkEnd w:id="110"/>
    </w:p>
    <w:p>
      <w:pPr>
        <w:pStyle w:val="Style28"/>
        <w:keepNext w:val="0"/>
        <w:keepLines w:val="0"/>
        <w:widowControl w:val="0"/>
        <w:shd w:val="clear" w:color="auto" w:fill="auto"/>
        <w:bidi w:val="0"/>
        <w:spacing w:before="0" w:line="313" w:lineRule="exact"/>
        <w:ind w:left="0" w:right="0" w:firstLine="480"/>
        <w:jc w:val="both"/>
      </w:pPr>
      <w:bookmarkStart w:id="111" w:name="bookmark111"/>
      <w:r>
        <w:rPr>
          <w:b/>
          <w:bCs/>
          <w:color w:val="000000"/>
          <w:spacing w:val="0"/>
          <w:w w:val="100"/>
          <w:position w:val="0"/>
        </w:rPr>
        <w:t>（</w:t>
      </w:r>
      <w:bookmarkEnd w:id="111"/>
      <w:r>
        <w:rPr>
          <w:b/>
          <w:bCs/>
          <w:color w:val="000000"/>
          <w:spacing w:val="0"/>
          <w:w w:val="100"/>
          <w:position w:val="0"/>
        </w:rPr>
        <w:t>一）机制优势</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公司是目前国内唯一一家自主上市的能承担大型发电、输变电业务的电力勘察设计企业，竞争对手主 要为中国电建、中国能建下属的大型国有电力设计院。与竞争对手相比，公司具有体制机制优势，决策链 短、响应迅速，从而具有更高的市场灵敏度，对外部环境和客户需求的变化能更快地响应；公司具有融资 渠道优势，通过上市公司平台丰富的融资渠道，可以募集更多资金，满足公司业务开展的需要；公司具有 商务模式优势，采用</w:t>
      </w:r>
      <w:r>
        <w:rPr>
          <w:rFonts w:ascii="Times New Roman" w:eastAsia="Times New Roman" w:hAnsi="Times New Roman" w:cs="Times New Roman"/>
          <w:color w:val="000000"/>
          <w:spacing w:val="0"/>
          <w:w w:val="100"/>
          <w:position w:val="0"/>
        </w:rPr>
        <w:t>“</w:t>
      </w:r>
      <w:r>
        <w:rPr>
          <w:color w:val="000000"/>
          <w:spacing w:val="0"/>
          <w:w w:val="100"/>
          <w:position w:val="0"/>
        </w:rPr>
        <w:t>开发</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+EPC+</w:t>
      </w:r>
      <w:r>
        <w:rPr>
          <w:color w:val="000000"/>
          <w:spacing w:val="0"/>
          <w:w w:val="100"/>
          <w:position w:val="0"/>
        </w:rPr>
        <w:t>资产处置</w:t>
      </w:r>
      <w:r>
        <w:rPr>
          <w:rFonts w:ascii="Times New Roman" w:eastAsia="Times New Roman" w:hAnsi="Times New Roman" w:cs="Times New Roman"/>
          <w:color w:val="000000"/>
          <w:spacing w:val="0"/>
          <w:w w:val="100"/>
          <w:position w:val="0"/>
        </w:rPr>
        <w:t>''</w:t>
      </w:r>
      <w:r>
        <w:rPr>
          <w:color w:val="000000"/>
          <w:spacing w:val="0"/>
          <w:w w:val="100"/>
          <w:position w:val="0"/>
        </w:rPr>
        <w:t>商务模式，提高公司市场地位、议价能力和项目收益； 公司具有人才吸引优势，由于不受国有企业人员编制和薪酬总额的体制约束，在人才的引进、岗位聘任上 有更高的自由度和灵活性，可为优秀人才提供更宽广的职业发展通道和干事创业平台，并通过有竞争力的 薪酬方案和股权激励，吸引人才、留住人才、激励人才，创造更大价值，助力企业发展。</w:t>
      </w:r>
    </w:p>
    <w:p>
      <w:pPr>
        <w:pStyle w:val="Style28"/>
        <w:keepNext w:val="0"/>
        <w:keepLines w:val="0"/>
        <w:widowControl w:val="0"/>
        <w:shd w:val="clear" w:color="auto" w:fill="auto"/>
        <w:bidi w:val="0"/>
        <w:spacing w:before="0" w:line="313" w:lineRule="exact"/>
        <w:ind w:left="0" w:right="0" w:firstLine="480"/>
        <w:jc w:val="both"/>
      </w:pPr>
      <w:bookmarkStart w:id="112" w:name="bookmark112"/>
      <w:r>
        <w:rPr>
          <w:b/>
          <w:bCs/>
          <w:color w:val="000000"/>
          <w:spacing w:val="0"/>
          <w:w w:val="100"/>
          <w:position w:val="0"/>
        </w:rPr>
        <w:t>（</w:t>
      </w:r>
      <w:bookmarkEnd w:id="112"/>
      <w:r>
        <w:rPr>
          <w:b/>
          <w:bCs/>
          <w:color w:val="000000"/>
          <w:spacing w:val="0"/>
          <w:w w:val="100"/>
          <w:position w:val="0"/>
        </w:rPr>
        <w:t>二）资质优势</w:t>
      </w:r>
    </w:p>
    <w:p>
      <w:pPr>
        <w:pStyle w:val="Style28"/>
        <w:keepNext w:val="0"/>
        <w:keepLines w:val="0"/>
        <w:widowControl w:val="0"/>
        <w:shd w:val="clear" w:color="auto" w:fill="auto"/>
        <w:bidi w:val="0"/>
        <w:spacing w:before="0" w:after="260" w:line="310" w:lineRule="exact"/>
        <w:ind w:left="0" w:right="0" w:firstLine="480"/>
        <w:jc w:val="both"/>
      </w:pPr>
      <w:r>
        <w:rPr>
          <w:color w:val="000000"/>
          <w:spacing w:val="0"/>
          <w:w w:val="100"/>
          <w:position w:val="0"/>
        </w:rPr>
        <w:t>公司具备电力行业全产业链系列资质。拥有电力设计最高资质等级一工程设计（电力行业）甲级资 质，并拥有工程勘察专业类甲级、工程咨询电力、建筑、通信和勘察专业甲级资信、特种设备（压力管道） 设计许可、工程造价咨询企业乙级、电力工程施工总承包三级、电力设施承装（修、饰）四级和民用无人 航空器经营许可等资质，报告期内公司取得电子通信广电行业（电子系统工程）专业甲级资质，成为少数 具备电子通信广电行业专业甲级资质的电力勘察设计企业；控股子公司福建永福运维科技有限公司具备电 力工程施工总承包三级和承装（修、试）电力设施许可资质；控股子公司福建华超信息科技有限公司、上 海毅昊自动化有限公司及福建永福信息科技有限公司具备信息系统集成及服务资质、</w:t>
      </w:r>
      <w:r>
        <w:rPr>
          <w:rFonts w:ascii="Times New Roman" w:eastAsia="Times New Roman" w:hAnsi="Times New Roman" w:cs="Times New Roman"/>
          <w:color w:val="000000"/>
          <w:spacing w:val="0"/>
          <w:w w:val="100"/>
          <w:position w:val="0"/>
        </w:rPr>
        <w:t>CCRC</w:t>
      </w:r>
      <w:r>
        <w:rPr>
          <w:color w:val="000000"/>
          <w:spacing w:val="0"/>
          <w:w w:val="100"/>
          <w:position w:val="0"/>
        </w:rPr>
        <w:t>信息安全服务 资质、软件企业和软件产品证书，报告期内福建永福信息科技有限公司新取得软件成熟度</w:t>
      </w:r>
      <w:r>
        <w:rPr>
          <w:rFonts w:ascii="Times New Roman" w:eastAsia="Times New Roman" w:hAnsi="Times New Roman" w:cs="Times New Roman"/>
          <w:color w:val="000000"/>
          <w:spacing w:val="0"/>
          <w:w w:val="100"/>
          <w:position w:val="0"/>
        </w:rPr>
        <w:t>CMMI</w:t>
      </w:r>
      <w:r>
        <w:rPr>
          <w:color w:val="000000"/>
          <w:spacing w:val="0"/>
          <w:w w:val="100"/>
          <w:position w:val="0"/>
        </w:rPr>
        <w:t>三级证书。</w:t>
      </w:r>
    </w:p>
    <w:p>
      <w:pPr>
        <w:pStyle w:val="Style28"/>
        <w:keepNext w:val="0"/>
        <w:keepLines w:val="0"/>
        <w:widowControl w:val="0"/>
        <w:shd w:val="clear" w:color="auto" w:fill="auto"/>
        <w:bidi w:val="0"/>
        <w:spacing w:before="0" w:line="240" w:lineRule="auto"/>
        <w:ind w:left="0" w:right="0" w:firstLine="480"/>
        <w:jc w:val="both"/>
      </w:pPr>
      <w:bookmarkStart w:id="113" w:name="bookmark113"/>
      <w:r>
        <w:rPr>
          <w:b/>
          <w:bCs/>
          <w:color w:val="000000"/>
          <w:spacing w:val="0"/>
          <w:w w:val="100"/>
          <w:position w:val="0"/>
        </w:rPr>
        <w:t>（</w:t>
      </w:r>
      <w:bookmarkEnd w:id="113"/>
      <w:r>
        <w:rPr>
          <w:b/>
          <w:bCs/>
          <w:color w:val="000000"/>
          <w:spacing w:val="0"/>
          <w:w w:val="100"/>
          <w:position w:val="0"/>
        </w:rPr>
        <w:t>三）集成优势</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公司深耕电力能源行业，业务覆盖电力投资、规划咨询、勘察设计、工程建设、软件开发、运维管理 等电力产业链各环节，深度融合全面的电力技术与前沿的信息技术，拥有丰富的海内外电力项目经验，具 备领先的发电（核电、燃气发电、风电、光伏等清洁能源及新能源）、电网（包括特高压在内的全电压等 级）、综合能源、智慧能源、储能等电力能源系统集成解决方案能力、配套产品和应用服务能力。同时， 公司拥有专业的电力信息技术团队，拥有两家信息科技子公司和一家电力自动化子公司，深度融合电力技 术、自动化技术、信息技术，可提供智能电网、数字</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、城市智慧能源网等领域集成解决方 案和相关软硬件产品。上述两方面结合形成了独特行业竞争优势：与信息技术企业相比，公司具有电力行 业深厚积淀和系统集成优势；与传统的电力勘察设计企业相比，公司具有信息化技术集成优势。</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公司与宁德时代建立战略合作伙伴关系，引入宁德时代战略投资，成为公司第二大股东，并共同出资 成立时代永福科技有限公司，聚焦新能源</w:t>
      </w:r>
      <w:r>
        <w:rPr>
          <w:rFonts w:ascii="Times New Roman" w:eastAsia="Times New Roman" w:hAnsi="Times New Roman" w:cs="Times New Roman"/>
          <w:color w:val="000000"/>
          <w:spacing w:val="0"/>
          <w:w w:val="100"/>
          <w:position w:val="0"/>
        </w:rPr>
        <w:t>+</w:t>
      </w:r>
      <w:r>
        <w:rPr>
          <w:color w:val="000000"/>
          <w:spacing w:val="0"/>
          <w:w w:val="100"/>
          <w:position w:val="0"/>
        </w:rPr>
        <w:t>储能领域；投资一道新能源科技</w:t>
      </w:r>
      <w:r>
        <w:rPr>
          <w:rFonts w:ascii="Times New Roman" w:eastAsia="Times New Roman" w:hAnsi="Times New Roman" w:cs="Times New Roman"/>
          <w:color w:val="000000"/>
          <w:spacing w:val="0"/>
          <w:w w:val="100"/>
          <w:position w:val="0"/>
        </w:rPr>
        <w:t>（</w:t>
      </w:r>
      <w:r>
        <w:rPr>
          <w:color w:val="000000"/>
          <w:spacing w:val="0"/>
          <w:w w:val="100"/>
          <w:position w:val="0"/>
        </w:rPr>
        <w:t>衢州</w:t>
      </w:r>
      <w:r>
        <w:rPr>
          <w:rFonts w:ascii="Times New Roman" w:eastAsia="Times New Roman" w:hAnsi="Times New Roman" w:cs="Times New Roman"/>
          <w:color w:val="000000"/>
          <w:spacing w:val="0"/>
          <w:w w:val="100"/>
          <w:position w:val="0"/>
        </w:rPr>
        <w:t>）</w:t>
      </w:r>
      <w:r>
        <w:rPr>
          <w:color w:val="000000"/>
          <w:spacing w:val="0"/>
          <w:w w:val="100"/>
          <w:position w:val="0"/>
        </w:rPr>
        <w:t>有限公司、北京索英电气 技术有限公司、上海快卜新能源科技有限公司等上下游产品、运营公司，构筑资本纽带，构建</w:t>
      </w:r>
      <w:r>
        <w:rPr>
          <w:rFonts w:ascii="Times New Roman" w:eastAsia="Times New Roman" w:hAnsi="Times New Roman" w:cs="Times New Roman"/>
          <w:color w:val="000000"/>
          <w:spacing w:val="0"/>
          <w:w w:val="100"/>
          <w:position w:val="0"/>
        </w:rPr>
        <w:t>“</w:t>
      </w:r>
      <w:r>
        <w:rPr>
          <w:color w:val="000000"/>
          <w:spacing w:val="0"/>
          <w:w w:val="100"/>
          <w:position w:val="0"/>
        </w:rPr>
        <w:t>新能源+ 储能</w:t>
      </w:r>
      <w:r>
        <w:rPr>
          <w:rFonts w:ascii="Times New Roman" w:eastAsia="Times New Roman" w:hAnsi="Times New Roman" w:cs="Times New Roman"/>
          <w:color w:val="000000"/>
          <w:spacing w:val="0"/>
          <w:w w:val="100"/>
          <w:position w:val="0"/>
        </w:rPr>
        <w:t>”</w:t>
      </w:r>
      <w:r>
        <w:rPr>
          <w:color w:val="000000"/>
          <w:spacing w:val="0"/>
          <w:w w:val="100"/>
          <w:position w:val="0"/>
        </w:rPr>
        <w:t>产业生态链。</w:t>
      </w:r>
    </w:p>
    <w:p>
      <w:pPr>
        <w:pStyle w:val="Style28"/>
        <w:keepNext w:val="0"/>
        <w:keepLines w:val="0"/>
        <w:widowControl w:val="0"/>
        <w:shd w:val="clear" w:color="auto" w:fill="auto"/>
        <w:bidi w:val="0"/>
        <w:spacing w:before="0" w:line="312" w:lineRule="exact"/>
        <w:ind w:left="0" w:right="0" w:firstLine="480"/>
        <w:jc w:val="both"/>
      </w:pPr>
      <w:bookmarkStart w:id="114" w:name="bookmark114"/>
      <w:r>
        <w:rPr>
          <w:b/>
          <w:bCs/>
          <w:color w:val="000000"/>
          <w:spacing w:val="0"/>
          <w:w w:val="100"/>
          <w:position w:val="0"/>
        </w:rPr>
        <w:t>（</w:t>
      </w:r>
      <w:bookmarkEnd w:id="114"/>
      <w:r>
        <w:rPr>
          <w:b/>
          <w:bCs/>
          <w:color w:val="000000"/>
          <w:spacing w:val="0"/>
          <w:w w:val="100"/>
          <w:position w:val="0"/>
        </w:rPr>
        <w:t>四）研发优势</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公司为国家高新技术企业、福建省知识产权优势企业，并获批设立</w:t>
      </w:r>
      <w:r>
        <w:rPr>
          <w:rFonts w:ascii="Times New Roman" w:eastAsia="Times New Roman" w:hAnsi="Times New Roman" w:cs="Times New Roman"/>
          <w:color w:val="000000"/>
          <w:spacing w:val="0"/>
          <w:w w:val="100"/>
          <w:position w:val="0"/>
        </w:rPr>
        <w:t>“</w:t>
      </w:r>
      <w:r>
        <w:rPr>
          <w:color w:val="000000"/>
          <w:spacing w:val="0"/>
          <w:w w:val="100"/>
          <w:position w:val="0"/>
        </w:rPr>
        <w:t>福建省电力设计企业工程技术研 究中心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博士后科研工作站</w:t>
      </w:r>
      <w:r>
        <w:rPr>
          <w:rFonts w:ascii="Times New Roman" w:eastAsia="Times New Roman" w:hAnsi="Times New Roman" w:cs="Times New Roman"/>
          <w:color w:val="000000"/>
          <w:spacing w:val="0"/>
          <w:w w:val="100"/>
          <w:position w:val="0"/>
        </w:rPr>
        <w:t>”</w:t>
      </w:r>
      <w:r>
        <w:rPr>
          <w:color w:val="000000"/>
          <w:spacing w:val="0"/>
          <w:w w:val="100"/>
          <w:position w:val="0"/>
        </w:rPr>
        <w:t>等。基于齐全的专业配置和丰富的工程示范应用土壤，紧随能源技术革命发 展趋势，在海上风电、特高压、电力数字化、储能、智慧能源、智能运维、综合能源等领域开展关键技术 研发。截至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年底，公司掌握专利技术超过</w:t>
      </w:r>
      <w:r>
        <w:rPr>
          <w:rFonts w:ascii="Times New Roman" w:eastAsia="Times New Roman" w:hAnsi="Times New Roman" w:cs="Times New Roman"/>
          <w:color w:val="000000"/>
          <w:spacing w:val="0"/>
          <w:w w:val="100"/>
          <w:position w:val="0"/>
        </w:rPr>
        <w:t>10 0</w:t>
      </w:r>
      <w:r>
        <w:rPr>
          <w:color w:val="000000"/>
          <w:spacing w:val="0"/>
          <w:w w:val="100"/>
          <w:position w:val="0"/>
        </w:rPr>
        <w:t>项，主编</w:t>
      </w:r>
      <w:r>
        <w:rPr>
          <w:rFonts w:ascii="Times New Roman" w:eastAsia="Times New Roman" w:hAnsi="Times New Roman" w:cs="Times New Roman"/>
          <w:color w:val="000000"/>
          <w:spacing w:val="0"/>
          <w:w w:val="100"/>
          <w:position w:val="0"/>
        </w:rPr>
        <w:t>/</w:t>
      </w:r>
      <w:r>
        <w:rPr>
          <w:color w:val="000000"/>
          <w:spacing w:val="0"/>
          <w:w w:val="100"/>
          <w:position w:val="0"/>
        </w:rPr>
        <w:t>参编国家及行业标准超过</w:t>
      </w:r>
      <w:r>
        <w:rPr>
          <w:rFonts w:ascii="Times New Roman" w:eastAsia="Times New Roman" w:hAnsi="Times New Roman" w:cs="Times New Roman"/>
          <w:color w:val="000000"/>
          <w:spacing w:val="0"/>
          <w:w w:val="100"/>
          <w:position w:val="0"/>
        </w:rPr>
        <w:t>20</w:t>
      </w:r>
      <w:r>
        <w:rPr>
          <w:color w:val="000000"/>
          <w:spacing w:val="0"/>
          <w:w w:val="100"/>
          <w:position w:val="0"/>
        </w:rPr>
        <w:t>项，其中海上风电 领域获得</w:t>
      </w:r>
      <w:r>
        <w:rPr>
          <w:rFonts w:ascii="Times New Roman" w:eastAsia="Times New Roman" w:hAnsi="Times New Roman" w:cs="Times New Roman"/>
          <w:color w:val="000000"/>
          <w:spacing w:val="0"/>
          <w:w w:val="100"/>
          <w:position w:val="0"/>
        </w:rPr>
        <w:t>41</w:t>
      </w:r>
      <w:r>
        <w:rPr>
          <w:color w:val="000000"/>
          <w:spacing w:val="0"/>
          <w:w w:val="100"/>
          <w:position w:val="0"/>
        </w:rPr>
        <w:t>项专利，主编</w:t>
      </w:r>
      <w:r>
        <w:rPr>
          <w:rFonts w:ascii="Times New Roman" w:eastAsia="Times New Roman" w:hAnsi="Times New Roman" w:cs="Times New Roman"/>
          <w:color w:val="000000"/>
          <w:spacing w:val="0"/>
          <w:w w:val="100"/>
          <w:position w:val="0"/>
        </w:rPr>
        <w:t>7</w:t>
      </w:r>
      <w:r>
        <w:rPr>
          <w:color w:val="000000"/>
          <w:spacing w:val="0"/>
          <w:w w:val="100"/>
          <w:position w:val="0"/>
        </w:rPr>
        <w:t>项、参编</w:t>
      </w:r>
      <w:r>
        <w:rPr>
          <w:rFonts w:ascii="Times New Roman" w:eastAsia="Times New Roman" w:hAnsi="Times New Roman" w:cs="Times New Roman"/>
          <w:color w:val="000000"/>
          <w:spacing w:val="0"/>
          <w:w w:val="100"/>
          <w:position w:val="0"/>
        </w:rPr>
        <w:t>10</w:t>
      </w:r>
      <w:r>
        <w:rPr>
          <w:color w:val="000000"/>
          <w:spacing w:val="0"/>
          <w:w w:val="100"/>
          <w:position w:val="0"/>
        </w:rPr>
        <w:t>项国家、能源行业海上风电标准编制，被评为</w:t>
      </w:r>
      <w:r>
        <w:rPr>
          <w:rFonts w:ascii="Times New Roman" w:eastAsia="Times New Roman" w:hAnsi="Times New Roman" w:cs="Times New Roman"/>
          <w:color w:val="000000"/>
          <w:spacing w:val="0"/>
          <w:w w:val="100"/>
          <w:position w:val="0"/>
        </w:rPr>
        <w:t>“2020</w:t>
      </w:r>
      <w:r>
        <w:rPr>
          <w:color w:val="000000"/>
          <w:spacing w:val="0"/>
          <w:w w:val="100"/>
          <w:position w:val="0"/>
        </w:rPr>
        <w:t>年度海上风电工 程技术领军企业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bidi w:val="0"/>
        <w:spacing w:before="0" w:line="312" w:lineRule="exact"/>
        <w:ind w:left="0" w:right="0" w:firstLine="480"/>
        <w:jc w:val="both"/>
      </w:pPr>
      <w:bookmarkStart w:id="115" w:name="bookmark115"/>
      <w:r>
        <w:rPr>
          <w:b/>
          <w:bCs/>
          <w:color w:val="000000"/>
          <w:spacing w:val="0"/>
          <w:w w:val="100"/>
          <w:position w:val="0"/>
        </w:rPr>
        <w:t>（</w:t>
      </w:r>
      <w:bookmarkEnd w:id="115"/>
      <w:r>
        <w:rPr>
          <w:b/>
          <w:bCs/>
          <w:color w:val="000000"/>
          <w:spacing w:val="0"/>
          <w:w w:val="100"/>
          <w:position w:val="0"/>
        </w:rPr>
        <w:t>五）品牌优势</w:t>
      </w:r>
    </w:p>
    <w:p>
      <w:pPr>
        <w:pStyle w:val="Style28"/>
        <w:keepNext w:val="0"/>
        <w:keepLines w:val="0"/>
        <w:widowControl w:val="0"/>
        <w:shd w:val="clear" w:color="auto" w:fill="auto"/>
        <w:bidi w:val="0"/>
        <w:spacing w:before="0" w:line="310" w:lineRule="exact"/>
        <w:ind w:left="0" w:right="0" w:firstLine="480"/>
        <w:jc w:val="both"/>
      </w:pPr>
      <w:r>
        <w:rPr>
          <w:color w:val="000000"/>
          <w:spacing w:val="0"/>
          <w:w w:val="100"/>
          <w:position w:val="0"/>
        </w:rPr>
        <w:t>公司被评为</w:t>
      </w:r>
      <w:r>
        <w:rPr>
          <w:rFonts w:ascii="Times New Roman" w:eastAsia="Times New Roman" w:hAnsi="Times New Roman" w:cs="Times New Roman"/>
          <w:color w:val="000000"/>
          <w:spacing w:val="0"/>
          <w:w w:val="100"/>
          <w:position w:val="0"/>
        </w:rPr>
        <w:t>“</w:t>
      </w:r>
      <w:r>
        <w:rPr>
          <w:color w:val="000000"/>
          <w:spacing w:val="0"/>
          <w:w w:val="100"/>
          <w:position w:val="0"/>
        </w:rPr>
        <w:t>全国优秀勘察设计企业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全国勘察设计行业创优型企业</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中国十大民营工程设计企 业</w:t>
      </w:r>
      <w:r>
        <w:rPr>
          <w:rFonts w:ascii="Times New Roman" w:eastAsia="Times New Roman" w:hAnsi="Times New Roman" w:cs="Times New Roman"/>
          <w:color w:val="000000"/>
          <w:spacing w:val="0"/>
          <w:w w:val="100"/>
          <w:position w:val="0"/>
        </w:rPr>
        <w:t>”</w:t>
      </w:r>
      <w:r>
        <w:rPr>
          <w:color w:val="000000"/>
          <w:spacing w:val="0"/>
          <w:w w:val="100"/>
          <w:position w:val="0"/>
        </w:rPr>
        <w:t>。作为国内唯一一家自主上市的能承担大型发电、输变电业务的电力勘察设计企业，公司同国家电网 公司、大型发电集团等</w:t>
      </w:r>
      <w:r>
        <w:rPr>
          <w:rFonts w:ascii="Times New Roman" w:eastAsia="Times New Roman" w:hAnsi="Times New Roman" w:cs="Times New Roman"/>
          <w:color w:val="000000"/>
          <w:spacing w:val="0"/>
          <w:w w:val="100"/>
          <w:position w:val="0"/>
        </w:rPr>
        <w:t>30</w:t>
      </w:r>
      <w:r>
        <w:rPr>
          <w:color w:val="000000"/>
          <w:spacing w:val="0"/>
          <w:w w:val="100"/>
          <w:position w:val="0"/>
        </w:rPr>
        <w:t>多家大型国有企业及其下属公司建立了长期稳定的合作关系。经过近</w:t>
      </w:r>
      <w:r>
        <w:rPr>
          <w:rFonts w:ascii="Times New Roman" w:eastAsia="Times New Roman" w:hAnsi="Times New Roman" w:cs="Times New Roman"/>
          <w:color w:val="000000"/>
          <w:spacing w:val="0"/>
          <w:w w:val="100"/>
          <w:position w:val="0"/>
        </w:rPr>
        <w:t>30</w:t>
      </w:r>
      <w:r>
        <w:rPr>
          <w:color w:val="000000"/>
          <w:spacing w:val="0"/>
          <w:w w:val="100"/>
          <w:position w:val="0"/>
        </w:rPr>
        <w:t>年的发展， 公司在大型燃机、分布式能源站、海上风电、光伏发电等清洁能源及新能源领域，以及特高压、超高压等 全电压等级输变电领域，积累了丰富经验，形成了系统集成和工程建设的专业优势，并在行业内形成明显 的品牌影响力。公司先后承担或参与了百余项国家与省级重点工程的勘察设计和总承包，获得国家和省部 级工程设计奖</w:t>
      </w:r>
      <w:r>
        <w:rPr>
          <w:rFonts w:ascii="Times New Roman" w:eastAsia="Times New Roman" w:hAnsi="Times New Roman" w:cs="Times New Roman"/>
          <w:color w:val="000000"/>
          <w:spacing w:val="0"/>
          <w:w w:val="100"/>
          <w:position w:val="0"/>
        </w:rPr>
        <w:t>200</w:t>
      </w:r>
      <w:r>
        <w:rPr>
          <w:color w:val="000000"/>
          <w:spacing w:val="0"/>
          <w:w w:val="100"/>
          <w:position w:val="0"/>
        </w:rPr>
        <w:t>余项，其中特高压领域共获得省部级一等奖</w:t>
      </w:r>
      <w:r>
        <w:rPr>
          <w:rFonts w:ascii="Times New Roman" w:eastAsia="Times New Roman" w:hAnsi="Times New Roman" w:cs="Times New Roman"/>
          <w:color w:val="000000"/>
          <w:spacing w:val="0"/>
          <w:w w:val="100"/>
          <w:position w:val="0"/>
        </w:rPr>
        <w:t>18</w:t>
      </w:r>
      <w:r>
        <w:rPr>
          <w:color w:val="000000"/>
          <w:spacing w:val="0"/>
          <w:w w:val="100"/>
          <w:position w:val="0"/>
        </w:rPr>
        <w:t>项。</w:t>
      </w:r>
    </w:p>
    <w:p>
      <w:pPr>
        <w:pStyle w:val="Style28"/>
        <w:keepNext w:val="0"/>
        <w:keepLines w:val="0"/>
        <w:widowControl w:val="0"/>
        <w:shd w:val="clear" w:color="auto" w:fill="auto"/>
        <w:bidi w:val="0"/>
        <w:spacing w:before="0" w:line="312" w:lineRule="exact"/>
        <w:ind w:left="0" w:right="0" w:firstLine="480"/>
        <w:jc w:val="both"/>
      </w:pPr>
      <w:bookmarkStart w:id="116" w:name="bookmark116"/>
      <w:r>
        <w:rPr>
          <w:b/>
          <w:bCs/>
          <w:color w:val="000000"/>
          <w:spacing w:val="0"/>
          <w:w w:val="100"/>
          <w:position w:val="0"/>
        </w:rPr>
        <w:t>（</w:t>
      </w:r>
      <w:bookmarkEnd w:id="116"/>
      <w:r>
        <w:rPr>
          <w:b/>
          <w:bCs/>
          <w:color w:val="000000"/>
          <w:spacing w:val="0"/>
          <w:w w:val="100"/>
          <w:position w:val="0"/>
        </w:rPr>
        <w:t>六）服务优势</w:t>
      </w:r>
    </w:p>
    <w:p>
      <w:pPr>
        <w:pStyle w:val="Style28"/>
        <w:keepNext w:val="0"/>
        <w:keepLines w:val="0"/>
        <w:widowControl w:val="0"/>
        <w:shd w:val="clear" w:color="auto" w:fill="auto"/>
        <w:bidi w:val="0"/>
        <w:spacing w:before="0" w:after="340" w:line="312" w:lineRule="exact"/>
        <w:ind w:left="0" w:right="0" w:firstLine="48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客户至上、创新共赢''的核心价值观，以</w:t>
      </w:r>
      <w:r>
        <w:rPr>
          <w:rFonts w:ascii="Times New Roman" w:eastAsia="Times New Roman" w:hAnsi="Times New Roman" w:cs="Times New Roman"/>
          <w:color w:val="000000"/>
          <w:spacing w:val="0"/>
          <w:w w:val="100"/>
          <w:position w:val="0"/>
        </w:rPr>
        <w:t>“</w:t>
      </w:r>
      <w:r>
        <w:rPr>
          <w:color w:val="000000"/>
          <w:spacing w:val="0"/>
          <w:w w:val="100"/>
          <w:position w:val="0"/>
        </w:rPr>
        <w:t>客户满意是我们永恒的追求''为服务理念，搭建服 务体系，增强服务意识，不断提升和持续改进服务品质。依托对电力行业的深刻了解和丰富的行业经验， 以客户需求为出发点，以高效、优质并且全面的服务为客户创造价值，赢得市场信赖。</w:t>
      </w:r>
    </w:p>
    <w:p>
      <w:pPr>
        <w:pStyle w:val="Style22"/>
        <w:keepNext/>
        <w:keepLines/>
        <w:widowControl w:val="0"/>
        <w:shd w:val="clear" w:color="auto" w:fill="auto"/>
        <w:bidi w:val="0"/>
        <w:spacing w:before="0" w:after="2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sz w:val="24"/>
          <w:szCs w:val="24"/>
        </w:rPr>
        <w:t>四</w:t>
      </w:r>
      <w:bookmarkEnd w:id="119"/>
      <w:r>
        <w:rPr>
          <w:color w:val="000000"/>
          <w:spacing w:val="0"/>
          <w:w w:val="100"/>
          <w:position w:val="0"/>
          <w:sz w:val="24"/>
          <w:szCs w:val="24"/>
        </w:rPr>
        <w:t>、主营业务分析</w:t>
      </w:r>
      <w:bookmarkEnd w:id="117"/>
      <w:bookmarkEnd w:id="118"/>
      <w:bookmarkEnd w:id="120"/>
    </w:p>
    <w:p>
      <w:pPr>
        <w:pStyle w:val="Style32"/>
        <w:keepNext/>
        <w:keepLines/>
        <w:widowControl w:val="0"/>
        <w:shd w:val="clear" w:color="auto" w:fill="auto"/>
        <w:bidi w:val="0"/>
        <w:spacing w:before="0" w:after="280" w:line="312" w:lineRule="exact"/>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、概述</w:t>
      </w:r>
      <w:bookmarkEnd w:id="121"/>
      <w:bookmarkEnd w:id="122"/>
      <w:bookmarkEnd w:id="124"/>
    </w:p>
    <w:p>
      <w:pPr>
        <w:pStyle w:val="Style28"/>
        <w:keepNext w:val="0"/>
        <w:keepLines w:val="0"/>
        <w:widowControl w:val="0"/>
        <w:shd w:val="clear" w:color="auto" w:fill="auto"/>
        <w:bidi w:val="0"/>
        <w:spacing w:before="0" w:line="312"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年，在新冠疫情的持续冲击下，公司坚定目标任务不动摇，顽强拼搏、笃定前行，取得了可喜的 经营成绩。公司实现营业收入</w:t>
      </w:r>
      <w:r>
        <w:rPr>
          <w:rFonts w:ascii="Times New Roman" w:eastAsia="Times New Roman" w:hAnsi="Times New Roman" w:cs="Times New Roman"/>
          <w:color w:val="000000"/>
          <w:spacing w:val="0"/>
          <w:w w:val="100"/>
          <w:position w:val="0"/>
        </w:rPr>
        <w:t>15.68</w:t>
      </w:r>
      <w:r>
        <w:rPr>
          <w:color w:val="000000"/>
          <w:spacing w:val="0"/>
          <w:w w:val="100"/>
          <w:position w:val="0"/>
        </w:rPr>
        <w:t>亿元，同比增长</w:t>
      </w:r>
      <w:r>
        <w:rPr>
          <w:rFonts w:ascii="Times New Roman" w:eastAsia="Times New Roman" w:hAnsi="Times New Roman" w:cs="Times New Roman"/>
          <w:color w:val="000000"/>
          <w:spacing w:val="0"/>
          <w:w w:val="100"/>
          <w:position w:val="0"/>
        </w:rPr>
        <w:t>59.92%</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4,076.59</w:t>
      </w:r>
      <w:r>
        <w:rPr>
          <w:color w:val="000000"/>
          <w:spacing w:val="0"/>
          <w:w w:val="100"/>
          <w:position w:val="0"/>
        </w:rPr>
        <w:t>万元， 同比下降</w:t>
      </w:r>
      <w:r>
        <w:rPr>
          <w:rFonts w:ascii="Times New Roman" w:eastAsia="Times New Roman" w:hAnsi="Times New Roman" w:cs="Times New Roman"/>
          <w:color w:val="000000"/>
          <w:spacing w:val="0"/>
          <w:w w:val="100"/>
          <w:position w:val="0"/>
        </w:rPr>
        <w:t>19.94%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年度股份支付</w:t>
      </w:r>
      <w:r>
        <w:rPr>
          <w:rFonts w:ascii="Times New Roman" w:eastAsia="Times New Roman" w:hAnsi="Times New Roman" w:cs="Times New Roman"/>
          <w:color w:val="000000"/>
          <w:spacing w:val="0"/>
          <w:w w:val="100"/>
          <w:position w:val="0"/>
        </w:rPr>
        <w:t>60,098,989.49</w:t>
      </w:r>
      <w:r>
        <w:rPr>
          <w:color w:val="000000"/>
          <w:spacing w:val="0"/>
          <w:w w:val="100"/>
          <w:position w:val="0"/>
        </w:rPr>
        <w:t>元，股份支付对净利润影响额为</w:t>
      </w:r>
      <w:r>
        <w:rPr>
          <w:rFonts w:ascii="Times New Roman" w:eastAsia="Times New Roman" w:hAnsi="Times New Roman" w:cs="Times New Roman"/>
          <w:color w:val="000000"/>
          <w:spacing w:val="0"/>
          <w:w w:val="100"/>
          <w:position w:val="0"/>
        </w:rPr>
        <w:t>51,084,141.07</w:t>
      </w:r>
      <w:r>
        <w:rPr>
          <w:color w:val="000000"/>
          <w:spacing w:val="0"/>
          <w:w w:val="100"/>
          <w:position w:val="0"/>
        </w:rPr>
        <w:t>元，剔除 股份支付费用对净利润的影响后净利润为</w:t>
      </w:r>
      <w:r>
        <w:rPr>
          <w:rFonts w:ascii="Times New Roman" w:eastAsia="Times New Roman" w:hAnsi="Times New Roman" w:cs="Times New Roman"/>
          <w:color w:val="000000"/>
          <w:spacing w:val="0"/>
          <w:w w:val="100"/>
          <w:position w:val="0"/>
        </w:rPr>
        <w:t>91,850,021.28</w:t>
      </w:r>
      <w:r>
        <w:rPr>
          <w:color w:val="000000"/>
          <w:spacing w:val="0"/>
          <w:w w:val="100"/>
          <w:position w:val="0"/>
        </w:rPr>
        <w:t>元，较上年度增长</w:t>
      </w:r>
      <w:r>
        <w:rPr>
          <w:rFonts w:ascii="Times New Roman" w:eastAsia="Times New Roman" w:hAnsi="Times New Roman" w:cs="Times New Roman"/>
          <w:color w:val="000000"/>
          <w:spacing w:val="0"/>
          <w:w w:val="100"/>
          <w:position w:val="0"/>
        </w:rPr>
        <w:t>80.38%</w:t>
      </w:r>
      <w:r>
        <w:rPr>
          <w:color w:val="000000"/>
          <w:spacing w:val="0"/>
          <w:w w:val="100"/>
          <w:position w:val="0"/>
        </w:rPr>
        <w:t>。</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4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28"/>
        <w:keepNext w:val="0"/>
        <w:keepLines w:val="0"/>
        <w:widowControl w:val="0"/>
        <w:shd w:val="clear" w:color="auto" w:fill="auto"/>
        <w:bidi w:val="0"/>
        <w:spacing w:before="0" w:line="314" w:lineRule="exact"/>
        <w:ind w:left="0" w:right="0" w:firstLine="480"/>
        <w:jc w:val="both"/>
      </w:pPr>
      <w:bookmarkStart w:id="125" w:name="bookmark125"/>
      <w:r>
        <w:rPr>
          <w:b/>
          <w:bCs/>
          <w:color w:val="000000"/>
          <w:spacing w:val="0"/>
          <w:w w:val="100"/>
          <w:position w:val="0"/>
        </w:rPr>
        <w:t>（</w:t>
      </w:r>
      <w:bookmarkEnd w:id="125"/>
      <w:r>
        <w:rPr>
          <w:rFonts w:ascii="Times New Roman" w:eastAsia="Times New Roman" w:hAnsi="Times New Roman" w:cs="Times New Roman"/>
          <w:b/>
          <w:bCs/>
          <w:color w:val="000000"/>
          <w:spacing w:val="0"/>
          <w:w w:val="100"/>
          <w:position w:val="0"/>
        </w:rPr>
        <w:t>1</w:t>
      </w:r>
      <w:r>
        <w:rPr>
          <w:b/>
          <w:bCs/>
          <w:color w:val="000000"/>
          <w:spacing w:val="0"/>
          <w:w w:val="100"/>
          <w:position w:val="0"/>
        </w:rPr>
        <w:t>）生产经营完成情况</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①勘察设计（含规划咨询）业务</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发电勘察设计业务方面，全面完成长乐外海海上风电</w:t>
      </w:r>
      <w:r>
        <w:rPr>
          <w:rFonts w:ascii="Times New Roman" w:eastAsia="Times New Roman" w:hAnsi="Times New Roman" w:cs="Times New Roman"/>
          <w:color w:val="000000"/>
          <w:spacing w:val="0"/>
          <w:w w:val="100"/>
          <w:position w:val="0"/>
        </w:rPr>
        <w:t>A/C</w:t>
      </w:r>
      <w:r>
        <w:rPr>
          <w:color w:val="000000"/>
          <w:spacing w:val="0"/>
          <w:w w:val="100"/>
          <w:position w:val="0"/>
        </w:rPr>
        <w:t xml:space="preserve">区施工图设计，主要开展了孟加拉鲁普莎 </w:t>
      </w:r>
      <w:r>
        <w:rPr>
          <w:rFonts w:ascii="Times New Roman" w:eastAsia="Times New Roman" w:hAnsi="Times New Roman" w:cs="Times New Roman"/>
          <w:color w:val="000000"/>
          <w:spacing w:val="0"/>
          <w:w w:val="100"/>
          <w:position w:val="0"/>
        </w:rPr>
        <w:t>800MW</w:t>
      </w:r>
      <w:r>
        <w:rPr>
          <w:color w:val="000000"/>
          <w:spacing w:val="0"/>
          <w:w w:val="100"/>
          <w:position w:val="0"/>
        </w:rPr>
        <w:t>燃机联合循环电站项目施工图设计，漳州核电厂、田湾核电站、辽宁徐大堡等核电</w:t>
      </w:r>
      <w:r>
        <w:rPr>
          <w:rFonts w:ascii="Times New Roman" w:eastAsia="Times New Roman" w:hAnsi="Times New Roman" w:cs="Times New Roman"/>
          <w:color w:val="000000"/>
          <w:spacing w:val="0"/>
          <w:w w:val="100"/>
          <w:position w:val="0"/>
        </w:rPr>
        <w:t>TG</w:t>
      </w:r>
      <w:r>
        <w:rPr>
          <w:color w:val="000000"/>
          <w:spacing w:val="0"/>
          <w:w w:val="100"/>
          <w:position w:val="0"/>
        </w:rPr>
        <w:t>包项目和大 唐海口等燃机</w:t>
      </w:r>
      <w:r>
        <w:rPr>
          <w:rFonts w:ascii="Times New Roman" w:eastAsia="Times New Roman" w:hAnsi="Times New Roman" w:cs="Times New Roman"/>
          <w:color w:val="000000"/>
          <w:spacing w:val="0"/>
          <w:w w:val="100"/>
          <w:position w:val="0"/>
        </w:rPr>
        <w:t>BOP</w:t>
      </w:r>
      <w:r>
        <w:rPr>
          <w:color w:val="000000"/>
          <w:spacing w:val="0"/>
          <w:w w:val="100"/>
          <w:position w:val="0"/>
        </w:rPr>
        <w:t>机岛设计工作。</w:t>
      </w:r>
    </w:p>
    <w:p>
      <w:pPr>
        <w:pStyle w:val="Style28"/>
        <w:keepNext w:val="0"/>
        <w:keepLines w:val="0"/>
        <w:widowControl w:val="0"/>
        <w:shd w:val="clear" w:color="auto" w:fill="auto"/>
        <w:bidi w:val="0"/>
        <w:spacing w:before="0" w:line="310" w:lineRule="exact"/>
        <w:ind w:left="0" w:right="0" w:firstLine="480"/>
        <w:jc w:val="both"/>
      </w:pPr>
      <w:r>
        <w:rPr>
          <w:color w:val="000000"/>
          <w:spacing w:val="0"/>
          <w:w w:val="100"/>
          <w:position w:val="0"/>
        </w:rPr>
        <w:t>电网勘察设计业务规模保持稳定。在特高压版块保持稳定，中标金上</w:t>
      </w:r>
      <w:r>
        <w:rPr>
          <w:rFonts w:ascii="Times New Roman" w:eastAsia="Times New Roman" w:hAnsi="Times New Roman" w:cs="Times New Roman"/>
          <w:color w:val="000000"/>
          <w:spacing w:val="0"/>
          <w:w w:val="100"/>
          <w:position w:val="0"/>
        </w:rPr>
        <w:t>-</w:t>
      </w:r>
      <w:r>
        <w:rPr>
          <w:color w:val="000000"/>
          <w:spacing w:val="0"/>
          <w:w w:val="100"/>
          <w:position w:val="0"/>
        </w:rPr>
        <w:t>湖北直流输电工程</w:t>
      </w:r>
      <w:r>
        <w:rPr>
          <w:rFonts w:ascii="Times New Roman" w:eastAsia="Times New Roman" w:hAnsi="Times New Roman" w:cs="Times New Roman"/>
          <w:color w:val="000000"/>
          <w:spacing w:val="0"/>
          <w:w w:val="100"/>
          <w:position w:val="0"/>
        </w:rPr>
        <w:t>1</w:t>
      </w:r>
      <w:r>
        <w:rPr>
          <w:color w:val="000000"/>
          <w:spacing w:val="0"/>
          <w:w w:val="100"/>
          <w:position w:val="0"/>
        </w:rPr>
        <w:t>标段勘察设 计；在高压输变电用户及海外市场取得重大突破，与青山控股集团有限公司等行业内头部企业深度合作， 中标印尼大小</w:t>
      </w:r>
      <w:r>
        <w:rPr>
          <w:rFonts w:ascii="Times New Roman" w:eastAsia="Times New Roman" w:hAnsi="Times New Roman" w:cs="Times New Roman"/>
          <w:color w:val="000000"/>
          <w:spacing w:val="0"/>
          <w:w w:val="100"/>
          <w:position w:val="0"/>
        </w:rPr>
        <w:t>K</w:t>
      </w:r>
      <w:r>
        <w:rPr>
          <w:color w:val="000000"/>
          <w:spacing w:val="0"/>
          <w:w w:val="100"/>
          <w:position w:val="0"/>
        </w:rPr>
        <w:t>岛配套输变电项目及电网规划提升改造项目；开辟全过程咨询新业务，中标山西大同储能 站和福清港城西部</w:t>
      </w:r>
      <w:r>
        <w:rPr>
          <w:rFonts w:ascii="Times New Roman" w:eastAsia="Times New Roman" w:hAnsi="Times New Roman" w:cs="Times New Roman"/>
          <w:color w:val="000000"/>
          <w:spacing w:val="0"/>
          <w:w w:val="100"/>
          <w:position w:val="0"/>
        </w:rPr>
        <w:t>220kV</w:t>
      </w:r>
      <w:r>
        <w:rPr>
          <w:color w:val="000000"/>
          <w:spacing w:val="0"/>
          <w:w w:val="100"/>
          <w:position w:val="0"/>
        </w:rPr>
        <w:t>输变电工程。</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在综合能源和储能业务取得新成效。完成新疆农七师、广东肇庆、烟台长岛等近十个区域综合能源规 划，新型电力系统和碳中和规划能力通过实践不断加强；落地镇江团山睿谷能源站、北京四方厂区综合能 源等多个项目，综合能源解决方案能力不断提升；与国网综能集团、中电技协综合智慧能源专委会携手合 作，综合能源业务能力行业认可度不断增强。</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报告期内，公司勘察设计（含规划咨询）业务实现营业收入</w:t>
      </w:r>
      <w:r>
        <w:rPr>
          <w:rFonts w:ascii="Times New Roman" w:eastAsia="Times New Roman" w:hAnsi="Times New Roman" w:cs="Times New Roman"/>
          <w:color w:val="000000"/>
          <w:spacing w:val="0"/>
          <w:w w:val="100"/>
          <w:position w:val="0"/>
        </w:rPr>
        <w:t>24,147.74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13.70%</w:t>
      </w:r>
      <w:r>
        <w:rPr>
          <w:color w:val="000000"/>
          <w:spacing w:val="0"/>
          <w:w w:val="100"/>
          <w:position w:val="0"/>
        </w:rPr>
        <w:t>。</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②</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公司在新能源</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工程总承包业务实现快速发展。实现全国首个分散式、福建省首个海上风电</w:t>
      </w:r>
      <w:r>
        <w:rPr>
          <w:rFonts w:ascii="Times New Roman" w:eastAsia="Times New Roman" w:hAnsi="Times New Roman" w:cs="Times New Roman"/>
          <w:color w:val="000000"/>
          <w:spacing w:val="0"/>
          <w:w w:val="100"/>
          <w:position w:val="0"/>
        </w:rPr>
        <w:t>EPC</w:t>
      </w:r>
      <w:r>
        <w:rPr>
          <w:color w:val="000000"/>
          <w:spacing w:val="0"/>
          <w:w w:val="100"/>
          <w:position w:val="0"/>
        </w:rPr>
        <w:t>项 目</w:t>
      </w:r>
      <w:r>
        <w:rPr>
          <w:rFonts w:ascii="Times New Roman" w:eastAsia="Times New Roman" w:hAnsi="Times New Roman" w:cs="Times New Roman"/>
          <w:color w:val="000000"/>
          <w:spacing w:val="0"/>
          <w:w w:val="100"/>
          <w:position w:val="0"/>
        </w:rPr>
        <w:t>-</w:t>
      </w:r>
      <w:r>
        <w:rPr>
          <w:color w:val="000000"/>
          <w:spacing w:val="0"/>
          <w:w w:val="100"/>
          <w:position w:val="0"/>
        </w:rPr>
        <w:t>平潭公铁大桥海上风电项目全容量并网；全面完成长乐外海海上风电</w:t>
      </w:r>
      <w:r>
        <w:rPr>
          <w:rFonts w:ascii="Times New Roman" w:eastAsia="Times New Roman" w:hAnsi="Times New Roman" w:cs="Times New Roman"/>
          <w:color w:val="000000"/>
          <w:spacing w:val="0"/>
          <w:w w:val="100"/>
          <w:position w:val="0"/>
        </w:rPr>
        <w:t>A/C</w:t>
      </w:r>
      <w:r>
        <w:rPr>
          <w:color w:val="000000"/>
          <w:spacing w:val="0"/>
          <w:w w:val="100"/>
          <w:position w:val="0"/>
        </w:rPr>
        <w:t>区吸力桩基础施工服务；基本 完成湖南沅江龙潭沟风电</w:t>
      </w:r>
      <w:r>
        <w:rPr>
          <w:rFonts w:ascii="Times New Roman" w:eastAsia="Times New Roman" w:hAnsi="Times New Roman" w:cs="Times New Roman"/>
          <w:color w:val="000000"/>
          <w:spacing w:val="0"/>
          <w:w w:val="100"/>
          <w:position w:val="0"/>
        </w:rPr>
        <w:t>EPC</w:t>
      </w:r>
      <w:r>
        <w:rPr>
          <w:color w:val="000000"/>
          <w:spacing w:val="0"/>
          <w:w w:val="100"/>
          <w:position w:val="0"/>
        </w:rPr>
        <w:t>项目。</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中标明阳阳江青洲四海上风电场升压站</w:t>
      </w:r>
      <w:r>
        <w:rPr>
          <w:rFonts w:ascii="Times New Roman" w:eastAsia="Times New Roman" w:hAnsi="Times New Roman" w:cs="Times New Roman"/>
          <w:color w:val="000000"/>
          <w:spacing w:val="0"/>
          <w:w w:val="100"/>
          <w:position w:val="0"/>
        </w:rPr>
        <w:t>EPC</w:t>
      </w:r>
      <w:r>
        <w:rPr>
          <w:color w:val="000000"/>
          <w:spacing w:val="0"/>
          <w:w w:val="100"/>
          <w:position w:val="0"/>
        </w:rPr>
        <w:t>工程，实现省外海上风电市场</w:t>
      </w:r>
      <w:r>
        <w:rPr>
          <w:rFonts w:ascii="Times New Roman" w:eastAsia="Times New Roman" w:hAnsi="Times New Roman" w:cs="Times New Roman"/>
          <w:color w:val="000000"/>
          <w:spacing w:val="0"/>
          <w:w w:val="100"/>
          <w:position w:val="0"/>
        </w:rPr>
        <w:t>“</w:t>
      </w:r>
      <w:r>
        <w:rPr>
          <w:color w:val="000000"/>
          <w:spacing w:val="0"/>
          <w:w w:val="100"/>
          <w:position w:val="0"/>
        </w:rPr>
        <w:t>零</w:t>
      </w:r>
      <w:r>
        <w:rPr>
          <w:rFonts w:ascii="Times New Roman" w:eastAsia="Times New Roman" w:hAnsi="Times New Roman" w:cs="Times New Roman"/>
          <w:color w:val="000000"/>
          <w:spacing w:val="0"/>
          <w:w w:val="100"/>
          <w:position w:val="0"/>
        </w:rPr>
        <w:t>''</w:t>
      </w:r>
      <w:r>
        <w:rPr>
          <w:color w:val="000000"/>
          <w:spacing w:val="0"/>
          <w:w w:val="100"/>
          <w:position w:val="0"/>
        </w:rPr>
        <w:t>的突破；获取两艘海上 风电施工安装船使用权，成为国内少数直接拥有海上风电施工安装船使用权的电力勘察设计单位。在输变 电</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工程总承包业务获得新增长，中标玉昆钢铁集团输变电</w:t>
      </w:r>
      <w:r>
        <w:rPr>
          <w:rFonts w:ascii="Times New Roman" w:eastAsia="Times New Roman" w:hAnsi="Times New Roman" w:cs="Times New Roman"/>
          <w:color w:val="000000"/>
          <w:spacing w:val="0"/>
          <w:w w:val="100"/>
          <w:position w:val="0"/>
        </w:rPr>
        <w:t>EPC</w:t>
      </w:r>
      <w:r>
        <w:rPr>
          <w:color w:val="000000"/>
          <w:spacing w:val="0"/>
          <w:w w:val="100"/>
          <w:position w:val="0"/>
        </w:rPr>
        <w:t>工程总承包项目。截至报告期末，公司 正在执行的各类</w:t>
      </w:r>
      <w:r>
        <w:rPr>
          <w:rFonts w:ascii="Times New Roman" w:eastAsia="Times New Roman" w:hAnsi="Times New Roman" w:cs="Times New Roman"/>
          <w:color w:val="000000"/>
          <w:spacing w:val="0"/>
          <w:w w:val="100"/>
          <w:position w:val="0"/>
        </w:rPr>
        <w:t>EPC</w:t>
      </w:r>
      <w:r>
        <w:rPr>
          <w:color w:val="000000"/>
          <w:spacing w:val="0"/>
          <w:w w:val="100"/>
          <w:position w:val="0"/>
        </w:rPr>
        <w:t>总承包项目合同约</w:t>
      </w:r>
      <w:r>
        <w:rPr>
          <w:rFonts w:ascii="Times New Roman" w:eastAsia="Times New Roman" w:hAnsi="Times New Roman" w:cs="Times New Roman"/>
          <w:color w:val="000000"/>
          <w:spacing w:val="0"/>
          <w:w w:val="100"/>
          <w:position w:val="0"/>
        </w:rPr>
        <w:t>20</w:t>
      </w:r>
      <w:r>
        <w:rPr>
          <w:color w:val="000000"/>
          <w:spacing w:val="0"/>
          <w:w w:val="100"/>
          <w:position w:val="0"/>
        </w:rPr>
        <w:t>亿元，将为总承包业务持续快速发展打下了坚实的基础。</w:t>
      </w:r>
    </w:p>
    <w:p>
      <w:pPr>
        <w:pStyle w:val="Style28"/>
        <w:keepNext w:val="0"/>
        <w:keepLines w:val="0"/>
        <w:widowControl w:val="0"/>
        <w:shd w:val="clear" w:color="auto" w:fill="auto"/>
        <w:bidi w:val="0"/>
        <w:spacing w:before="0" w:line="314" w:lineRule="exact"/>
        <w:ind w:left="0" w:right="0" w:firstLine="48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工程总承包业务实现营业收入</w:t>
      </w:r>
      <w:r>
        <w:rPr>
          <w:rFonts w:ascii="Times New Roman" w:eastAsia="Times New Roman" w:hAnsi="Times New Roman" w:cs="Times New Roman"/>
          <w:color w:val="000000"/>
          <w:spacing w:val="0"/>
          <w:w w:val="100"/>
          <w:position w:val="0"/>
        </w:rPr>
        <w:t>126,213.86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101.34%</w:t>
      </w:r>
      <w:r>
        <w:rPr>
          <w:color w:val="000000"/>
          <w:spacing w:val="0"/>
          <w:w w:val="100"/>
          <w:position w:val="0"/>
        </w:rPr>
        <w:t>。</w:t>
      </w:r>
    </w:p>
    <w:p>
      <w:pPr>
        <w:pStyle w:val="Style28"/>
        <w:keepNext w:val="0"/>
        <w:keepLines w:val="0"/>
        <w:widowControl w:val="0"/>
        <w:numPr>
          <w:ilvl w:val="0"/>
          <w:numId w:val="13"/>
        </w:numPr>
        <w:shd w:val="clear" w:color="auto" w:fill="auto"/>
        <w:bidi w:val="0"/>
        <w:spacing w:before="0" w:line="314" w:lineRule="exact"/>
        <w:ind w:left="0" w:right="0" w:firstLine="480"/>
        <w:jc w:val="left"/>
      </w:pPr>
      <w:bookmarkStart w:id="126" w:name="bookmark126"/>
      <w:bookmarkEnd w:id="126"/>
      <w:r>
        <w:rPr>
          <w:color w:val="000000"/>
          <w:spacing w:val="0"/>
          <w:w w:val="100"/>
          <w:position w:val="0"/>
        </w:rPr>
        <w:t>智慧能源业务</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报告期内，智慧能源业务取得新突破。中标宁德霞浦、山西大同储能站数字化服务项目，取得储能站 全生命周期数字化技术应用研发、项目示范重大进展；设计院信息化业务覆盖电力、水利、建筑、冶金、 交通、化工、环保行业，实现合同和收入过千万的</w:t>
      </w:r>
      <w:r>
        <w:rPr>
          <w:rFonts w:ascii="Times New Roman" w:eastAsia="Times New Roman" w:hAnsi="Times New Roman" w:cs="Times New Roman"/>
          <w:color w:val="000000"/>
          <w:spacing w:val="0"/>
          <w:w w:val="100"/>
          <w:position w:val="0"/>
        </w:rPr>
        <w:t>“</w:t>
      </w:r>
      <w:r>
        <w:rPr>
          <w:color w:val="000000"/>
          <w:spacing w:val="0"/>
          <w:w w:val="100"/>
          <w:position w:val="0"/>
        </w:rPr>
        <w:t>双千</w:t>
      </w:r>
      <w:r>
        <w:rPr>
          <w:rFonts w:ascii="Times New Roman" w:eastAsia="Times New Roman" w:hAnsi="Times New Roman" w:cs="Times New Roman"/>
          <w:color w:val="000000"/>
          <w:spacing w:val="0"/>
          <w:w w:val="100"/>
          <w:position w:val="0"/>
        </w:rPr>
        <w:t>”</w:t>
      </w:r>
      <w:r>
        <w:rPr>
          <w:color w:val="000000"/>
          <w:spacing w:val="0"/>
          <w:w w:val="100"/>
          <w:position w:val="0"/>
        </w:rPr>
        <w:t>目标；网安集成业务在热电、水电、光伏、风电、 核电等各类型发电企业树立了标杆案例。</w:t>
      </w:r>
    </w:p>
    <w:p>
      <w:pPr>
        <w:pStyle w:val="Style28"/>
        <w:keepNext w:val="0"/>
        <w:keepLines w:val="0"/>
        <w:widowControl w:val="0"/>
        <w:shd w:val="clear" w:color="auto" w:fill="auto"/>
        <w:bidi w:val="0"/>
        <w:spacing w:before="0" w:line="314" w:lineRule="exact"/>
        <w:ind w:left="0" w:right="0" w:firstLine="480"/>
        <w:jc w:val="left"/>
      </w:pPr>
      <w:r>
        <w:rPr>
          <w:color w:val="000000"/>
          <w:spacing w:val="0"/>
          <w:w w:val="100"/>
          <w:position w:val="0"/>
        </w:rPr>
        <w:t>报告期内，公司智慧能源业务实现营业收入</w:t>
      </w:r>
      <w:r>
        <w:rPr>
          <w:rFonts w:ascii="Times New Roman" w:eastAsia="Times New Roman" w:hAnsi="Times New Roman" w:cs="Times New Roman"/>
          <w:color w:val="000000"/>
          <w:spacing w:val="0"/>
          <w:w w:val="100"/>
          <w:position w:val="0"/>
        </w:rPr>
        <w:t>4,754.69</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19.81%</w:t>
      </w:r>
      <w:r>
        <w:rPr>
          <w:color w:val="000000"/>
          <w:spacing w:val="0"/>
          <w:w w:val="100"/>
          <w:position w:val="0"/>
        </w:rPr>
        <w:t>。</w:t>
      </w:r>
    </w:p>
    <w:p>
      <w:pPr>
        <w:pStyle w:val="Style28"/>
        <w:keepNext w:val="0"/>
        <w:keepLines w:val="0"/>
        <w:widowControl w:val="0"/>
        <w:numPr>
          <w:ilvl w:val="0"/>
          <w:numId w:val="13"/>
        </w:numPr>
        <w:shd w:val="clear" w:color="auto" w:fill="auto"/>
        <w:bidi w:val="0"/>
        <w:spacing w:before="0" w:line="314" w:lineRule="exact"/>
        <w:ind w:left="0" w:right="0" w:firstLine="480"/>
        <w:jc w:val="left"/>
      </w:pPr>
      <w:bookmarkStart w:id="127" w:name="bookmark127"/>
      <w:bookmarkEnd w:id="127"/>
      <w:r>
        <w:rPr>
          <w:color w:val="000000"/>
          <w:spacing w:val="0"/>
          <w:w w:val="100"/>
          <w:position w:val="0"/>
        </w:rPr>
        <w:t>智能运维业务</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报告期内，智能运维业务稳步推进。确立了融合数字化、信息化、智能化等前沿技术，开展清洁能源、 新能源运维服务的发展战略。目前已承接</w:t>
      </w:r>
      <w:r>
        <w:rPr>
          <w:rFonts w:ascii="Times New Roman" w:eastAsia="Times New Roman" w:hAnsi="Times New Roman" w:cs="Times New Roman"/>
          <w:color w:val="000000"/>
          <w:spacing w:val="0"/>
          <w:w w:val="100"/>
          <w:position w:val="0"/>
        </w:rPr>
        <w:t>126.84MW</w:t>
      </w:r>
      <w:r>
        <w:rPr>
          <w:color w:val="000000"/>
          <w:spacing w:val="0"/>
          <w:w w:val="100"/>
          <w:position w:val="0"/>
        </w:rPr>
        <w:t>电站运维业务，市场布局覆盖国内、孟加拉、越南等， 业务发展前景广阔。</w:t>
      </w:r>
    </w:p>
    <w:p>
      <w:pPr>
        <w:pStyle w:val="Style28"/>
        <w:keepNext w:val="0"/>
        <w:keepLines w:val="0"/>
        <w:widowControl w:val="0"/>
        <w:shd w:val="clear" w:color="auto" w:fill="auto"/>
        <w:bidi w:val="0"/>
        <w:spacing w:before="0" w:line="314" w:lineRule="exact"/>
        <w:ind w:left="0" w:right="0" w:firstLine="480"/>
        <w:jc w:val="left"/>
      </w:pPr>
      <w:r>
        <w:rPr>
          <w:color w:val="000000"/>
          <w:spacing w:val="0"/>
          <w:w w:val="100"/>
          <w:position w:val="0"/>
        </w:rPr>
        <w:t>报告期内，公司智能运维业务实现营业收入</w:t>
      </w:r>
      <w:r>
        <w:rPr>
          <w:rFonts w:ascii="Times New Roman" w:eastAsia="Times New Roman" w:hAnsi="Times New Roman" w:cs="Times New Roman"/>
          <w:color w:val="000000"/>
          <w:spacing w:val="0"/>
          <w:w w:val="100"/>
          <w:position w:val="0"/>
        </w:rPr>
        <w:t>1,600.41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19.56%</w:t>
      </w:r>
      <w:r>
        <w:rPr>
          <w:color w:val="000000"/>
          <w:spacing w:val="0"/>
          <w:w w:val="100"/>
          <w:position w:val="0"/>
        </w:rPr>
        <w:t>。</w:t>
      </w:r>
    </w:p>
    <w:p>
      <w:pPr>
        <w:pStyle w:val="Style28"/>
        <w:keepNext w:val="0"/>
        <w:keepLines w:val="0"/>
        <w:widowControl w:val="0"/>
        <w:numPr>
          <w:ilvl w:val="0"/>
          <w:numId w:val="13"/>
        </w:numPr>
        <w:shd w:val="clear" w:color="auto" w:fill="auto"/>
        <w:bidi w:val="0"/>
        <w:spacing w:before="0" w:line="314" w:lineRule="exact"/>
        <w:ind w:left="0" w:right="0" w:firstLine="480"/>
        <w:jc w:val="both"/>
      </w:pPr>
      <w:bookmarkStart w:id="128" w:name="bookmark128"/>
      <w:bookmarkEnd w:id="128"/>
      <w:r>
        <w:rPr>
          <w:color w:val="000000"/>
          <w:spacing w:val="0"/>
          <w:w w:val="100"/>
          <w:position w:val="0"/>
        </w:rPr>
        <w:t>电力能源投资业务</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7"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28"/>
        <w:keepNext w:val="0"/>
        <w:keepLines w:val="0"/>
        <w:widowControl w:val="0"/>
        <w:shd w:val="clear" w:color="auto" w:fill="auto"/>
        <w:bidi w:val="0"/>
        <w:spacing w:before="0" w:after="160" w:line="317" w:lineRule="exact"/>
        <w:ind w:left="0" w:right="0" w:firstLine="480"/>
        <w:jc w:val="both"/>
      </w:pPr>
      <w:r>
        <w:rPr>
          <w:color w:val="000000"/>
          <w:spacing w:val="0"/>
          <w:w w:val="100"/>
          <w:position w:val="0"/>
        </w:rPr>
        <w:t>报告期内，公司清洁能源、新能源项目开发初见成效。全年累计完成项目开发备案容量</w:t>
      </w:r>
      <w:r>
        <w:rPr>
          <w:rFonts w:ascii="Times New Roman" w:eastAsia="Times New Roman" w:hAnsi="Times New Roman" w:cs="Times New Roman"/>
          <w:color w:val="000000"/>
          <w:spacing w:val="0"/>
          <w:w w:val="100"/>
          <w:position w:val="0"/>
        </w:rPr>
        <w:t>1412MW</w:t>
      </w:r>
      <w:r>
        <w:rPr>
          <w:color w:val="000000"/>
          <w:spacing w:val="0"/>
          <w:w w:val="100"/>
          <w:position w:val="0"/>
        </w:rPr>
        <w:t>，开 发区域覆盖广东、广西、海南、湖北、河北、宁夏、甘肃、山东等资源较好的地区，为公司电力能源投资 业务创造有利条件。</w:t>
      </w:r>
    </w:p>
    <w:p>
      <w:pPr>
        <w:pStyle w:val="Style28"/>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报告期内，公司取得攀枝花三能新能源有限公司控股权，其投资建设的常压循环流化床气化生产工业 洁净煤气项目，预计可在</w:t>
      </w:r>
      <w:r>
        <w:rPr>
          <w:rFonts w:ascii="Times New Roman" w:eastAsia="Times New Roman" w:hAnsi="Times New Roman" w:cs="Times New Roman"/>
          <w:color w:val="000000"/>
          <w:spacing w:val="0"/>
          <w:w w:val="100"/>
          <w:position w:val="0"/>
        </w:rPr>
        <w:t>2022</w:t>
      </w:r>
      <w:r>
        <w:rPr>
          <w:color w:val="000000"/>
          <w:spacing w:val="0"/>
          <w:w w:val="100"/>
          <w:position w:val="0"/>
        </w:rPr>
        <w:t>年内投产；公司在广东省肇庆市开发投资的</w:t>
      </w:r>
      <w:r>
        <w:rPr>
          <w:rFonts w:ascii="Times New Roman" w:eastAsia="Times New Roman" w:hAnsi="Times New Roman" w:cs="Times New Roman"/>
          <w:color w:val="000000"/>
          <w:spacing w:val="0"/>
          <w:w w:val="100"/>
          <w:position w:val="0"/>
        </w:rPr>
        <w:t>50MW</w:t>
      </w:r>
      <w:r>
        <w:rPr>
          <w:color w:val="000000"/>
          <w:spacing w:val="0"/>
          <w:w w:val="100"/>
          <w:position w:val="0"/>
        </w:rPr>
        <w:t>屋面光伏</w:t>
      </w:r>
      <w:r>
        <w:rPr>
          <w:rFonts w:ascii="Times New Roman" w:eastAsia="Times New Roman" w:hAnsi="Times New Roman" w:cs="Times New Roman"/>
          <w:color w:val="000000"/>
          <w:spacing w:val="0"/>
          <w:w w:val="100"/>
          <w:position w:val="0"/>
        </w:rPr>
        <w:t>+100MW</w:t>
      </w:r>
      <w:r>
        <w:rPr>
          <w:color w:val="000000"/>
          <w:spacing w:val="0"/>
          <w:w w:val="100"/>
          <w:position w:val="0"/>
        </w:rPr>
        <w:t>地面光 伏项目，投资前期工作已基本完成；公司在菲律宾的合资</w:t>
      </w:r>
      <w:r>
        <w:rPr>
          <w:rFonts w:ascii="Times New Roman" w:eastAsia="Times New Roman" w:hAnsi="Times New Roman" w:cs="Times New Roman"/>
          <w:color w:val="000000"/>
          <w:spacing w:val="0"/>
          <w:w w:val="100"/>
          <w:position w:val="0"/>
        </w:rPr>
        <w:t>COTO</w:t>
      </w:r>
      <w:r>
        <w:rPr>
          <w:color w:val="000000"/>
          <w:spacing w:val="0"/>
          <w:w w:val="100"/>
          <w:position w:val="0"/>
        </w:rPr>
        <w:t>梯级水电站项目已取得电站</w:t>
      </w:r>
      <w:r>
        <w:rPr>
          <w:rFonts w:ascii="Times New Roman" w:eastAsia="Times New Roman" w:hAnsi="Times New Roman" w:cs="Times New Roman"/>
          <w:color w:val="000000"/>
          <w:spacing w:val="0"/>
          <w:w w:val="100"/>
          <w:position w:val="0"/>
        </w:rPr>
        <w:t>COTO</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的 商业性确认证书</w:t>
      </w:r>
      <w:r>
        <w:rPr>
          <w:rFonts w:ascii="Times New Roman" w:eastAsia="Times New Roman" w:hAnsi="Times New Roman" w:cs="Times New Roman"/>
          <w:color w:val="000000"/>
          <w:spacing w:val="0"/>
          <w:w w:val="100"/>
          <w:position w:val="0"/>
        </w:rPr>
        <w:t>（COCOC）</w:t>
      </w:r>
      <w:r>
        <w:rPr>
          <w:color w:val="000000"/>
          <w:spacing w:val="0"/>
          <w:w w:val="100"/>
          <w:position w:val="0"/>
        </w:rPr>
        <w:t>，并开展融资活动和施工前准备工作。</w:t>
      </w:r>
    </w:p>
    <w:p>
      <w:pPr>
        <w:pStyle w:val="Style28"/>
        <w:keepNext w:val="0"/>
        <w:keepLines w:val="0"/>
        <w:widowControl w:val="0"/>
        <w:shd w:val="clear" w:color="auto" w:fill="auto"/>
        <w:bidi w:val="0"/>
        <w:spacing w:before="0" w:after="160" w:line="312" w:lineRule="exact"/>
        <w:ind w:left="0" w:right="0" w:firstLine="480"/>
        <w:jc w:val="both"/>
      </w:pPr>
      <w:bookmarkStart w:id="129" w:name="bookmark129"/>
      <w:r>
        <w:rPr>
          <w:b/>
          <w:bCs/>
          <w:color w:val="000000"/>
          <w:spacing w:val="0"/>
          <w:w w:val="100"/>
          <w:position w:val="0"/>
        </w:rPr>
        <w:t>（</w:t>
      </w:r>
      <w:bookmarkEnd w:id="129"/>
      <w:r>
        <w:rPr>
          <w:rFonts w:ascii="Times New Roman" w:eastAsia="Times New Roman" w:hAnsi="Times New Roman" w:cs="Times New Roman"/>
          <w:b/>
          <w:bCs/>
          <w:color w:val="000000"/>
          <w:spacing w:val="0"/>
          <w:w w:val="100"/>
          <w:position w:val="0"/>
        </w:rPr>
        <w:t>2</w:t>
      </w:r>
      <w:r>
        <w:rPr>
          <w:b/>
          <w:bCs/>
          <w:color w:val="000000"/>
          <w:spacing w:val="0"/>
          <w:w w:val="100"/>
          <w:position w:val="0"/>
        </w:rPr>
        <w:t>）公司综合管理水平提升情况</w:t>
      </w:r>
    </w:p>
    <w:p>
      <w:pPr>
        <w:pStyle w:val="Style28"/>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报告期内，公司开展了一系列专项工作，持续提高综合管理水平，提高企业运营效率，主要包括：</w:t>
      </w:r>
    </w:p>
    <w:p>
      <w:pPr>
        <w:pStyle w:val="Style28"/>
        <w:keepNext w:val="0"/>
        <w:keepLines w:val="0"/>
        <w:widowControl w:val="0"/>
        <w:shd w:val="clear" w:color="auto" w:fill="auto"/>
        <w:bidi w:val="0"/>
        <w:spacing w:before="0" w:after="160" w:line="286" w:lineRule="exact"/>
        <w:ind w:left="0" w:right="0" w:firstLine="480"/>
        <w:jc w:val="both"/>
      </w:pPr>
      <w:r>
        <w:rPr>
          <w:color w:val="000000"/>
          <w:spacing w:val="0"/>
          <w:w w:val="100"/>
          <w:position w:val="0"/>
        </w:rPr>
        <w:t>①优化绩效管理体系。建立科学、公平、合理评价贡献的绩效管理体系，通过合理分解公司战略目标， 确保组织与个人都有指标，人人都对过程与结果负责。把绩效管理融合到日常管理中，推动各级管理人员 从</w:t>
      </w:r>
      <w:r>
        <w:rPr>
          <w:rFonts w:ascii="Times New Roman" w:eastAsia="Times New Roman" w:hAnsi="Times New Roman" w:cs="Times New Roman"/>
          <w:color w:val="000000"/>
          <w:spacing w:val="0"/>
          <w:w w:val="100"/>
          <w:position w:val="0"/>
        </w:rPr>
        <w:t>“</w:t>
      </w:r>
      <w:r>
        <w:rPr>
          <w:color w:val="000000"/>
          <w:spacing w:val="0"/>
          <w:w w:val="100"/>
          <w:position w:val="0"/>
        </w:rPr>
        <w:t>管事，，到</w:t>
      </w:r>
      <w:r>
        <w:rPr>
          <w:rFonts w:ascii="Times New Roman" w:eastAsia="Times New Roman" w:hAnsi="Times New Roman" w:cs="Times New Roman"/>
          <w:color w:val="000000"/>
          <w:spacing w:val="0"/>
          <w:w w:val="100"/>
          <w:position w:val="0"/>
        </w:rPr>
        <w:t>“</w:t>
      </w:r>
      <w:r>
        <w:rPr>
          <w:color w:val="000000"/>
          <w:spacing w:val="0"/>
          <w:w w:val="100"/>
          <w:position w:val="0"/>
        </w:rPr>
        <w:t>管人，，的转变。</w:t>
      </w:r>
    </w:p>
    <w:p>
      <w:pPr>
        <w:pStyle w:val="Style28"/>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②优化制度流程。优化合同、采购、财务等主要业务流程，提高运营效率。完善《经营计划管理办法》， 加强生产经营动态管控，规范经营计划管理。以经营数据为着力点，优化迭代经营管理系统，基本实现经 营数据上线有效运行。</w:t>
      </w:r>
    </w:p>
    <w:p>
      <w:pPr>
        <w:pStyle w:val="Style28"/>
        <w:keepNext w:val="0"/>
        <w:keepLines w:val="0"/>
        <w:widowControl w:val="0"/>
        <w:numPr>
          <w:ilvl w:val="0"/>
          <w:numId w:val="5"/>
        </w:numPr>
        <w:shd w:val="clear" w:color="auto" w:fill="auto"/>
        <w:bidi w:val="0"/>
        <w:spacing w:before="0" w:after="160" w:line="312" w:lineRule="exact"/>
        <w:ind w:left="0" w:right="0" w:firstLine="480"/>
        <w:jc w:val="both"/>
      </w:pPr>
      <w:bookmarkStart w:id="130" w:name="bookmark130"/>
      <w:bookmarkEnd w:id="130"/>
      <w:r>
        <w:rPr>
          <w:color w:val="000000"/>
          <w:spacing w:val="0"/>
          <w:w w:val="100"/>
          <w:position w:val="0"/>
        </w:rPr>
        <w:t>优化组织架构。成立北京分公司营销中心、开发运营部、光伏工程技术中心，优化资源配置及内部 管理，适应电力能源行业发展新态势。</w:t>
      </w:r>
    </w:p>
    <w:p>
      <w:pPr>
        <w:pStyle w:val="Style28"/>
        <w:keepNext w:val="0"/>
        <w:keepLines w:val="0"/>
        <w:widowControl w:val="0"/>
        <w:numPr>
          <w:ilvl w:val="0"/>
          <w:numId w:val="5"/>
        </w:numPr>
        <w:shd w:val="clear" w:color="auto" w:fill="auto"/>
        <w:bidi w:val="0"/>
        <w:spacing w:before="0" w:after="160" w:line="310" w:lineRule="exact"/>
        <w:ind w:left="0" w:right="0" w:firstLine="480"/>
        <w:jc w:val="both"/>
      </w:pPr>
      <w:bookmarkStart w:id="131" w:name="bookmark131"/>
      <w:bookmarkEnd w:id="131"/>
      <w:r>
        <w:rPr>
          <w:color w:val="000000"/>
          <w:spacing w:val="0"/>
          <w:w w:val="100"/>
          <w:position w:val="0"/>
        </w:rPr>
        <w:t>持续推进企业文化落地。深度融合党建文化、红色文化，统筹各项教育、活动、宣传、环境建设， 升级《企业文化手册》，举办文化技能竞赛活动，开展典型宣传，丰富展厅与职工书屋等文化载体建设， 持续推动企业文化</w:t>
      </w:r>
      <w:r>
        <w:rPr>
          <w:rFonts w:ascii="Times New Roman" w:eastAsia="Times New Roman" w:hAnsi="Times New Roman" w:cs="Times New Roman"/>
          <w:color w:val="000000"/>
          <w:spacing w:val="0"/>
          <w:w w:val="100"/>
          <w:position w:val="0"/>
        </w:rPr>
        <w:t>“</w:t>
      </w:r>
      <w:r>
        <w:rPr>
          <w:color w:val="000000"/>
          <w:spacing w:val="0"/>
          <w:w w:val="100"/>
          <w:position w:val="0"/>
        </w:rPr>
        <w:t>入眼、入脑、入行、入心</w:t>
      </w:r>
      <w:r>
        <w:rPr>
          <w:color w:val="000000"/>
          <w:spacing w:val="0"/>
          <w:w w:val="100"/>
          <w:position w:val="0"/>
        </w:rPr>
        <w:t>，，</w:t>
      </w:r>
      <w:r>
        <w:rPr>
          <w:color w:val="000000"/>
          <w:spacing w:val="0"/>
          <w:w w:val="100"/>
          <w:position w:val="0"/>
        </w:rPr>
        <w:t>。</w:t>
      </w:r>
    </w:p>
    <w:p>
      <w:pPr>
        <w:pStyle w:val="Style28"/>
        <w:keepNext w:val="0"/>
        <w:keepLines w:val="0"/>
        <w:widowControl w:val="0"/>
        <w:shd w:val="clear" w:color="auto" w:fill="auto"/>
        <w:bidi w:val="0"/>
        <w:spacing w:before="0" w:after="160" w:line="312" w:lineRule="exact"/>
        <w:ind w:left="0" w:right="0" w:firstLine="480"/>
        <w:jc w:val="both"/>
      </w:pPr>
      <w:bookmarkStart w:id="132" w:name="bookmark132"/>
      <w:r>
        <w:rPr>
          <w:b/>
          <w:bCs/>
          <w:color w:val="000000"/>
          <w:spacing w:val="0"/>
          <w:w w:val="100"/>
          <w:position w:val="0"/>
        </w:rPr>
        <w:t>（</w:t>
      </w:r>
      <w:bookmarkEnd w:id="132"/>
      <w:r>
        <w:rPr>
          <w:rFonts w:ascii="Times New Roman" w:eastAsia="Times New Roman" w:hAnsi="Times New Roman" w:cs="Times New Roman"/>
          <w:b/>
          <w:bCs/>
          <w:color w:val="000000"/>
          <w:spacing w:val="0"/>
          <w:w w:val="100"/>
          <w:position w:val="0"/>
        </w:rPr>
        <w:t>3</w:t>
      </w:r>
      <w:r>
        <w:rPr>
          <w:b/>
          <w:bCs/>
          <w:color w:val="000000"/>
          <w:spacing w:val="0"/>
          <w:w w:val="100"/>
          <w:position w:val="0"/>
        </w:rPr>
        <w:t>）创新研发情况</w:t>
      </w:r>
    </w:p>
    <w:p>
      <w:pPr>
        <w:pStyle w:val="Style28"/>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在努力提高经营业绩的同时，不断提升公司的核心竞争力。报告期内，公司在海上风电、储能、智慧 能源等领域开展创新研发。在海上风电研发方面，与</w:t>
      </w:r>
      <w:r>
        <w:rPr>
          <w:rFonts w:ascii="Times New Roman" w:eastAsia="Times New Roman" w:hAnsi="Times New Roman" w:cs="Times New Roman"/>
          <w:color w:val="000000"/>
          <w:spacing w:val="0"/>
          <w:w w:val="100"/>
          <w:position w:val="0"/>
        </w:rPr>
        <w:t>SPT</w:t>
      </w:r>
      <w:r>
        <w:rPr>
          <w:color w:val="000000"/>
          <w:spacing w:val="0"/>
          <w:w w:val="100"/>
          <w:position w:val="0"/>
        </w:rPr>
        <w:t>合作承担国电投海上风电创新中心《基于吸力桩 基础的一体化建设施工关键技术研究》</w:t>
      </w:r>
      <w:r>
        <w:rPr>
          <w:color w:val="000000"/>
          <w:spacing w:val="0"/>
          <w:w w:val="100"/>
          <w:position w:val="0"/>
        </w:rPr>
        <w:t>；</w:t>
      </w:r>
      <w:r>
        <w:rPr>
          <w:color w:val="000000"/>
          <w:spacing w:val="0"/>
          <w:w w:val="100"/>
          <w:position w:val="0"/>
        </w:rPr>
        <w:t>不断探索深远海风电开发新技术</w:t>
      </w:r>
      <w:r>
        <w:rPr>
          <w:rFonts w:ascii="Times New Roman" w:eastAsia="Times New Roman" w:hAnsi="Times New Roman" w:cs="Times New Roman"/>
          <w:color w:val="000000"/>
          <w:spacing w:val="0"/>
          <w:w w:val="100"/>
          <w:position w:val="0"/>
        </w:rPr>
        <w:t>;</w:t>
      </w:r>
      <w:r>
        <w:rPr>
          <w:color w:val="000000"/>
          <w:spacing w:val="0"/>
          <w:w w:val="100"/>
          <w:position w:val="0"/>
        </w:rPr>
        <w:t>海上风电研发成果相继获得全国 发明展览会金奖、福州市专利金奖。在储能研发方面，与高校深度开展科研合作，完成区域新型电力系统 新能源并网及源储优化协同关键技术研究，完成《福建省大型储能电站关键技术研究》科技项目，构建了 区域源网荷储一体化和大型储能项目的规划核心能力</w:t>
      </w:r>
      <w:r>
        <w:rPr>
          <w:rFonts w:ascii="Times New Roman" w:eastAsia="Times New Roman" w:hAnsi="Times New Roman" w:cs="Times New Roman"/>
          <w:color w:val="000000"/>
          <w:spacing w:val="0"/>
          <w:w w:val="100"/>
          <w:position w:val="0"/>
        </w:rPr>
        <w:t>;</w:t>
      </w:r>
      <w:r>
        <w:rPr>
          <w:color w:val="000000"/>
          <w:spacing w:val="0"/>
          <w:w w:val="100"/>
          <w:position w:val="0"/>
        </w:rPr>
        <w:t>聚焦集中式共享场景，开展第一代储能集成产品研 发。在智慧能源研发方面，自主研发的储能</w:t>
      </w:r>
      <w:r>
        <w:rPr>
          <w:rFonts w:ascii="Times New Roman" w:eastAsia="Times New Roman" w:hAnsi="Times New Roman" w:cs="Times New Roman"/>
          <w:color w:val="000000"/>
          <w:spacing w:val="0"/>
          <w:w w:val="100"/>
          <w:position w:val="0"/>
        </w:rPr>
        <w:t>EMS</w:t>
      </w:r>
      <w:r>
        <w:rPr>
          <w:color w:val="000000"/>
          <w:spacing w:val="0"/>
          <w:w w:val="100"/>
          <w:position w:val="0"/>
        </w:rPr>
        <w:t>系统通过国网电科院和开普试验室专项检测，性能达国内 一线厂商水平</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建管</w:t>
      </w:r>
      <w:r>
        <w:rPr>
          <w:rFonts w:ascii="Times New Roman" w:eastAsia="Times New Roman" w:hAnsi="Times New Roman" w:cs="Times New Roman"/>
          <w:color w:val="000000"/>
          <w:spacing w:val="0"/>
          <w:w w:val="100"/>
          <w:position w:val="0"/>
        </w:rPr>
        <w:t>"</w:t>
      </w:r>
      <w:r>
        <w:rPr>
          <w:color w:val="000000"/>
          <w:spacing w:val="0"/>
          <w:w w:val="100"/>
          <w:position w:val="0"/>
        </w:rPr>
        <w:t>先签后建</w:t>
      </w:r>
      <w:r>
        <w:rPr>
          <w:rFonts w:ascii="Times New Roman" w:eastAsia="Times New Roman" w:hAnsi="Times New Roman" w:cs="Times New Roman"/>
          <w:color w:val="000000"/>
          <w:spacing w:val="0"/>
          <w:w w:val="100"/>
          <w:position w:val="0"/>
        </w:rPr>
        <w:t>"</w:t>
      </w:r>
      <w:r>
        <w:rPr>
          <w:color w:val="000000"/>
          <w:spacing w:val="0"/>
          <w:w w:val="100"/>
          <w:position w:val="0"/>
        </w:rPr>
        <w:t>平台成功布署并发布</w:t>
      </w:r>
      <w:r>
        <w:rPr>
          <w:rFonts w:ascii="Times New Roman" w:eastAsia="Times New Roman" w:hAnsi="Times New Roman" w:cs="Times New Roman"/>
          <w:color w:val="000000"/>
          <w:spacing w:val="0"/>
          <w:w w:val="100"/>
          <w:position w:val="0"/>
        </w:rPr>
        <w:t>;</w:t>
      </w:r>
      <w:r>
        <w:rPr>
          <w:color w:val="000000"/>
          <w:spacing w:val="0"/>
          <w:w w:val="100"/>
          <w:position w:val="0"/>
        </w:rPr>
        <w:t>基于三维模型的基建管控平台和工程数据中心平台完 成研发、示范应用</w:t>
      </w:r>
      <w:r>
        <w:rPr>
          <w:rFonts w:ascii="Times New Roman" w:eastAsia="Times New Roman" w:hAnsi="Times New Roman" w:cs="Times New Roman"/>
          <w:color w:val="000000"/>
          <w:spacing w:val="0"/>
          <w:w w:val="100"/>
          <w:position w:val="0"/>
        </w:rPr>
        <w:t>;</w:t>
      </w:r>
      <w:r>
        <w:rPr>
          <w:color w:val="000000"/>
          <w:spacing w:val="0"/>
          <w:w w:val="100"/>
          <w:position w:val="0"/>
        </w:rPr>
        <w:t>智能电气二次设计系统完成迭代和试运行，国内技术领先，具备对外推广条件</w:t>
      </w:r>
      <w:r>
        <w:rPr>
          <w:rFonts w:ascii="Times New Roman" w:eastAsia="Times New Roman" w:hAnsi="Times New Roman" w:cs="Times New Roman"/>
          <w:color w:val="000000"/>
          <w:spacing w:val="0"/>
          <w:w w:val="100"/>
          <w:position w:val="0"/>
        </w:rPr>
        <w:t>;</w:t>
      </w:r>
      <w:r>
        <w:rPr>
          <w:color w:val="000000"/>
          <w:spacing w:val="0"/>
          <w:w w:val="100"/>
          <w:position w:val="0"/>
        </w:rPr>
        <w:t>电力通 信研发成果相继获得福建电力科学技术进步奖、</w:t>
      </w:r>
      <w:r>
        <w:rPr>
          <w:rFonts w:ascii="Times New Roman" w:eastAsia="Times New Roman" w:hAnsi="Times New Roman" w:cs="Times New Roman"/>
          <w:color w:val="000000"/>
          <w:spacing w:val="0"/>
          <w:w w:val="100"/>
          <w:position w:val="0"/>
        </w:rPr>
        <w:t>"</w:t>
      </w:r>
      <w:r>
        <w:rPr>
          <w:color w:val="000000"/>
          <w:spacing w:val="0"/>
          <w:w w:val="100"/>
          <w:position w:val="0"/>
        </w:rPr>
        <w:t>金苹果</w:t>
      </w:r>
      <w:r>
        <w:rPr>
          <w:rFonts w:ascii="Times New Roman" w:eastAsia="Times New Roman" w:hAnsi="Times New Roman" w:cs="Times New Roman"/>
          <w:color w:val="000000"/>
          <w:spacing w:val="0"/>
          <w:w w:val="100"/>
          <w:position w:val="0"/>
        </w:rPr>
        <w:t>"</w:t>
      </w:r>
      <w:r>
        <w:rPr>
          <w:color w:val="000000"/>
          <w:spacing w:val="0"/>
          <w:w w:val="100"/>
          <w:position w:val="0"/>
        </w:rPr>
        <w:t>技术成果奖。</w:t>
      </w:r>
    </w:p>
    <w:p>
      <w:pPr>
        <w:pStyle w:val="Style32"/>
        <w:keepNext/>
        <w:keepLines/>
        <w:widowControl w:val="0"/>
        <w:shd w:val="clear" w:color="auto" w:fill="auto"/>
        <w:bidi w:val="0"/>
        <w:spacing w:before="0" w:after="300" w:line="312" w:lineRule="exact"/>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2</w:t>
      </w:r>
      <w:bookmarkEnd w:id="135"/>
      <w:r>
        <w:rPr>
          <w:color w:val="000000"/>
          <w:spacing w:val="0"/>
          <w:w w:val="100"/>
          <w:position w:val="0"/>
        </w:rPr>
        <w:t>、收入与成本</w:t>
      </w:r>
      <w:bookmarkEnd w:id="133"/>
      <w:bookmarkEnd w:id="134"/>
      <w:bookmarkEnd w:id="136"/>
    </w:p>
    <w:p>
      <w:pPr>
        <w:pStyle w:val="Style50"/>
        <w:keepNext/>
        <w:keepLines/>
        <w:widowControl w:val="0"/>
        <w:shd w:val="clear" w:color="auto" w:fill="auto"/>
        <w:bidi w:val="0"/>
        <w:spacing w:before="0" w:line="312" w:lineRule="exact"/>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7"/>
      <w:bookmarkEnd w:id="138"/>
      <w:bookmarkEnd w:id="140"/>
    </w:p>
    <w:p>
      <w:pPr>
        <w:pStyle w:val="Style24"/>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营业收入整体情况</w:t>
      </w:r>
    </w:p>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单位：元</w:t>
      </w:r>
    </w:p>
    <w:tbl>
      <w:tblPr>
        <w:tblOverlap w:val="never"/>
        <w:jc w:val="center"/>
        <w:tblLayout w:type="fixed"/>
      </w:tblPr>
      <w:tblGrid>
        <w:gridCol w:w="1603"/>
        <w:gridCol w:w="3187"/>
        <w:gridCol w:w="319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sectPr>
          <w:footnotePr>
            <w:pos w:val="pageBottom"/>
            <w:numFmt w:val="decimal"/>
            <w:numRestart w:val="continuous"/>
          </w:footnotePr>
          <w:pgSz w:w="11900" w:h="16840"/>
          <w:pgMar w:top="934" w:right="1004" w:bottom="1292" w:left="1066"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59.92%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1,567,167,016.89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979,349,464.57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751,012.09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电力工程勘察设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计（含规划咨询）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241,477,447.56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279,803,415.35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1,262,138,577.03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626,867,616.73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47,546,922.79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59,292,648.93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16,004,069.51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13,385,783.56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751,012.09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中国福建省内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798,274,222.08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405,754,473.32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中国福建省外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728,415,014.13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345,057,592.64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41,228,792.77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229,627,024.54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-82.05%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59.92%</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1"/>
      <w:bookmarkEnd w:id="142"/>
      <w:bookmarkEnd w:id="144"/>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699"/>
        <w:gridCol w:w="1512"/>
        <w:gridCol w:w="917"/>
        <w:gridCol w:w="1349"/>
        <w:gridCol w:w="1320"/>
        <w:gridCol w:w="120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毛利率比上</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1,567,167,016.89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1,223,066,994.01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电力工程勘察设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计（含规划咨询）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241,477,447.56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122,385,654.56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1,262,138,577.03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1,062,611,968.89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47,546,922.79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26,839,218.41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16,004,069.51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11,230,152.15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中国福建省内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798,274,222.08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692,184,284.74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中国福建省外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728,415,014.13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496,441,851.65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11.02%</w:t>
            </w:r>
          </w:p>
        </w:tc>
      </w:tr>
    </w:tbl>
    <w:p>
      <w:pPr>
        <w:spacing w:lineRule="exact" w:line="1"/>
        <w:rPr>
          <w:sz w:val="2"/>
          <w:szCs w:val="2"/>
        </w:rPr>
      </w:pPr>
      <w:r>
        <w:br w:type="page"/>
      </w:r>
    </w:p>
    <w:tbl>
      <w:tblPr>
        <w:tblOverlap w:val="never"/>
        <w:jc w:val="center"/>
        <w:tblLayout w:type="fixed"/>
      </w:tblPr>
      <w:tblGrid>
        <w:gridCol w:w="1594"/>
        <w:gridCol w:w="1699"/>
        <w:gridCol w:w="1512"/>
        <w:gridCol w:w="917"/>
        <w:gridCol w:w="1349"/>
        <w:gridCol w:w="1320"/>
        <w:gridCol w:w="1200"/>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41,228,792.77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34,534,570.31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1,223,160,706.70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50"/>
        <w:keepNext/>
        <w:keepLines/>
        <w:widowControl w:val="0"/>
        <w:numPr>
          <w:ilvl w:val="0"/>
          <w:numId w:val="15"/>
        </w:numPr>
        <w:shd w:val="clear" w:color="auto" w:fill="auto"/>
        <w:tabs>
          <w:tab w:pos="493" w:val="left"/>
        </w:tabs>
        <w:bidi w:val="0"/>
        <w:spacing w:before="0" w:line="240" w:lineRule="auto"/>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公司实物销售收入是否大于劳务收入</w:t>
      </w:r>
      <w:bookmarkEnd w:id="145"/>
      <w:bookmarkEnd w:id="146"/>
      <w:bookmarkEnd w:id="14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50"/>
        <w:keepNext/>
        <w:keepLines/>
        <w:widowControl w:val="0"/>
        <w:numPr>
          <w:ilvl w:val="0"/>
          <w:numId w:val="15"/>
        </w:numPr>
        <w:shd w:val="clear" w:color="auto" w:fill="auto"/>
        <w:tabs>
          <w:tab w:pos="493" w:val="left"/>
        </w:tabs>
        <w:bidi w:val="0"/>
        <w:spacing w:before="0" w:line="240" w:lineRule="auto"/>
        <w:ind w:left="0" w:right="0" w:firstLine="0"/>
        <w:jc w:val="both"/>
      </w:pPr>
      <w:bookmarkStart w:id="149" w:name="bookmark149"/>
      <w:bookmarkStart w:id="150" w:name="bookmark150"/>
      <w:bookmarkStart w:id="151" w:name="bookmark151"/>
      <w:bookmarkStart w:id="152" w:name="bookmark152"/>
      <w:bookmarkEnd w:id="151"/>
      <w:r>
        <w:rPr>
          <w:color w:val="000000"/>
          <w:spacing w:val="0"/>
          <w:w w:val="100"/>
          <w:position w:val="0"/>
        </w:rPr>
        <w:t>公司已签订的重大销售合同、重大采购合同截至本报告期的履行情况</w:t>
      </w:r>
      <w:bookmarkEnd w:id="149"/>
      <w:bookmarkEnd w:id="150"/>
      <w:bookmarkEnd w:id="152"/>
    </w:p>
    <w:p>
      <w:pPr>
        <w:pStyle w:val="Style18"/>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已签订的重大销售合同截至本报告期的履行情况</w:t>
      </w:r>
    </w:p>
    <w:p>
      <w:pPr>
        <w:pStyle w:val="Style18"/>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190"/>
        <w:gridCol w:w="797"/>
        <w:gridCol w:w="706"/>
        <w:gridCol w:w="658"/>
        <w:gridCol w:w="677"/>
        <w:gridCol w:w="778"/>
        <w:gridCol w:w="691"/>
        <w:gridCol w:w="797"/>
        <w:gridCol w:w="566"/>
        <w:gridCol w:w="504"/>
        <w:gridCol w:w="878"/>
        <w:gridCol w:w="706"/>
        <w:gridCol w:w="634"/>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合同标的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对方当 事人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合同 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合计 已履 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20"/>
              <w:jc w:val="left"/>
              <w:rPr>
                <w:sz w:val="17"/>
                <w:szCs w:val="17"/>
              </w:rPr>
            </w:pPr>
            <w:r>
              <w:rPr>
                <w:color w:val="000000"/>
                <w:spacing w:val="0"/>
                <w:w w:val="100"/>
                <w:position w:val="0"/>
                <w:sz w:val="17"/>
                <w:szCs w:val="17"/>
              </w:rPr>
              <w:t>本报</w:t>
            </w:r>
          </w:p>
          <w:p>
            <w:pPr>
              <w:pStyle w:val="Style2"/>
              <w:keepNext w:val="0"/>
              <w:keepLines w:val="0"/>
              <w:widowControl w:val="0"/>
              <w:shd w:val="clear" w:color="auto" w:fill="auto"/>
              <w:bidi w:val="0"/>
              <w:spacing w:before="0" w:after="0" w:line="312" w:lineRule="exact"/>
              <w:ind w:left="140" w:right="0" w:firstLine="20"/>
              <w:jc w:val="left"/>
              <w:rPr>
                <w:sz w:val="17"/>
                <w:szCs w:val="17"/>
              </w:rPr>
            </w:pPr>
            <w:r>
              <w:rPr>
                <w:color w:val="000000"/>
                <w:spacing w:val="0"/>
                <w:w w:val="100"/>
                <w:position w:val="0"/>
                <w:sz w:val="17"/>
                <w:szCs w:val="17"/>
              </w:rPr>
              <w:t>告期</w:t>
            </w:r>
          </w:p>
          <w:p>
            <w:pPr>
              <w:pStyle w:val="Style2"/>
              <w:keepNext w:val="0"/>
              <w:keepLines w:val="0"/>
              <w:widowControl w:val="0"/>
              <w:shd w:val="clear" w:color="auto" w:fill="auto"/>
              <w:bidi w:val="0"/>
              <w:spacing w:before="0" w:after="0" w:line="312" w:lineRule="exact"/>
              <w:ind w:left="140" w:right="0" w:firstLine="20"/>
              <w:jc w:val="left"/>
              <w:rPr>
                <w:sz w:val="17"/>
                <w:szCs w:val="17"/>
              </w:rPr>
            </w:pPr>
            <w:r>
              <w:rPr>
                <w:color w:val="000000"/>
                <w:spacing w:val="0"/>
                <w:w w:val="100"/>
                <w:position w:val="0"/>
                <w:sz w:val="17"/>
                <w:szCs w:val="17"/>
              </w:rPr>
              <w:t>履行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待履行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 确认 的销 售收 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累计确 认的销 售收入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0"/>
              <w:jc w:val="both"/>
              <w:rPr>
                <w:sz w:val="17"/>
                <w:szCs w:val="17"/>
              </w:rPr>
            </w:pPr>
            <w:r>
              <w:rPr>
                <w:color w:val="000000"/>
                <w:spacing w:val="0"/>
                <w:w w:val="100"/>
                <w:position w:val="0"/>
                <w:sz w:val="17"/>
                <w:szCs w:val="17"/>
              </w:rPr>
              <w:t>应 收 账 款 回 款 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是 否 正 常 履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both"/>
              <w:rPr>
                <w:sz w:val="17"/>
                <w:szCs w:val="17"/>
              </w:rPr>
            </w:pPr>
            <w:r>
              <w:rPr>
                <w:color w:val="000000"/>
                <w:spacing w:val="0"/>
                <w:w w:val="100"/>
                <w:position w:val="0"/>
                <w:sz w:val="17"/>
                <w:szCs w:val="17"/>
              </w:rPr>
              <w:t>影响重 大合同 履行的 各项条 件是否 发生重 大变化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rPr>
                <w:sz w:val="17"/>
                <w:szCs w:val="17"/>
              </w:rPr>
            </w:pPr>
            <w:r>
              <w:rPr>
                <w:color w:val="000000"/>
                <w:spacing w:val="0"/>
                <w:w w:val="100"/>
                <w:position w:val="0"/>
                <w:sz w:val="17"/>
                <w:szCs w:val="17"/>
              </w:rPr>
              <w:t>是否 存在 合同 无法 履行 的重 大风</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合同 未正 常履 行的 说明</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中核汇能福 建南安高嵛 山</w:t>
            </w:r>
            <w:r>
              <w:rPr>
                <w:rFonts w:ascii="Times New Roman" w:eastAsia="Times New Roman" w:hAnsi="Times New Roman" w:cs="Times New Roman"/>
                <w:color w:val="000000"/>
                <w:spacing w:val="0"/>
                <w:w w:val="100"/>
                <w:position w:val="0"/>
                <w:sz w:val="18"/>
                <w:szCs w:val="18"/>
              </w:rPr>
              <w:t>70MW</w:t>
            </w:r>
            <w:r>
              <w:rPr>
                <w:color w:val="000000"/>
                <w:spacing w:val="0"/>
                <w:w w:val="100"/>
                <w:position w:val="0"/>
                <w:sz w:val="17"/>
                <w:szCs w:val="17"/>
              </w:rPr>
              <w:t>风 电工程</w:t>
            </w:r>
            <w:r>
              <w:rPr>
                <w:rFonts w:ascii="Times New Roman" w:eastAsia="Times New Roman" w:hAnsi="Times New Roman" w:cs="Times New Roman"/>
                <w:color w:val="000000"/>
                <w:spacing w:val="0"/>
                <w:w w:val="100"/>
                <w:position w:val="0"/>
                <w:sz w:val="18"/>
                <w:szCs w:val="18"/>
              </w:rPr>
              <w:t xml:space="preserve">EPC </w:t>
            </w:r>
            <w:r>
              <w:rPr>
                <w:color w:val="000000"/>
                <w:spacing w:val="0"/>
                <w:w w:val="100"/>
                <w:position w:val="0"/>
                <w:sz w:val="17"/>
                <w:szCs w:val="17"/>
              </w:rPr>
              <w:t>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福建中 核高嵛 山风电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27,33</w:t>
            </w:r>
          </w:p>
          <w:p>
            <w:pPr>
              <w:pStyle w:val="Style2"/>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color w:val="000000"/>
                <w:spacing w:val="0"/>
                <w:w w:val="100"/>
                <w:position w:val="0"/>
                <w:sz w:val="18"/>
                <w:szCs w:val="18"/>
              </w:rPr>
              <w:t xml:space="preserve">7.67 </w:t>
            </w:r>
            <w:r>
              <w:rPr>
                <w:rFonts w:ascii="Calibri" w:eastAsia="Calibri" w:hAnsi="Calibri" w:cs="Calibri"/>
                <w:color w:val="FF0000"/>
                <w:spacing w:val="0"/>
                <w:w w:val="100"/>
                <w:position w:val="0"/>
                <w:sz w:val="8"/>
                <w:szCs w:val="8"/>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福建长乐外 海</w:t>
            </w:r>
            <w:r>
              <w:rPr>
                <w:rFonts w:ascii="Times New Roman" w:eastAsia="Times New Roman" w:hAnsi="Times New Roman" w:cs="Times New Roman"/>
                <w:color w:val="000000"/>
                <w:spacing w:val="0"/>
                <w:w w:val="100"/>
                <w:position w:val="0"/>
                <w:sz w:val="18"/>
                <w:szCs w:val="18"/>
              </w:rPr>
              <w:t>ABC</w:t>
            </w:r>
            <w:r>
              <w:rPr>
                <w:color w:val="000000"/>
                <w:spacing w:val="0"/>
                <w:w w:val="100"/>
                <w:position w:val="0"/>
                <w:sz w:val="17"/>
                <w:szCs w:val="17"/>
              </w:rPr>
              <w:t>区海 上风电场预 可研、可研 及施工图勘 测设计服务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福州海 峡发电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23,99</w:t>
            </w:r>
          </w:p>
          <w:p>
            <w:pPr>
              <w:pStyle w:val="Style2"/>
              <w:keepNext w:val="0"/>
              <w:keepLines w:val="0"/>
              <w:widowControl w:val="0"/>
              <w:shd w:val="clear" w:color="auto" w:fill="auto"/>
              <w:bidi w:val="0"/>
              <w:spacing w:before="0" w:after="0" w:line="240" w:lineRule="auto"/>
              <w:ind w:left="0" w:right="0" w:firstLine="160"/>
              <w:jc w:val="left"/>
              <w:rPr>
                <w:sz w:val="8"/>
                <w:szCs w:val="8"/>
              </w:rPr>
            </w:pPr>
            <w:r>
              <w:rPr>
                <w:rFonts w:ascii="Times New Roman" w:eastAsia="Times New Roman" w:hAnsi="Times New Roman" w:cs="Times New Roman"/>
                <w:color w:val="000000"/>
                <w:spacing w:val="0"/>
                <w:w w:val="100"/>
                <w:position w:val="0"/>
                <w:sz w:val="18"/>
                <w:szCs w:val="18"/>
              </w:rPr>
              <w:t xml:space="preserve">7.95 </w:t>
            </w:r>
            <w:r>
              <w:rPr>
                <w:rFonts w:ascii="Calibri" w:eastAsia="Calibri" w:hAnsi="Calibri" w:cs="Calibri"/>
                <w:color w:val="FF0000"/>
                <w:spacing w:val="0"/>
                <w:w w:val="100"/>
                <w:position w:val="0"/>
                <w:sz w:val="8"/>
                <w:szCs w:val="8"/>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542.1</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 xml:space="preserve">孟加拉迈门 辛 </w:t>
            </w:r>
            <w:r>
              <w:rPr>
                <w:rFonts w:ascii="Times New Roman" w:eastAsia="Times New Roman" w:hAnsi="Times New Roman" w:cs="Times New Roman"/>
                <w:color w:val="000000"/>
                <w:spacing w:val="0"/>
                <w:w w:val="100"/>
                <w:position w:val="0"/>
                <w:sz w:val="18"/>
                <w:szCs w:val="18"/>
              </w:rPr>
              <w:t xml:space="preserve">50MWac </w:t>
            </w:r>
            <w:r>
              <w:rPr>
                <w:color w:val="000000"/>
                <w:spacing w:val="0"/>
                <w:w w:val="100"/>
                <w:position w:val="0"/>
                <w:sz w:val="17"/>
                <w:szCs w:val="17"/>
              </w:rPr>
              <w:t xml:space="preserve">光伏项目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SINPO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6,374. </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万 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6,374 </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sz w:val="17"/>
                <w:szCs w:val="17"/>
              </w:rPr>
              <w:t>万美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6,374.3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万美</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富锦市</w:t>
            </w:r>
            <w:r>
              <w:rPr>
                <w:rFonts w:ascii="Times New Roman" w:eastAsia="Times New Roman" w:hAnsi="Times New Roman" w:cs="Times New Roman"/>
                <w:color w:val="000000"/>
                <w:spacing w:val="0"/>
                <w:w w:val="100"/>
                <w:position w:val="0"/>
                <w:sz w:val="18"/>
                <w:szCs w:val="18"/>
              </w:rPr>
              <w:t>1</w:t>
            </w:r>
            <w:r>
              <w:rPr>
                <w:rFonts w:ascii="Arial" w:eastAsia="Arial" w:hAnsi="Arial" w:cs="Arial"/>
                <w:color w:val="000000"/>
                <w:spacing w:val="0"/>
                <w:w w:val="100"/>
                <w:position w:val="0"/>
                <w:sz w:val="18"/>
                <w:szCs w:val="18"/>
              </w:rPr>
              <w:t>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797"/>
        <w:gridCol w:w="706"/>
        <w:gridCol w:w="658"/>
        <w:gridCol w:w="677"/>
        <w:gridCol w:w="778"/>
        <w:gridCol w:w="691"/>
        <w:gridCol w:w="797"/>
        <w:gridCol w:w="566"/>
        <w:gridCol w:w="504"/>
        <w:gridCol w:w="878"/>
        <w:gridCol w:w="706"/>
        <w:gridCol w:w="634"/>
      </w:tblGrid>
      <w:tr>
        <w:trPr>
          <w:trHeight w:val="16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30MW</w:t>
            </w:r>
            <w:r>
              <w:rPr>
                <w:color w:val="000000"/>
                <w:spacing w:val="0"/>
                <w:w w:val="100"/>
                <w:position w:val="0"/>
                <w:sz w:val="17"/>
                <w:szCs w:val="17"/>
              </w:rPr>
              <w:t>农林 生物质热电 联产</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 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（富</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锦）生 物质热 电有限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邵武市金塘 工业园区热 电联产项目 工程总承包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邵武市 诚鑫能 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25,30</w:t>
            </w:r>
          </w:p>
          <w:p>
            <w:pPr>
              <w:pStyle w:val="Style2"/>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color w:val="000000"/>
                <w:spacing w:val="0"/>
                <w:w w:val="100"/>
                <w:position w:val="0"/>
                <w:sz w:val="18"/>
                <w:szCs w:val="18"/>
              </w:rPr>
              <w:t xml:space="preserve">3.15 </w:t>
            </w:r>
            <w:r>
              <w:rPr>
                <w:rFonts w:ascii="Calibri" w:eastAsia="Calibri" w:hAnsi="Calibri" w:cs="Calibri"/>
                <w:color w:val="FF0000"/>
                <w:spacing w:val="0"/>
                <w:w w:val="100"/>
                <w:position w:val="0"/>
                <w:sz w:val="8"/>
                <w:szCs w:val="8"/>
              </w:rPr>
              <w:t>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孟加拉鲁普 莎 </w:t>
            </w:r>
            <w:r>
              <w:rPr>
                <w:rFonts w:ascii="Times New Roman" w:eastAsia="Times New Roman" w:hAnsi="Times New Roman" w:cs="Times New Roman"/>
                <w:color w:val="000000"/>
                <w:spacing w:val="0"/>
                <w:w w:val="100"/>
                <w:position w:val="0"/>
                <w:sz w:val="18"/>
                <w:szCs w:val="18"/>
              </w:rPr>
              <w:t xml:space="preserve">800MW </w:t>
            </w:r>
            <w:r>
              <w:rPr>
                <w:color w:val="000000"/>
                <w:spacing w:val="0"/>
                <w:w w:val="100"/>
                <w:position w:val="0"/>
                <w:sz w:val="17"/>
                <w:szCs w:val="17"/>
              </w:rPr>
              <w:t>燃机联合循 环电站项目 工程设计和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上海电</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气集团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福建北部向 南部新增输 电通道（福 州〜厦门） 工程长泰 </w:t>
            </w:r>
            <w:r>
              <w:rPr>
                <w:rFonts w:ascii="Times New Roman" w:eastAsia="Times New Roman" w:hAnsi="Times New Roman" w:cs="Times New Roman"/>
                <w:color w:val="000000"/>
                <w:spacing w:val="0"/>
                <w:w w:val="100"/>
                <w:position w:val="0"/>
                <w:sz w:val="18"/>
                <w:szCs w:val="18"/>
              </w:rPr>
              <w:t>1000kV</w:t>
            </w:r>
            <w:r>
              <w:rPr>
                <w:color w:val="000000"/>
                <w:spacing w:val="0"/>
                <w:w w:val="100"/>
                <w:position w:val="0"/>
                <w:sz w:val="17"/>
                <w:szCs w:val="17"/>
              </w:rPr>
              <w:t xml:space="preserve">变电 站新建工程 </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 xml:space="preserve">包及闽清 与永泰县界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德化与永 春县界可行 性研究及勘 察设计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国网福 建省电 力有限 公司建 设分公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长乐外海海 上风电场</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sz w:val="17"/>
                <w:szCs w:val="17"/>
              </w:rPr>
              <w:t>区项目第一 批风机基础 施工及风机 安装工程吸 力式导管架 吸力贯入技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中交第 一航务 工程局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平潭海峡公 铁两用大桥 照明工程分 散式风电项 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福建润 峡新能 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32,47</w:t>
            </w:r>
          </w:p>
          <w:p>
            <w:pPr>
              <w:pStyle w:val="Style2"/>
              <w:keepNext w:val="0"/>
              <w:keepLines w:val="0"/>
              <w:widowControl w:val="0"/>
              <w:shd w:val="clear" w:color="auto" w:fill="auto"/>
              <w:bidi w:val="0"/>
              <w:spacing w:before="0" w:after="0" w:line="240" w:lineRule="auto"/>
              <w:ind w:left="0" w:right="0" w:firstLine="180"/>
              <w:jc w:val="left"/>
              <w:rPr>
                <w:sz w:val="8"/>
                <w:szCs w:val="8"/>
              </w:rPr>
            </w:pPr>
            <w:r>
              <w:rPr>
                <w:rFonts w:ascii="Times New Roman" w:eastAsia="Times New Roman" w:hAnsi="Times New Roman" w:cs="Times New Roman"/>
                <w:color w:val="000000"/>
                <w:spacing w:val="0"/>
                <w:w w:val="100"/>
                <w:position w:val="0"/>
                <w:sz w:val="18"/>
                <w:szCs w:val="18"/>
              </w:rPr>
              <w:t xml:space="preserve">8.89 </w:t>
            </w:r>
            <w:r>
              <w:rPr>
                <w:rFonts w:ascii="Calibri" w:eastAsia="Calibri" w:hAnsi="Calibri" w:cs="Calibri"/>
                <w:color w:val="FF0000"/>
                <w:spacing w:val="0"/>
                <w:w w:val="100"/>
                <w:position w:val="0"/>
                <w:sz w:val="8"/>
                <w:szCs w:val="8"/>
              </w:rPr>
              <w:t>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797"/>
        <w:gridCol w:w="706"/>
        <w:gridCol w:w="658"/>
        <w:gridCol w:w="677"/>
        <w:gridCol w:w="778"/>
        <w:gridCol w:w="691"/>
        <w:gridCol w:w="797"/>
        <w:gridCol w:w="566"/>
        <w:gridCol w:w="504"/>
        <w:gridCol w:w="878"/>
        <w:gridCol w:w="706"/>
        <w:gridCol w:w="634"/>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福建漳州核 电</w:t>
            </w:r>
            <w:r>
              <w:rPr>
                <w:rFonts w:ascii="Times New Roman" w:eastAsia="Times New Roman" w:hAnsi="Times New Roman" w:cs="Times New Roman"/>
                <w:color w:val="000000"/>
                <w:spacing w:val="0"/>
                <w:w w:val="100"/>
                <w:position w:val="0"/>
                <w:sz w:val="18"/>
                <w:szCs w:val="18"/>
              </w:rPr>
              <w:t>500kV</w:t>
            </w:r>
            <w:r>
              <w:rPr>
                <w:color w:val="000000"/>
                <w:spacing w:val="0"/>
                <w:w w:val="100"/>
                <w:position w:val="0"/>
                <w:sz w:val="17"/>
                <w:szCs w:val="17"/>
              </w:rPr>
              <w:t>送 出工程输变 电工程勘察 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国网福 建省电 力有限 公司建 设分公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长乐外海海 上风电场</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sz w:val="17"/>
                <w:szCs w:val="17"/>
              </w:rPr>
              <w:t>区项目第二 批风机基础 施工及风机 安装工程吸 力式导管架 吸力贯入技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中交第 三航务 工程局 有限公 司厦门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沅江龙潭沟 风电场工程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沅江丰</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昇新能 源有限 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42,75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武汉〜南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昌〜长沙</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千伏特</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高压交流线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路工程可研</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及勘测设计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国家电 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883.3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631.4</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国网时代华 电大同热电 储能工程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（全过程工 程咨询服务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国网时 代（福 建）储 能发展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2,062</w:t>
            </w:r>
          </w:p>
          <w:p>
            <w:pPr>
              <w:pStyle w:val="Style2"/>
              <w:keepNext w:val="0"/>
              <w:keepLines w:val="0"/>
              <w:widowControl w:val="0"/>
              <w:shd w:val="clear" w:color="auto" w:fill="auto"/>
              <w:bidi w:val="0"/>
              <w:spacing w:before="0" w:after="0" w:line="240" w:lineRule="auto"/>
              <w:ind w:left="0" w:right="0" w:firstLine="500"/>
              <w:jc w:val="left"/>
              <w:rPr>
                <w:sz w:val="8"/>
                <w:szCs w:val="8"/>
              </w:rPr>
            </w:pPr>
            <w:r>
              <w:rPr>
                <w:rFonts w:ascii="Calibri" w:eastAsia="Calibri" w:hAnsi="Calibri" w:cs="Calibri"/>
                <w:color w:val="FF0000"/>
                <w:spacing w:val="0"/>
                <w:w w:val="100"/>
                <w:position w:val="0"/>
                <w:sz w:val="8"/>
                <w:szCs w:val="8"/>
              </w:rPr>
              <w:t>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江苏时代新 能源科技有 限公司四期 </w:t>
            </w:r>
            <w:r>
              <w:rPr>
                <w:rFonts w:ascii="Times New Roman" w:eastAsia="Times New Roman" w:hAnsi="Times New Roman" w:cs="Times New Roman"/>
                <w:color w:val="000000"/>
                <w:spacing w:val="0"/>
                <w:w w:val="100"/>
                <w:position w:val="0"/>
                <w:sz w:val="18"/>
                <w:szCs w:val="18"/>
              </w:rPr>
              <w:t>31MW</w:t>
            </w:r>
            <w:r>
              <w:rPr>
                <w:color w:val="000000"/>
                <w:spacing w:val="0"/>
                <w:w w:val="100"/>
                <w:position w:val="0"/>
                <w:sz w:val="17"/>
                <w:szCs w:val="17"/>
              </w:rPr>
              <w:t>厂房 屋顶光伏电 站</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溧阳润 永新能 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时代上汽动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力电池有限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溧阳润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时新能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4,924.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797"/>
        <w:gridCol w:w="706"/>
        <w:gridCol w:w="658"/>
        <w:gridCol w:w="677"/>
        <w:gridCol w:w="778"/>
        <w:gridCol w:w="691"/>
        <w:gridCol w:w="797"/>
        <w:gridCol w:w="566"/>
        <w:gridCol w:w="504"/>
        <w:gridCol w:w="878"/>
        <w:gridCol w:w="706"/>
        <w:gridCol w:w="634"/>
      </w:tblGrid>
      <w:tr>
        <w:trPr>
          <w:trHeight w:val="16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公司二期</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13MW</w:t>
            </w:r>
            <w:r>
              <w:rPr>
                <w:color w:val="000000"/>
                <w:spacing w:val="0"/>
                <w:w w:val="100"/>
                <w:position w:val="0"/>
                <w:sz w:val="17"/>
                <w:szCs w:val="17"/>
              </w:rPr>
              <w:t>厂房</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屋顶光伏电 站</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 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rPr>
                <w:sz w:val="17"/>
                <w:szCs w:val="17"/>
              </w:rPr>
            </w:pPr>
            <w:r>
              <w:rPr>
                <w:color w:val="000000"/>
                <w:spacing w:val="0"/>
                <w:w w:val="100"/>
                <w:position w:val="0"/>
                <w:sz w:val="17"/>
                <w:szCs w:val="17"/>
              </w:rPr>
              <w:t>源有限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产能置换升 级改造供电 项目</w:t>
            </w:r>
            <w:r>
              <w:rPr>
                <w:rFonts w:ascii="Times New Roman" w:eastAsia="Times New Roman" w:hAnsi="Times New Roman" w:cs="Times New Roman"/>
                <w:color w:val="000000"/>
                <w:spacing w:val="0"/>
                <w:w w:val="100"/>
                <w:position w:val="0"/>
                <w:sz w:val="18"/>
                <w:szCs w:val="18"/>
              </w:rPr>
              <w:t xml:space="preserve">220kV </w:t>
            </w:r>
            <w:r>
              <w:rPr>
                <w:color w:val="000000"/>
                <w:spacing w:val="0"/>
                <w:w w:val="100"/>
                <w:position w:val="0"/>
                <w:sz w:val="17"/>
                <w:szCs w:val="17"/>
              </w:rPr>
              <w:t>玉昆变电站 和配套</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110kV</w:t>
            </w:r>
            <w:r>
              <w:rPr>
                <w:color w:val="000000"/>
                <w:spacing w:val="0"/>
                <w:w w:val="100"/>
                <w:position w:val="0"/>
                <w:sz w:val="17"/>
                <w:szCs w:val="17"/>
              </w:rPr>
              <w:t>变电</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站</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 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云南玉 溪玉昆 钢铁集 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996.1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菲律宾维塞 亚斯群岛变 电站升级改 造</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 总承包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The Nationa l Grid Corpor ation of the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 nes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4,294. 26</w:t>
            </w:r>
            <w:r>
              <w:rPr>
                <w:color w:val="000000"/>
                <w:spacing w:val="0"/>
                <w:w w:val="100"/>
                <w:position w:val="0"/>
                <w:sz w:val="17"/>
                <w:szCs w:val="17"/>
              </w:rPr>
              <w:t>万 美元， 不含 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ind w:left="0" w:right="0" w:firstLine="0"/>
        <w:jc w:val="left"/>
      </w:pPr>
      <w:r>
        <w:rPr>
          <w:color w:val="000000"/>
          <w:spacing w:val="0"/>
          <w:w w:val="100"/>
          <w:position w:val="0"/>
        </w:rPr>
        <w:t>注：① 总承包合同增补</w:t>
      </w:r>
      <w:r>
        <w:rPr>
          <w:rFonts w:ascii="Times New Roman" w:eastAsia="Times New Roman" w:hAnsi="Times New Roman" w:cs="Times New Roman"/>
          <w:color w:val="000000"/>
          <w:spacing w:val="0"/>
          <w:w w:val="100"/>
          <w:position w:val="0"/>
          <w:sz w:val="18"/>
          <w:szCs w:val="18"/>
        </w:rPr>
        <w:t>494.80</w:t>
      </w:r>
      <w:r>
        <w:rPr>
          <w:color w:val="000000"/>
          <w:spacing w:val="0"/>
          <w:w w:val="100"/>
          <w:position w:val="0"/>
        </w:rPr>
        <w:t>万元</w:t>
      </w:r>
    </w:p>
    <w:p>
      <w:pPr>
        <w:pStyle w:val="Style18"/>
        <w:keepNext w:val="0"/>
        <w:keepLines w:val="0"/>
        <w:widowControl w:val="0"/>
        <w:numPr>
          <w:ilvl w:val="0"/>
          <w:numId w:val="17"/>
        </w:numPr>
        <w:shd w:val="clear" w:color="auto" w:fill="auto"/>
        <w:tabs>
          <w:tab w:pos="373" w:val="left"/>
        </w:tabs>
        <w:bidi w:val="0"/>
        <w:spacing w:before="0" w:after="40"/>
        <w:ind w:left="0" w:right="0" w:firstLine="0"/>
        <w:jc w:val="left"/>
      </w:pPr>
      <w:bookmarkStart w:id="153" w:name="bookmark153"/>
      <w:bookmarkEnd w:id="153"/>
      <w:r>
        <w:rPr>
          <w:color w:val="000000"/>
          <w:spacing w:val="0"/>
          <w:w w:val="100"/>
          <w:position w:val="0"/>
        </w:rPr>
        <w:t>联合体项目，合同总金额为</w:t>
      </w:r>
      <w:r>
        <w:rPr>
          <w:rFonts w:ascii="Times New Roman" w:eastAsia="Times New Roman" w:hAnsi="Times New Roman" w:cs="Times New Roman"/>
          <w:color w:val="000000"/>
          <w:spacing w:val="0"/>
          <w:w w:val="100"/>
          <w:position w:val="0"/>
          <w:sz w:val="18"/>
          <w:szCs w:val="18"/>
        </w:rPr>
        <w:t>23,997.95</w:t>
      </w:r>
      <w:r>
        <w:rPr>
          <w:color w:val="000000"/>
          <w:spacing w:val="0"/>
          <w:w w:val="100"/>
          <w:position w:val="0"/>
        </w:rPr>
        <w:t>万元，其中永福股份占比为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18"/>
        <w:keepNext w:val="0"/>
        <w:keepLines w:val="0"/>
        <w:widowControl w:val="0"/>
        <w:numPr>
          <w:ilvl w:val="0"/>
          <w:numId w:val="17"/>
        </w:numPr>
        <w:shd w:val="clear" w:color="auto" w:fill="auto"/>
        <w:tabs>
          <w:tab w:pos="373" w:val="left"/>
        </w:tabs>
        <w:bidi w:val="0"/>
        <w:spacing w:before="0" w:after="40" w:line="322" w:lineRule="exact"/>
        <w:ind w:left="0" w:right="0" w:firstLine="0"/>
        <w:jc w:val="left"/>
      </w:pPr>
      <w:bookmarkStart w:id="154" w:name="bookmark154"/>
      <w:bookmarkEnd w:id="154"/>
      <w:r>
        <w:rPr>
          <w:color w:val="000000"/>
          <w:spacing w:val="0"/>
          <w:w w:val="100"/>
          <w:position w:val="0"/>
        </w:rPr>
        <w:t>联合体项目，合同总金额为</w:t>
      </w:r>
      <w:r>
        <w:rPr>
          <w:rFonts w:ascii="Times New Roman" w:eastAsia="Times New Roman" w:hAnsi="Times New Roman" w:cs="Times New Roman"/>
          <w:color w:val="000000"/>
          <w:spacing w:val="0"/>
          <w:w w:val="100"/>
          <w:position w:val="0"/>
          <w:sz w:val="18"/>
          <w:szCs w:val="18"/>
        </w:rPr>
        <w:t>25,303.15</w:t>
      </w:r>
      <w:r>
        <w:rPr>
          <w:color w:val="000000"/>
          <w:spacing w:val="0"/>
          <w:w w:val="100"/>
          <w:position w:val="0"/>
        </w:rPr>
        <w:t>万元，根据投标阶段联合体双方约定的合同工作量划分，公司所占金额约为</w:t>
      </w:r>
      <w:r>
        <w:rPr>
          <w:rFonts w:ascii="Times New Roman" w:eastAsia="Times New Roman" w:hAnsi="Times New Roman" w:cs="Times New Roman"/>
          <w:color w:val="000000"/>
          <w:spacing w:val="0"/>
          <w:w w:val="100"/>
          <w:position w:val="0"/>
          <w:sz w:val="18"/>
          <w:szCs w:val="18"/>
        </w:rPr>
        <w:t xml:space="preserve">13,603.15 </w:t>
      </w:r>
      <w:r>
        <w:rPr>
          <w:color w:val="000000"/>
          <w:spacing w:val="0"/>
          <w:w w:val="100"/>
          <w:position w:val="0"/>
        </w:rPr>
        <w:t>万元。</w:t>
      </w:r>
    </w:p>
    <w:p>
      <w:pPr>
        <w:pStyle w:val="Style18"/>
        <w:keepNext w:val="0"/>
        <w:keepLines w:val="0"/>
        <w:widowControl w:val="0"/>
        <w:numPr>
          <w:ilvl w:val="0"/>
          <w:numId w:val="17"/>
        </w:numPr>
        <w:shd w:val="clear" w:color="auto" w:fill="auto"/>
        <w:tabs>
          <w:tab w:pos="373" w:val="left"/>
        </w:tabs>
        <w:bidi w:val="0"/>
        <w:spacing w:before="0" w:after="40" w:line="307" w:lineRule="exact"/>
        <w:ind w:left="0" w:right="0" w:firstLine="0"/>
        <w:jc w:val="left"/>
      </w:pPr>
      <w:bookmarkStart w:id="155" w:name="bookmark155"/>
      <w:bookmarkEnd w:id="155"/>
      <w:r>
        <w:rPr>
          <w:color w:val="000000"/>
          <w:spacing w:val="0"/>
          <w:w w:val="100"/>
          <w:position w:val="0"/>
        </w:rPr>
        <w:t>联合体项目，原合同总金额为</w:t>
      </w:r>
      <w:r>
        <w:rPr>
          <w:rFonts w:ascii="Times New Roman" w:eastAsia="Times New Roman" w:hAnsi="Times New Roman" w:cs="Times New Roman"/>
          <w:color w:val="000000"/>
          <w:spacing w:val="0"/>
          <w:w w:val="100"/>
          <w:position w:val="0"/>
          <w:sz w:val="18"/>
          <w:szCs w:val="18"/>
        </w:rPr>
        <w:t>29,979.04</w:t>
      </w:r>
      <w:r>
        <w:rPr>
          <w:color w:val="000000"/>
          <w:spacing w:val="0"/>
          <w:w w:val="100"/>
          <w:position w:val="0"/>
        </w:rPr>
        <w:t>万元，增补合同</w:t>
      </w:r>
      <w:r>
        <w:rPr>
          <w:rFonts w:ascii="Times New Roman" w:eastAsia="Times New Roman" w:hAnsi="Times New Roman" w:cs="Times New Roman"/>
          <w:color w:val="000000"/>
          <w:spacing w:val="0"/>
          <w:w w:val="100"/>
          <w:position w:val="0"/>
          <w:sz w:val="18"/>
          <w:szCs w:val="18"/>
        </w:rPr>
        <w:t>2,499.85</w:t>
      </w:r>
      <w:r>
        <w:rPr>
          <w:color w:val="000000"/>
          <w:spacing w:val="0"/>
          <w:w w:val="100"/>
          <w:position w:val="0"/>
        </w:rPr>
        <w:t>万，根据联合体各方约定的合同工作量划分，公司所占 金额约为</w:t>
      </w:r>
      <w:r>
        <w:rPr>
          <w:rFonts w:ascii="Times New Roman" w:eastAsia="Times New Roman" w:hAnsi="Times New Roman" w:cs="Times New Roman"/>
          <w:color w:val="000000"/>
          <w:spacing w:val="0"/>
          <w:w w:val="100"/>
          <w:position w:val="0"/>
          <w:sz w:val="18"/>
          <w:szCs w:val="18"/>
        </w:rPr>
        <w:t>2.49</w:t>
      </w:r>
      <w:r>
        <w:rPr>
          <w:color w:val="000000"/>
          <w:spacing w:val="0"/>
          <w:w w:val="100"/>
          <w:position w:val="0"/>
        </w:rPr>
        <w:t>亿元。</w:t>
      </w:r>
    </w:p>
    <w:p>
      <w:pPr>
        <w:pStyle w:val="Style18"/>
        <w:keepNext w:val="0"/>
        <w:keepLines w:val="0"/>
        <w:widowControl w:val="0"/>
        <w:numPr>
          <w:ilvl w:val="0"/>
          <w:numId w:val="17"/>
        </w:numPr>
        <w:shd w:val="clear" w:color="auto" w:fill="auto"/>
        <w:tabs>
          <w:tab w:pos="373" w:val="left"/>
        </w:tabs>
        <w:bidi w:val="0"/>
        <w:spacing w:before="0" w:after="40"/>
        <w:ind w:left="0" w:right="0" w:firstLine="0"/>
        <w:jc w:val="left"/>
      </w:pPr>
      <w:bookmarkStart w:id="156" w:name="bookmark156"/>
      <w:bookmarkEnd w:id="156"/>
      <w:r>
        <w:rPr>
          <w:color w:val="000000"/>
          <w:spacing w:val="0"/>
          <w:w w:val="100"/>
          <w:position w:val="0"/>
        </w:rPr>
        <w:t>联合体项目，合同总金额为</w:t>
      </w:r>
      <w:r>
        <w:rPr>
          <w:rFonts w:ascii="Times New Roman" w:eastAsia="Times New Roman" w:hAnsi="Times New Roman" w:cs="Times New Roman"/>
          <w:color w:val="000000"/>
          <w:spacing w:val="0"/>
          <w:w w:val="100"/>
          <w:position w:val="0"/>
          <w:sz w:val="18"/>
          <w:szCs w:val="18"/>
        </w:rPr>
        <w:t>2,062</w:t>
      </w:r>
      <w:r>
        <w:rPr>
          <w:color w:val="000000"/>
          <w:spacing w:val="0"/>
          <w:w w:val="100"/>
          <w:position w:val="0"/>
        </w:rPr>
        <w:t>万元(含税</w:t>
      </w:r>
      <w:r>
        <w:rPr>
          <w:color w:val="000000"/>
          <w:spacing w:val="0"/>
          <w:w w:val="100"/>
          <w:position w:val="0"/>
          <w:sz w:val="18"/>
          <w:szCs w:val="18"/>
        </w:rPr>
        <w:t>，</w:t>
      </w:r>
      <w:r>
        <w:rPr>
          <w:color w:val="000000"/>
          <w:spacing w:val="0"/>
          <w:w w:val="100"/>
          <w:position w:val="0"/>
        </w:rPr>
        <w:t>最终以结算金额为准)，根据投标阶段联合体各方约定的合同工作量划分， 公司所占金额约为</w:t>
      </w:r>
      <w:r>
        <w:rPr>
          <w:rFonts w:ascii="Times New Roman" w:eastAsia="Times New Roman" w:hAnsi="Times New Roman" w:cs="Times New Roman"/>
          <w:color w:val="000000"/>
          <w:spacing w:val="0"/>
          <w:w w:val="100"/>
          <w:position w:val="0"/>
          <w:sz w:val="18"/>
          <w:szCs w:val="18"/>
        </w:rPr>
        <w:t>1,649.6</w:t>
      </w:r>
      <w:r>
        <w:rPr>
          <w:color w:val="000000"/>
          <w:spacing w:val="0"/>
          <w:w w:val="100"/>
          <w:position w:val="0"/>
        </w:rPr>
        <w:t>万元。</w:t>
      </w:r>
    </w:p>
    <w:p>
      <w:pPr>
        <w:pStyle w:val="Style18"/>
        <w:keepNext w:val="0"/>
        <w:keepLines w:val="0"/>
        <w:widowControl w:val="0"/>
        <w:shd w:val="clear" w:color="auto" w:fill="auto"/>
        <w:bidi w:val="0"/>
        <w:spacing w:before="0" w:after="40"/>
        <w:ind w:left="0" w:right="0" w:firstLine="0"/>
        <w:jc w:val="left"/>
      </w:pPr>
      <w:r>
        <w:rPr>
          <w:color w:val="000000"/>
          <w:spacing w:val="0"/>
          <w:w w:val="100"/>
          <w:position w:val="0"/>
        </w:rPr>
        <w:t>已签订的重大采购合同截至本报告期的履行情况</w:t>
      </w:r>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numPr>
          <w:ilvl w:val="0"/>
          <w:numId w:val="15"/>
        </w:numPr>
        <w:shd w:val="clear" w:color="auto" w:fill="auto"/>
        <w:bidi w:val="0"/>
        <w:spacing w:before="0" w:after="28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营业成本构成</w:t>
      </w:r>
      <w:bookmarkEnd w:id="157"/>
      <w:bookmarkEnd w:id="158"/>
      <w:bookmarkEnd w:id="160"/>
    </w:p>
    <w:p>
      <w:pPr>
        <w:pStyle w:val="Style18"/>
        <w:keepNext w:val="0"/>
        <w:keepLines w:val="0"/>
        <w:widowControl w:val="0"/>
        <w:shd w:val="clear" w:color="auto" w:fill="auto"/>
        <w:bidi w:val="0"/>
        <w:spacing w:before="0" w:after="40"/>
        <w:ind w:left="0" w:right="0" w:firstLine="0"/>
        <w:jc w:val="left"/>
      </w:pPr>
      <w:r>
        <w:rPr>
          <w:color w:val="000000"/>
          <w:spacing w:val="0"/>
          <w:w w:val="100"/>
          <w:position w:val="0"/>
        </w:rPr>
        <w:t>产品分类</w:t>
      </w:r>
    </w:p>
    <w:p>
      <w:pPr>
        <w:pStyle w:val="Style18"/>
        <w:keepNext w:val="0"/>
        <w:keepLines w:val="0"/>
        <w:widowControl w:val="0"/>
        <w:shd w:val="clear" w:color="auto" w:fill="auto"/>
        <w:bidi w:val="0"/>
        <w:spacing w:before="0" w:after="120"/>
        <w:ind w:left="0" w:right="0" w:firstLine="0"/>
        <w:jc w:val="left"/>
      </w:pPr>
      <w:r>
        <w:rPr>
          <w:color w:val="000000"/>
          <w:spacing w:val="0"/>
          <w:w w:val="100"/>
          <w:position w:val="0"/>
        </w:rPr>
        <w:t>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勘察设计业务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122,385,654.56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137,460,923.01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bl>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务采购、费用、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人工成本、采 购成本、分包 成本、其他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1,062,611,968.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535,798,760.30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98.32%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人工成本、服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务采购、费用、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26,839,218.41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32,815,115.36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-18.21%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人工成本、服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务采购、费用、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11,230,152.15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6,026,117.57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93,712.69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170,710.89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-45.10%</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智慧能源包括数字电力、电力通信、电力信息技术服务。</w:t>
      </w:r>
    </w:p>
    <w:p>
      <w:pPr>
        <w:pStyle w:val="Style50"/>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1"/>
      <w:bookmarkEnd w:id="162"/>
      <w:bookmarkEnd w:id="164"/>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①本期发生的非同一控制下企业合并的情况</w:t>
      </w:r>
    </w:p>
    <w:tbl>
      <w:tblPr>
        <w:tblOverlap w:val="never"/>
        <w:jc w:val="center"/>
        <w:tblLayout w:type="fixed"/>
      </w:tblPr>
      <w:tblGrid>
        <w:gridCol w:w="4464"/>
        <w:gridCol w:w="1454"/>
        <w:gridCol w:w="2261"/>
        <w:gridCol w:w="1464"/>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股权取得成本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股权取得比例（%）</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bl>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②其他原因的合并范围变动</w:t>
      </w:r>
    </w:p>
    <w:p>
      <w:pPr>
        <w:widowControl w:val="0"/>
        <w:spacing w:after="139" w:line="1" w:lineRule="exact"/>
      </w:pPr>
    </w:p>
    <w:p>
      <w:pPr>
        <w:pStyle w:val="Style18"/>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日，公司设立子公司福建众帆新能源有限公司，注册资本为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日，公司设立子公司德庆丰帆新能源有限公司，注册资本为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日，公司设立子公司德庆旭帆新能源有限公司，注册资本为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日，公司设立子公司福建兆帆新能源有限公司，注册资本为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日，公司设立子公司福建沧海新能源有限公司，注册资本为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380"/>
        <w:jc w:val="both"/>
        <w:sectPr>
          <w:footnotePr>
            <w:pos w:val="pageBottom"/>
            <w:numFmt w:val="decimal"/>
            <w:numRestart w:val="continuous"/>
          </w:footnotePr>
          <w:pgSz w:w="11900" w:h="16840"/>
          <w:pgMar w:top="1543" w:right="1060" w:bottom="1410"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日，公司设立子公司福建旭帆新能源有限公司，注册资本为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9"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line="319"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日，公司设立子公司福建三帆新能源有限公司，注册资本为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福建三帆新能源有限公司股权。</w:t>
      </w:r>
    </w:p>
    <w:p>
      <w:pPr>
        <w:pStyle w:val="Style18"/>
        <w:keepNext w:val="0"/>
        <w:keepLines w:val="0"/>
        <w:widowControl w:val="0"/>
        <w:shd w:val="clear" w:color="auto" w:fill="auto"/>
        <w:bidi w:val="0"/>
        <w:spacing w:before="0" w:line="322"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福建灿帆新能源有限公司股权。</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日，公司设立子公司福建昌帆新能源有限公司，注册资本为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日，公司设立子公司宜阳县昌帆新能源有限公司，注册资本为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日，公司设立子公司吴忠市三帆新能源有限公司，注册资本为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日，公司设立子公司赣州亿帆新能源有限公司，注册资本为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日，公司设立子公司威海百帆新能源有限公司，注册资本为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日，公司设立子公司海南昌江福帆新能源有限公司，注册资本为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日，公司设立子公司石嘴山福捷新能源有限公司，注册资本为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 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日，公司设立子公司北京慧创新能源有限公司，注册资本为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日，公司设立子公司石嘴山隆惠昌光伏发电有限公司，注册资本为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日，公司设立子公司石嘴山珠友旭能源发展有限公司，注册资本为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日，公司设立子公司保定福骏新能源科技有限公司，注册资本为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38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日，公司设立子公司河北卓晖新能源有限公司，注册资本为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50"/>
        <w:keepNext/>
        <w:keepLines/>
        <w:widowControl w:val="0"/>
        <w:shd w:val="clear" w:color="auto" w:fill="auto"/>
        <w:bidi w:val="0"/>
        <w:spacing w:before="0" w:after="26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65"/>
      <w:bookmarkEnd w:id="166"/>
      <w:bookmarkEnd w:id="168"/>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69"/>
      <w:bookmarkEnd w:id="170"/>
      <w:bookmarkEnd w:id="172"/>
    </w:p>
    <w:p>
      <w:pPr>
        <w:pStyle w:val="Style18"/>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900" w:h="16840"/>
          <w:pgMar w:top="985" w:right="1018" w:bottom="1201" w:left="1066" w:header="0" w:footer="3" w:gutter="0"/>
          <w:cols w:space="720"/>
          <w:noEndnote/>
          <w:rtlGutter w:val="0"/>
          <w:docGrid w:linePitch="360"/>
        </w:sectPr>
      </w:pPr>
      <w:r>
        <w:rPr>
          <w:color w:val="000000"/>
          <w:spacing w:val="0"/>
          <w:w w:val="100"/>
          <w:position w:val="0"/>
        </w:rPr>
        <w:t>公司主要销售客户情况</w:t>
      </w:r>
    </w:p>
    <w:tbl>
      <w:tblPr>
        <w:tblOverlap w:val="never"/>
        <w:jc w:val="center"/>
        <w:tblLayout w:type="fixed"/>
      </w:tblPr>
      <w:tblGrid>
        <w:gridCol w:w="4291"/>
        <w:gridCol w:w="5414"/>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948,777,953.48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60.51%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沅江丰昇新能源有限责任公司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369,239,582.09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福建润峡新能源有限公司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256,069,181.46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164,518,677.22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中国交通建设集团有限公司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82,700,448.69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邵武市诚鑫能源有限公司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76,250,064.02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948,777,953.48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60.51%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376,637,858.35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福州金控供应链管理有限公司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135,176,991.15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中交路桥建设有限公司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100,486,287.16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SPT Offshore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72,334,008.35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舟山福云海洋工程有限公司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38,362,831.86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青岛武晓集团股份有限公司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30,277,739.83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376,637,858.35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32.04%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40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、费用</w:t>
      </w:r>
      <w:bookmarkEnd w:id="173"/>
      <w:bookmarkEnd w:id="174"/>
      <w:bookmarkEnd w:id="17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65,529,761.38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39,377,199.65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市场开拓力度加大，业务增长导致 销售费用增加。</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10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171,462,186.28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85,813,129.54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一、因股权激励形成股份支付导致 管理费用增加</w:t>
            </w:r>
            <w:r>
              <w:rPr>
                <w:rFonts w:ascii="Times New Roman" w:eastAsia="Times New Roman" w:hAnsi="Times New Roman" w:cs="Times New Roman"/>
                <w:color w:val="000000"/>
                <w:spacing w:val="0"/>
                <w:w w:val="100"/>
                <w:position w:val="0"/>
                <w:sz w:val="18"/>
                <w:szCs w:val="18"/>
              </w:rPr>
              <w:t>6,009.90</w:t>
            </w:r>
            <w:r>
              <w:rPr>
                <w:color w:val="000000"/>
                <w:spacing w:val="0"/>
                <w:w w:val="100"/>
                <w:position w:val="0"/>
                <w:sz w:val="17"/>
                <w:szCs w:val="17"/>
              </w:rPr>
              <w:t>万元；二、 员工人数增加，薪酬及费用增加。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45,329,818.36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55,043,467.94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55,518,296.22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公司持续增加研发投入。</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、研发投入</w:t>
      </w:r>
      <w:bookmarkEnd w:id="177"/>
      <w:bookmarkEnd w:id="178"/>
      <w:bookmarkEnd w:id="180"/>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94"/>
        <w:gridCol w:w="3360"/>
        <w:gridCol w:w="859"/>
        <w:gridCol w:w="2414"/>
        <w:gridCol w:w="19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主要研发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项目进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预计对公司未来发展 的影响</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基于大数 据分析的 电力通信 网设备状 态评估关 键技术研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电力通信网作为电力系统的第二大实体 网络，承载了大量线路继电保护、安全 稳定控制系统、调度自动化、企业信息 化等业务，是电网智能化运行的中枢神 经网络，电网安全稳定运行越来越依赖 于电力通信网，对电力通信网的安全可 靠性要求也不断提高。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针对电力通信网设备大数据 的来源和特征，进行多维度 标签分析，并建立评估电力 通信网设备状态评估的指标 体系；基于大数据分析的关 键技术，提出适用于电力通 信网设备多维度评估算法和 指标权重，通过实例验证上 述研究成果的科学性和有效 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本项目研究成果可对 电力通信设备状态进 行科学地评估，可在电 力通信网规划和项目 储备中准确、全面的分 析设备运行状态，为决 策者提供参考辅助。最 终实现电网投资降本 增效。</w:t>
            </w:r>
          </w:p>
        </w:tc>
      </w:tr>
      <w:tr>
        <w:trPr>
          <w:trHeight w:val="4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WebGL </w:t>
            </w:r>
            <w:r>
              <w:rPr>
                <w:color w:val="000000"/>
                <w:spacing w:val="0"/>
                <w:w w:val="100"/>
                <w:position w:val="0"/>
                <w:sz w:val="17"/>
                <w:szCs w:val="17"/>
              </w:rPr>
              <w:t>轻 量化引擎 的工程数 据中心研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Webgl</w:t>
            </w:r>
            <w:r>
              <w:rPr>
                <w:color w:val="000000"/>
                <w:spacing w:val="0"/>
                <w:w w:val="100"/>
                <w:position w:val="0"/>
                <w:sz w:val="17"/>
                <w:szCs w:val="17"/>
              </w:rPr>
              <w:t>轻量化引擎技术，建立工程 数据中心，将传统设计图纸交付转变为 数字化交付，实现数字资产积累。根据 相关标准建设统一的、全面的、高准确 性的基础信息管理平台，提高数字资产 使用的价值性，把数字资产从常规的电 子化管理向数字化管理转变，建立一个 集成平台，大大降低工程技术信息的查 询速度，降低查找时间，通过内置的系 统规则，实现不同格式，不同存储方式 的相关数据的有效关联，建立数字资产 的共享平台，提升协同效率。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平台功能模块</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平台功能模块主要包括项目 组织机构管理、模型浏览、 模型审查、数字移交平台四 大功能模块。</w:t>
            </w:r>
          </w:p>
          <w:p>
            <w:pPr>
              <w:pStyle w:val="Style2"/>
              <w:keepNext w:val="0"/>
              <w:keepLines w:val="0"/>
              <w:widowControl w:val="0"/>
              <w:shd w:val="clear" w:color="auto" w:fill="auto"/>
              <w:tabs>
                <w:tab w:pos="370"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数据格式转换</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平台实现</w:t>
            </w:r>
            <w:r>
              <w:rPr>
                <w:rFonts w:ascii="Times New Roman" w:eastAsia="Times New Roman" w:hAnsi="Times New Roman" w:cs="Times New Roman"/>
                <w:color w:val="000000"/>
                <w:spacing w:val="0"/>
                <w:w w:val="100"/>
                <w:position w:val="0"/>
                <w:sz w:val="18"/>
                <w:szCs w:val="18"/>
              </w:rPr>
              <w:t>RVT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GIM</w:t>
            </w:r>
            <w:r>
              <w:rPr>
                <w:color w:val="000000"/>
                <w:spacing w:val="0"/>
                <w:w w:val="100"/>
                <w:position w:val="0"/>
                <w:sz w:val="17"/>
                <w:szCs w:val="17"/>
              </w:rPr>
              <w:t>格式数 据转换，几何模型正确转换， 构件属性正确率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p>
          <w:p>
            <w:pPr>
              <w:pStyle w:val="Style2"/>
              <w:keepNext w:val="0"/>
              <w:keepLines w:val="0"/>
              <w:widowControl w:val="0"/>
              <w:shd w:val="clear" w:color="auto" w:fill="auto"/>
              <w:tabs>
                <w:tab w:pos="360"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平台应用效果</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依托在建工程验证，实现平 台实质性应用，各项功能有 效落地，应用效果良好。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在公司部署工程数 据中心一套，建立公司 项目数据的资产平台。</w:t>
            </w:r>
          </w:p>
          <w:p>
            <w:pPr>
              <w:pStyle w:val="Style2"/>
              <w:keepNext w:val="0"/>
              <w:keepLines w:val="0"/>
              <w:widowControl w:val="0"/>
              <w:shd w:val="clear" w:color="auto" w:fill="auto"/>
              <w:tabs>
                <w:tab w:pos="293" w:val="left"/>
              </w:tabs>
              <w:bidi w:val="0"/>
              <w:spacing w:before="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同时可以做为数字 移交平台向客户推广。</w:t>
            </w:r>
          </w:p>
          <w:p>
            <w:pPr>
              <w:pStyle w:val="Style2"/>
              <w:keepNext w:val="0"/>
              <w:keepLines w:val="0"/>
              <w:widowControl w:val="0"/>
              <w:shd w:val="clear" w:color="auto" w:fill="auto"/>
              <w:bidi w:val="0"/>
              <w:spacing w:before="0" w:after="8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复杂地质 条件下海 上风电钢 管桩基础 可打性研 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近年来的海上风电项目中，大长度、大 直径的钢管单桩运用于海上风电越来越 多，桩基的可打入性分析对桩的设计十 分重要。实际工程中精确的可打入性分 析可以为大直径钢管桩在复杂地质沉桩 过程中桩锤系统的选择，同时可以避免 由于未能将桩打入设计入土深度而导致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16"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海上风电钢管桩基础可打 性分析研究报告</w:t>
            </w:r>
          </w:p>
          <w:p>
            <w:pPr>
              <w:pStyle w:val="Style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单桩基础设计施工图</w:t>
            </w:r>
          </w:p>
          <w:p>
            <w:pPr>
              <w:pStyle w:val="Style2"/>
              <w:keepNext w:val="0"/>
              <w:keepLines w:val="0"/>
              <w:widowControl w:val="0"/>
              <w:shd w:val="clear" w:color="auto" w:fill="auto"/>
              <w:tabs>
                <w:tab w:pos="216"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海上风电钢管桩基础可打 性分析计算标准化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该项目为海上风电钢 管桩沉桩可行性分析 评价，为工程项目的顺 利进行具有重大的指 导意义，分析研究成果 将极大提升单桩基础 的设计水平，提升单桩</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38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的钢管桩桩端卷边等事故，也能避免在 桩的贯入深度已经超过设计贯入深度时 仍不能满足设计承载力的情况发生。为 精确桩基的可打入性分析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采用打桩波动 方程程序</w:t>
            </w:r>
            <w:r>
              <w:rPr>
                <w:rFonts w:ascii="Times New Roman" w:eastAsia="Times New Roman" w:hAnsi="Times New Roman" w:cs="Times New Roman"/>
                <w:color w:val="000000"/>
                <w:spacing w:val="0"/>
                <w:w w:val="100"/>
                <w:position w:val="0"/>
                <w:sz w:val="18"/>
                <w:szCs w:val="18"/>
              </w:rPr>
              <w:t>GRLWEAP</w:t>
            </w:r>
            <w:r>
              <w:rPr>
                <w:color w:val="000000"/>
                <w:spacing w:val="0"/>
                <w:w w:val="100"/>
                <w:position w:val="0"/>
                <w:sz w:val="17"/>
                <w:szCs w:val="17"/>
              </w:rPr>
              <w:t>分析大直径单桩在 桩锤的作用下的运动和受力情况，程序 可全面模拟桩锤、打桩系统、桩和土的 性能，通过大量的计算以及工程经验制 定了一个可行的控制方案，为大直径单 桩沉桩分析提供重要的参考依据。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7"/>
                <w:szCs w:val="17"/>
              </w:rPr>
              <w:t>基础施工图质量，指导 现场施工。</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项目研究成果有助于 提高公司海上风电设 计水平，为公司承接海 上风电设计业务提供 技术支持，有利于公司 开拓省内及省外海上 风电市场，提升企业科 研水平，从而创造良好 的经济效率和社会效 益。</w:t>
            </w:r>
          </w:p>
        </w:tc>
      </w:tr>
      <w:tr>
        <w:trPr>
          <w:trHeight w:val="98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现代电力 能源数字 化服务支 撑平台研 发与示范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根据《能源生产和消费革命战略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2016-2030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2021-2030 </w:t>
            </w:r>
            <w:r>
              <w:rPr>
                <w:color w:val="000000"/>
                <w:spacing w:val="0"/>
                <w:w w:val="100"/>
                <w:position w:val="0"/>
                <w:sz w:val="17"/>
                <w:szCs w:val="17"/>
              </w:rPr>
              <w:t>年，能源消费 总量控制在</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亿吨标准煤以内，非化石 能源占能源消费总量比重达到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左右， 天然气占比达到</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左右，新增能源需 求主要依靠清洁能源满足。福建常规能 源短缺，但水力、风能等清洁能源储量 丰富，福建沿海陆上潜在可开发面积和 开发量分别为</w:t>
            </w:r>
            <w:r>
              <w:rPr>
                <w:rFonts w:ascii="Times New Roman" w:eastAsia="Times New Roman" w:hAnsi="Times New Roman" w:cs="Times New Roman"/>
                <w:color w:val="000000"/>
                <w:spacing w:val="0"/>
                <w:w w:val="100"/>
                <w:position w:val="0"/>
                <w:sz w:val="18"/>
                <w:szCs w:val="18"/>
              </w:rPr>
              <w:t>3780km2</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13410MW</w:t>
            </w:r>
            <w:r>
              <w:rPr>
                <w:color w:val="000000"/>
                <w:spacing w:val="0"/>
                <w:w w:val="100"/>
                <w:position w:val="0"/>
                <w:sz w:val="17"/>
                <w:szCs w:val="17"/>
              </w:rPr>
              <w:t>，目 前已将</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个海上风电场场址列入福建省 海上风电规划(总规划容量</w:t>
            </w:r>
            <w:r>
              <w:rPr>
                <w:rFonts w:ascii="Times New Roman" w:eastAsia="Times New Roman" w:hAnsi="Times New Roman" w:cs="Times New Roman"/>
                <w:color w:val="000000"/>
                <w:spacing w:val="0"/>
                <w:w w:val="100"/>
                <w:position w:val="0"/>
                <w:sz w:val="18"/>
                <w:szCs w:val="18"/>
              </w:rPr>
              <w:t>13300MW</w:t>
            </w:r>
            <w:r>
              <w:rPr>
                <w:color w:val="000000"/>
                <w:spacing w:val="0"/>
                <w:w w:val="100"/>
                <w:position w:val="0"/>
                <w:sz w:val="17"/>
                <w:szCs w:val="17"/>
              </w:rPr>
              <w:t xml:space="preserve">)， </w:t>
            </w:r>
            <w:r>
              <w:rPr>
                <w:color w:val="000000"/>
                <w:spacing w:val="0"/>
                <w:w w:val="100"/>
                <w:position w:val="0"/>
                <w:sz w:val="17"/>
                <w:szCs w:val="17"/>
              </w:rPr>
              <w:t>主要以近海风电为主。同时经初步测算， 远海风电可开发容量约为</w:t>
            </w:r>
            <w:r>
              <w:rPr>
                <w:rFonts w:ascii="Times New Roman" w:eastAsia="Times New Roman" w:hAnsi="Times New Roman" w:cs="Times New Roman"/>
                <w:color w:val="000000"/>
                <w:spacing w:val="0"/>
                <w:w w:val="100"/>
                <w:position w:val="0"/>
                <w:sz w:val="18"/>
                <w:szCs w:val="18"/>
              </w:rPr>
              <w:t>26260MW</w:t>
            </w:r>
            <w:r>
              <w:rPr>
                <w:color w:val="000000"/>
                <w:spacing w:val="0"/>
                <w:w w:val="100"/>
                <w:position w:val="0"/>
                <w:sz w:val="17"/>
                <w:szCs w:val="17"/>
              </w:rPr>
              <w:t>。福 建核电、水电、风电、太阳能等清洁能 源装机比重达</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 xml:space="preserve">，相应的发电比重达 </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，福建储量丰富的清洁能源和日渐优 化的能源结构为能源产业在福建的发展 提供了广阔的空间，吸引了国内外能源 行业巨头在福建投资新能源产业。福建 在电力能源输送通道领域的地理优势也 十分明显，成为北联华东、南联广东、 面向台湾的电力能源枢纽。目前，福建 向北通过特高压输电线路与长三角电网 相联，向南规划通过背靠背直流线路与 珠三角电网相联，是长三角和珠三角电 力传输枢纽，未来还规划与海峡东岸台 湾岛实现电力联网，福建正成为中国东 部的重要电力能源枢纽，为区域的清洁 能源消纳创造了条件。因此，福建具备 率先建成清洁、低碳、安全、高效现代 电力能源体系的有利条件。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电力工程信息模型在工程 不同阶段应用研究；</w:t>
            </w:r>
          </w:p>
          <w:p>
            <w:pPr>
              <w:pStyle w:val="Style2"/>
              <w:keepNext w:val="0"/>
              <w:keepLines w:val="0"/>
              <w:widowControl w:val="0"/>
              <w:shd w:val="clear" w:color="auto" w:fill="auto"/>
              <w:tabs>
                <w:tab w:pos="259" w:val="left"/>
              </w:tabs>
              <w:bidi w:val="0"/>
              <w:spacing w:before="0" w:after="4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构件分类与编码研究，制 定本项目研发平台所涉及电 力工程信息模型信息分类和 编码，实现全生命周期信息 的交换与共享。</w:t>
            </w:r>
          </w:p>
          <w:p>
            <w:pPr>
              <w:pStyle w:val="Style2"/>
              <w:keepNext w:val="0"/>
              <w:keepLines w:val="0"/>
              <w:widowControl w:val="0"/>
              <w:shd w:val="clear" w:color="auto" w:fill="auto"/>
              <w:tabs>
                <w:tab w:pos="245" w:val="left"/>
              </w:tabs>
              <w:bidi w:val="0"/>
              <w:spacing w:before="0" w:after="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信息传递研究，形成工程 数据资产。</w:t>
            </w:r>
          </w:p>
          <w:p>
            <w:pPr>
              <w:pStyle w:val="Style2"/>
              <w:keepNext w:val="0"/>
              <w:keepLines w:val="0"/>
              <w:widowControl w:val="0"/>
              <w:shd w:val="clear" w:color="auto" w:fill="auto"/>
              <w:tabs>
                <w:tab w:pos="278" w:val="left"/>
              </w:tabs>
              <w:bidi w:val="0"/>
              <w:spacing w:before="0" w:after="4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规范</w:t>
            </w:r>
            <w:r>
              <w:rPr>
                <w:rFonts w:ascii="Times New Roman" w:eastAsia="Times New Roman" w:hAnsi="Times New Roman" w:cs="Times New Roman"/>
                <w:color w:val="000000"/>
                <w:spacing w:val="0"/>
                <w:w w:val="100"/>
                <w:position w:val="0"/>
                <w:sz w:val="18"/>
                <w:szCs w:val="18"/>
              </w:rPr>
              <w:t>SCD</w:t>
            </w:r>
            <w:r>
              <w:rPr>
                <w:color w:val="000000"/>
                <w:spacing w:val="0"/>
                <w:w w:val="100"/>
                <w:position w:val="0"/>
                <w:sz w:val="17"/>
                <w:szCs w:val="17"/>
              </w:rPr>
              <w:t xml:space="preserve">应用机制，构 建一、二次设备的模型关联， 基于间隔的物理联接与逻辑 链路的映射机制，及基于 </w:t>
            </w:r>
            <w:r>
              <w:rPr>
                <w:rFonts w:ascii="Times New Roman" w:eastAsia="Times New Roman" w:hAnsi="Times New Roman" w:cs="Times New Roman"/>
                <w:color w:val="000000"/>
                <w:spacing w:val="0"/>
                <w:w w:val="100"/>
                <w:position w:val="0"/>
                <w:sz w:val="18"/>
                <w:szCs w:val="18"/>
              </w:rPr>
              <w:t>GOOSE</w:t>
            </w:r>
            <w:r>
              <w:rPr>
                <w:color w:val="000000"/>
                <w:spacing w:val="0"/>
                <w:w w:val="100"/>
                <w:position w:val="0"/>
                <w:sz w:val="17"/>
                <w:szCs w:val="17"/>
              </w:rPr>
              <w:t>数据包与虚端子、虚 回路的映射关系实现二次系 统可视化。</w:t>
            </w:r>
          </w:p>
          <w:p>
            <w:pPr>
              <w:pStyle w:val="Style2"/>
              <w:keepNext w:val="0"/>
              <w:keepLines w:val="0"/>
              <w:widowControl w:val="0"/>
              <w:shd w:val="clear" w:color="auto" w:fill="auto"/>
              <w:tabs>
                <w:tab w:pos="221" w:val="left"/>
              </w:tabs>
              <w:bidi w:val="0"/>
              <w:spacing w:before="0" w:after="4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建立变电站一次设备与保 护的关联模型、一次设备与 录波通道的关联模型、一次 设备电气拓扑模型，实现事 故情况下保护和断路器误 动、拒动以及故障元件判断 的智能分析，并以可视化的 方式展示故障诊断结果。</w:t>
            </w:r>
          </w:p>
          <w:p>
            <w:pPr>
              <w:pStyle w:val="Style2"/>
              <w:keepNext w:val="0"/>
              <w:keepLines w:val="0"/>
              <w:widowControl w:val="0"/>
              <w:shd w:val="clear" w:color="auto" w:fill="auto"/>
              <w:tabs>
                <w:tab w:pos="254"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设计协同平台、建设云平 台、智慧运维平台开发。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当下公司所处的电力 能源行业和客户产生 强烈的数字化需求，永 福股份是目前唯一一 家在</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股自主上市的 电力勘察设计企业，通 过本项目成功实施，在 业内率先实现数字化 转型，产品和服务全面 升级，全面提升竞争 力，获得竞争优势。本 项目执行期内，预计实 现数字化产品及服务 相关经济效益</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万 元。</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企业的自主创新能力 及科技成果转化能力 大幅提升，通过自主开 发、引进技术消化吸收 再创新等方式，实现行 业专家知识、数字化、 信息化相关技术深度 融合，以坚持不懈的技 术攻关为基础，持续创 新，形成了的核心研发 能力，成为现代电力能 源数字化服务产业发 展和竞争力提高的有 力支撑，实现自身的飞 速发展，引领新的行业 惯例。</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137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现代电力能源的基础是数字化，应以数 字为改革转型的关键要素，有效促进能 源和信息深度融合。电力能源项目专业 服务包括规划设计、勘察、监理、施工 阶段咨询、全过程咨询、运维服务等， 涵盖规划设计、建造、运营全生命周期， 为电力能源产业服务的专业服务行业也 应同步实现数字化转型，与电力能源产 业融合发展。</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传统模式存在的技术瓶颈及亟待解决的 技术问题：</w:t>
            </w:r>
          </w:p>
          <w:p>
            <w:pPr>
              <w:pStyle w:val="Style2"/>
              <w:keepNext w:val="0"/>
              <w:keepLines w:val="0"/>
              <w:widowControl w:val="0"/>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在规划设计环节，仍交付传统的图 纸，缺乏交付数字化成果的手段和能力。 在规划设计环节，设计单位一直采用面 向设计图纸的传统交付方式，每项工程 都有成百上千份文件，分散的资料要依 靠人力解读才能相互联系成为一个可理 解的整体。航空、汽车等制造业所取得 的突破性进展表明，将设计成果归总为 数字化数据库，而不是单独的文件，会 极大促进行业的发展。目前电力能源行 业要实现设计环节的突破，还有亟待解 决的技术问题，比如国外基础软件平台 行业适应性不足、价格高昂、缺乏本地 化的设计协同平台等。</w:t>
            </w:r>
          </w:p>
          <w:p>
            <w:pPr>
              <w:pStyle w:val="Style2"/>
              <w:keepNext w:val="0"/>
              <w:keepLines w:val="0"/>
              <w:widowControl w:val="0"/>
              <w:shd w:val="clear" w:color="auto" w:fill="auto"/>
              <w:tabs>
                <w:tab w:pos="451" w:val="left"/>
              </w:tabs>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建造环节存在数据孤岛，大量“暗 数据”价值未挖掘。</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在建造环节，参与方众多，数据协同共 享能力不足，业务数据共享机制落后， 各专业未形成统一的数据共享基础，造 成数据孤岛，数据共享效率低。数字化 应用能力欠缺，三维模型优势发挥不足， 在现场作业、安全管控等方面未得到应 用，缺乏平台支撑，部分线下业务仍采 用原始方式作业，未得到数字化工具支 撑。存在大量“暗数据”，数据价值挖掘 不够充分，辅助决策支撑能力亟待提升。</w:t>
            </w:r>
          </w:p>
          <w:p>
            <w:pPr>
              <w:pStyle w:val="Style2"/>
              <w:keepNext w:val="0"/>
              <w:keepLines w:val="0"/>
              <w:widowControl w:val="0"/>
              <w:shd w:val="clear" w:color="auto" w:fill="auto"/>
              <w:tabs>
                <w:tab w:pos="470" w:val="left"/>
              </w:tabs>
              <w:bidi w:val="0"/>
              <w:spacing w:before="0" w:after="0" w:line="319"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自动化系统逻辑信息模型应用不充 分、不规范，制约电力行业智能化运维 水平提升。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电力能源与房建和基础设施项目最大区 别在于其核心不是有形的建构筑物，而 是电力项目的逻辑信息模型和通信接口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规范。国际电工委员会</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IEC</w:t>
            </w:r>
            <w:r>
              <w:rPr>
                <w:color w:val="000000"/>
                <w:spacing w:val="0"/>
                <w:w w:val="100"/>
                <w:position w:val="0"/>
                <w:sz w:val="17"/>
                <w:szCs w:val="17"/>
              </w:rPr>
              <w:t>）</w:t>
            </w:r>
            <w:r>
              <w:rPr>
                <w:color w:val="000000"/>
                <w:spacing w:val="0"/>
                <w:w w:val="100"/>
                <w:position w:val="0"/>
                <w:sz w:val="17"/>
                <w:szCs w:val="17"/>
              </w:rPr>
              <w:t xml:space="preserve">制定并发 布了 </w:t>
            </w:r>
            <w:r>
              <w:rPr>
                <w:rFonts w:ascii="Times New Roman" w:eastAsia="Times New Roman" w:hAnsi="Times New Roman" w:cs="Times New Roman"/>
                <w:color w:val="000000"/>
                <w:spacing w:val="0"/>
                <w:w w:val="100"/>
                <w:position w:val="0"/>
                <w:sz w:val="18"/>
                <w:szCs w:val="18"/>
              </w:rPr>
              <w:t xml:space="preserve">IEC </w:t>
            </w:r>
            <w:r>
              <w:rPr>
                <w:rFonts w:ascii="Times New Roman" w:eastAsia="Times New Roman" w:hAnsi="Times New Roman" w:cs="Times New Roman"/>
                <w:color w:val="000000"/>
                <w:spacing w:val="0"/>
                <w:w w:val="100"/>
                <w:position w:val="0"/>
                <w:sz w:val="18"/>
                <w:szCs w:val="18"/>
              </w:rPr>
              <w:t>61850</w:t>
            </w:r>
            <w:r>
              <w:rPr>
                <w:color w:val="000000"/>
                <w:spacing w:val="0"/>
                <w:w w:val="100"/>
                <w:position w:val="0"/>
                <w:sz w:val="17"/>
                <w:szCs w:val="17"/>
              </w:rPr>
              <w:t>《电力自动化通信网络和 系统》系列标准，我国将其翻译引进， 等同采用为电力行业</w:t>
            </w:r>
            <w:r>
              <w:rPr>
                <w:rFonts w:ascii="Times New Roman" w:eastAsia="Times New Roman" w:hAnsi="Times New Roman" w:cs="Times New Roman"/>
                <w:color w:val="000000"/>
                <w:spacing w:val="0"/>
                <w:w w:val="100"/>
                <w:position w:val="0"/>
                <w:sz w:val="18"/>
                <w:szCs w:val="18"/>
              </w:rPr>
              <w:t>DL/T860</w:t>
            </w:r>
            <w:r>
              <w:rPr>
                <w:color w:val="000000"/>
                <w:spacing w:val="0"/>
                <w:w w:val="100"/>
                <w:position w:val="0"/>
                <w:sz w:val="17"/>
                <w:szCs w:val="17"/>
              </w:rPr>
              <w:t>系列标 准。</w:t>
            </w:r>
            <w:r>
              <w:rPr>
                <w:rFonts w:ascii="Times New Roman" w:eastAsia="Times New Roman" w:hAnsi="Times New Roman" w:cs="Times New Roman"/>
                <w:color w:val="000000"/>
                <w:spacing w:val="0"/>
                <w:w w:val="100"/>
                <w:position w:val="0"/>
                <w:sz w:val="18"/>
                <w:szCs w:val="18"/>
              </w:rPr>
              <w:t>DL/T860</w:t>
            </w:r>
            <w:r>
              <w:rPr>
                <w:color w:val="000000"/>
                <w:spacing w:val="0"/>
                <w:w w:val="100"/>
                <w:position w:val="0"/>
                <w:sz w:val="17"/>
                <w:szCs w:val="17"/>
              </w:rPr>
              <w:t xml:space="preserve">系列标准采用抽象的方式 描述电力项目中实际功能或装置（如变 压器、开关、保护装置等）使之成为可 视化、可访问的信息模型。该标准是至 今为止最为完善的电力自动化标准，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年起，</w:t>
            </w:r>
            <w:r>
              <w:rPr>
                <w:rFonts w:ascii="Times New Roman" w:eastAsia="Times New Roman" w:hAnsi="Times New Roman" w:cs="Times New Roman"/>
                <w:color w:val="000000"/>
                <w:spacing w:val="0"/>
                <w:w w:val="100"/>
                <w:position w:val="0"/>
                <w:sz w:val="18"/>
                <w:szCs w:val="18"/>
              </w:rPr>
              <w:t xml:space="preserve">IEC </w:t>
            </w:r>
            <w:r>
              <w:rPr>
                <w:rFonts w:ascii="Times New Roman" w:eastAsia="Times New Roman" w:hAnsi="Times New Roman" w:cs="Times New Roman"/>
                <w:color w:val="000000"/>
                <w:spacing w:val="0"/>
                <w:w w:val="100"/>
                <w:position w:val="0"/>
                <w:sz w:val="18"/>
                <w:szCs w:val="18"/>
              </w:rPr>
              <w:t>61850</w:t>
            </w:r>
            <w:r>
              <w:rPr>
                <w:color w:val="000000"/>
                <w:spacing w:val="0"/>
                <w:w w:val="100"/>
                <w:position w:val="0"/>
                <w:sz w:val="17"/>
                <w:szCs w:val="17"/>
              </w:rPr>
              <w:t>标准在国家电网智 能变电站得到大范围应用，在设计、调 试及运维过程的问题也逐渐暴露。</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多场景下 储能电站 的容量配 置及布局 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随着全球能源供应紧张、气候变化以及 环境污染等问题日益凸显，越来越多的 国家已逐步大力推进发展新能源发电， 尤其是具有环境污染小和资源富足的风 力、光伏等可再生能源。但是，风能和 太阳能受天气条件和地理环境影响比较 大，功率输出具有波动性和随机性的特 点，大规模并网亦可能威胁到电力系统 的稳定性和安全性，同时风光发电比重 的持续提升，调峰调频压力增加，以及 电网电能质量下降。</w:t>
            </w:r>
          </w:p>
          <w:p>
            <w:pPr>
              <w:pStyle w:val="Style2"/>
              <w:keepNext w:val="0"/>
              <w:keepLines w:val="0"/>
              <w:widowControl w:val="0"/>
              <w:shd w:val="clear" w:color="auto" w:fill="auto"/>
              <w:bidi w:val="0"/>
              <w:spacing w:before="0" w:after="40" w:line="308" w:lineRule="exact"/>
              <w:ind w:left="0" w:right="0" w:firstLine="0"/>
              <w:jc w:val="left"/>
              <w:rPr>
                <w:sz w:val="17"/>
                <w:szCs w:val="17"/>
              </w:rPr>
            </w:pPr>
            <w:r>
              <w:rPr>
                <w:color w:val="000000"/>
                <w:spacing w:val="0"/>
                <w:w w:val="100"/>
                <w:position w:val="0"/>
                <w:sz w:val="17"/>
                <w:szCs w:val="17"/>
              </w:rPr>
              <w:t>福建省拥有得天独厚的风资源禀赋，为 实现我国能源发展战略目标，未来新能 源装机比重必将进一步提升，而为增强 福建电网调峰调频能力、缓解昼夜峰谷 供电压力、促进海上风电规模化发展， 建设大型储能电站将是一种有效途径， 我省储能技术类型、应用场景及盈利模 式等尚处于探索阶段，因此，本课题立 足于福建省电网，通过对不同类型储能 形态进行综合技术经济比较，研究适合 我省的储能技术，并解决在不同场景下 的电池容量计算、空间布置的问题。</w:t>
            </w:r>
          </w:p>
          <w:p>
            <w:pPr>
              <w:pStyle w:val="Style2"/>
              <w:keepNext w:val="0"/>
              <w:keepLines w:val="0"/>
              <w:widowControl w:val="0"/>
              <w:shd w:val="clear" w:color="auto" w:fill="auto"/>
              <w:bidi w:val="0"/>
              <w:spacing w:before="0" w:after="40" w:line="311" w:lineRule="exact"/>
              <w:ind w:left="0" w:right="0" w:firstLine="0"/>
              <w:jc w:val="left"/>
              <w:rPr>
                <w:sz w:val="18"/>
                <w:szCs w:val="18"/>
              </w:rPr>
            </w:pPr>
            <w:r>
              <w:rPr>
                <w:color w:val="000000"/>
                <w:spacing w:val="0"/>
                <w:w w:val="100"/>
                <w:position w:val="0"/>
                <w:sz w:val="17"/>
                <w:szCs w:val="17"/>
              </w:rPr>
              <w:t>大规模海上风电并网对福建电网的影响 已逐渐显现，省内的储能市场需求也日 益迫切，但目前永福公司在电力系统中 储能电站关键技术的研究方面还处于空 白或起步阶段，本课题可在一定程度上 消除公司储能业务方面技术上的短板。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完成福建电网储能电站的发 展前景及布局研究报告</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份，为储能投资者提供不同 应用模式、场景下的储能需 求、布局及接入系统设计等 技术咨询服务。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项目完成后，将有利 于公司开拓省内及省 外储能和新能源市场， 提升企业科研水平，为 公司和社会直接创造 显著的经济效益和社 会效益。</w:t>
            </w:r>
          </w:p>
          <w:p>
            <w:pPr>
              <w:pStyle w:val="Style2"/>
              <w:keepNext w:val="0"/>
              <w:keepLines w:val="0"/>
              <w:widowControl w:val="0"/>
              <w:shd w:val="clear" w:color="auto" w:fill="auto"/>
              <w:tabs>
                <w:tab w:pos="456" w:val="left"/>
              </w:tabs>
              <w:bidi w:val="0"/>
              <w:spacing w:before="0" w:after="4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经济效益方面： 项目完成后，公司将具 备储能前期布局规划 咨询服务的能力，承接 业务领域将更多元化， 增加公司项目前期规 划咨询设计合同额，为 后续</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总包合同打 下基础。</w:t>
            </w:r>
          </w:p>
          <w:p>
            <w:pPr>
              <w:pStyle w:val="Style2"/>
              <w:keepNext w:val="0"/>
              <w:keepLines w:val="0"/>
              <w:widowControl w:val="0"/>
              <w:shd w:val="clear" w:color="auto" w:fill="auto"/>
              <w:tabs>
                <w:tab w:pos="456" w:val="left"/>
              </w:tabs>
              <w:bidi w:val="0"/>
              <w:spacing w:before="0" w:after="4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社会效益方面： 配置大型储能电站，一 方面可促进可再生能 源的发展，并减小火电 机组备用需求，有利于 减小碳排放，降低环境 污染，以及减少由此带 来的环境治理成本。另 一方面，依靠储能自身 性能，参与调峰调频可 以提高电网运行稳定 性，减小频率偏差，减 少机组启停调峰，有利 于核电平稳化运行，降 低全系统调频成本。</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29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基于云计 算的调度 数据网及 网管关键 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传统调度数据网网络设备监视及管理是 依托于运营商的网管系统，各自独立运 行，未有统一的监视管理平台；随着电 网的不断发展，网络架构及网络设备的 不断扩大，运营商及设备厂家种类不断 增多，运行监视人员需要面对的网管系 统更加繁杂。此外，现有的网管系统未 具备对网络运行情况的深化分析、动态 感知等深层分析功能。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提出省地一体网络设备监视 管理平台的总体架构、硬件 配置方案及高级应用的建设 思路，为实际建设提供理论 参考方案。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本项目的研究成果为 福建省地一体网络设 备监视管理平台的建 设提供建设思路，提高 了运维人员日常的工 作效率，提高了调度数 据网网络运行的可靠 性，保证了电网设备的 安全稳定运行。</w:t>
            </w:r>
          </w:p>
        </w:tc>
      </w:tr>
      <w:tr>
        <w:trPr>
          <w:trHeight w:val="6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供电营业</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厅三型一 化设计技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提高设计质量、缩短设计周期。现福建 省内供电所的设计营业厅部分属于二次 装修设计，容易造成前后设计衔接问题。 标准化设计形成后，我们在设计供电所 时就可以将营业厅设计同步进行，可以 统一设计标准。对指导供电所“三型一 化”营业厅建设具有重要意义。现福建 省仍有很多供电所项目还未进行营业厅 设计，标准化设计一旦形成，我们在接 国网这类型的项目上凸显出我们公司的 优势。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4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统一功能定位，组织好交 通流线，做好分区设计。主 要内部员工的工作区及客户 区。</w:t>
            </w:r>
          </w:p>
          <w:p>
            <w:pPr>
              <w:pStyle w:val="Style2"/>
              <w:keepNext w:val="0"/>
              <w:keepLines w:val="0"/>
              <w:widowControl w:val="0"/>
              <w:shd w:val="clear" w:color="auto" w:fill="auto"/>
              <w:tabs>
                <w:tab w:pos="259" w:val="left"/>
              </w:tabs>
              <w:bidi w:val="0"/>
              <w:spacing w:before="0" w:after="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统一装饰风格，体现企业 文化。</w:t>
            </w:r>
          </w:p>
          <w:p>
            <w:pPr>
              <w:pStyle w:val="Style2"/>
              <w:keepNext w:val="0"/>
              <w:keepLines w:val="0"/>
              <w:widowControl w:val="0"/>
              <w:shd w:val="clear" w:color="auto" w:fill="auto"/>
              <w:tabs>
                <w:tab w:pos="221"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编制形成可方便设计使用 的供电所营业厅的标准化设 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标准化设计是一种现 代先进的理念，极大提 高了设计效率。它是在 总结现有的多个供电 所营业厅的基础上进 行优化及剖析，形成标 准化设计。目前，工程 建设行业劳动力匮乏， 人力、材料、机械成本 高。标准化设计可以缩 短设计周期、实施集约 化管理。模块化方案在 发达国家中应用较为 普遍，也是近年来国内 外各行各业普遍关注 的新的研究课题。</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标准化设计是“标准 化、可复制”的工程。 必然具有良好的经济 效益、社会效益和广阔 的应用前景。</w:t>
            </w:r>
            <w:r>
              <w:rPr>
                <w:rFonts w:ascii="Times New Roman" w:eastAsia="Times New Roman" w:hAnsi="Times New Roman" w:cs="Times New Roman"/>
                <w:color w:val="000000"/>
                <w:spacing w:val="0"/>
                <w:w w:val="100"/>
                <w:position w:val="0"/>
                <w:sz w:val="18"/>
                <w:szCs w:val="18"/>
              </w:rPr>
              <w:t>"</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基于通道 延展性最 优的配电 网供电网 格智能布 线研究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随着现代工业、商业、服务业和农业的 不断发展及人民生活水平的日益提高， 电力的供应和消耗己渗透到社会生产、 人民生活的各个角落，社会对电力的需 求量越来越大。同时，产业结构的调整、 用地性质的改变、道路的延展建设对电 力供应提出了新的要求。这些变化和要 求使配电网布线规划面临着更复杂繁重 的规划任务。目前配电网布线规划主要 依靠有经验的工程师设计，对于不同的 工程师，路径规划很难做到统一。因此， 合理地进行配电网布线规划不仅可以获 得巨大的社会效益，也可以获得巨大的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9"/>
              </w:numPr>
              <w:shd w:val="clear" w:color="auto" w:fill="auto"/>
              <w:tabs>
                <w:tab w:pos="134" w:val="left"/>
              </w:tabs>
              <w:bidi w:val="0"/>
              <w:spacing w:before="0" w:after="0" w:line="310" w:lineRule="exact"/>
              <w:ind w:left="0" w:right="0" w:firstLine="0"/>
              <w:jc w:val="both"/>
              <w:rPr>
                <w:sz w:val="17"/>
                <w:szCs w:val="17"/>
              </w:rPr>
            </w:pPr>
            <w:r>
              <w:rPr>
                <w:color w:val="000000"/>
                <w:spacing w:val="0"/>
                <w:w w:val="100"/>
                <w:position w:val="0"/>
                <w:sz w:val="17"/>
                <w:szCs w:val="17"/>
              </w:rPr>
              <w:t>建立适用于配电网供电网 格智能布线的迭代算法、聚 类算法、匹配算法等核心算 法模块。</w:t>
            </w:r>
          </w:p>
          <w:p>
            <w:pPr>
              <w:pStyle w:val="Style2"/>
              <w:keepNext w:val="0"/>
              <w:keepLines w:val="0"/>
              <w:widowControl w:val="0"/>
              <w:numPr>
                <w:ilvl w:val="0"/>
                <w:numId w:val="19"/>
              </w:numPr>
              <w:shd w:val="clear" w:color="auto" w:fill="auto"/>
              <w:tabs>
                <w:tab w:pos="144" w:val="left"/>
              </w:tabs>
              <w:bidi w:val="0"/>
              <w:spacing w:before="0" w:after="0" w:line="317" w:lineRule="exact"/>
              <w:ind w:left="0" w:right="0" w:firstLine="0"/>
              <w:jc w:val="both"/>
              <w:rPr>
                <w:sz w:val="17"/>
                <w:szCs w:val="17"/>
              </w:rPr>
            </w:pPr>
            <w:r>
              <w:rPr>
                <w:color w:val="000000"/>
                <w:spacing w:val="0"/>
                <w:w w:val="100"/>
                <w:position w:val="0"/>
                <w:sz w:val="17"/>
                <w:szCs w:val="17"/>
              </w:rPr>
              <w:t>构建适用于配电网供电网 格智能布线的目标函数及约 束条件的量化。</w:t>
            </w:r>
          </w:p>
          <w:p>
            <w:pPr>
              <w:pStyle w:val="Style2"/>
              <w:keepNext w:val="0"/>
              <w:keepLines w:val="0"/>
              <w:widowControl w:val="0"/>
              <w:numPr>
                <w:ilvl w:val="0"/>
                <w:numId w:val="19"/>
              </w:numPr>
              <w:shd w:val="clear" w:color="auto" w:fill="auto"/>
              <w:tabs>
                <w:tab w:pos="139" w:val="left"/>
              </w:tabs>
              <w:bidi w:val="0"/>
              <w:spacing w:before="0" w:after="0" w:line="322" w:lineRule="exact"/>
              <w:ind w:left="0" w:right="0" w:firstLine="0"/>
              <w:jc w:val="both"/>
              <w:rPr>
                <w:sz w:val="18"/>
                <w:szCs w:val="18"/>
              </w:rPr>
            </w:pPr>
            <w:r>
              <w:rPr>
                <w:color w:val="000000"/>
                <w:spacing w:val="0"/>
                <w:w w:val="100"/>
                <w:position w:val="0"/>
                <w:sz w:val="17"/>
                <w:szCs w:val="17"/>
              </w:rPr>
              <w:t>实现配电网供电网格智能 布线的自动实现。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项目完成后，应用本次 研究成果，一方面将有 效提高布线方案规划 效率，大幅降低人工成 本及相关支出；另一方 面，本次研究涉及的相 关模型与方法将全面 优化网格布线成果，切 实促进配电网精益化、 可实施规划，在配电网 项目策划及建设中的 指导性进一步提升，确 保规划成效的同时减</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经济效益。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少无效投资，支撑配电 网减少投资的精准化、 高效化。</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配电网防 灾差异化 设计方案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在电力系统蓬勃发展的进程中，保障配 电网的优质，可靠供电成为了电力投资 建设的重要方向。配电网位于电力系统 的末端，保证了电力负荷与电源之间的 联系，其供电可靠性与用户息息相关。 然而，近几年频发的自然灾害，很大程 度上影响了配电网的安全可靠运行，使 国家、社会遭受了巨大的经济损失。目 前福建省内的风、雷、冰、污、涝等灾 害特点尤为突出，对配电网线路造成严 重影响，无法提高福建地区配电网抵御 自然灾害的水平，不能保证配电网线路 供电可靠性。因此，合理地进行配电网 防灾差异化设计方案研究不仅可以获得 巨大的社会效益，也可以获得巨大的经 济效益。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numPr>
                <w:ilvl w:val="0"/>
                <w:numId w:val="21"/>
              </w:numPr>
              <w:shd w:val="clear" w:color="auto" w:fill="auto"/>
              <w:tabs>
                <w:tab w:pos="134" w:val="left"/>
              </w:tabs>
              <w:bidi w:val="0"/>
              <w:spacing w:before="0" w:after="0" w:line="310" w:lineRule="exact"/>
              <w:ind w:left="0" w:right="0" w:firstLine="0"/>
              <w:jc w:val="left"/>
              <w:rPr>
                <w:sz w:val="17"/>
                <w:szCs w:val="17"/>
              </w:rPr>
            </w:pPr>
            <w:r>
              <w:rPr>
                <w:color w:val="000000"/>
                <w:spacing w:val="0"/>
                <w:w w:val="100"/>
                <w:position w:val="0"/>
                <w:sz w:val="17"/>
                <w:szCs w:val="17"/>
              </w:rPr>
              <w:t>对各类灾害区进行整合， 重新对灾害区进行分类，形 成一套综合治理的方案，方 便设计查阅。</w:t>
            </w:r>
          </w:p>
          <w:p>
            <w:pPr>
              <w:pStyle w:val="Style2"/>
              <w:keepNext w:val="0"/>
              <w:keepLines w:val="0"/>
              <w:widowControl w:val="0"/>
              <w:numPr>
                <w:ilvl w:val="0"/>
                <w:numId w:val="21"/>
              </w:numPr>
              <w:shd w:val="clear" w:color="auto" w:fill="auto"/>
              <w:tabs>
                <w:tab w:pos="144" w:val="left"/>
              </w:tabs>
              <w:bidi w:val="0"/>
              <w:spacing w:before="0" w:after="0" w:line="319" w:lineRule="exact"/>
              <w:ind w:left="0" w:right="0" w:firstLine="0"/>
              <w:jc w:val="left"/>
              <w:rPr>
                <w:sz w:val="18"/>
                <w:szCs w:val="18"/>
              </w:rPr>
            </w:pPr>
            <w:r>
              <w:rPr>
                <w:color w:val="000000"/>
                <w:spacing w:val="0"/>
                <w:w w:val="100"/>
                <w:position w:val="0"/>
                <w:sz w:val="17"/>
                <w:szCs w:val="17"/>
              </w:rPr>
              <w:t>构建适用于</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sz w:val="17"/>
                <w:szCs w:val="17"/>
              </w:rPr>
              <w:t>配电网 架空线路差异化建设与改造 主要内容。</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项目完成后，应用本次 研究成果，一方面将有 效提高配电网防灾抗 灾能力，大幅降低线路 运维成本及相关支出； 另一方面，本次研究涉 及</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sz w:val="17"/>
                <w:szCs w:val="17"/>
              </w:rPr>
              <w:t>配电网架空线 路差异化建设与改造 主要内容和设计方案， 确保配电网供电可靠 性的同时减少无效投 资，支撑配电网减少投 资的精准化、高效化。</w:t>
            </w:r>
          </w:p>
        </w:tc>
      </w:tr>
      <w:tr>
        <w:trPr>
          <w:trHeight w:val="75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高强铝合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金电缆支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架的设计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随着目前城市电网发展的需要，大面积 电缆应用的越来越广，电缆的输送容量 也越来越大，超过</w:t>
            </w:r>
            <w:r>
              <w:rPr>
                <w:rFonts w:ascii="Times New Roman" w:eastAsia="Times New Roman" w:hAnsi="Times New Roman" w:cs="Times New Roman"/>
                <w:color w:val="000000"/>
                <w:spacing w:val="0"/>
                <w:w w:val="100"/>
                <w:position w:val="0"/>
                <w:sz w:val="18"/>
                <w:szCs w:val="18"/>
              </w:rPr>
              <w:t>1000A</w:t>
            </w:r>
            <w:r>
              <w:rPr>
                <w:color w:val="000000"/>
                <w:spacing w:val="0"/>
                <w:w w:val="100"/>
                <w:position w:val="0"/>
                <w:sz w:val="17"/>
                <w:szCs w:val="17"/>
              </w:rPr>
              <w:t>的输送容量已 较为常见，在大电流作用下，交流电缆 在运行时，其交变电流会产生交变磁场， 在交变磁场的作用下，金属质电缆支架 上会感应出涡流。由于电阻率的存在， 金属支架上产生的涡流会产生损耗，该 损耗以热量的形式散发出去，使金属支 架的温度升高。除了造成电缆局部发热 之外，在大电流作用下，传统电缆钢支 架在使用过程中造成的涡流损耗也不能 忽略，经理论计算，钢结构支架上的损 耗和电缆上电流以及与支架间距离密切 相关，电缆载流量在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1000A</w:t>
            </w:r>
            <w:r>
              <w:rPr>
                <w:color w:val="000000"/>
                <w:spacing w:val="0"/>
                <w:w w:val="100"/>
                <w:position w:val="0"/>
                <w:sz w:val="17"/>
                <w:szCs w:val="17"/>
              </w:rPr>
              <w:t>变化 时，电缆与支架距离在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200mm</w:t>
            </w:r>
            <w:r>
              <w:rPr>
                <w:color w:val="000000"/>
                <w:spacing w:val="0"/>
                <w:w w:val="100"/>
                <w:position w:val="0"/>
                <w:sz w:val="17"/>
                <w:szCs w:val="17"/>
              </w:rPr>
              <w:t>时， 支架上涡流损耗计算值在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w:t>
            </w:r>
            <w:r>
              <w:rPr>
                <w:color w:val="000000"/>
                <w:spacing w:val="0"/>
                <w:w w:val="100"/>
                <w:position w:val="0"/>
                <w:sz w:val="17"/>
                <w:szCs w:val="17"/>
              </w:rPr>
              <w:t>左 右。</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目前，电缆支架材料有普通钢材、不锈 钢和铝合金。由于不锈钢材料价格高， 工程投资大，一组不锈钢支架价格超过 普通钢结构电缆支架</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元左右，全 部使用不锈钢支架的电缆线路造价往往 达到普通钢结构电缆支架的电缆线路的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21"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完成典型高强铝合金电缆 支架的设计性能研究；</w:t>
            </w:r>
          </w:p>
          <w:p>
            <w:pPr>
              <w:pStyle w:val="Style2"/>
              <w:keepNext w:val="0"/>
              <w:keepLines w:val="0"/>
              <w:widowControl w:val="0"/>
              <w:shd w:val="clear" w:color="auto" w:fill="auto"/>
              <w:tabs>
                <w:tab w:pos="226" w:val="left"/>
              </w:tabs>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研发一种高强铝合金电缆 支架体系。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本项目将理论和实践 相结合，在调研课题相 关现状的基础上分析 铝合金电缆支架在建 设过程中存在的问题， 针对性开展研究和提 出相应解决方案，并选 取试点工程对研究成 果进行试点应用和验 证，在应用过程中进行 持续跟踪、调查、缺陷 排查和性能改进，统计 试点工程运行业绩，并 进行风险评估。在确定 支架运行可靠、性能优 越，同时方便运行维护 的前提下，逐步在其它 电缆工程中推广应用， 有效促进铝合金电缆 支架的优化发展。</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倍。因此，目前工程中一般采用普通钢 结构电缆支架。传统钢结构支架生产过 程能耗大、工序多、周期长、污染重。</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除此之外，钢结构支架，防腐、耐化学 腐蚀性较差，尤其在长期积水的电缆沟 及电缆工井等潮湿环境、地铁、化工企 业或沿海盐雾等场所中，钢结构电缆支 架锈蚀快，即使经过镀锌处理，也难免 遭受腐蚀，设施的后期维护费用高，使 用寿命也较短，影响电力、通信设施的 安全和无故障使用期。如何解决传统钢 结构电缆支架在大电流条件下的涡流损 耗问题以及在沿海潮湿、盐雾环境下的 耐蚀稳定性问题，是电缆支架材料的发 展方向，也是电网生产过程中亟待解决 的问题。</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输电线路 防腐蚀接 地装置技 术方案研 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输电线路防腐蚀接地装置设计，提高输 电线路在腐蚀地区的运行可靠性。</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输电线路杆塔接地装置是输电线路的重 要组成部分，是接地体和接地引下线的 总称，其作用是确保雷电流可靠泄入大 地，保护线路设备绝缘，减少线路雷击 跳闸率，提高线路运行可靠性。因此， 接地装置对电力系统的安全稳定运行至 关重要。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常规镀锌圆钢接地在腐蚀较严重的碱性 土壤地区和高腐蚀介质的中性土壤地区 易受腐蚀破坏，缩短接地装置的使用寿 命。蚀断的接地线造成接地电阻增大， 故障电流难以通过接地线入地，造成线 路故障，危害人身安全。常规镀锌圆钢 接地已不能完全满足输电线路接地系统 安全使用的要求。</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近几年，铜覆钢、柔性石墨接地等新型 耐腐蚀接地材料的出现，对输电线路在 腐蚀地区的安全稳定运行具有现实意 义。</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随着沿海工业发展，越来越多的输电线 路须经过沿海滩涂地带，输电线路接地 装置长期受到土壤的电化学腐蚀作用， 接地装置易受损甚至解裂。因此，输电 线路防腐蚀接地装置设计应用前景广 阔。</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接地型式设计</w:t>
            </w:r>
          </w:p>
          <w:p>
            <w:pPr>
              <w:pStyle w:val="Style2"/>
              <w:keepNext w:val="0"/>
              <w:keepLines w:val="0"/>
              <w:widowControl w:val="0"/>
              <w:shd w:val="clear" w:color="auto" w:fill="auto"/>
              <w:tabs>
                <w:tab w:pos="230"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一般塔位防腐蚀接地设计 方案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、特殊塔位防腐蚀接 地设计方案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常规镀锌圆钢接地在 腐蚀较严重的碱性土 壤地区和高腐蚀介质 的中性土壤地区易受 腐蚀破坏。在不追加大 量工程投资的前提下， 进行输电线路防</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腐蚀接地装置设计，提 高接地装置的使用寿 命，减少后期运维工 作。</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137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智慧变电 站电力物 联网技术 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当前智能变电站存在的问题：</w:t>
            </w:r>
          </w:p>
          <w:p>
            <w:pPr>
              <w:pStyle w:val="Style2"/>
              <w:keepNext w:val="0"/>
              <w:keepLines w:val="0"/>
              <w:widowControl w:val="0"/>
              <w:shd w:val="clear" w:color="auto" w:fill="auto"/>
              <w:tabs>
                <w:tab w:pos="298" w:val="left"/>
              </w:tabs>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目前变电站普遍采用的是高频率人工 巡视、手工记录的工作方式，通过人体 感官对设备进行简单、定性的判断，这 种方式存在着人为因素多、劳动强度大、 工作效率低、检测质量分散、管理成本 高等明显缺陷，容易造成巡视不到位， 核对不到位情况发生，而且人工检测的 数据无法准确及时地接入管理信息系 统，使信息化管理不能达到第一作业现 场，变电站的智能化水平得不到进一步 提高。</w:t>
            </w:r>
          </w:p>
          <w:p>
            <w:pPr>
              <w:pStyle w:val="Style2"/>
              <w:keepNext w:val="0"/>
              <w:keepLines w:val="0"/>
              <w:widowControl w:val="0"/>
              <w:shd w:val="clear" w:color="auto" w:fill="auto"/>
              <w:tabs>
                <w:tab w:pos="278" w:val="left"/>
              </w:tabs>
              <w:bidi w:val="0"/>
              <w:spacing w:before="0" w:after="4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现有变电站主设备监控、各辅助子系 统主机独立配置，形成多个信息孤岛， 主、辅设备数据无法共享、交互、联动。 发生设备报警时，对事件判别及处理无 法提供多维度的有效支撑，智能化程度 低。</w:t>
            </w:r>
          </w:p>
          <w:p>
            <w:pPr>
              <w:pStyle w:val="Style2"/>
              <w:keepNext w:val="0"/>
              <w:keepLines w:val="0"/>
              <w:widowControl w:val="0"/>
              <w:shd w:val="clear" w:color="auto" w:fill="auto"/>
              <w:tabs>
                <w:tab w:pos="269" w:val="left"/>
              </w:tabs>
              <w:bidi w:val="0"/>
              <w:spacing w:before="0" w:after="4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变电站倒闸操作采用人工方式，操作 重复工作量大，操作效率低。防误系统 软硬件缺乏统一标准，防误逻辑规则不 统一，硬件数量多，硬件实现方式千差 万别，操作界面各不相同，防误措施强 制性不高，存在误操作风险。</w:t>
            </w:r>
          </w:p>
          <w:p>
            <w:pPr>
              <w:pStyle w:val="Style2"/>
              <w:keepNext w:val="0"/>
              <w:keepLines w:val="0"/>
              <w:widowControl w:val="0"/>
              <w:shd w:val="clear" w:color="auto" w:fill="auto"/>
              <w:tabs>
                <w:tab w:pos="269" w:val="left"/>
              </w:tabs>
              <w:bidi w:val="0"/>
              <w:spacing w:before="0" w:after="4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传统的在线监测系统厂家在被监控设 备上安装监测单元，通过</w:t>
            </w:r>
            <w:r>
              <w:rPr>
                <w:rFonts w:ascii="Times New Roman" w:eastAsia="Times New Roman" w:hAnsi="Times New Roman" w:cs="Times New Roman"/>
                <w:color w:val="000000"/>
                <w:spacing w:val="0"/>
                <w:w w:val="100"/>
                <w:position w:val="0"/>
                <w:sz w:val="18"/>
                <w:szCs w:val="18"/>
              </w:rPr>
              <w:t>IED</w:t>
            </w:r>
            <w:r>
              <w:rPr>
                <w:color w:val="000000"/>
                <w:spacing w:val="0"/>
                <w:w w:val="100"/>
                <w:position w:val="0"/>
                <w:sz w:val="17"/>
                <w:szCs w:val="17"/>
              </w:rPr>
              <w:t>设备将数 据传送至系统后台，信息共享程度低， 对设备分析远达不到智能化程度。</w:t>
            </w:r>
          </w:p>
          <w:p>
            <w:pPr>
              <w:pStyle w:val="Style2"/>
              <w:keepNext w:val="0"/>
              <w:keepLines w:val="0"/>
              <w:widowControl w:val="0"/>
              <w:shd w:val="clear" w:color="auto" w:fill="auto"/>
              <w:bidi w:val="0"/>
              <w:spacing w:before="0" w:after="40" w:line="311" w:lineRule="exact"/>
              <w:ind w:left="0" w:right="0" w:firstLine="0"/>
              <w:jc w:val="left"/>
              <w:rPr>
                <w:sz w:val="17"/>
                <w:szCs w:val="17"/>
              </w:rPr>
            </w:pPr>
            <w:r>
              <w:rPr>
                <w:color w:val="000000"/>
                <w:spacing w:val="0"/>
                <w:w w:val="100"/>
                <w:position w:val="0"/>
                <w:sz w:val="17"/>
                <w:szCs w:val="17"/>
              </w:rPr>
              <w:t>为解决当前智能变电站在建设、运行维 护中存在的问题</w:t>
            </w:r>
            <w:r>
              <w:rPr>
                <w:color w:val="000000"/>
                <w:spacing w:val="0"/>
                <w:w w:val="100"/>
                <w:position w:val="0"/>
                <w:sz w:val="18"/>
                <w:szCs w:val="18"/>
              </w:rPr>
              <w:t>，</w:t>
            </w:r>
            <w:r>
              <w:rPr>
                <w:color w:val="000000"/>
                <w:spacing w:val="0"/>
                <w:w w:val="100"/>
                <w:position w:val="0"/>
                <w:sz w:val="17"/>
                <w:szCs w:val="17"/>
              </w:rPr>
              <w:t>国网公司于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年提 出建设“坚强智能电网和泛在电力物联 网”的发展战略：采用先进传感技术对 变电站设备状态参量、安消防、环境、 动力等进行全面采集；应用通信数据网 和人工智能、移动互联等现代信息技术， 建设状态全面感知、信息互联共享的智 慧型变电站。</w:t>
            </w:r>
          </w:p>
          <w:p>
            <w:pPr>
              <w:pStyle w:val="Style2"/>
              <w:keepNext w:val="0"/>
              <w:keepLines w:val="0"/>
              <w:widowControl w:val="0"/>
              <w:shd w:val="clear" w:color="auto" w:fill="auto"/>
              <w:bidi w:val="0"/>
              <w:spacing w:before="0" w:after="40" w:line="313" w:lineRule="exact"/>
              <w:ind w:left="0" w:right="0" w:firstLine="0"/>
              <w:jc w:val="left"/>
              <w:rPr>
                <w:sz w:val="17"/>
                <w:szCs w:val="17"/>
              </w:rPr>
            </w:pPr>
            <w:r>
              <w:rPr>
                <w:color w:val="000000"/>
                <w:spacing w:val="0"/>
                <w:w w:val="100"/>
                <w:position w:val="0"/>
                <w:sz w:val="17"/>
                <w:szCs w:val="17"/>
              </w:rPr>
              <w:t>目前国网公司正在开展智慧变电站的试 点工程，在技术创新的推动下，目前国 内能用于智慧变电站的新技术也不断地 出现，本项目拟通过收集国网试点智慧 变电站技术，收集其他能用于智慧变电 站的技术，研究其技术原理，分析哪些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通过收集国网智慧站的试点 技术，分析其主要技术原理， 研究哪些技术可推广应用， 哪些技术还需后续改进；重 点研究变电站主设备的状态 感知技术、基于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的变电 站现场管理系统、变电站智 能巡检等技术，最终编制本 项目研究报告，提升智慧站 设计的技术水平。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本项目研究智慧变电 站电力物联网技术，结 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技术，研究应用 智能巡检、智能感知、 智能管控等技术，可为 后续智慧站设计提供 技术支撑，为“十四五” 期间智能变电站技术 方案优化的提供工程 应用基础。</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16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技术能在智慧站推广应用，哪些技术还 需优化改进，研究各技术在变电站如何 应用，达到掌握智慧变电站的设计技术， 并有我们的特色之处，也为后续新能源、 电厂的智慧厂站奠定基础。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变电站</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设备 扩建快速 供电技术 方案研究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随着</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设备的大量应用，后续扩建停 电是很多变电站都要面临的情况。如何 减少扩建时的停电时间，快速恢复供电， 甚至是不停电，已成为电力系统普遍关 心的问题。</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本研究通过对</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工程扩建的介绍，研 究</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扩建从设计、安装、试验环节能 减少停电时间所采取的相应措施。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本课题通过理论分析，并依 托实际工程应用，论证</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sz w:val="17"/>
                <w:szCs w:val="17"/>
              </w:rPr>
              <w:t>设备扩建快速供电技术方案 应用效果，推进在后续变电 站工程中应用。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目前绝大部分新建变 电站均采用</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设备， 随着</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设备的大量 采用，在一期设计的过 程中，近远期结合，充 分考虑远景扩建要求， 确定扩建时不停电方 案以及扩建后的耐压 试验方案，在技术上确 定</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设备的一期产 品设置，以确保远景扩 建时能够顺利完成不 停电扩建方案，减少停 电损失，保证扩建工程 中安全可靠性。</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本课题具有很大的现 实意义和实际应用价 值。</w:t>
            </w:r>
            <w:r>
              <w:rPr>
                <w:rFonts w:ascii="Times New Roman" w:eastAsia="Times New Roman" w:hAnsi="Times New Roman" w:cs="Times New Roman"/>
                <w:color w:val="000000"/>
                <w:spacing w:val="0"/>
                <w:w w:val="100"/>
                <w:position w:val="0"/>
                <w:sz w:val="18"/>
                <w:szCs w:val="18"/>
              </w:rPr>
              <w:t>”</w:t>
            </w:r>
          </w:p>
        </w:tc>
      </w:tr>
      <w:tr>
        <w:trPr>
          <w:trHeight w:val="44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储能变电 站消防设 计关键技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电池储能系统规模化的应用，为电网调 频调峰、削峰填谷和辅助服务提供了有 效工具，提高了电网的稳定性和可靠性。 截止到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年，中国累计投运电化学储 能项目的装机规模为</w:t>
            </w:r>
            <w:r>
              <w:rPr>
                <w:rFonts w:ascii="Times New Roman" w:eastAsia="Times New Roman" w:hAnsi="Times New Roman" w:cs="Times New Roman"/>
                <w:color w:val="000000"/>
                <w:spacing w:val="0"/>
                <w:w w:val="100"/>
                <w:position w:val="0"/>
                <w:sz w:val="18"/>
                <w:szCs w:val="18"/>
              </w:rPr>
              <w:t>1.7GWh</w:t>
            </w:r>
            <w:r>
              <w:rPr>
                <w:color w:val="000000"/>
                <w:spacing w:val="0"/>
                <w:w w:val="100"/>
                <w:position w:val="0"/>
                <w:sz w:val="17"/>
                <w:szCs w:val="17"/>
              </w:rPr>
              <w:t>，</w:t>
            </w:r>
            <w:r>
              <w:rPr>
                <w:color w:val="000000"/>
                <w:spacing w:val="0"/>
                <w:w w:val="100"/>
                <w:position w:val="0"/>
                <w:sz w:val="17"/>
                <w:szCs w:val="17"/>
              </w:rPr>
              <w:t>预期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将完成</w:t>
            </w:r>
            <w:r>
              <w:rPr>
                <w:rFonts w:ascii="Times New Roman" w:eastAsia="Times New Roman" w:hAnsi="Times New Roman" w:cs="Times New Roman"/>
                <w:color w:val="000000"/>
                <w:spacing w:val="0"/>
                <w:w w:val="100"/>
                <w:position w:val="0"/>
                <w:sz w:val="18"/>
                <w:szCs w:val="18"/>
              </w:rPr>
              <w:t>2GWh</w:t>
            </w:r>
            <w:r>
              <w:rPr>
                <w:color w:val="000000"/>
                <w:spacing w:val="0"/>
                <w:w w:val="100"/>
                <w:position w:val="0"/>
                <w:sz w:val="17"/>
                <w:szCs w:val="17"/>
              </w:rPr>
              <w:t>。</w:t>
            </w:r>
          </w:p>
          <w:p>
            <w:pPr>
              <w:pStyle w:val="Style2"/>
              <w:keepNext w:val="0"/>
              <w:keepLines w:val="0"/>
              <w:widowControl w:val="0"/>
              <w:shd w:val="clear" w:color="auto" w:fill="auto"/>
              <w:bidi w:val="0"/>
              <w:spacing w:before="0" w:line="311" w:lineRule="exact"/>
              <w:ind w:left="0" w:right="0" w:firstLine="0"/>
              <w:jc w:val="both"/>
              <w:rPr>
                <w:sz w:val="17"/>
                <w:szCs w:val="17"/>
              </w:rPr>
            </w:pPr>
            <w:r>
              <w:rPr>
                <w:color w:val="000000"/>
                <w:spacing w:val="0"/>
                <w:w w:val="100"/>
                <w:position w:val="0"/>
                <w:sz w:val="17"/>
                <w:szCs w:val="17"/>
              </w:rPr>
              <w:t>但与高速增长形成鲜明对比的是电池储 能系统的安全性、标准化问题日显突出， 发生了多起储能电站的燃烧等安全事 故。这些问题使业内对电池储能的安全 性、可靠性提出了严重的质疑和担忧， 也严重阻碍了储能行业的快速发展，因 此必须采用经济、有效的措施进行处理。</w:t>
            </w:r>
          </w:p>
          <w:p>
            <w:pPr>
              <w:pStyle w:val="Style2"/>
              <w:keepNext w:val="0"/>
              <w:keepLines w:val="0"/>
              <w:widowControl w:val="0"/>
              <w:shd w:val="clear" w:color="auto" w:fill="auto"/>
              <w:bidi w:val="0"/>
              <w:spacing w:before="0" w:after="1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本课题通过对储能变电站消 防方案的研究，主要分析锂 离子电池消防灭火技术方案 等，通过分析研究和经济比 较，对储能电站消防提出一 种经济合理的消防方案。最 终编制本项目应用研究报 告，可为后续类似工程设计 提供参考。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对储能变电站消防方 案的研究，通过分析研 究和经济比较，对储能 电站消防提出一种经 济合理的消防方案。可 为后续类似工程设计 提供参考。</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林区输电</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线路无触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地运输技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输电线路尤其是高压输电线路往往都是 尽可能避开村庄、人口密集区，因此绝 大部分线路均在山区，相应的涉及到林 区。常规的材料均通过修筑临时道路输 送到塔位，势必砍戊较多的林木，对环 境影响极大。随着经济的发展，环保意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本课题通过合理建模，对林 区尤其是地势较缓的林区塔 位索道运输涉及，降低对周 边环境的影响，减少林木砍 伐，同时也降低人工成本， 为现场施工提供了有利的支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、通过合理应用高空 运输技术，避免临时道 路修筑土石方大量开 挖，造成水土流失等隐 患，降低林木的砍伐 量，减少对环境的破</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13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识逐步加强，对森林资源的保户也日益 严峻。因此，需要一种新型的运输方式， 既能完成工程任务，又能降低林木砍伐 或者甚至不砍，是非常有必要的。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7"/>
                <w:szCs w:val="17"/>
              </w:rPr>
              <w:t>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、应用了机械化 施工技术，降低了人力 成本。</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华龙</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核电常规 岛</w:t>
            </w:r>
            <w:r>
              <w:rPr>
                <w:rFonts w:ascii="Times New Roman" w:eastAsia="Times New Roman" w:hAnsi="Times New Roman" w:cs="Times New Roman"/>
                <w:color w:val="000000"/>
                <w:spacing w:val="0"/>
                <w:w w:val="100"/>
                <w:position w:val="0"/>
                <w:sz w:val="18"/>
                <w:szCs w:val="18"/>
              </w:rPr>
              <w:t>TG</w:t>
            </w:r>
            <w:r>
              <w:rPr>
                <w:color w:val="000000"/>
                <w:spacing w:val="0"/>
                <w:w w:val="100"/>
                <w:position w:val="0"/>
                <w:sz w:val="17"/>
                <w:szCs w:val="17"/>
              </w:rPr>
              <w:t>包 汽水分离 器泄放方 案研究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目前公司执行核电</w:t>
            </w:r>
            <w:r>
              <w:rPr>
                <w:rFonts w:ascii="Times New Roman" w:eastAsia="Times New Roman" w:hAnsi="Times New Roman" w:cs="Times New Roman"/>
                <w:color w:val="000000"/>
                <w:spacing w:val="0"/>
                <w:w w:val="100"/>
                <w:position w:val="0"/>
                <w:sz w:val="18"/>
                <w:szCs w:val="18"/>
              </w:rPr>
              <w:t>BOP</w:t>
            </w:r>
            <w:r>
              <w:rPr>
                <w:color w:val="000000"/>
                <w:spacing w:val="0"/>
                <w:w w:val="100"/>
                <w:position w:val="0"/>
                <w:sz w:val="17"/>
                <w:szCs w:val="17"/>
              </w:rPr>
              <w:t>项目，华龙</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常规岛</w:t>
            </w:r>
            <w:r>
              <w:rPr>
                <w:rFonts w:ascii="Times New Roman" w:eastAsia="Times New Roman" w:hAnsi="Times New Roman" w:cs="Times New Roman"/>
                <w:color w:val="000000"/>
                <w:spacing w:val="0"/>
                <w:w w:val="100"/>
                <w:position w:val="0"/>
                <w:sz w:val="18"/>
                <w:szCs w:val="18"/>
              </w:rPr>
              <w:t>TG</w:t>
            </w:r>
            <w:r>
              <w:rPr>
                <w:color w:val="000000"/>
                <w:spacing w:val="0"/>
                <w:w w:val="100"/>
                <w:position w:val="0"/>
                <w:sz w:val="17"/>
                <w:szCs w:val="17"/>
              </w:rPr>
              <w:t>包为国内自主技术，系统设计 可不再拘泥于引进型机组技术的单一型 式，汽水分离再热器泄放方案有多种可 选方案，通过研究、分析、对比，确立 后续设计中一种安全、高效、经济的泄 放方案。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预期目标：指导后续设计、 降低经济造价、保证机组安 全稳定运行。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可广泛应用于华龙一 号汽水分离再热系统 泄放系统设计，从而提 升我司的技术竞争力， 具有较好的经济效益 和社会效益。</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机岛数字 化设计电 缆自动接 线系统的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通过设计软件导入现有燃机工程的接线 信息；生成接线信息数据库；并根据当 下工程的接线资料调整修改数据库数 据；制定相应策略，导出生成适用于当 下工程的接线相关图纸。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通过设计软件导入现有燃机 工程的接线信息；生成接线 信息数据库；并根据当下工 程的接线资料调整修改数据 库数据；制定相应策略，导 出生成适用于当下工程的接 线相关图纸。实现在有限人 力投入的前提下，显著提高 燃机控制系统的接线设计工 作效果，并有效减少人工手 动接线中存在的人为疏忽与 错误，提高接线的准确率， 同时降低企业的成本。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目前公司承接的燃机 工程需要进行燃机控 制系统接线的设计工 作，该工作较为繁琐且 容易出错而导致设计 变更。由于这部分工作 相关的燃机本体及其 辅助系统接线资料的 差异不大（约为 </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sz w:val="17"/>
                <w:szCs w:val="17"/>
              </w:rPr>
              <w:t>），若采用人 工手动重新设计，需耗 费相当大的精力；若采 用现在的计算机辅助 建模方式，由于建模系 统庞大且精细，调整模 型也需投入相当大的 人力物力。本项目的研 究可在有限人力投入 的前提下，显著提高燃 机控制系统的接线设 计工作效果，并有效减 少人工手动接线中存 在的人为疏忽与错误， 提高了接线的准确率， 同时降低了企业的成 本。</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海水倒灌 水源联合 循环电厂 除盐水处 理系统配 置研究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近入海口河流水源受海水倒灌影响，水 质变化差异巨大，从丰水期的淡水水质， 到枯水期的类海水水质，水质波动范围 广，而当前地下水资源匮乏，地方政府 明令禁止开采地下水，对于仅有受海水 倒灌影响河流作为单一水源的电厂，其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所确定的除盐水系统工艺配 置，对进水水质波动具有广 泛适应性且可长期安全、稳 定运行；系统可实现无人值 守自动运行；系统在最差水 质时的废水排放量与最好水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可广泛应用于全球沿 海地区，以受海水倒灌 影响的河水为水源的 电厂项目的除盐水系 统新建和改造项目中， 为电厂业主提供一个</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38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锅炉补给水处理系统，即除盐水处理系 统对水质波动的适应性大大影响了系统 的安全稳定运行。同时在差水质工况下， 除盐水系统的废水排放量增大，与电厂 的环保要求，特别是燃机联合循环电厂 的清洁环保属性相违背。</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本项目的立项目的是针对海水倒灌水源 水质波动范围广的特点，通过对除盐水 系统进行优化、分析、计算，寻找一种 能够适应水质大幅度波动的系统配置， 达到除盐水系统能长期安全、可靠、经 济运行，同时减小废水排放量的目的。</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7"/>
                <w:szCs w:val="17"/>
              </w:rPr>
              <w:t>质废水排放量接近。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安全、稳定、经济、环 保的除盐水处理工艺 配置，从而提升我司的 技术竞争力，具有较好 的经济效益和社会效 益。</w:t>
            </w:r>
          </w:p>
        </w:tc>
      </w:tr>
      <w:tr>
        <w:trPr>
          <w:trHeight w:val="9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海上风电 高桩承台 嵌岩基础 施工工艺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我国海上风电资源丰富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且靠近东部沿 海经济发达省份</w:t>
            </w:r>
            <w:r>
              <w:rPr>
                <w:color w:val="000000"/>
                <w:spacing w:val="0"/>
                <w:w w:val="100"/>
                <w:position w:val="0"/>
                <w:sz w:val="18"/>
                <w:szCs w:val="18"/>
              </w:rPr>
              <w:t>，</w:t>
            </w:r>
            <w:r>
              <w:rPr>
                <w:color w:val="000000"/>
                <w:spacing w:val="0"/>
                <w:w w:val="100"/>
                <w:position w:val="0"/>
                <w:sz w:val="17"/>
                <w:szCs w:val="17"/>
              </w:rPr>
              <w:t>就地消纳优势巨大</w:t>
            </w:r>
            <w:r>
              <w:rPr>
                <w:color w:val="000000"/>
                <w:spacing w:val="0"/>
                <w:w w:val="100"/>
                <w:position w:val="0"/>
                <w:sz w:val="18"/>
                <w:szCs w:val="18"/>
              </w:rPr>
              <w:t>，</w:t>
            </w:r>
            <w:r>
              <w:rPr>
                <w:color w:val="000000"/>
                <w:spacing w:val="0"/>
                <w:w w:val="100"/>
                <w:position w:val="0"/>
                <w:sz w:val="17"/>
                <w:szCs w:val="17"/>
              </w:rPr>
              <w:t>发 展海上风电有助于加快我国能源转型进 程</w:t>
            </w:r>
            <w:r>
              <w:rPr>
                <w:color w:val="000000"/>
                <w:spacing w:val="0"/>
                <w:w w:val="100"/>
                <w:position w:val="0"/>
                <w:sz w:val="18"/>
                <w:szCs w:val="18"/>
              </w:rPr>
              <w:t>，</w:t>
            </w:r>
            <w:r>
              <w:rPr>
                <w:color w:val="000000"/>
                <w:spacing w:val="0"/>
                <w:w w:val="100"/>
                <w:position w:val="0"/>
                <w:sz w:val="17"/>
                <w:szCs w:val="17"/>
              </w:rPr>
              <w:t>助力</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sz w:val="17"/>
                <w:szCs w:val="17"/>
              </w:rPr>
              <w:t>年碳达峰、</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sz w:val="17"/>
                <w:szCs w:val="17"/>
              </w:rPr>
              <w:t>年碳中和 目标的实现。海上风力发电的优点有： 海上风能资源储存量大、稳定，海面粗 糙度小、海上风湍流强度小、风切边小、 开发效率更高，不存在噪音干扰、景观 破坏等环境污染问题，非常适合大规模 的开发。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海上风电基础型式主要包括重力式基 础、单桩基础、导管架基础和高桩承台 基础等型式。合理选择基础结构型式对 结构安全、施工难易程度及工程造价具 有重要影响。其中高桩承台基础结构稳 定性好，国内已有多个近海风电场均采 用混凝土高桩承台基础，高桩承台基础 适用于浅水及中等水深水域，采用现浇 混凝土墩台施工工序，大多数海上施工 单位都有能力施工。但对于高桩承台嵌 岩基础的施工工艺却没有完整统一的方 法与研究，因此对于高桩承台嵌岩基础 的施工工艺，需从基础结构特点、自然 环境条件、海上施工设备、施工技术与 经验、经济性等方面进行分析研究。</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本研究工作主要目的是了解海上风电高 桩承台嵌岩基础施工工艺的研究进展， 制定出相对较优的海上风电高桩承台嵌 岩基础施工工艺设计方案，并了解新产 品、新技术和新工艺的情况和可行性。</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21"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对海上风电嵌岩桩基基础 施工行业动态有清晰的认 识；</w:t>
            </w:r>
          </w:p>
          <w:p>
            <w:pPr>
              <w:pStyle w:val="Style2"/>
              <w:keepNext w:val="0"/>
              <w:keepLines w:val="0"/>
              <w:widowControl w:val="0"/>
              <w:shd w:val="clear" w:color="auto" w:fill="auto"/>
              <w:tabs>
                <w:tab w:pos="235"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熟知单桩、多桩、导管式、 高桩承台等海上风电机组基 础的施工工艺、设计方法、 设计流程、新产品新工艺的 情况等；</w:t>
            </w:r>
          </w:p>
          <w:p>
            <w:pPr>
              <w:pStyle w:val="Style2"/>
              <w:keepNext w:val="0"/>
              <w:keepLines w:val="0"/>
              <w:widowControl w:val="0"/>
              <w:shd w:val="clear" w:color="auto" w:fill="auto"/>
              <w:tabs>
                <w:tab w:pos="250"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总结分析成果，形成研究 报告；</w:t>
            </w:r>
          </w:p>
          <w:p>
            <w:pPr>
              <w:pStyle w:val="Style2"/>
              <w:keepNext w:val="0"/>
              <w:keepLines w:val="0"/>
              <w:widowControl w:val="0"/>
              <w:shd w:val="clear" w:color="auto" w:fill="auto"/>
              <w:tabs>
                <w:tab w:pos="230"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将研究成果应用到省内海 上风力发电设计项目中，并 争取拓宽省外风电业务市 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研究完成后，相关人 员具备对海上风电高 桩承台嵌岩基础施工 工艺有深刻的理解认 识，形成一套完整的海 上风电高桩承台嵌岩 基础施工工艺的工作 流程。相关成果可提高 本单位的嵌岩基础的 设计能力、施工组织能 力、研发实力，并可给 业主单位提供详实的 数据参考，有助于业主 决策。</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本研究的成果推广后， 可对海上风电行业产 生较大影响，还包括有 利于公司开拓省内及 省外海上风电市场，提 升企业科研水平，从而 创造良好的经济效率 和社会效益。</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海上风电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对于海上风电大直径单桩，风、浪、流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、单桩焊缝疲劳分析研究报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该项目取得的单桩疲</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482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rPr>
                <w:sz w:val="17"/>
                <w:szCs w:val="17"/>
              </w:rPr>
            </w:pPr>
            <w:r>
              <w:rPr>
                <w:color w:val="000000"/>
                <w:spacing w:val="0"/>
                <w:w w:val="100"/>
                <w:position w:val="0"/>
                <w:sz w:val="17"/>
                <w:szCs w:val="17"/>
              </w:rPr>
              <w:t>大直径单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桩焊缝疲</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劳分析研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等环境荷载交互作用引起疲劳损伤是影 响其安全的重要因素。对打桩过程和正 常使用阶段引发的大直径单桩焊缝疲劳 损伤进行分析，以满足打桩过程和正常 运营期中桩基焊缝不发生疲劳损坏的要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20" w:line="240" w:lineRule="auto"/>
              <w:ind w:left="0" w:right="0" w:firstLine="0"/>
              <w:jc w:val="left"/>
              <w:rPr>
                <w:sz w:val="17"/>
                <w:szCs w:val="17"/>
              </w:rPr>
            </w:pPr>
            <w:r>
              <w:rPr>
                <w:color w:val="000000"/>
                <w:spacing w:val="0"/>
                <w:w w:val="100"/>
                <w:position w:val="0"/>
                <w:sz w:val="17"/>
                <w:szCs w:val="17"/>
              </w:rPr>
              <w:t>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、单桩基础设计施工图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劳分析研究成果将极 大提升单桩基础的设 计水平，提升单桩基础 施工图质量，速度与效 率。</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项目研究成果有助于 提高公司海上风电设 计水平，为公司承接海 上风电设计业务提供 技术支持，有利于公司 开拓省内及省外海上 风电市场，提升企业科 研水平，从而创造良好 的经济效率和社会效 益。</w:t>
            </w:r>
            <w:r>
              <w:rPr>
                <w:rFonts w:ascii="Times New Roman" w:eastAsia="Times New Roman" w:hAnsi="Times New Roman" w:cs="Times New Roman"/>
                <w:color w:val="000000"/>
                <w:spacing w:val="0"/>
                <w:w w:val="100"/>
                <w:position w:val="0"/>
                <w:sz w:val="18"/>
                <w:szCs w:val="18"/>
              </w:rPr>
              <w:t>”</w:t>
            </w:r>
          </w:p>
        </w:tc>
      </w:tr>
      <w:tr>
        <w:trPr>
          <w:trHeight w:val="8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海上、陆 上风机基 础高强预 应力锚栓 连接段关 键技术研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陆上风力发电机组的基础投资占到总投 资的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%,机组由于基础原因而损坏的 比例达到了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%。因此风机基础是保证 风力发电机组安全稳定运行的一个重要 因素。</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传统风机基础多采用预埋在基础混凝土 中的基础环与风机塔筒连接；该基础型 式存在配筋量大、底法兰位置应力集中 导致局部混凝土破坏、基础环锚固效果 差等缺点。近些年来，风机应用的单机 容量越来越大，风机荷载也随之增加， 传统的基础环连接已经难以满足风机与 基础锚固连接计算的需求，现在越来越 多的风机混凝土基础采用高强预应力锚 栓与风机塔筒连接，包括陆上风机基础 及海上的高桩承台基础。</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风机基础高强预应力锚栓不同于常规的 高强螺栓，其承受了较大的风机动力荷 载，又是确保风机及基础连接安全的关 键部位，无论材质、加工工艺、检测、 细节设计、安装施工等方面均有较高要 求。目前国内尚未有风机基础高强预应 力锚栓的匹配规范，尤其海上预应力锚 栓施工又受限于海上恶劣的施工作业环 境，因此针对海上、陆上风机基础高强 预应力锚栓连接段关键技术开展研究是 很有必要的。</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4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编制完成海上、陆上风机 基础高强预应力锚栓连接段 关键技术研究报告，为后续 工程应用提供技术参考；</w:t>
            </w:r>
          </w:p>
          <w:p>
            <w:pPr>
              <w:pStyle w:val="Style2"/>
              <w:keepNext w:val="0"/>
              <w:keepLines w:val="0"/>
              <w:widowControl w:val="0"/>
              <w:shd w:val="clear" w:color="auto" w:fill="auto"/>
              <w:tabs>
                <w:tab w:pos="226" w:val="left"/>
              </w:tabs>
              <w:bidi w:val="0"/>
              <w:spacing w:before="0" w:after="12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对比分析国内外涉及锚栓 计算的规程规范，并总结编 制完成预应力锚栓计算报</w:t>
            </w:r>
          </w:p>
          <w:p>
            <w:pPr>
              <w:pStyle w:val="Style2"/>
              <w:keepNext w:val="0"/>
              <w:keepLines w:val="0"/>
              <w:widowControl w:val="0"/>
              <w:shd w:val="clear" w:color="auto" w:fill="auto"/>
              <w:bidi w:val="0"/>
              <w:spacing w:before="0" w:after="40" w:line="319" w:lineRule="exact"/>
              <w:ind w:left="0" w:right="0" w:firstLine="0"/>
              <w:jc w:val="left"/>
              <w:rPr>
                <w:sz w:val="17"/>
                <w:szCs w:val="17"/>
              </w:rPr>
            </w:pPr>
            <w:r>
              <w:rPr>
                <w:color w:val="000000"/>
                <w:spacing w:val="0"/>
                <w:w w:val="100"/>
                <w:position w:val="0"/>
                <w:sz w:val="17"/>
                <w:szCs w:val="17"/>
              </w:rPr>
              <w:t>告；</w:t>
            </w:r>
          </w:p>
          <w:p>
            <w:pPr>
              <w:pStyle w:val="Style2"/>
              <w:keepNext w:val="0"/>
              <w:keepLines w:val="0"/>
              <w:widowControl w:val="0"/>
              <w:shd w:val="clear" w:color="auto" w:fill="auto"/>
              <w:tabs>
                <w:tab w:pos="226" w:val="left"/>
              </w:tabs>
              <w:bidi w:val="0"/>
              <w:spacing w:before="0" w:after="8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形成配套的预应力锚栓组 件典型图纸。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本项目针对对海上、 陆上风机基础高强预 应力锚栓连接段加工、 设计及施工等关键技 术进行研究，形成的关 键技术研究报告可以 为后续实际工程应用 提供参考，可以加强公 司风电版块的技术储 备。</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本项目通过对比分析 国内外涉及锚栓计算 的规程规范，总结风机 基础高强预应力锚栓 连接段设计计算方法， 形成典型图纸，可以为 实际工程设计咨询提 供技术支撑，提高设计 效率，减少工程投资， 项目成果可以创造良 好的经济效益。</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陆上风电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陆上风力发电机组的基础投资占到总投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、针对地表长期水位较高的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本项目针对地表长期</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60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both"/>
              <w:rPr>
                <w:sz w:val="17"/>
                <w:szCs w:val="17"/>
              </w:rPr>
            </w:pPr>
            <w:r>
              <w:rPr>
                <w:color w:val="000000"/>
                <w:spacing w:val="0"/>
                <w:w w:val="100"/>
                <w:position w:val="0"/>
                <w:sz w:val="17"/>
                <w:szCs w:val="17"/>
              </w:rPr>
              <w:t>水下低桩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承台风机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基础研究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资的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%,机组由于基础原因而损坏的 比例达到了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%。因此风机基础是保证 风力发电机组安全稳定运行的一个重要 因素。</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传统陆上风机与基础的连接段锚栓均位 于洪潮水位以上，或仅洪潮灾害时短时 间泡水；海上风机基础均采用抬高基础 顶标高的措施来避免塔筒及基础连接段 泡水，如高桩承台基础。在水库区域或 湖滩区域汛期时，存在地表长期水位较 高的情况；在这类区域建设风电场时， 风机基础可采用高桩承台或底部设置混 凝土塔筒等型式来避免塔筒及基础连接 段长期泡水，但会导致风机基础造价很 高；若采用水下低桩承台方案则基础造 价相对较低，本项目将针对该类地表水 位较高区域的风机水下低桩承台基础开 展针对性研究，在降低基础造价的同时， 保证基础的安全可靠。</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3" w:lineRule="exact"/>
              <w:ind w:left="0" w:right="0" w:firstLine="0"/>
              <w:jc w:val="both"/>
              <w:rPr>
                <w:sz w:val="17"/>
                <w:szCs w:val="17"/>
              </w:rPr>
            </w:pPr>
            <w:r>
              <w:rPr>
                <w:color w:val="000000"/>
                <w:spacing w:val="0"/>
                <w:w w:val="100"/>
                <w:position w:val="0"/>
                <w:sz w:val="17"/>
                <w:szCs w:val="17"/>
              </w:rPr>
              <w:t>区域（例如：湖滩汛期），结 合实际工程项目，完成设计 总结报告，综合分析总结安 全、经济、施工便利的风机 基础方案；形成一套设计总 结报告及计算书，指导后续 同类项目。</w:t>
            </w:r>
          </w:p>
          <w:p>
            <w:pPr>
              <w:pStyle w:val="Style2"/>
              <w:keepNext w:val="0"/>
              <w:keepLines w:val="0"/>
              <w:widowControl w:val="0"/>
              <w:shd w:val="clear" w:color="auto" w:fill="auto"/>
              <w:tabs>
                <w:tab w:pos="230" w:val="left"/>
              </w:tabs>
              <w:bidi w:val="0"/>
              <w:spacing w:before="0" w:after="4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针对地表长期水位较高的 区域（例如：湖滩汛期），结 合实际工程项目，形成一套 针对性锚栓设计图，有效加 强锚栓的防腐、防水及抗风 险能力；</w:t>
            </w:r>
          </w:p>
          <w:p>
            <w:pPr>
              <w:pStyle w:val="Style2"/>
              <w:keepNext w:val="0"/>
              <w:keepLines w:val="0"/>
              <w:widowControl w:val="0"/>
              <w:shd w:val="clear" w:color="auto" w:fill="auto"/>
              <w:tabs>
                <w:tab w:pos="221"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针对地表长期水位较高的 区域（例如：湖滩汛期），结 合实际工程项目，完成一套 针对性风机基础标准图，有 效节约基础工程量；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水位较高的区域（例 如：湖滩汛期），形成 了一套完整、规范的陆 上风机水下低桩承台 基础总结报告、锚栓设 计图、风机基础标准施 工图、计算报告，便于 公司内部相关专业人 员培训及使用，可较大 程度提高特点情况下 风机基础设计的工作 效率和设计质量。</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本研究成果可节约该 类区域风电工程投资， 提高公司设计咨询及 总承包项目的市场竞 争力，并创造良好的经 济效益和社会效益。</w:t>
            </w:r>
            <w:r>
              <w:rPr>
                <w:rFonts w:ascii="Times New Roman" w:eastAsia="Times New Roman" w:hAnsi="Times New Roman" w:cs="Times New Roman"/>
                <w:color w:val="000000"/>
                <w:spacing w:val="0"/>
                <w:w w:val="100"/>
                <w:position w:val="0"/>
                <w:sz w:val="18"/>
                <w:szCs w:val="18"/>
              </w:rPr>
              <w:t>"</w:t>
            </w:r>
          </w:p>
        </w:tc>
      </w:tr>
      <w:tr>
        <w:trPr>
          <w:trHeight w:val="6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光热储一 体化电站 设计集成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太阳能光热发电是新能源利用的一个重 要方向。主要形式有槽式、塔式，碟式 （盘式）三种系统。光热发电最大的优 势在于电力输出平稳，可做基础电力、 可做调峰，另外其成熟可靠的储热（储 能）配置可以在夜间持续发电。</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太阳能光热发电是目前公司刚涉足的新 型发电业务，正在跟进甘肃光热储项目 前期工作。对于一种全新的发电业务， 需全面熟悉其工艺流程，其聚光系统、 吸热系统、蒸汽发生系统、储热系统、 热力系统、水处理系统、供水系统、电 气系统、热工附属控制系统等均需进行 全面梳理。</w:t>
            </w:r>
          </w:p>
          <w:p>
            <w:pPr>
              <w:pStyle w:val="Style2"/>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7"/>
                <w:szCs w:val="17"/>
              </w:rPr>
              <w:t>本课题为光热储一体化电站集成研究， 主要聚焦光热储项目工程全厂工艺流 程、储热（储能）系统容量设置、工程 方案设想等内容，为甘肃光热储项目落 地提供全面的技术支撑。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本课题为光热储一体化电站 集成研究，主要聚焦光热储 项目工程全厂工艺流程、储 热（储能）系统容量设置、 工程方案设想等内容，除为 甘肃光热储项目落地提供全 面的技术支撑外，在方案集 成的过程中加入更多的配置 优化、策略优化、商业模式 创新、动态经济测算评估、 布置优化思考等，逐步形成 公司光热储版块的标准化设 计，打造具有性能优、成本 低的具有竞争力的光热储标 准集成方案，为获取更多的 市场夯实基础。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太阳能光热发电，在有 太阳光时发电，通过储 热（储能）在夜晚也可 实现连续发电，，还可 以根据用户需求调节 发电能力，满足负荷调 节能力优于光伏发电、 风力发电，可用于电网 调峰等，光热发电业务 具有十分广阔的应用 场景。本课题通过对光 热储一体化电站集成 研究，逐步形成公司光 热储版块的标准化设 计，打造具有性能优、 成本低的具有竞争力 的光热储标准集成方 案，将有力推动太阳能 光热发电业务的市场 开拓，具有很好的研究 价值和推广可能性。</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矿山光储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项目设计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集成研究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位于非洲中部的刚果金盛产矿产资源且 种类繁多，其中</w:t>
            </w:r>
            <w:r>
              <w:rPr>
                <w:rFonts w:ascii="Times New Roman" w:eastAsia="Times New Roman" w:hAnsi="Times New Roman" w:cs="Times New Roman"/>
                <w:color w:val="000000"/>
                <w:spacing w:val="0"/>
                <w:w w:val="100"/>
                <w:position w:val="0"/>
                <w:sz w:val="18"/>
                <w:szCs w:val="18"/>
              </w:rPr>
              <w:t>Cu</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Co</w:t>
            </w:r>
            <w:r>
              <w:rPr>
                <w:color w:val="000000"/>
                <w:spacing w:val="0"/>
                <w:w w:val="100"/>
                <w:position w:val="0"/>
                <w:sz w:val="17"/>
                <w:szCs w:val="17"/>
              </w:rPr>
              <w:t>金属含量均居世 界前列。随着“一带一路”战略不断推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、研发“光储网柴一体化” 电力解决方案，形成标准设 计模板。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全面达到国外储能系 统集成先进水平要求， 项目全投资收益率高</w:t>
            </w:r>
          </w:p>
        </w:tc>
      </w:tr>
    </w:tbl>
    <w:p>
      <w:pPr>
        <w:spacing w:lineRule="exact" w:line="1"/>
        <w:rPr>
          <w:sz w:val="2"/>
          <w:szCs w:val="2"/>
        </w:rPr>
      </w:pPr>
      <w:r>
        <w:br w:type="page"/>
      </w:r>
    </w:p>
    <w:tbl>
      <w:tblPr>
        <w:tblOverlap w:val="never"/>
        <w:jc w:val="center"/>
        <w:tblLayout w:type="fixed"/>
      </w:tblPr>
      <w:tblGrid>
        <w:gridCol w:w="994"/>
        <w:gridCol w:w="3360"/>
        <w:gridCol w:w="859"/>
        <w:gridCol w:w="2414"/>
        <w:gridCol w:w="1958"/>
      </w:tblGrid>
      <w:tr>
        <w:trPr>
          <w:trHeight w:val="856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进，越来越多的中资企业在该区域，尤 其是东南部的加丹加省从事矿产资源生 产经营活动。随着矿业冶炼企业数量不 断增多，生产规模逐步扩大，而该国别 电力基础设施薄弱，供电率不足</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，电 力缺口十分巨大，经常出现不规律停电 现象，给企业正常生产造成巨大影响。</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基于增量思维，针对矿山电力供应痛点， 考虑光伏、水电等资源禀赋十分优越， 结合公司业务发展前景，可因地制宜利 用矿区空余场地装设光伏设施，满足自 发自用，盈余电力上网，并配置储能设 施用于柴发替代，形成“光储网柴一体 化”电力解决方案，将具有广阔应用及 推广前景。</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公司首次在海外项目涉及储能内容，通 过与宁德时代公司合作，对储能高压液 冷方案进行集成优化研究，具体包括布 置方案优化、辅助回路供电方案优化、 产品集成度提升设计等各方面，一方面 助于宁德时代高压液冷产品性能提升， 另一方面通过系统集成设计提高方案成 本优势，掌握更大的主观能动性。通过 项目实践，将其作为海外储能业务拓展 的标准模板，加强与宁德时代业务纽带 关系，助力时代永福合资公司在海外光 储业务版块取得开门红。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230" w:val="left"/>
              </w:tabs>
              <w:bidi w:val="0"/>
              <w:spacing w:before="0" w:after="4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具备对储能高压液冷方案 进行集成优化研究能力，在 布置方案、辅助回路供电方 案、产品集成度提升等各方 面进行研究，助于宁德时代 高压液冷产品性能提升，通 过系统集成设计提高方案成 本优势，掌握更大的主观能 动性。通过项目实践，将其 作为海外储能业务拓展的标 准模板，加强与宁德时代业 务纽带关系，助力时代永福 合资公司在海外光储业务版 块取得开门红。</w:t>
            </w:r>
          </w:p>
          <w:p>
            <w:pPr>
              <w:pStyle w:val="Style2"/>
              <w:keepNext w:val="0"/>
              <w:keepLines w:val="0"/>
              <w:widowControl w:val="0"/>
              <w:shd w:val="clear" w:color="auto" w:fill="auto"/>
              <w:tabs>
                <w:tab w:pos="221"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通过对投资建设条件等进 行详细的梳理，形成相应的 国别指南，指导新国别开展 业务，为项目决策、风险评 估等提供宏观支撑。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于公司设定目标值。</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借助本项目展开系统 性研究，形成标准模 板，建设一支基础知识 扎实，实践经验丰富的 科技攻关团队，为公司 培养至少</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人以上的 技术骨干，加强与宁德 时代业务纽带关系，助 力时代永福合资公司 在海外光储业务版块 取得开门红。</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通过基于增量思维的 光储网柴一体化电力 解决方案研究，形成富 有竞争力、综合性能指 标优的海外光储集成 方案，为公司形成具有 核心竞争力的先进“光 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储能”技术，打造 公司的光储品牌，助力 公司的进一步发展。</w:t>
            </w: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41~49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50~59 </w:t>
            </w:r>
            <w:r>
              <w:rPr>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55,597,471.77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30,226,859.02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40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、现金流</w:t>
      </w:r>
      <w:bookmarkEnd w:id="181"/>
      <w:bookmarkEnd w:id="182"/>
      <w:bookmarkEnd w:id="18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1,704,804,468.73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1,448,320,444.71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1,523,607,620.29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1,365,332,384.27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181,196,848.44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3,184,655.91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27,283,423.17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170,452,804.70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32,309,451.36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-167,268,148.79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-5,026,028.19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928,347,432.43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759,931,024.75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786,954,792.07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714,921,367.92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141,392,640.36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45,009,656.83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152,315,782.56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120,794,540.37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bl>
    <w:p>
      <w:pPr>
        <w:pStyle w:val="Style18"/>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4"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numPr>
          <w:ilvl w:val="0"/>
          <w:numId w:val="23"/>
        </w:numPr>
        <w:shd w:val="clear" w:color="auto" w:fill="auto"/>
        <w:tabs>
          <w:tab w:pos="310" w:val="left"/>
        </w:tabs>
        <w:bidi w:val="0"/>
        <w:spacing w:before="0" w:after="0" w:line="322" w:lineRule="exact"/>
        <w:ind w:left="0" w:right="0" w:firstLine="0"/>
        <w:jc w:val="left"/>
      </w:pPr>
      <w:bookmarkStart w:id="185" w:name="bookmark185"/>
      <w:bookmarkEnd w:id="185"/>
      <w:r>
        <w:rPr>
          <w:color w:val="000000"/>
          <w:spacing w:val="0"/>
          <w:w w:val="100"/>
          <w:position w:val="0"/>
        </w:rPr>
        <w:t>经营活动现金流入较上年度增长</w:t>
      </w:r>
      <w:r>
        <w:rPr>
          <w:rFonts w:ascii="Times New Roman" w:eastAsia="Times New Roman" w:hAnsi="Times New Roman" w:cs="Times New Roman"/>
          <w:color w:val="000000"/>
          <w:spacing w:val="0"/>
          <w:w w:val="100"/>
          <w:position w:val="0"/>
          <w:sz w:val="18"/>
          <w:szCs w:val="18"/>
        </w:rPr>
        <w:t>17.71%</w:t>
      </w:r>
      <w:r>
        <w:rPr>
          <w:color w:val="000000"/>
          <w:spacing w:val="0"/>
          <w:w w:val="100"/>
          <w:position w:val="0"/>
        </w:rPr>
        <w:t>,主要原因：一、收回以往年度垫资的工程款项；二、疫情对公司业务的影响降低， 业务量较上年增长，收回的工程款较上年增加。</w:t>
      </w:r>
    </w:p>
    <w:p>
      <w:pPr>
        <w:pStyle w:val="Style18"/>
        <w:keepNext w:val="0"/>
        <w:keepLines w:val="0"/>
        <w:widowControl w:val="0"/>
        <w:numPr>
          <w:ilvl w:val="0"/>
          <w:numId w:val="23"/>
        </w:numPr>
        <w:shd w:val="clear" w:color="auto" w:fill="auto"/>
        <w:tabs>
          <w:tab w:pos="320" w:val="left"/>
        </w:tabs>
        <w:bidi w:val="0"/>
        <w:spacing w:before="0" w:line="322" w:lineRule="exact"/>
        <w:ind w:left="0" w:right="0" w:firstLine="0"/>
        <w:jc w:val="left"/>
        <w:sectPr>
          <w:footnotePr>
            <w:pos w:val="pageBottom"/>
            <w:numFmt w:val="decimal"/>
            <w:numRestart w:val="continuous"/>
          </w:footnotePr>
          <w:pgSz w:w="11900" w:h="16840"/>
          <w:pgMar w:top="1551" w:right="1076" w:bottom="1374" w:left="1012" w:header="0" w:footer="3" w:gutter="0"/>
          <w:cols w:space="720"/>
          <w:noEndnote/>
          <w:rtlGutter w:val="0"/>
          <w:docGrid w:linePitch="360"/>
        </w:sectPr>
      </w:pPr>
      <w:bookmarkStart w:id="186" w:name="bookmark186"/>
      <w:bookmarkEnd w:id="186"/>
      <w:r>
        <w:rPr>
          <w:color w:val="000000"/>
          <w:spacing w:val="0"/>
          <w:w w:val="100"/>
          <w:position w:val="0"/>
        </w:rPr>
        <w:t>经营活动现金流出较上年度增长</w:t>
      </w:r>
      <w:r>
        <w:rPr>
          <w:rFonts w:ascii="Times New Roman" w:eastAsia="Times New Roman" w:hAnsi="Times New Roman" w:cs="Times New Roman"/>
          <w:color w:val="000000"/>
          <w:spacing w:val="0"/>
          <w:w w:val="100"/>
          <w:position w:val="0"/>
          <w:sz w:val="18"/>
          <w:szCs w:val="18"/>
        </w:rPr>
        <w:t>11.59%</w:t>
      </w:r>
      <w:r>
        <w:rPr>
          <w:color w:val="000000"/>
          <w:spacing w:val="0"/>
          <w:w w:val="100"/>
          <w:position w:val="0"/>
        </w:rPr>
        <w:t>,主要原因：一、报告期内支付</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工程项目设备、施工分包款项增加；二、公司</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25" w:lineRule="exact"/>
        <w:ind w:left="0" w:right="0" w:firstLine="582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因业务量增加，职工薪酬支出以及支付的其他与经营活动关联的资金支出同步增长。</w:t>
      </w:r>
    </w:p>
    <w:p>
      <w:pPr>
        <w:pStyle w:val="Style18"/>
        <w:keepNext w:val="0"/>
        <w:keepLines w:val="0"/>
        <w:widowControl w:val="0"/>
        <w:numPr>
          <w:ilvl w:val="0"/>
          <w:numId w:val="23"/>
        </w:numPr>
        <w:shd w:val="clear" w:color="auto" w:fill="auto"/>
        <w:bidi w:val="0"/>
        <w:spacing w:before="0" w:after="0" w:line="325" w:lineRule="exact"/>
        <w:ind w:left="0" w:right="0" w:firstLine="0"/>
        <w:jc w:val="both"/>
      </w:pPr>
      <w:bookmarkStart w:id="187" w:name="bookmark187"/>
      <w:bookmarkEnd w:id="187"/>
      <w:r>
        <w:rPr>
          <w:color w:val="000000"/>
          <w:spacing w:val="0"/>
          <w:w w:val="100"/>
          <w:position w:val="0"/>
        </w:rPr>
        <w:t>投资活动现金流入较上年度下降</w:t>
      </w:r>
      <w:r>
        <w:rPr>
          <w:rFonts w:ascii="Times New Roman" w:eastAsia="Times New Roman" w:hAnsi="Times New Roman" w:cs="Times New Roman"/>
          <w:color w:val="000000"/>
          <w:spacing w:val="0"/>
          <w:w w:val="100"/>
          <w:position w:val="0"/>
          <w:sz w:val="18"/>
          <w:szCs w:val="18"/>
        </w:rPr>
        <w:t>88.33%</w:t>
      </w:r>
      <w:r>
        <w:rPr>
          <w:color w:val="000000"/>
          <w:spacing w:val="0"/>
          <w:w w:val="100"/>
          <w:position w:val="0"/>
        </w:rPr>
        <w:t>，主要原因：一、上年收到转让永福运维股权款；二、子公司收回理财产品，以及 报告期内交割衍生品的收益较上年度减少。</w:t>
      </w:r>
    </w:p>
    <w:p>
      <w:pPr>
        <w:pStyle w:val="Style18"/>
        <w:keepNext w:val="0"/>
        <w:keepLines w:val="0"/>
        <w:widowControl w:val="0"/>
        <w:numPr>
          <w:ilvl w:val="0"/>
          <w:numId w:val="23"/>
        </w:numPr>
        <w:shd w:val="clear" w:color="auto" w:fill="auto"/>
        <w:bidi w:val="0"/>
        <w:spacing w:before="0" w:after="0" w:line="325" w:lineRule="exact"/>
        <w:ind w:left="0" w:right="0" w:firstLine="0"/>
        <w:jc w:val="both"/>
      </w:pPr>
      <w:bookmarkStart w:id="188" w:name="bookmark188"/>
      <w:bookmarkEnd w:id="188"/>
      <w:r>
        <w:rPr>
          <w:color w:val="000000"/>
          <w:spacing w:val="0"/>
          <w:w w:val="100"/>
          <w:position w:val="0"/>
        </w:rPr>
        <w:t>投资活动现金流出较上年度增长</w:t>
      </w:r>
      <w:r>
        <w:rPr>
          <w:rFonts w:ascii="Times New Roman" w:eastAsia="Times New Roman" w:hAnsi="Times New Roman" w:cs="Times New Roman"/>
          <w:color w:val="000000"/>
          <w:spacing w:val="0"/>
          <w:w w:val="100"/>
          <w:position w:val="0"/>
          <w:sz w:val="18"/>
          <w:szCs w:val="18"/>
        </w:rPr>
        <w:t>427.56%</w:t>
      </w:r>
      <w:r>
        <w:rPr>
          <w:color w:val="000000"/>
          <w:spacing w:val="0"/>
          <w:w w:val="100"/>
          <w:position w:val="0"/>
        </w:rPr>
        <w:t>，主要原因：报告期内新增对时代永福科技有限公司、北京索英电气技术有限公 司、上海快卜新能源科技有限公司、一道新能源科技（衢州）有限公司、攀枝花三能新能源有限公司的投资。</w:t>
      </w:r>
    </w:p>
    <w:p>
      <w:pPr>
        <w:pStyle w:val="Style18"/>
        <w:keepNext w:val="0"/>
        <w:keepLines w:val="0"/>
        <w:widowControl w:val="0"/>
        <w:numPr>
          <w:ilvl w:val="0"/>
          <w:numId w:val="23"/>
        </w:numPr>
        <w:shd w:val="clear" w:color="auto" w:fill="auto"/>
        <w:bidi w:val="0"/>
        <w:spacing w:before="0" w:after="0" w:line="322" w:lineRule="exact"/>
        <w:ind w:left="0" w:right="0" w:firstLine="0"/>
        <w:jc w:val="both"/>
      </w:pPr>
      <w:bookmarkStart w:id="189" w:name="bookmark189"/>
      <w:bookmarkEnd w:id="189"/>
      <w:r>
        <w:rPr>
          <w:color w:val="000000"/>
          <w:spacing w:val="0"/>
          <w:w w:val="100"/>
          <w:position w:val="0"/>
        </w:rPr>
        <w:t>筹资活动流入较上年度增长</w:t>
      </w:r>
      <w:r>
        <w:rPr>
          <w:rFonts w:ascii="Times New Roman" w:eastAsia="Times New Roman" w:hAnsi="Times New Roman" w:cs="Times New Roman"/>
          <w:color w:val="000000"/>
          <w:spacing w:val="0"/>
          <w:w w:val="100"/>
          <w:position w:val="0"/>
          <w:sz w:val="18"/>
          <w:szCs w:val="18"/>
        </w:rPr>
        <w:t>22.16%</w:t>
      </w:r>
      <w:r>
        <w:rPr>
          <w:color w:val="000000"/>
          <w:spacing w:val="0"/>
          <w:w w:val="100"/>
          <w:position w:val="0"/>
        </w:rPr>
        <w:t>，主要原因：报告期内为了支持公司业务量增加，筹集的银行借款较上年增加，同时向 股东福州永福恒诚投资管理股份有限公司、福州博宏投资管理有限公司的借款增加。</w:t>
      </w:r>
    </w:p>
    <w:p>
      <w:pPr>
        <w:pStyle w:val="Style18"/>
        <w:keepNext w:val="0"/>
        <w:keepLines w:val="0"/>
        <w:widowControl w:val="0"/>
        <w:numPr>
          <w:ilvl w:val="0"/>
          <w:numId w:val="23"/>
        </w:numPr>
        <w:shd w:val="clear" w:color="auto" w:fill="auto"/>
        <w:bidi w:val="0"/>
        <w:spacing w:before="0" w:after="0" w:line="322" w:lineRule="exact"/>
        <w:ind w:left="0" w:right="0" w:firstLine="0"/>
        <w:jc w:val="both"/>
      </w:pPr>
      <w:bookmarkStart w:id="190" w:name="bookmark190"/>
      <w:bookmarkEnd w:id="190"/>
      <w:r>
        <w:rPr>
          <w:color w:val="000000"/>
          <w:spacing w:val="0"/>
          <w:w w:val="100"/>
          <w:position w:val="0"/>
        </w:rPr>
        <w:t>筹资活动流出较上年度增长</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，主要原因是：报告期内归还股东福州永福恒诚投资管理股份有限公司、福州博宏投资 管理有限公司的借款增加。</w:t>
      </w:r>
    </w:p>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23"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一、以往年度垫资的工程款项收回，导致经营活动产生的现金净流量增加；二、本年度股权激励产生的股份支付减少了本年 度净利润，而此部分没有产生现金流出。</w:t>
      </w:r>
    </w:p>
    <w:p>
      <w:pPr>
        <w:pStyle w:val="Style22"/>
        <w:keepNext/>
        <w:keepLines/>
        <w:widowControl w:val="0"/>
        <w:shd w:val="clear" w:color="auto" w:fill="auto"/>
        <w:bidi w:val="0"/>
        <w:spacing w:before="0" w:after="24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五</w:t>
      </w:r>
      <w:bookmarkEnd w:id="193"/>
      <w:r>
        <w:rPr>
          <w:color w:val="000000"/>
          <w:spacing w:val="0"/>
          <w:w w:val="100"/>
          <w:position w:val="0"/>
          <w:sz w:val="24"/>
          <w:szCs w:val="24"/>
        </w:rPr>
        <w:t>、非主营业务情况</w:t>
      </w:r>
      <w:bookmarkEnd w:id="191"/>
      <w:bookmarkEnd w:id="192"/>
      <w:bookmarkEnd w:id="194"/>
    </w:p>
    <w:p>
      <w:pPr>
        <w:pStyle w:val="Style18"/>
        <w:keepNext w:val="0"/>
        <w:keepLines w:val="0"/>
        <w:widowControl w:val="0"/>
        <w:shd w:val="clear" w:color="auto" w:fill="auto"/>
        <w:bidi w:val="0"/>
        <w:spacing w:before="0" w:after="160" w:line="323"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20,868,921.10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报告期内参股公司海电 运维、甘肃电通盈利确认 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公允价值变动损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848,271.06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报告期内汇率波动导致 灵活远期金融衍生品交 易价值上升。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-7,905,083.39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报告期内计提的合同资 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307,008.39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调整收购攀枝花三能新 能源有限公司合并成本 小于取得的可辨认净资 产公允价值份额的差额。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报告期内固定资产报废 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-15,659,216.80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根据应收账款政策计提 的信用减值损失。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27,453,675.11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31" w:val="left"/>
              </w:tabs>
              <w:bidi w:val="0"/>
              <w:spacing w:before="0" w:after="120" w:line="240" w:lineRule="auto"/>
              <w:ind w:left="0" w:right="0" w:firstLine="0"/>
              <w:jc w:val="both"/>
              <w:rPr>
                <w:sz w:val="17"/>
                <w:szCs w:val="17"/>
              </w:rPr>
            </w:pPr>
            <w:r>
              <w:rPr>
                <w:color w:val="000000"/>
                <w:spacing w:val="0"/>
                <w:w w:val="100"/>
                <w:position w:val="0"/>
                <w:sz w:val="17"/>
                <w:szCs w:val="17"/>
              </w:rPr>
              <w:t>一、</w:t>
              <w:tab/>
              <w:t>收到与公司日常经营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活动相关的政府补助；</w:t>
            </w:r>
          </w:p>
          <w:p>
            <w:pPr>
              <w:pStyle w:val="Style2"/>
              <w:keepNext w:val="0"/>
              <w:keepLines w:val="0"/>
              <w:widowControl w:val="0"/>
              <w:shd w:val="clear" w:color="auto" w:fill="auto"/>
              <w:tabs>
                <w:tab w:pos="326" w:val="left"/>
              </w:tabs>
              <w:bidi w:val="0"/>
              <w:spacing w:before="0" w:after="120" w:line="240" w:lineRule="auto"/>
              <w:ind w:left="0" w:right="0" w:firstLine="0"/>
              <w:jc w:val="both"/>
              <w:rPr>
                <w:sz w:val="17"/>
                <w:szCs w:val="17"/>
              </w:rPr>
            </w:pPr>
            <w:r>
              <w:rPr>
                <w:color w:val="000000"/>
                <w:spacing w:val="0"/>
                <w:w w:val="100"/>
                <w:position w:val="0"/>
                <w:sz w:val="17"/>
                <w:szCs w:val="17"/>
              </w:rPr>
              <w:t>二、</w:t>
              <w:tab/>
              <w:t>增值税进项税加计抵</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与本公司日常活动相关的 政府补助不具有可持续性， 增值税优惠政策（进项税加 计抵减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）具有可持续性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报告期内固定资产处置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1531"/>
        <w:gridCol w:w="1915"/>
        <w:gridCol w:w="1622"/>
        <w:gridCol w:w="2170"/>
        <w:gridCol w:w="2347"/>
      </w:tblGrid>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六</w:t>
      </w:r>
      <w:bookmarkEnd w:id="197"/>
      <w:r>
        <w:rPr>
          <w:color w:val="000000"/>
          <w:spacing w:val="0"/>
          <w:w w:val="100"/>
          <w:position w:val="0"/>
          <w:sz w:val="24"/>
          <w:szCs w:val="24"/>
        </w:rPr>
        <w:t>、资产及负债状况分析</w:t>
      </w:r>
      <w:bookmarkEnd w:id="195"/>
      <w:bookmarkEnd w:id="196"/>
      <w:bookmarkEnd w:id="198"/>
    </w:p>
    <w:p>
      <w:pPr>
        <w:pStyle w:val="Style32"/>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、资产构成重大变动情况</w:t>
      </w:r>
      <w:bookmarkEnd w:id="199"/>
      <w:bookmarkEnd w:id="200"/>
      <w:bookmarkEnd w:id="20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528,088,026.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354,828,525.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主要原因是：临近年度末回款金额 较上年度同期增加，致期末货币持 有量较上年度增加。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646,698,873.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647,202,706.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687,192,950.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580,086,759.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156,614,174.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147,771,898.</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5,596,283.13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109,441,857.</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34,477,005.2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主要原因是：一、新增对时代永福 科技有限公司投资；二、福建海电 运维科技有限责任公司、甘肃电通 电力工程设计咨询有限公司确认的 投资收益。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229,974,364.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230,615,655.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172,774,799.</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主要原因是：本年度收购的控股子 公司攀枝花三能新能源有限公司， 其在建的攀枝花钒钛高新技术产业 开发区综合节能减排项目。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3,798,718.50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694,921,964.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590,579,784.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164,138,751.</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65,219,648.9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主要原因是：收到中铁大桥局浙能 嵊泗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号海上风电场工程风机安装 项目和菲律宾国家电网项目的预收 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52,620,000.0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主要原因是：公司调整融资结构， 新增一年以上银行借款。</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2,923,764.14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3,925,306.19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主要原因是：报告期末尚未交割的 远期结汇业务量较年初增加。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主要原因是：报告期末尚未承兑的 商业承兑汇票较上年末减少。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272,842,963.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83,894,494.3</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主要原因是：为锁定海上风电安装 船用于开展海上风电</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总承包 业务，预付安装款增加。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14,404,830.7</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主要原因是：本期末收到客户银行 承兑汇票未到期金额较年初减少。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35,159,838.2</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主要原因是：报告期末增值税留抵 税额增加。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27,359,198.8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15,314,882.6</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主要原因是：股份支付确认的递延 所得税资产。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61,050,260.3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10,987,318.6</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主要原因是：增加对参股公司北京 索英电气技术有限公司、上海快卜 新能源科技有限公司、一道新能源 科技（衢州）有限公司的投资。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283,562.89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主要原因是：房屋装修费用摊销致 长期待摊费用减少。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5,139,678.45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主要原因是：预付的固定资产和无 形资产款较年初增加。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240,703,752.</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175,238,848.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主要原因是：使用银行承兑汇票作 为结算工具增加且未到期汇票金额 较年初增加。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544,878,699.</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239,781,080.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主要原因是：随着公司</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 承包业务的增长，应付账款规模相 应增长。</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27,418,348.8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16,732,690.8</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主要原因是:本年度薪酬规模增加， 以及期末已计提尚未发放的绩效工 资较上年度增加。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82,547,056.6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43,366,086.0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主要原因是：代收到业主支付给总 承包项目联合体参与方的款项，期 末尚未代付的款项增加。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702,266.39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主要原因是：合同负债中的预收账 款增加，相应的销项税增加。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一年内到期的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5,064,499.46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1,035,164.66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主要原因是：报告期末银行长期借 款一年内需要归还的本金较年初增 加。</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主要原因是：本年度收购攀枝花三 能新能源有限公司，其获取的政府 补助与资产相关。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-296,368.74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主要原因是：其他权益工具公允价 值变动产生以及外币报表折算差 额。</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51,712,515.7</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15,202,838.1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主要原因是：本年度收购攀枝花三 能新能源有限公司，非同一控制企 业合并新增少数股东权益。</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资产的具 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保障资产</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安全性的</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境外资产 占公司净 资产的比 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是否存在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重大减值</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5967.02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2748.82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left"/>
              <w:rPr>
                <w:sz w:val="17"/>
                <w:szCs w:val="17"/>
              </w:rPr>
            </w:pPr>
            <w:r>
              <w:rPr>
                <w:color w:val="000000"/>
                <w:spacing w:val="0"/>
                <w:w w:val="100"/>
                <w:position w:val="0"/>
                <w:sz w:val="17"/>
                <w:szCs w:val="17"/>
              </w:rPr>
              <w:t>购买建设 期工程保 险</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NO:SBC/H O/ENGG/E AR/PUB/P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尚未结算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总包项目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46.33</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462.85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427.23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549.52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特许权使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220.21 </w:t>
            </w:r>
            <w:r>
              <w:rPr>
                <w:color w:val="000000"/>
                <w:spacing w:val="0"/>
                <w:w w:val="100"/>
                <w:position w:val="0"/>
                <w:sz w:val="17"/>
                <w:szCs w:val="17"/>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特许经营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、以公允价值计量的资产和负债</w:t>
      </w:r>
      <w:bookmarkEnd w:id="203"/>
      <w:bookmarkEnd w:id="204"/>
      <w:bookmarkEnd w:id="206"/>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价值变动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提的减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其他变 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456"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金融资产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914,018.7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594,712.91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337,640.81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114,802,290.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117,046,51</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894,649.00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益工具投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10,987,31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53,441.71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61,050,260.3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11,901,33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912,983.97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53,441.71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164,811,790.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117,641,23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62,282,550.1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5,531,704.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31,984,482.1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23,111,356.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14,404,830.7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17,433,04</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912,983.97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53,441.71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196,796,272.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140,752,58</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76,687,380.9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其他变动为衍生金融资产的投资收益。</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bidi w:val="0"/>
        <w:spacing w:before="0" w:after="2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、截至报告期末的资产权利受限情况</w:t>
      </w:r>
      <w:bookmarkEnd w:id="207"/>
      <w:bookmarkEnd w:id="208"/>
      <w:bookmarkEnd w:id="210"/>
    </w:p>
    <w:p>
      <w:pPr>
        <w:pStyle w:val="Style1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18"/>
          <w:szCs w:val="18"/>
        </w:rPr>
        <w:t>83,588,737.73</w:t>
      </w:r>
      <w:r>
        <w:rPr>
          <w:color w:val="000000"/>
          <w:spacing w:val="0"/>
          <w:w w:val="100"/>
          <w:position w:val="0"/>
        </w:rPr>
        <w:t>元为本公司向银行申请开具的应付票据的保证金；其他货币 资金中人民币</w:t>
      </w:r>
      <w:r>
        <w:rPr>
          <w:rFonts w:ascii="Times New Roman" w:eastAsia="Times New Roman" w:hAnsi="Times New Roman" w:cs="Times New Roman"/>
          <w:color w:val="000000"/>
          <w:spacing w:val="0"/>
          <w:w w:val="100"/>
          <w:position w:val="0"/>
          <w:sz w:val="18"/>
          <w:szCs w:val="18"/>
        </w:rPr>
        <w:t>82,059,758.21</w:t>
      </w:r>
      <w:r>
        <w:rPr>
          <w:color w:val="000000"/>
          <w:spacing w:val="0"/>
          <w:w w:val="100"/>
          <w:position w:val="0"/>
        </w:rPr>
        <w:t>元为本公司向银行申请开具无条件、不可撤销的担保函所存入的保证金存款。公司由于涉及诉讼 事项，中石化工建设有限公司昆明分公司于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日向法院申请资产保全，法院冻结永福股份</w:t>
      </w:r>
      <w:r>
        <w:rPr>
          <w:rFonts w:ascii="Times New Roman" w:eastAsia="Times New Roman" w:hAnsi="Times New Roman" w:cs="Times New Roman"/>
          <w:color w:val="000000"/>
          <w:spacing w:val="0"/>
          <w:w w:val="100"/>
          <w:position w:val="0"/>
          <w:sz w:val="18"/>
          <w:szCs w:val="18"/>
        </w:rPr>
        <w:t>5,441,869.60</w:t>
      </w:r>
      <w:r>
        <w:rPr>
          <w:color w:val="000000"/>
          <w:spacing w:val="0"/>
          <w:w w:val="100"/>
          <w:position w:val="0"/>
        </w:rPr>
        <w:t>元银行存款，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日，冻结尚未解除，截至报告日，原被告双方已达成调解方案和金额，金额为</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万元，法院已出具调解 书，账户已解封，该案件已结案。具体情况如下：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3019"/>
        <w:gridCol w:w="2659"/>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165,648,495.94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144,704,777.30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849,814.76</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171,090,365.54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150,996,461.66</w:t>
            </w:r>
          </w:p>
        </w:tc>
      </w:tr>
    </w:tbl>
    <w:p>
      <w:pPr>
        <w:sectPr>
          <w:footnotePr>
            <w:pos w:val="pageBottom"/>
            <w:numFmt w:val="decimal"/>
            <w:numRestart w:val="continuous"/>
          </w:footnotePr>
          <w:pgSz w:w="11900" w:h="16840"/>
          <w:pgMar w:top="1537" w:right="1071" w:bottom="1430" w:left="1056" w:header="0" w:footer="3" w:gutter="0"/>
          <w:cols w:space="720"/>
          <w:noEndnote/>
          <w:rtlGutter w:val="0"/>
          <w:docGrid w:linePitch="360"/>
        </w:sectPr>
      </w:pPr>
    </w:p>
    <w:p>
      <w:pPr>
        <w:pStyle w:val="Style59"/>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永福</w:t>
      </w:r>
    </w:p>
    <w:p>
      <w:pPr>
        <w:pStyle w:val="Style22"/>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、投资状况分析</w:t>
      </w:r>
      <w:bookmarkEnd w:id="211"/>
      <w:bookmarkEnd w:id="212"/>
      <w:bookmarkEnd w:id="214"/>
    </w:p>
    <w:p>
      <w:pPr>
        <w:pStyle w:val="Style32"/>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、总体情况</w:t>
      </w:r>
      <w:bookmarkEnd w:id="215"/>
      <w:bookmarkEnd w:id="216"/>
      <w:bookmarkEnd w:id="218"/>
    </w:p>
    <w:p>
      <w:pPr>
        <w:pStyle w:val="Style18"/>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371,681,056.00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47,653,602.81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679.96%</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报告期内获取的重大的股权投资情况</w:t>
      </w:r>
      <w:bookmarkEnd w:id="219"/>
      <w:bookmarkEnd w:id="220"/>
      <w:bookmarkEnd w:id="22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报告期内正在进行的重大的非股权投资情况</w:t>
      </w:r>
      <w:bookmarkEnd w:id="223"/>
      <w:bookmarkEnd w:id="224"/>
      <w:bookmarkEnd w:id="22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4</w:t>
      </w:r>
      <w:bookmarkEnd w:id="229"/>
      <w:r>
        <w:rPr>
          <w:color w:val="000000"/>
          <w:spacing w:val="0"/>
          <w:w w:val="100"/>
          <w:position w:val="0"/>
        </w:rPr>
        <w:t>、</w:t>
        <w:tab/>
        <w:t>以公允价值计量的金融资产</w:t>
      </w:r>
      <w:bookmarkEnd w:id="227"/>
      <w:bookmarkEnd w:id="228"/>
      <w:bookmarkEnd w:id="230"/>
    </w:p>
    <w:p>
      <w:pPr>
        <w:pStyle w:val="Style18"/>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初始投</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价值变动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报告期内购</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5,531,70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31,984,482.1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14,404,83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914,018.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18,334.97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10,987,3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53,441.71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61,050,26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114,802,290.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894,649.0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17,433,0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912,983.97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53,441.71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196,796,272.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76,687,38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5</w:t>
      </w:r>
      <w:bookmarkEnd w:id="233"/>
      <w:r>
        <w:rPr>
          <w:color w:val="000000"/>
          <w:spacing w:val="0"/>
          <w:w w:val="100"/>
          <w:position w:val="0"/>
        </w:rPr>
        <w:t>、募集资金使用情况</w:t>
      </w:r>
      <w:bookmarkEnd w:id="231"/>
      <w:bookmarkEnd w:id="232"/>
      <w:bookmarkEnd w:id="234"/>
    </w:p>
    <w:p>
      <w:pPr>
        <w:pStyle w:val="Style18"/>
        <w:keepNext w:val="0"/>
        <w:keepLines w:val="0"/>
        <w:widowControl w:val="0"/>
        <w:numPr>
          <w:ilvl w:val="0"/>
          <w:numId w:val="25"/>
        </w:numPr>
        <w:shd w:val="clear" w:color="auto" w:fill="auto"/>
        <w:tabs>
          <w:tab w:pos="291" w:val="left"/>
          <w:tab w:pos="762" w:val="left"/>
        </w:tabs>
        <w:bidi w:val="0"/>
        <w:spacing w:before="0" w:after="360" w:line="240" w:lineRule="auto"/>
        <w:ind w:left="0" w:right="0" w:firstLine="0"/>
        <w:jc w:val="left"/>
      </w:pPr>
      <w:bookmarkStart w:id="235" w:name="bookmark235"/>
      <w:bookmarkEnd w:id="235"/>
      <w:r>
        <w:rPr>
          <w:color w:val="000000"/>
          <w:spacing w:val="0"/>
          <w:w w:val="100"/>
          <w:position w:val="0"/>
        </w:rPr>
        <w:t>适用</w:t>
        <w:tab/>
        <w:t>□ 不适用</w:t>
      </w:r>
    </w:p>
    <w:p>
      <w:pPr>
        <w:pStyle w:val="Style50"/>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6"/>
      <w:bookmarkEnd w:id="237"/>
      <w:bookmarkEnd w:id="239"/>
    </w:p>
    <w:p>
      <w:pPr>
        <w:pStyle w:val="Style18"/>
        <w:keepNext w:val="0"/>
        <w:keepLines w:val="0"/>
        <w:widowControl w:val="0"/>
        <w:numPr>
          <w:ilvl w:val="0"/>
          <w:numId w:val="25"/>
        </w:numPr>
        <w:shd w:val="clear" w:color="auto" w:fill="auto"/>
        <w:tabs>
          <w:tab w:pos="291" w:val="left"/>
          <w:tab w:pos="762" w:val="left"/>
        </w:tabs>
        <w:bidi w:val="0"/>
        <w:spacing w:before="0" w:line="240" w:lineRule="auto"/>
        <w:ind w:left="0" w:right="0" w:firstLine="0"/>
        <w:jc w:val="both"/>
      </w:pPr>
      <w:bookmarkStart w:id="240" w:name="bookmark240"/>
      <w:bookmarkEnd w:id="240"/>
      <w:r>
        <w:rPr>
          <w:color w:val="000000"/>
          <w:spacing w:val="0"/>
          <w:w w:val="100"/>
          <w:position w:val="0"/>
        </w:rPr>
        <w:t>适用</w:t>
        <w:tab/>
        <w:t>□ 不适用</w:t>
      </w:r>
    </w:p>
    <w:p>
      <w:pPr>
        <w:pStyle w:val="Style18"/>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014" w:right="1071" w:bottom="1201" w:left="1066" w:header="0" w:footer="3" w:gutter="0"/>
          <w:cols w:space="720"/>
          <w:noEndnote/>
          <w:rtlGutter w:val="0"/>
          <w:docGrid w:linePitch="360"/>
        </w:sectPr>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本期已</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使用募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集资金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已累计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使用募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集资金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rPr>
                <w:sz w:val="17"/>
                <w:szCs w:val="17"/>
              </w:rPr>
            </w:pPr>
            <w:r>
              <w:rPr>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闲置两 年以上 募集资 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首次公</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开发行</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股票并 在创业 板上市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520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color w:val="000000"/>
                <w:spacing w:val="0"/>
                <w:w w:val="100"/>
                <w:position w:val="0"/>
                <w:sz w:val="17"/>
                <w:szCs w:val="17"/>
              </w:rPr>
              <w:t>经中国证券监督管理委员会《关于核准福建永福电力设计股份有限公司首次公开发行股票的批复》（证监许可〔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1780</w:t>
            </w:r>
            <w:r>
              <w:rPr>
                <w:color w:val="000000"/>
                <w:spacing w:val="0"/>
                <w:w w:val="100"/>
                <w:position w:val="0"/>
                <w:sz w:val="17"/>
                <w:szCs w:val="17"/>
              </w:rPr>
              <w:t>号）核准，由主承销商华创证券有限责任公司采用网下询价配售与网上资金申购定价发行相结合的方式发行人民币 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35,020,000.00</w:t>
            </w:r>
            <w:r>
              <w:rPr>
                <w:color w:val="000000"/>
                <w:spacing w:val="0"/>
                <w:w w:val="100"/>
                <w:position w:val="0"/>
                <w:sz w:val="17"/>
                <w:szCs w:val="17"/>
              </w:rPr>
              <w:t>股，发行价格为每股</w:t>
            </w:r>
            <w:r>
              <w:rPr>
                <w:rFonts w:ascii="Times New Roman" w:eastAsia="Times New Roman" w:hAnsi="Times New Roman" w:cs="Times New Roman"/>
                <w:color w:val="000000"/>
                <w:spacing w:val="0"/>
                <w:w w:val="100"/>
                <w:position w:val="0"/>
                <w:sz w:val="18"/>
                <w:szCs w:val="18"/>
              </w:rPr>
              <w:t>11.82</w:t>
            </w:r>
            <w:r>
              <w:rPr>
                <w:color w:val="000000"/>
                <w:spacing w:val="0"/>
                <w:w w:val="100"/>
                <w:position w:val="0"/>
                <w:sz w:val="17"/>
                <w:szCs w:val="17"/>
              </w:rPr>
              <w:t>元。</w:t>
            </w:r>
          </w:p>
          <w:p>
            <w:pPr>
              <w:pStyle w:val="Style2"/>
              <w:keepNext w:val="0"/>
              <w:keepLines w:val="0"/>
              <w:widowControl w:val="0"/>
              <w:shd w:val="clear" w:color="auto" w:fill="auto"/>
              <w:bidi w:val="0"/>
              <w:spacing w:before="0" w:after="40" w:line="313" w:lineRule="exact"/>
              <w:ind w:left="0" w:right="0" w:firstLine="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日止，公司实际已向社会公开发行人民币普通股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35,020,000.00</w:t>
            </w:r>
            <w:r>
              <w:rPr>
                <w:color w:val="000000"/>
                <w:spacing w:val="0"/>
                <w:w w:val="100"/>
                <w:position w:val="0"/>
                <w:sz w:val="17"/>
                <w:szCs w:val="17"/>
              </w:rPr>
              <w:t>股，募集资金总额</w:t>
            </w:r>
            <w:r>
              <w:rPr>
                <w:rFonts w:ascii="Times New Roman" w:eastAsia="Times New Roman" w:hAnsi="Times New Roman" w:cs="Times New Roman"/>
                <w:color w:val="000000"/>
                <w:spacing w:val="0"/>
                <w:w w:val="100"/>
                <w:position w:val="0"/>
                <w:sz w:val="18"/>
                <w:szCs w:val="18"/>
              </w:rPr>
              <w:t xml:space="preserve">413,936,400.00 </w:t>
            </w:r>
            <w:r>
              <w:rPr>
                <w:color w:val="000000"/>
                <w:spacing w:val="0"/>
                <w:w w:val="100"/>
                <w:position w:val="0"/>
                <w:sz w:val="17"/>
                <w:szCs w:val="17"/>
              </w:rPr>
              <w:t>元，扣除承销费和保荐费</w:t>
            </w:r>
            <w:r>
              <w:rPr>
                <w:rFonts w:ascii="Times New Roman" w:eastAsia="Times New Roman" w:hAnsi="Times New Roman" w:cs="Times New Roman"/>
                <w:color w:val="000000"/>
                <w:spacing w:val="0"/>
                <w:w w:val="100"/>
                <w:position w:val="0"/>
                <w:sz w:val="18"/>
                <w:szCs w:val="18"/>
              </w:rPr>
              <w:t>27,769,984.91</w:t>
            </w:r>
            <w:r>
              <w:rPr>
                <w:color w:val="000000"/>
                <w:spacing w:val="0"/>
                <w:w w:val="100"/>
                <w:position w:val="0"/>
                <w:sz w:val="17"/>
                <w:szCs w:val="17"/>
              </w:rPr>
              <w:t>元后的募集资金为人民币</w:t>
            </w:r>
            <w:r>
              <w:rPr>
                <w:rFonts w:ascii="Times New Roman" w:eastAsia="Times New Roman" w:hAnsi="Times New Roman" w:cs="Times New Roman"/>
                <w:color w:val="000000"/>
                <w:spacing w:val="0"/>
                <w:w w:val="100"/>
                <w:position w:val="0"/>
                <w:sz w:val="18"/>
                <w:szCs w:val="18"/>
              </w:rPr>
              <w:t>386,166,415.09</w:t>
            </w:r>
            <w:r>
              <w:rPr>
                <w:color w:val="000000"/>
                <w:spacing w:val="0"/>
                <w:w w:val="100"/>
                <w:position w:val="0"/>
                <w:sz w:val="17"/>
                <w:szCs w:val="17"/>
              </w:rPr>
              <w:t>元，已由华创证券有限责任公司于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日分别存入公司开立在招商银行股份有限公司福州南门支行</w:t>
            </w:r>
            <w:r>
              <w:rPr>
                <w:rFonts w:ascii="Times New Roman" w:eastAsia="Times New Roman" w:hAnsi="Times New Roman" w:cs="Times New Roman"/>
                <w:color w:val="000000"/>
                <w:spacing w:val="0"/>
                <w:w w:val="100"/>
                <w:position w:val="0"/>
                <w:sz w:val="18"/>
                <w:szCs w:val="18"/>
              </w:rPr>
              <w:t>591903324810303</w:t>
            </w:r>
            <w:r>
              <w:rPr>
                <w:color w:val="000000"/>
                <w:spacing w:val="0"/>
                <w:w w:val="100"/>
                <w:position w:val="0"/>
                <w:sz w:val="17"/>
                <w:szCs w:val="17"/>
              </w:rPr>
              <w:t>；中国民生银行股份有限公司 福州温泉支行</w:t>
            </w:r>
            <w:r>
              <w:rPr>
                <w:rFonts w:ascii="Times New Roman" w:eastAsia="Times New Roman" w:hAnsi="Times New Roman" w:cs="Times New Roman"/>
                <w:color w:val="000000"/>
                <w:spacing w:val="0"/>
                <w:w w:val="100"/>
                <w:position w:val="0"/>
                <w:sz w:val="18"/>
                <w:szCs w:val="18"/>
              </w:rPr>
              <w:t>605107102</w:t>
            </w:r>
            <w:r>
              <w:rPr>
                <w:color w:val="000000"/>
                <w:spacing w:val="0"/>
                <w:w w:val="100"/>
                <w:position w:val="0"/>
                <w:sz w:val="17"/>
                <w:szCs w:val="17"/>
              </w:rPr>
              <w:t>；兴业银行股份有限公司福州华林支行</w:t>
            </w:r>
            <w:r>
              <w:rPr>
                <w:rFonts w:ascii="Times New Roman" w:eastAsia="Times New Roman" w:hAnsi="Times New Roman" w:cs="Times New Roman"/>
                <w:color w:val="000000"/>
                <w:spacing w:val="0"/>
                <w:w w:val="100"/>
                <w:position w:val="0"/>
                <w:sz w:val="18"/>
                <w:szCs w:val="18"/>
              </w:rPr>
              <w:t>117130100100255416</w:t>
            </w:r>
            <w:r>
              <w:rPr>
                <w:color w:val="000000"/>
                <w:spacing w:val="0"/>
                <w:w w:val="100"/>
                <w:position w:val="0"/>
                <w:sz w:val="17"/>
                <w:szCs w:val="17"/>
              </w:rPr>
              <w:t>的人民币账户里，扣除其他发行费 用人民币</w:t>
            </w:r>
            <w:r>
              <w:rPr>
                <w:rFonts w:ascii="Times New Roman" w:eastAsia="Times New Roman" w:hAnsi="Times New Roman" w:cs="Times New Roman"/>
                <w:color w:val="000000"/>
                <w:spacing w:val="0"/>
                <w:w w:val="100"/>
                <w:position w:val="0"/>
                <w:sz w:val="18"/>
                <w:szCs w:val="18"/>
              </w:rPr>
              <w:t>12,076,415.09</w:t>
            </w:r>
            <w:r>
              <w:rPr>
                <w:color w:val="000000"/>
                <w:spacing w:val="0"/>
                <w:w w:val="100"/>
                <w:position w:val="0"/>
                <w:sz w:val="17"/>
                <w:szCs w:val="17"/>
              </w:rPr>
              <w:t>元后，募集资金净额为人民币</w:t>
            </w:r>
            <w:r>
              <w:rPr>
                <w:rFonts w:ascii="Times New Roman" w:eastAsia="Times New Roman" w:hAnsi="Times New Roman" w:cs="Times New Roman"/>
                <w:color w:val="000000"/>
                <w:spacing w:val="0"/>
                <w:w w:val="100"/>
                <w:position w:val="0"/>
                <w:sz w:val="18"/>
                <w:szCs w:val="18"/>
              </w:rPr>
              <w:t>374,090,000.00</w:t>
            </w:r>
            <w:r>
              <w:rPr>
                <w:color w:val="000000"/>
                <w:spacing w:val="0"/>
                <w:w w:val="100"/>
                <w:position w:val="0"/>
                <w:sz w:val="17"/>
                <w:szCs w:val="17"/>
              </w:rPr>
              <w:t>元。上述资金到位情况业经大华会计师事务所（特 殊普通合伙）验证，并出具了大华验字</w:t>
            </w:r>
            <w:r>
              <w:rPr>
                <w:rFonts w:ascii="Times New Roman" w:eastAsia="Times New Roman" w:hAnsi="Times New Roman" w:cs="Times New Roman"/>
                <w:color w:val="000000"/>
                <w:spacing w:val="0"/>
                <w:w w:val="100"/>
                <w:position w:val="0"/>
                <w:sz w:val="18"/>
                <w:szCs w:val="18"/>
              </w:rPr>
              <w:t>[2017]000743</w:t>
            </w:r>
            <w:r>
              <w:rPr>
                <w:color w:val="000000"/>
                <w:spacing w:val="0"/>
                <w:w w:val="100"/>
                <w:position w:val="0"/>
                <w:sz w:val="17"/>
                <w:szCs w:val="17"/>
              </w:rPr>
              <w:t>号验资报告。</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日，公司对募集资金项目累计投入</w:t>
            </w:r>
            <w:r>
              <w:rPr>
                <w:rFonts w:ascii="Times New Roman" w:eastAsia="Times New Roman" w:hAnsi="Times New Roman" w:cs="Times New Roman"/>
                <w:color w:val="000000"/>
                <w:spacing w:val="0"/>
                <w:w w:val="100"/>
                <w:position w:val="0"/>
                <w:sz w:val="18"/>
                <w:szCs w:val="18"/>
              </w:rPr>
              <w:t>374,090,000.00</w:t>
            </w:r>
            <w:r>
              <w:rPr>
                <w:color w:val="000000"/>
                <w:spacing w:val="0"/>
                <w:w w:val="100"/>
                <w:position w:val="0"/>
                <w:sz w:val="17"/>
                <w:szCs w:val="17"/>
              </w:rPr>
              <w:t>元，其中：公司偿还银行贷款项目</w:t>
            </w:r>
            <w:r>
              <w:rPr>
                <w:rFonts w:ascii="Times New Roman" w:eastAsia="Times New Roman" w:hAnsi="Times New Roman" w:cs="Times New Roman"/>
                <w:color w:val="000000"/>
                <w:spacing w:val="0"/>
                <w:w w:val="100"/>
                <w:position w:val="0"/>
                <w:sz w:val="18"/>
                <w:szCs w:val="18"/>
              </w:rPr>
              <w:t xml:space="preserve">23,760,000.00 </w:t>
            </w:r>
            <w:r>
              <w:rPr>
                <w:color w:val="000000"/>
                <w:spacing w:val="0"/>
                <w:w w:val="100"/>
                <w:position w:val="0"/>
                <w:sz w:val="17"/>
                <w:szCs w:val="17"/>
              </w:rPr>
              <w:t>元，勘察设计能力提升及研发中心建设项目</w:t>
            </w:r>
            <w:r>
              <w:rPr>
                <w:rFonts w:ascii="Times New Roman" w:eastAsia="Times New Roman" w:hAnsi="Times New Roman" w:cs="Times New Roman"/>
                <w:color w:val="000000"/>
                <w:spacing w:val="0"/>
                <w:w w:val="100"/>
                <w:position w:val="0"/>
                <w:sz w:val="18"/>
                <w:szCs w:val="18"/>
              </w:rPr>
              <w:t>112,501,696.80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工程总承包项目</w:t>
            </w:r>
            <w:r>
              <w:rPr>
                <w:rFonts w:ascii="Times New Roman" w:eastAsia="Times New Roman" w:hAnsi="Times New Roman" w:cs="Times New Roman"/>
                <w:color w:val="000000"/>
                <w:spacing w:val="0"/>
                <w:w w:val="100"/>
                <w:position w:val="0"/>
                <w:sz w:val="18"/>
                <w:szCs w:val="18"/>
              </w:rPr>
              <w:t>237,828,303.20</w:t>
            </w:r>
            <w:r>
              <w:rPr>
                <w:color w:val="000000"/>
                <w:spacing w:val="0"/>
                <w:w w:val="100"/>
                <w:position w:val="0"/>
                <w:sz w:val="17"/>
                <w:szCs w:val="17"/>
              </w:rPr>
              <w:t>元，报告期内使用 募集资金</w:t>
            </w:r>
            <w:r>
              <w:rPr>
                <w:rFonts w:ascii="Times New Roman" w:eastAsia="Times New Roman" w:hAnsi="Times New Roman" w:cs="Times New Roman"/>
                <w:color w:val="000000"/>
                <w:spacing w:val="0"/>
                <w:w w:val="100"/>
                <w:position w:val="0"/>
                <w:sz w:val="18"/>
                <w:szCs w:val="18"/>
              </w:rPr>
              <w:t>50,181,387.32</w:t>
            </w:r>
            <w:r>
              <w:rPr>
                <w:color w:val="000000"/>
                <w:spacing w:val="0"/>
                <w:w w:val="100"/>
                <w:position w:val="0"/>
                <w:sz w:val="17"/>
                <w:szCs w:val="17"/>
              </w:rPr>
              <w:t>元。</w:t>
            </w:r>
          </w:p>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日，公司累计收到募集专户利息收入</w:t>
            </w:r>
            <w:r>
              <w:rPr>
                <w:rFonts w:ascii="Times New Roman" w:eastAsia="Times New Roman" w:hAnsi="Times New Roman" w:cs="Times New Roman"/>
                <w:color w:val="000000"/>
                <w:spacing w:val="0"/>
                <w:w w:val="100"/>
                <w:position w:val="0"/>
                <w:sz w:val="18"/>
                <w:szCs w:val="18"/>
              </w:rPr>
              <w:t>13,036,803.46</w:t>
            </w:r>
            <w:r>
              <w:rPr>
                <w:color w:val="000000"/>
                <w:spacing w:val="0"/>
                <w:w w:val="100"/>
                <w:position w:val="0"/>
                <w:sz w:val="17"/>
                <w:szCs w:val="17"/>
              </w:rPr>
              <w:t>元（其中利用暂时闲置募集资金购买结构性存 款理财利息收入</w:t>
            </w:r>
            <w:r>
              <w:rPr>
                <w:rFonts w:ascii="Times New Roman" w:eastAsia="Times New Roman" w:hAnsi="Times New Roman" w:cs="Times New Roman"/>
                <w:color w:val="000000"/>
                <w:spacing w:val="0"/>
                <w:w w:val="100"/>
                <w:position w:val="0"/>
                <w:sz w:val="18"/>
                <w:szCs w:val="18"/>
              </w:rPr>
              <w:t>12,019,977.86</w:t>
            </w:r>
            <w:r>
              <w:rPr>
                <w:color w:val="000000"/>
                <w:spacing w:val="0"/>
                <w:w w:val="100"/>
                <w:position w:val="0"/>
                <w:sz w:val="17"/>
                <w:szCs w:val="17"/>
              </w:rPr>
              <w:t>元），累计扣除银行手续费</w:t>
            </w:r>
            <w:r>
              <w:rPr>
                <w:rFonts w:ascii="Times New Roman" w:eastAsia="Times New Roman" w:hAnsi="Times New Roman" w:cs="Times New Roman"/>
                <w:color w:val="000000"/>
                <w:spacing w:val="0"/>
                <w:w w:val="100"/>
                <w:position w:val="0"/>
                <w:sz w:val="18"/>
                <w:szCs w:val="18"/>
              </w:rPr>
              <w:t>4,833.42</w:t>
            </w:r>
            <w:r>
              <w:rPr>
                <w:color w:val="000000"/>
                <w:spacing w:val="0"/>
                <w:w w:val="100"/>
                <w:position w:val="0"/>
                <w:sz w:val="17"/>
                <w:szCs w:val="17"/>
              </w:rPr>
              <w:t>元，募集资金累计利息收入净额为</w:t>
            </w:r>
            <w:r>
              <w:rPr>
                <w:rFonts w:ascii="Times New Roman" w:eastAsia="Times New Roman" w:hAnsi="Times New Roman" w:cs="Times New Roman"/>
                <w:color w:val="000000"/>
                <w:spacing w:val="0"/>
                <w:w w:val="100"/>
                <w:position w:val="0"/>
                <w:sz w:val="18"/>
                <w:szCs w:val="18"/>
              </w:rPr>
              <w:t>13,031,970.04</w:t>
            </w:r>
            <w:r>
              <w:rPr>
                <w:color w:val="000000"/>
                <w:spacing w:val="0"/>
                <w:w w:val="100"/>
                <w:position w:val="0"/>
                <w:sz w:val="17"/>
                <w:szCs w:val="17"/>
              </w:rPr>
              <w:t>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日，公司未使用的募集资金余额为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日，募集资金专户均已注销，注 销时将结息</w:t>
            </w:r>
            <w:r>
              <w:rPr>
                <w:rFonts w:ascii="Times New Roman" w:eastAsia="Times New Roman" w:hAnsi="Times New Roman" w:cs="Times New Roman"/>
                <w:color w:val="000000"/>
                <w:spacing w:val="0"/>
                <w:w w:val="100"/>
                <w:position w:val="0"/>
                <w:sz w:val="18"/>
                <w:szCs w:val="18"/>
              </w:rPr>
              <w:t>1,823.28</w:t>
            </w:r>
            <w:r>
              <w:rPr>
                <w:color w:val="000000"/>
                <w:spacing w:val="0"/>
                <w:w w:val="100"/>
                <w:position w:val="0"/>
                <w:sz w:val="17"/>
                <w:szCs w:val="17"/>
              </w:rPr>
              <w:t>元转入公司其他银行账户。</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1"/>
      <w:bookmarkEnd w:id="242"/>
      <w:bookmarkEnd w:id="244"/>
    </w:p>
    <w:p>
      <w:pPr>
        <w:pStyle w:val="Style18"/>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114"/>
        <w:gridCol w:w="691"/>
        <w:gridCol w:w="720"/>
        <w:gridCol w:w="725"/>
        <w:gridCol w:w="725"/>
        <w:gridCol w:w="898"/>
        <w:gridCol w:w="898"/>
        <w:gridCol w:w="730"/>
        <w:gridCol w:w="725"/>
        <w:gridCol w:w="898"/>
        <w:gridCol w:w="730"/>
        <w:gridCol w:w="73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 项目和超 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40"/>
              <w:jc w:val="both"/>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募集 资金 承诺 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60" w:right="0" w:firstLine="0"/>
              <w:jc w:val="left"/>
              <w:rPr>
                <w:sz w:val="17"/>
                <w:szCs w:val="17"/>
              </w:rPr>
            </w:pPr>
            <w:r>
              <w:rPr>
                <w:color w:val="000000"/>
                <w:spacing w:val="0"/>
                <w:w w:val="100"/>
                <w:position w:val="0"/>
                <w:sz w:val="17"/>
                <w:szCs w:val="17"/>
              </w:rPr>
              <w:t>调整 后投 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80"/>
              <w:jc w:val="left"/>
              <w:rPr>
                <w:sz w:val="17"/>
                <w:szCs w:val="17"/>
              </w:rPr>
            </w:pPr>
            <w:r>
              <w:rPr>
                <w:color w:val="000000"/>
                <w:spacing w:val="0"/>
                <w:w w:val="100"/>
                <w:position w:val="0"/>
                <w:sz w:val="17"/>
                <w:szCs w:val="17"/>
              </w:rPr>
              <w:t>本报</w:t>
            </w:r>
          </w:p>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本报</w:t>
            </w:r>
          </w:p>
          <w:p>
            <w:pPr>
              <w:pStyle w:val="Style2"/>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 可行 性是 否发 生重 大变 化</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bl>
    <w:p>
      <w:pPr>
        <w:spacing w:lineRule="exact" w:line="1"/>
        <w:rPr>
          <w:sz w:val="2"/>
          <w:szCs w:val="2"/>
        </w:rPr>
      </w:pPr>
      <w:r>
        <w:br w:type="page"/>
      </w:r>
    </w:p>
    <w:tbl>
      <w:tblPr>
        <w:tblOverlap w:val="never"/>
        <w:jc w:val="center"/>
        <w:tblLayout w:type="fixed"/>
      </w:tblPr>
      <w:tblGrid>
        <w:gridCol w:w="1114"/>
        <w:gridCol w:w="691"/>
        <w:gridCol w:w="720"/>
        <w:gridCol w:w="725"/>
        <w:gridCol w:w="725"/>
        <w:gridCol w:w="898"/>
        <w:gridCol w:w="898"/>
        <w:gridCol w:w="730"/>
        <w:gridCol w:w="725"/>
        <w:gridCol w:w="898"/>
        <w:gridCol w:w="730"/>
        <w:gridCol w:w="734"/>
      </w:tblGrid>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勘察设计 能力提升 及研发中 心建设项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5,018.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）勘察 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）设计 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）研发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①太阳能 光热发电 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②海上风 电研发中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③智能电 网研发中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 信息化平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）员工 教育培训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2.EPC</w:t>
            </w:r>
            <w:r>
              <w:rPr>
                <w:color w:val="000000"/>
                <w:spacing w:val="0"/>
                <w:w w:val="100"/>
                <w:position w:val="0"/>
                <w:sz w:val="17"/>
                <w:szCs w:val="17"/>
              </w:rPr>
              <w:t>工程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总承包项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偿还银行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14"/>
        <w:gridCol w:w="691"/>
        <w:gridCol w:w="720"/>
        <w:gridCol w:w="725"/>
        <w:gridCol w:w="725"/>
        <w:gridCol w:w="898"/>
        <w:gridCol w:w="898"/>
        <w:gridCol w:w="730"/>
        <w:gridCol w:w="725"/>
        <w:gridCol w:w="898"/>
        <w:gridCol w:w="730"/>
        <w:gridCol w:w="7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5,018.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52</w:t>
            </w:r>
            <w:r>
              <w:rPr>
                <w:rFonts w:ascii="Calibri" w:eastAsia="Calibri" w:hAnsi="Calibri" w:cs="Calibri"/>
                <w:color w:val="FF0000"/>
                <w:spacing w:val="0"/>
                <w:w w:val="100"/>
                <w:position w:val="0"/>
                <w:sz w:val="8"/>
                <w:szCs w:val="8"/>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5,018.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0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未达到计 划进度或</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预计收益 的情况和 原因（分具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numPr>
                <w:ilvl w:val="0"/>
                <w:numId w:val="27"/>
              </w:numPr>
              <w:shd w:val="clear" w:color="auto" w:fill="auto"/>
              <w:tabs>
                <w:tab w:pos="125" w:val="left"/>
              </w:tabs>
              <w:bidi w:val="0"/>
              <w:spacing w:before="0" w:after="0" w:line="317" w:lineRule="exact"/>
              <w:ind w:left="0" w:right="0" w:firstLine="0"/>
              <w:jc w:val="left"/>
              <w:rPr>
                <w:sz w:val="17"/>
                <w:szCs w:val="17"/>
              </w:rPr>
            </w:pPr>
            <w:r>
              <w:rPr>
                <w:color w:val="000000"/>
                <w:spacing w:val="0"/>
                <w:w w:val="100"/>
                <w:position w:val="0"/>
                <w:sz w:val="17"/>
                <w:szCs w:val="17"/>
              </w:rPr>
              <w:t>勘察能力提升、设计能力提升：</w:t>
            </w:r>
          </w:p>
          <w:p>
            <w:pPr>
              <w:pStyle w:val="Style2"/>
              <w:keepNext w:val="0"/>
              <w:keepLines w:val="0"/>
              <w:widowControl w:val="0"/>
              <w:shd w:val="clear" w:color="auto" w:fill="auto"/>
              <w:tabs>
                <w:tab w:pos="437" w:val="left"/>
              </w:tabs>
              <w:bidi w:val="0"/>
              <w:spacing w:before="0" w:after="0" w:line="30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年度实施第一期限制性股票激励计划。剔除该计划影响后的勘察能力提升和设计能力提 升项目在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年度实现效益分别为</w:t>
            </w:r>
            <w:r>
              <w:rPr>
                <w:rFonts w:ascii="Times New Roman" w:eastAsia="Times New Roman" w:hAnsi="Times New Roman" w:cs="Times New Roman"/>
                <w:color w:val="000000"/>
                <w:spacing w:val="0"/>
                <w:w w:val="100"/>
                <w:position w:val="0"/>
                <w:sz w:val="18"/>
                <w:szCs w:val="18"/>
              </w:rPr>
              <w:t>18.47</w:t>
            </w:r>
            <w:r>
              <w:rPr>
                <w:color w:val="000000"/>
                <w:spacing w:val="0"/>
                <w:w w:val="100"/>
                <w:position w:val="0"/>
                <w:sz w:val="17"/>
                <w:szCs w:val="17"/>
              </w:rPr>
              <w:t>万元和</w:t>
            </w:r>
            <w:r>
              <w:rPr>
                <w:rFonts w:ascii="Times New Roman" w:eastAsia="Times New Roman" w:hAnsi="Times New Roman" w:cs="Times New Roman"/>
                <w:color w:val="000000"/>
                <w:spacing w:val="0"/>
                <w:w w:val="100"/>
                <w:position w:val="0"/>
                <w:sz w:val="18"/>
                <w:szCs w:val="18"/>
              </w:rPr>
              <w:t>300.28</w:t>
            </w:r>
            <w:r>
              <w:rPr>
                <w:color w:val="000000"/>
                <w:spacing w:val="0"/>
                <w:w w:val="100"/>
                <w:position w:val="0"/>
                <w:sz w:val="17"/>
                <w:szCs w:val="17"/>
              </w:rPr>
              <w:t>万元；</w:t>
            </w:r>
          </w:p>
          <w:p>
            <w:pPr>
              <w:pStyle w:val="Style2"/>
              <w:keepNext w:val="0"/>
              <w:keepLines w:val="0"/>
              <w:widowControl w:val="0"/>
              <w:shd w:val="clear" w:color="auto" w:fill="auto"/>
              <w:tabs>
                <w:tab w:pos="341" w:val="left"/>
              </w:tabs>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勘察设计业务受各项目业主方面进度及完成节点情况、文件取得等因素影响，项目未实现预期收益；</w:t>
            </w:r>
          </w:p>
          <w:p>
            <w:pPr>
              <w:pStyle w:val="Style2"/>
              <w:keepNext w:val="0"/>
              <w:keepLines w:val="0"/>
              <w:widowControl w:val="0"/>
              <w:shd w:val="clear" w:color="auto" w:fill="auto"/>
              <w:bidi w:val="0"/>
              <w:spacing w:before="0" w:line="32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受行业变化影响，公司更多地以</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总承包方式承接业务，而非单独承接勘察设计业务，因此勘察 能力提升、设计能力提升项目对公司的效益提升部分体现在</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总承包项目中。</w:t>
            </w:r>
          </w:p>
          <w:p>
            <w:pPr>
              <w:pStyle w:val="Style2"/>
              <w:keepNext w:val="0"/>
              <w:keepLines w:val="0"/>
              <w:widowControl w:val="0"/>
              <w:shd w:val="clear" w:color="auto" w:fill="auto"/>
              <w:tabs>
                <w:tab w:pos="269" w:val="left"/>
              </w:tabs>
              <w:bidi w:val="0"/>
              <w:spacing w:before="0" w:after="0" w:line="374"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工程总承包项目：</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年度实施第一期限制性股票激励计划。剔除该计划影响后的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工程总承包项目在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度实现效益</w:t>
            </w:r>
            <w:r>
              <w:rPr>
                <w:rFonts w:ascii="Times New Roman" w:eastAsia="Times New Roman" w:hAnsi="Times New Roman" w:cs="Times New Roman"/>
                <w:color w:val="000000"/>
                <w:spacing w:val="0"/>
                <w:w w:val="100"/>
                <w:position w:val="0"/>
                <w:sz w:val="18"/>
                <w:szCs w:val="18"/>
              </w:rPr>
              <w:t>6,357.10</w:t>
            </w:r>
            <w:r>
              <w:rPr>
                <w:color w:val="000000"/>
                <w:spacing w:val="0"/>
                <w:w w:val="100"/>
                <w:position w:val="0"/>
                <w:sz w:val="17"/>
                <w:szCs w:val="17"/>
              </w:rPr>
              <w:t>万元。</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项目可行</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性发生重</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大变化的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我国太阳能光热发电产业经数年发展仍处于试验或示范阶段，技术应用的政策导向性强，市场前景尚不确 定；同时该产业具有资金和技术双密集的特点，项目门槛较高。公司经审慎研究，认为该行业后续投入高， 但短期回报不确定，不再对“研发中心一太阳能光热发电研发中心”项目进行后续投入。</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超募资金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的金额、用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途及使用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投资项目 实施地点 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投资项目 实施方式 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以前年度发生</w:t>
            </w:r>
          </w:p>
        </w:tc>
      </w:tr>
      <w:tr>
        <w:trPr>
          <w:trHeight w:val="3691"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29"/>
              </w:numPr>
              <w:shd w:val="clear" w:color="auto" w:fill="auto"/>
              <w:tabs>
                <w:tab w:pos="125" w:val="left"/>
              </w:tabs>
              <w:bidi w:val="0"/>
              <w:spacing w:before="0" w:after="0" w:line="312" w:lineRule="exact"/>
              <w:ind w:left="0" w:right="0" w:firstLine="0"/>
              <w:jc w:val="left"/>
              <w:rPr>
                <w:sz w:val="17"/>
                <w:szCs w:val="17"/>
              </w:rPr>
            </w:pPr>
            <w:r>
              <w:rPr>
                <w:color w:val="000000"/>
                <w:spacing w:val="0"/>
                <w:w w:val="100"/>
                <w:position w:val="0"/>
                <w:sz w:val="17"/>
                <w:szCs w:val="17"/>
              </w:rPr>
              <w:t>勘察能力提升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对于部分新开拓以及可延续性不稳定的项目，由于设备使用频率低、一次性投入较大，如完全采用购置方 式实施可能导致部分设备闲置，增加公司折旧。因此公司将部分原计划通过购置方式实施的项目变更为租 赁方式实施（即本项目的实施方式由“购置设备、软件”变更为“购置、租赁设备；购置软件”）。本次实 施方式变更有利于优化公司资产结构，降低运营成本，提高募集资金使用效率。</w:t>
            </w:r>
          </w:p>
          <w:p>
            <w:pPr>
              <w:pStyle w:val="Style2"/>
              <w:keepNext w:val="0"/>
              <w:keepLines w:val="0"/>
              <w:widowControl w:val="0"/>
              <w:numPr>
                <w:ilvl w:val="0"/>
                <w:numId w:val="29"/>
              </w:numPr>
              <w:shd w:val="clear" w:color="auto" w:fill="auto"/>
              <w:tabs>
                <w:tab w:pos="149" w:val="left"/>
              </w:tabs>
              <w:bidi w:val="0"/>
              <w:spacing w:before="0" w:after="0" w:line="312" w:lineRule="exact"/>
              <w:ind w:left="0" w:right="0" w:firstLine="0"/>
              <w:jc w:val="both"/>
              <w:rPr>
                <w:sz w:val="17"/>
                <w:szCs w:val="17"/>
              </w:rPr>
            </w:pPr>
            <w:r>
              <w:rPr>
                <w:color w:val="000000"/>
                <w:spacing w:val="0"/>
                <w:w w:val="100"/>
                <w:position w:val="0"/>
                <w:sz w:val="17"/>
                <w:szCs w:val="17"/>
              </w:rPr>
              <w:t>设计能力提升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“设计能力提升”项目包含内涵式的数字化设计企业级实施和外延式的设计规模的提升。为快速提升公司 设计能力，提高募集资金投资项目的实施效率，公司将部分原计划通过购置和本地化开发方式实施的项目， 变更为并购具有相关市场资源和成熟设计团队的设计企业（即本项目的实施方式由“软件购置及本地化开 发”变更为“软件购置及本地化开发；控股收购电力设计公司”）。</w:t>
            </w:r>
          </w:p>
          <w:p>
            <w:pPr>
              <w:pStyle w:val="Style2"/>
              <w:keepNext w:val="0"/>
              <w:keepLines w:val="0"/>
              <w:widowControl w:val="0"/>
              <w:numPr>
                <w:ilvl w:val="0"/>
                <w:numId w:val="29"/>
              </w:numPr>
              <w:shd w:val="clear" w:color="auto" w:fill="auto"/>
              <w:tabs>
                <w:tab w:pos="130" w:val="left"/>
              </w:tabs>
              <w:bidi w:val="0"/>
              <w:spacing w:before="0" w:after="0" w:line="312" w:lineRule="exact"/>
              <w:ind w:left="0" w:right="0" w:firstLine="0"/>
              <w:jc w:val="both"/>
              <w:rPr>
                <w:sz w:val="17"/>
                <w:szCs w:val="17"/>
              </w:rPr>
            </w:pPr>
            <w:r>
              <w:rPr>
                <w:color w:val="000000"/>
                <w:spacing w:val="0"/>
                <w:w w:val="100"/>
                <w:position w:val="0"/>
                <w:sz w:val="17"/>
                <w:szCs w:val="17"/>
              </w:rPr>
              <w:t>研发中心</w:t>
            </w:r>
          </w:p>
        </w:tc>
      </w:tr>
    </w:tbl>
    <w:p>
      <w:pPr>
        <w:spacing w:lineRule="exact" w:line="1"/>
        <w:rPr>
          <w:sz w:val="2"/>
          <w:szCs w:val="2"/>
        </w:rPr>
      </w:pPr>
      <w:r>
        <w:br w:type="page"/>
      </w:r>
    </w:p>
    <w:tbl>
      <w:tblPr>
        <w:tblOverlap w:val="never"/>
        <w:jc w:val="center"/>
        <w:tblLayout w:type="fixed"/>
      </w:tblPr>
      <w:tblGrid>
        <w:gridCol w:w="1114"/>
        <w:gridCol w:w="8472"/>
      </w:tblGrid>
      <w:tr>
        <w:trPr>
          <w:trHeight w:val="52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11"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太阳能光热发电研发中心</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我国太阳能光热发电产业经数年发展仍处于试验或示范阶段，技术应用的政策导向性强，市场前景尚不确 定；同时该产业具有资金和技术双密集的特点，项目门槛较高。公司经审慎研究，认为该行业后续投入高， 但短期回报不确定，不再对“太阳能光热发电研发中心”项目进行后续投入。本项目已投入的募集资金均 为建筑工程装修费，相关设施可供“海上风电研发中心”与“智能电网研发中心”项目使用。公司将“太 阳能光热发电研发中心”项目尚未使用的募集资金余额用于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工程总承包项目。</w:t>
            </w:r>
          </w:p>
          <w:p>
            <w:pPr>
              <w:pStyle w:val="Style2"/>
              <w:keepNext w:val="0"/>
              <w:keepLines w:val="0"/>
              <w:widowControl w:val="0"/>
              <w:shd w:val="clear" w:color="auto" w:fill="auto"/>
              <w:tabs>
                <w:tab w:pos="350" w:val="left"/>
              </w:tabs>
              <w:bidi w:val="0"/>
              <w:spacing w:before="0" w:after="0" w:line="311"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海上风电研发中心及智能电网研发中心</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海上风电研发课题大且新，涉及门类广，在国外已有部分成熟的应用；随着能源互联网技术的不断发展、 泛在电力物联网概念的提出，智能电网需结合能源互联网和泛在电力物联网技术的发展及时调整项目研究 目标和技术框架。公司借助国内外优秀科研单位或高校的技术力量，可实现在海上风电及智能电网领域的 高效提升，树立公司市场地位。因此，公司将部分“海上风电研发中心”及“智能电网研发中心”原计划 通过改造、购置方式实施的项目，变更为技术咨询、委托开发及购买的方式实施（即本项目的实施方式由 “办公场所改造；设备及软件购置”变更为“办公场所改造；设备及软件购置；技术咨询、委托开发及购 买”）。</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上述募投项目实施方式变更事项已于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日经第二届董事会第六次会议、第二届监事会第五次 会议审议通过，于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年第三次临时股东大会审议通过。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24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投资项目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先期投入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及置换情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2314" w:hRule="exact"/>
        </w:trPr>
        <w:tc>
          <w:tcPr>
            <w:tcBorders>
              <w:left w:val="single" w:sz="4"/>
            </w:tcBorders>
            <w:shd w:val="clear" w:color="auto" w:fill="D3D3D3"/>
            <w:vAlign w:val="top"/>
          </w:tcPr>
          <w:p>
            <w:pPr>
              <w:pStyle w:val="Style2"/>
              <w:keepNext w:val="0"/>
              <w:keepLines w:val="0"/>
              <w:widowControl w:val="0"/>
              <w:shd w:val="clear" w:color="auto" w:fill="auto"/>
              <w:bidi w:val="0"/>
              <w:spacing w:before="120" w:after="0" w:line="312" w:lineRule="exact"/>
              <w:ind w:left="0" w:right="0" w:firstLine="0"/>
              <w:jc w:val="both"/>
              <w:rPr>
                <w:sz w:val="17"/>
                <w:szCs w:val="17"/>
              </w:rPr>
            </w:pPr>
            <w:r>
              <w:rPr>
                <w:color w:val="000000"/>
                <w:spacing w:val="0"/>
                <w:w w:val="100"/>
                <w:position w:val="0"/>
                <w:sz w:val="17"/>
                <w:szCs w:val="17"/>
              </w:rPr>
              <w:t>用闲置募 集资金暂 时补充流 动资金情</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由于公司募集资金投资项目建设及资金投入均需要一定周期，且募集资金存在部分闲置的情况。同时公司 业务对资金需求较大。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日，公司召开第二届董事会第十五次会议、第二届监事会第十二次 会议，审议通过《关于使用部分闲置募集资金暂时补充流动资金的议案》，永福股份独立董事发表了明确 同意意见。</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公司拟使用不超过人民币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万元的闲置募集资金暂时补充流动资金，使用期限为自董事会审议通过之 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日，用于暂时补充流动资金的闲置募集资金均已归还至募集资 金账户中。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项目实施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24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出现募集 资金结余 的金额及 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尚未使用 的募集资 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日，公司不存在尚未使用的募集资金。</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使用及披</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露中存在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114"/>
        <w:gridCol w:w="8472"/>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的问题或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注：①本年度实现的效益测算已剔除坏账准备等因素对相应业务效益的影响。公司于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年度实施第一期限制性股票激励 计划，剔除该计划影响后的勘察能力提升、设计能力提升和</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年度实现效益分别为</w:t>
      </w:r>
      <w:r>
        <w:rPr>
          <w:rFonts w:ascii="Times New Roman" w:eastAsia="Times New Roman" w:hAnsi="Times New Roman" w:cs="Times New Roman"/>
          <w:color w:val="000000"/>
          <w:spacing w:val="0"/>
          <w:w w:val="100"/>
          <w:position w:val="0"/>
          <w:sz w:val="18"/>
          <w:szCs w:val="18"/>
        </w:rPr>
        <w:t>18.47</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300.28</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6,357.10</w:t>
      </w:r>
      <w:r>
        <w:rPr>
          <w:color w:val="000000"/>
          <w:spacing w:val="0"/>
          <w:w w:val="100"/>
          <w:position w:val="0"/>
        </w:rPr>
        <w:t>万元，合计实现效益</w:t>
      </w:r>
      <w:r>
        <w:rPr>
          <w:rFonts w:ascii="Times New Roman" w:eastAsia="Times New Roman" w:hAnsi="Times New Roman" w:cs="Times New Roman"/>
          <w:color w:val="000000"/>
          <w:spacing w:val="0"/>
          <w:w w:val="100"/>
          <w:position w:val="0"/>
          <w:sz w:val="18"/>
          <w:szCs w:val="18"/>
        </w:rPr>
        <w:t>6,675.85</w:t>
      </w:r>
      <w:r>
        <w:rPr>
          <w:color w:val="000000"/>
          <w:spacing w:val="0"/>
          <w:w w:val="100"/>
          <w:position w:val="0"/>
        </w:rPr>
        <w:t>万元。</w:t>
      </w:r>
    </w:p>
    <w:p>
      <w:pPr>
        <w:pStyle w:val="Style50"/>
        <w:keepNext/>
        <w:keepLines/>
        <w:widowControl w:val="0"/>
        <w:numPr>
          <w:ilvl w:val="0"/>
          <w:numId w:val="31"/>
        </w:numPr>
        <w:shd w:val="clear" w:color="auto" w:fill="auto"/>
        <w:bidi w:val="0"/>
        <w:spacing w:before="0" w:line="240" w:lineRule="auto"/>
        <w:ind w:left="0" w:right="0" w:firstLine="0"/>
        <w:jc w:val="both"/>
      </w:pPr>
      <w:bookmarkStart w:id="245" w:name="bookmark245"/>
      <w:bookmarkStart w:id="246" w:name="bookmark246"/>
      <w:bookmarkStart w:id="247" w:name="bookmark247"/>
      <w:bookmarkStart w:id="248" w:name="bookmark248"/>
      <w:bookmarkEnd w:id="247"/>
      <w:r>
        <w:rPr>
          <w:color w:val="000000"/>
          <w:spacing w:val="0"/>
          <w:w w:val="100"/>
          <w:position w:val="0"/>
        </w:rPr>
        <w:t>募集资金变更项目情况</w:t>
      </w:r>
      <w:bookmarkEnd w:id="245"/>
      <w:bookmarkEnd w:id="246"/>
      <w:bookmarkEnd w:id="248"/>
    </w:p>
    <w:p>
      <w:pPr>
        <w:pStyle w:val="Style18"/>
        <w:keepNext w:val="0"/>
        <w:keepLines w:val="0"/>
        <w:widowControl w:val="0"/>
        <w:shd w:val="clear" w:color="auto" w:fill="auto"/>
        <w:bidi w:val="0"/>
        <w:spacing w:before="0" w:after="0" w:line="36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对应的原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变更后项 目拟投入 募集资金 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实际累计 投入金额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项目达到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预定可使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用状态日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实现的效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变更后的 项目可行 性是否发 生重大变</w:t>
            </w:r>
          </w:p>
          <w:p>
            <w:pPr>
              <w:pStyle w:val="Style2"/>
              <w:keepNext w:val="0"/>
              <w:keepLines w:val="0"/>
              <w:widowControl w:val="0"/>
              <w:shd w:val="clear" w:color="auto" w:fill="auto"/>
              <w:bidi w:val="0"/>
              <w:spacing w:before="0" w:after="0" w:line="310" w:lineRule="exact"/>
              <w:ind w:left="0" w:right="0" w:firstLine="380"/>
              <w:jc w:val="left"/>
              <w:rPr>
                <w:sz w:val="17"/>
                <w:szCs w:val="17"/>
              </w:rPr>
            </w:pPr>
            <w:r>
              <w:rPr>
                <w:color w:val="000000"/>
                <w:spacing w:val="0"/>
                <w:w w:val="100"/>
                <w:position w:val="0"/>
                <w:sz w:val="17"/>
                <w:szCs w:val="17"/>
              </w:rPr>
              <w:t>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总承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研发中心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太阳能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光热发电</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18"/>
                <w:szCs w:val="18"/>
              </w:rPr>
              <w:t>3,400.63</w:t>
            </w:r>
            <w:r>
              <w:rPr>
                <w:rFonts w:ascii="Calibri" w:eastAsia="Calibri" w:hAnsi="Calibri" w:cs="Calibri"/>
                <w:color w:val="FF0000"/>
                <w:spacing w:val="0"/>
                <w:w w:val="100"/>
                <w:position w:val="0"/>
                <w:sz w:val="8"/>
                <w:szCs w:val="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1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我国太阳能光热发电产业经数年发展仍处于试验或示范阶段，技术应用的政策导向 性强，市场前景尚不确定；同时该产业具有资金和技术双密集的特点，项目门槛较 高。公司经审慎研究，认为该行业后续投入高，但短期回报不确定，不再对“太阳 能光热发电研发中心”项目进行后续投入。本项目已投入的募集资金均为建筑工程 装修费，相关设施可供“海上风电研发中心”与“智能电网研发中心”项目使用。 公司将“太阳能光热发电研发中心”项目尚未使用的募集资金余额用于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工程总 承包项目。</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上述募投项目的变更已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日经第二届董事会第六次会议、第二届监事 会第五次会议审议通过，于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年第三次临时股东大会审议通 过。</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信息披露情况：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日，巨潮网：《关于部分募投项目变更及延期的公告》 (</w:t>
            </w:r>
            <w:r>
              <w:rPr>
                <w:rFonts w:ascii="Times New Roman" w:eastAsia="Times New Roman" w:hAnsi="Times New Roman" w:cs="Times New Roman"/>
                <w:color w:val="000000"/>
                <w:spacing w:val="0"/>
                <w:w w:val="100"/>
                <w:position w:val="0"/>
                <w:sz w:val="18"/>
                <w:szCs w:val="18"/>
              </w:rPr>
              <w:t>2019-057</w:t>
            </w:r>
            <w:r>
              <w:rPr>
                <w:color w:val="000000"/>
                <w:spacing w:val="0"/>
                <w:w w:val="100"/>
                <w:position w:val="0"/>
                <w:sz w:val="17"/>
                <w:szCs w:val="17"/>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年度实施第一期限制性股票激励计划。剔除该计划影响后的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工程 总承包项目在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年度实现效益</w:t>
            </w:r>
            <w:r>
              <w:rPr>
                <w:rFonts w:ascii="Times New Roman" w:eastAsia="Times New Roman" w:hAnsi="Times New Roman" w:cs="Times New Roman"/>
                <w:color w:val="000000"/>
                <w:spacing w:val="0"/>
                <w:w w:val="100"/>
                <w:position w:val="0"/>
                <w:sz w:val="18"/>
                <w:szCs w:val="18"/>
              </w:rPr>
              <w:t>6,357.10</w:t>
            </w:r>
            <w:r>
              <w:rPr>
                <w:color w:val="000000"/>
                <w:spacing w:val="0"/>
                <w:w w:val="100"/>
                <w:position w:val="0"/>
                <w:sz w:val="17"/>
                <w:szCs w:val="17"/>
              </w:rPr>
              <w:t>万元。</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变更后的项目可行性发生重大变 化的情况说明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pStyle w:val="Style18"/>
        <w:keepNext w:val="0"/>
        <w:keepLines w:val="0"/>
        <w:widowControl w:val="0"/>
        <w:shd w:val="clear" w:color="auto" w:fill="auto"/>
        <w:bidi w:val="0"/>
        <w:spacing w:before="0" w:after="380" w:line="307" w:lineRule="exact"/>
        <w:ind w:left="0" w:right="0" w:firstLine="0"/>
        <w:jc w:val="both"/>
        <w:sectPr>
          <w:footnotePr>
            <w:pos w:val="pageBottom"/>
            <w:numFmt w:val="decimal"/>
            <w:numRestart w:val="continuous"/>
          </w:footnotePr>
          <w:pgSz w:w="11900" w:h="16840"/>
          <w:pgMar w:top="1541" w:right="1128" w:bottom="1403" w:left="1085" w:header="0" w:footer="3" w:gutter="0"/>
          <w:cols w:space="720"/>
          <w:noEndnote/>
          <w:rtlGutter w:val="0"/>
          <w:docGrid w:linePitch="360"/>
        </w:sectPr>
      </w:pPr>
      <w:r>
        <w:rPr>
          <w:color w:val="000000"/>
          <w:spacing w:val="0"/>
          <w:w w:val="100"/>
          <w:position w:val="0"/>
        </w:rPr>
        <w:t>注：①本年度实现的效益测算已剔除坏账准备等因素对相应业务效益的影响。公司于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年度实施第一期限制性股票激励 计划，剔除该计划影响后的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年度实现效益为</w:t>
      </w:r>
      <w:r>
        <w:rPr>
          <w:rFonts w:ascii="Times New Roman" w:eastAsia="Times New Roman" w:hAnsi="Times New Roman" w:cs="Times New Roman"/>
          <w:color w:val="000000"/>
          <w:spacing w:val="0"/>
          <w:w w:val="100"/>
          <w:position w:val="0"/>
          <w:sz w:val="18"/>
          <w:szCs w:val="18"/>
        </w:rPr>
        <w:t>6,357.10</w:t>
      </w:r>
      <w:r>
        <w:rPr>
          <w:color w:val="000000"/>
          <w:spacing w:val="0"/>
          <w:w w:val="100"/>
          <w:position w:val="0"/>
        </w:rPr>
        <w:t>万元。</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22"/>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八</w:t>
      </w:r>
      <w:bookmarkEnd w:id="251"/>
      <w:r>
        <w:rPr>
          <w:color w:val="000000"/>
          <w:spacing w:val="0"/>
          <w:w w:val="100"/>
          <w:position w:val="0"/>
          <w:sz w:val="24"/>
          <w:szCs w:val="24"/>
        </w:rPr>
        <w:t>、重大资产和股权出售</w:t>
      </w:r>
      <w:bookmarkEnd w:id="249"/>
      <w:bookmarkEnd w:id="250"/>
      <w:bookmarkEnd w:id="252"/>
    </w:p>
    <w:p>
      <w:pPr>
        <w:pStyle w:val="Style32"/>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、出售重大资产情况</w:t>
      </w:r>
      <w:bookmarkEnd w:id="253"/>
      <w:bookmarkEnd w:id="254"/>
      <w:bookmarkEnd w:id="25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、出售重大股权情况</w:t>
      </w:r>
      <w:bookmarkEnd w:id="257"/>
      <w:bookmarkEnd w:id="258"/>
      <w:bookmarkEnd w:id="26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、主要控股参股公司分析</w:t>
      </w:r>
      <w:bookmarkEnd w:id="261"/>
      <w:bookmarkEnd w:id="262"/>
      <w:bookmarkEnd w:id="264"/>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979"/>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福建海电运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维科技有限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海上风电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703,202,81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305,893,79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259,381,94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99,695,926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86,210,466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福州新创机 电设备有限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设备购销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956,127,65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93,220,636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380,924,04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39,230,942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41,518,153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程科技有限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工程施工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9,051,539.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时代永福科技有限公司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并购方以增资方式稀释我方股权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攀枝花三能新能源有限公司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收购取得</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福建众帆新能源有限公司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福建福帆新能源有限公司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福建兆帆新能源有限公司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福建沧海新能源有限公司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福建旭帆新能源有限公司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福建三帆新能源有限公司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福建灿帆新能源有限公司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福建昌帆新能源有限公司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北京慧创新能源有限公司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赣州亿帆新能源有限公司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威海百帆新能源有限公司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石嘴山福捷新能源有限公司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石嘴山隆惠昌光伏发电有限公司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石嘴山珠友旭能源发展有限公司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德庆旭帆新能源有限公司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德庆丰帆新能源有限公司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海南昌江福帆新能源有限公司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吴忠市三帆新能源有限公司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宜阳县昌帆新能源有限公司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河北卓晖新能源有限公司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保定福骏新能源科技有限公司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喀喇沁旗帆顺新能源有限公司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新设后注销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德庆亿帆新能源有限公司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新设后转让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无显著影响</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十、公司控制的结构化主体情况</w:t>
      </w:r>
      <w:bookmarkEnd w:id="265"/>
      <w:bookmarkEnd w:id="266"/>
      <w:bookmarkEnd w:id="26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280" w:line="240" w:lineRule="auto"/>
        <w:ind w:left="0" w:right="0" w:firstLine="0"/>
        <w:jc w:val="left"/>
      </w:pPr>
      <w:bookmarkStart w:id="268" w:name="bookmark268"/>
      <w:bookmarkStart w:id="269" w:name="bookmark269"/>
      <w:bookmarkStart w:id="270" w:name="bookmark270"/>
      <w:r>
        <w:rPr>
          <w:color w:val="000000"/>
          <w:spacing w:val="0"/>
          <w:w w:val="100"/>
          <w:position w:val="0"/>
          <w:sz w:val="24"/>
          <w:szCs w:val="24"/>
        </w:rPr>
        <w:t>十一、公司未来发展的展望</w:t>
      </w:r>
      <w:bookmarkEnd w:id="268"/>
      <w:bookmarkEnd w:id="269"/>
      <w:bookmarkEnd w:id="270"/>
    </w:p>
    <w:p>
      <w:pPr>
        <w:pStyle w:val="Style28"/>
        <w:keepNext w:val="0"/>
        <w:keepLines w:val="0"/>
        <w:widowControl w:val="0"/>
        <w:shd w:val="clear" w:color="auto" w:fill="auto"/>
        <w:tabs>
          <w:tab w:pos="1038" w:val="left"/>
        </w:tabs>
        <w:bidi w:val="0"/>
        <w:spacing w:before="0" w:line="313" w:lineRule="exact"/>
        <w:ind w:left="0" w:right="0" w:firstLine="440"/>
        <w:jc w:val="left"/>
      </w:pPr>
      <w:bookmarkStart w:id="271" w:name="bookmark271"/>
      <w:r>
        <w:rPr>
          <w:b/>
          <w:bCs/>
          <w:color w:val="000000"/>
          <w:spacing w:val="0"/>
          <w:w w:val="100"/>
          <w:position w:val="0"/>
        </w:rPr>
        <w:t>（</w:t>
      </w:r>
      <w:bookmarkEnd w:id="271"/>
      <w:r>
        <w:rPr>
          <w:b/>
          <w:bCs/>
          <w:color w:val="000000"/>
          <w:spacing w:val="0"/>
          <w:w w:val="100"/>
          <w:position w:val="0"/>
        </w:rPr>
        <w:t>一）</w:t>
        <w:tab/>
        <w:t>行业格局和趋势</w:t>
      </w:r>
    </w:p>
    <w:p>
      <w:pPr>
        <w:pStyle w:val="Style28"/>
        <w:keepNext w:val="0"/>
        <w:keepLines w:val="0"/>
        <w:widowControl w:val="0"/>
        <w:shd w:val="clear" w:color="auto" w:fill="auto"/>
        <w:bidi w:val="0"/>
        <w:spacing w:before="0" w:line="313" w:lineRule="exact"/>
        <w:ind w:left="0" w:right="0" w:firstLine="440"/>
        <w:jc w:val="left"/>
      </w:pPr>
      <w:r>
        <w:rPr>
          <w:color w:val="000000"/>
          <w:spacing w:val="0"/>
          <w:w w:val="100"/>
          <w:position w:val="0"/>
        </w:rPr>
        <w:t>详情参见本报告</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一、报告期内公司所处行业情况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shd w:val="clear" w:color="auto" w:fill="auto"/>
        <w:tabs>
          <w:tab w:pos="1038" w:val="left"/>
        </w:tabs>
        <w:bidi w:val="0"/>
        <w:spacing w:before="0" w:line="313" w:lineRule="exact"/>
        <w:ind w:left="0" w:right="0" w:firstLine="440"/>
        <w:jc w:val="both"/>
      </w:pPr>
      <w:bookmarkStart w:id="272" w:name="bookmark272"/>
      <w:r>
        <w:rPr>
          <w:b/>
          <w:bCs/>
          <w:color w:val="000000"/>
          <w:spacing w:val="0"/>
          <w:w w:val="100"/>
          <w:position w:val="0"/>
        </w:rPr>
        <w:t>（</w:t>
      </w:r>
      <w:bookmarkEnd w:id="272"/>
      <w:r>
        <w:rPr>
          <w:b/>
          <w:bCs/>
          <w:color w:val="000000"/>
          <w:spacing w:val="0"/>
          <w:w w:val="100"/>
          <w:position w:val="0"/>
        </w:rPr>
        <w:t>二）</w:t>
        <w:tab/>
        <w:t>公司发展战略</w:t>
      </w:r>
    </w:p>
    <w:p>
      <w:pPr>
        <w:pStyle w:val="Style28"/>
        <w:keepNext w:val="0"/>
        <w:keepLines w:val="0"/>
        <w:widowControl w:val="0"/>
        <w:shd w:val="clear" w:color="auto" w:fill="auto"/>
        <w:bidi w:val="0"/>
        <w:spacing w:before="0" w:line="314" w:lineRule="exact"/>
        <w:ind w:left="0" w:right="0" w:firstLine="440"/>
        <w:jc w:val="both"/>
      </w:pPr>
      <w:r>
        <w:rPr>
          <w:color w:val="000000"/>
          <w:spacing w:val="0"/>
          <w:w w:val="100"/>
          <w:position w:val="0"/>
        </w:rPr>
        <w:t>公司将秉持</w:t>
      </w:r>
      <w:r>
        <w:rPr>
          <w:rFonts w:ascii="Times New Roman" w:eastAsia="Times New Roman" w:hAnsi="Times New Roman" w:cs="Times New Roman"/>
          <w:color w:val="000000"/>
          <w:spacing w:val="0"/>
          <w:w w:val="100"/>
          <w:position w:val="0"/>
        </w:rPr>
        <w:t>“</w:t>
      </w:r>
      <w:r>
        <w:rPr>
          <w:color w:val="000000"/>
          <w:spacing w:val="0"/>
          <w:w w:val="100"/>
          <w:position w:val="0"/>
        </w:rPr>
        <w:t>让电力更清洁、更智慧</w:t>
      </w:r>
      <w:r>
        <w:rPr>
          <w:rFonts w:ascii="Times New Roman" w:eastAsia="Times New Roman" w:hAnsi="Times New Roman" w:cs="Times New Roman"/>
          <w:color w:val="000000"/>
          <w:spacing w:val="0"/>
          <w:w w:val="100"/>
          <w:position w:val="0"/>
        </w:rPr>
        <w:t>”</w:t>
      </w:r>
      <w:r>
        <w:rPr>
          <w:color w:val="000000"/>
          <w:spacing w:val="0"/>
          <w:w w:val="100"/>
          <w:position w:val="0"/>
        </w:rPr>
        <w:t>的使命，追求</w:t>
      </w:r>
      <w:r>
        <w:rPr>
          <w:rFonts w:ascii="Times New Roman" w:eastAsia="Times New Roman" w:hAnsi="Times New Roman" w:cs="Times New Roman"/>
          <w:color w:val="000000"/>
          <w:spacing w:val="0"/>
          <w:w w:val="100"/>
          <w:position w:val="0"/>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rPr>
        <w:t>''</w:t>
      </w:r>
      <w:r>
        <w:rPr>
          <w:color w:val="000000"/>
          <w:spacing w:val="0"/>
          <w:w w:val="100"/>
          <w:position w:val="0"/>
        </w:rPr>
        <w:t>的核心价值观，致力于为客 户提供一流的电力能源系统集成解决方案，把公司建设成主营业务布局合理，核心技术行业领先，经营管 理规范高效，人才团队精干卓越，永福品牌享誉行业，以客户需求为导向、以科技创新为动力、以技术服 务为支柱的集团化高科技公司，努力实现</w:t>
      </w:r>
      <w:r>
        <w:rPr>
          <w:rFonts w:ascii="Times New Roman" w:eastAsia="Times New Roman" w:hAnsi="Times New Roman" w:cs="Times New Roman"/>
          <w:color w:val="000000"/>
          <w:spacing w:val="0"/>
          <w:w w:val="100"/>
          <w:position w:val="0"/>
        </w:rPr>
        <w:t>“</w:t>
      </w:r>
      <w:r>
        <w:rPr>
          <w:color w:val="000000"/>
          <w:spacing w:val="0"/>
          <w:w w:val="100"/>
          <w:position w:val="0"/>
        </w:rPr>
        <w:t>成为国际知名的电力能源综合服务商''的愿景。</w:t>
      </w:r>
    </w:p>
    <w:p>
      <w:pPr>
        <w:pStyle w:val="Style28"/>
        <w:keepNext w:val="0"/>
        <w:keepLines w:val="0"/>
        <w:widowControl w:val="0"/>
        <w:shd w:val="clear" w:color="auto" w:fill="auto"/>
        <w:bidi w:val="0"/>
        <w:spacing w:before="0" w:after="220" w:line="312" w:lineRule="exact"/>
        <w:ind w:left="0" w:right="0" w:firstLine="440"/>
        <w:jc w:val="both"/>
        <w:sectPr>
          <w:footnotePr>
            <w:pos w:val="pageBottom"/>
            <w:numFmt w:val="decimal"/>
            <w:numRestart w:val="continuous"/>
          </w:footnotePr>
          <w:pgSz w:w="11900" w:h="16840"/>
          <w:pgMar w:top="1484" w:right="1109" w:bottom="1484" w:left="1109" w:header="0" w:footer="3" w:gutter="0"/>
          <w:cols w:space="720"/>
          <w:noEndnote/>
          <w:rtlGutter w:val="0"/>
          <w:docGrid w:linePitch="360"/>
        </w:sectPr>
      </w:pPr>
      <w:r>
        <w:rPr>
          <w:color w:val="000000"/>
          <w:spacing w:val="0"/>
          <w:w w:val="100"/>
          <w:position w:val="0"/>
        </w:rPr>
        <w:t>现阶段的总体战略是：围绕</w:t>
      </w:r>
      <w:r>
        <w:rPr>
          <w:rFonts w:ascii="Times New Roman" w:eastAsia="Times New Roman" w:hAnsi="Times New Roman" w:cs="Times New Roman"/>
          <w:color w:val="000000"/>
          <w:spacing w:val="0"/>
          <w:w w:val="100"/>
          <w:position w:val="0"/>
        </w:rPr>
        <w:t>“</w:t>
      </w:r>
      <w:r>
        <w:rPr>
          <w:color w:val="000000"/>
          <w:spacing w:val="0"/>
          <w:w w:val="100"/>
          <w:position w:val="0"/>
        </w:rPr>
        <w:t>碳达峰、碳中和''战略部署及</w:t>
      </w:r>
      <w:r>
        <w:rPr>
          <w:rFonts w:ascii="Times New Roman" w:eastAsia="Times New Roman" w:hAnsi="Times New Roman" w:cs="Times New Roman"/>
          <w:color w:val="000000"/>
          <w:spacing w:val="0"/>
          <w:w w:val="100"/>
          <w:position w:val="0"/>
        </w:rPr>
        <w:t>“</w:t>
      </w:r>
      <w:r>
        <w:rPr>
          <w:color w:val="000000"/>
          <w:spacing w:val="0"/>
          <w:w w:val="100"/>
          <w:position w:val="0"/>
        </w:rPr>
        <w:t>构建以新能源为主体的新型电力系统''的指 示精神，紧紧把握电力能源行业发展历史机遇，扩大业务布局，聚焦新能源+储能、清洁能源、综合智慧 能源领域；加快技术创新，尤其是综合智慧能源解决方案、储能系统集成、智慧能源产品等领域的研发创 新，提高核心竞争力；整合关键资源，积极布局新能源、储能、综合智慧能源等领域产业链上下游，增强 综合竞争力；创新商业模式，提供一站式服务，提高服务价值，提升市场地位，增强盈利能力；加强人才</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line="329" w:lineRule="exact"/>
        <w:ind w:left="0" w:right="0" w:firstLine="5820"/>
        <w:jc w:val="both"/>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建设，完善激励机制，注重文化引领，提高团队执行力，推动公司战略目标的达成，为社会、股东、合作 伙伴、员工等各方创造更大价值。</w:t>
      </w:r>
    </w:p>
    <w:p>
      <w:pPr>
        <w:pStyle w:val="Style28"/>
        <w:keepNext w:val="0"/>
        <w:keepLines w:val="0"/>
        <w:widowControl w:val="0"/>
        <w:shd w:val="clear" w:color="auto" w:fill="auto"/>
        <w:bidi w:val="0"/>
        <w:spacing w:before="0" w:line="314" w:lineRule="exact"/>
        <w:ind w:left="0" w:right="0" w:firstLine="480"/>
        <w:jc w:val="both"/>
      </w:pPr>
      <w:bookmarkStart w:id="273" w:name="bookmark273"/>
      <w:r>
        <w:rPr>
          <w:b/>
          <w:bCs/>
          <w:color w:val="000000"/>
          <w:spacing w:val="0"/>
          <w:w w:val="100"/>
          <w:position w:val="0"/>
        </w:rPr>
        <w:t>（</w:t>
      </w:r>
      <w:bookmarkEnd w:id="273"/>
      <w:r>
        <w:rPr>
          <w:b/>
          <w:bCs/>
          <w:color w:val="000000"/>
          <w:spacing w:val="0"/>
          <w:w w:val="100"/>
          <w:position w:val="0"/>
        </w:rPr>
        <w:t>三）</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年度的经营计划</w:t>
      </w:r>
    </w:p>
    <w:p>
      <w:pPr>
        <w:pStyle w:val="Style28"/>
        <w:keepNext w:val="0"/>
        <w:keepLines w:val="0"/>
        <w:widowControl w:val="0"/>
        <w:shd w:val="clear" w:color="auto" w:fill="auto"/>
        <w:bidi w:val="0"/>
        <w:spacing w:before="0" w:line="314"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年，公司将持续深耕电力能源市场，依托国家战略，把握行业机遇，从市场需求出发创新商业模 式，延伸服务链条，为客户提供从新能源项目规划选址、前期咨询、系统解决方案提供、</w:t>
      </w:r>
      <w:r>
        <w:rPr>
          <w:rFonts w:ascii="Times New Roman" w:eastAsia="Times New Roman" w:hAnsi="Times New Roman" w:cs="Times New Roman"/>
          <w:color w:val="000000"/>
          <w:spacing w:val="0"/>
          <w:w w:val="100"/>
          <w:position w:val="0"/>
        </w:rPr>
        <w:t>EPC</w:t>
      </w:r>
      <w:r>
        <w:rPr>
          <w:color w:val="000000"/>
          <w:spacing w:val="0"/>
          <w:w w:val="100"/>
          <w:position w:val="0"/>
        </w:rPr>
        <w:t>和运营等一 站式服务，提升市场地位，提高服务价值，增强盈利能力；加速电力能源产业链布局，切实做好生产经营 各项工作，巩固提升市场地位，确保年度战略目标达成。坚持创新驱动，做强做大传统业务，做优做实新 兴业务，聚焦新能源</w:t>
      </w:r>
      <w:r>
        <w:rPr>
          <w:rFonts w:ascii="Times New Roman" w:eastAsia="Times New Roman" w:hAnsi="Times New Roman" w:cs="Times New Roman"/>
          <w:color w:val="000000"/>
          <w:spacing w:val="0"/>
          <w:w w:val="100"/>
          <w:position w:val="0"/>
        </w:rPr>
        <w:t>+</w:t>
      </w:r>
      <w:r>
        <w:rPr>
          <w:color w:val="000000"/>
          <w:spacing w:val="0"/>
          <w:w w:val="100"/>
          <w:position w:val="0"/>
        </w:rPr>
        <w:t>储能、综合能源、智慧能源与智能运维等领域，打造永福品牌名片，提高核心竞争 力，构筑企业</w:t>
      </w:r>
      <w:r>
        <w:rPr>
          <w:rFonts w:ascii="Times New Roman" w:eastAsia="Times New Roman" w:hAnsi="Times New Roman" w:cs="Times New Roman"/>
          <w:color w:val="000000"/>
          <w:spacing w:val="0"/>
          <w:w w:val="100"/>
          <w:position w:val="0"/>
        </w:rPr>
        <w:t>“</w:t>
      </w:r>
      <w:r>
        <w:rPr>
          <w:color w:val="000000"/>
          <w:spacing w:val="0"/>
          <w:w w:val="100"/>
          <w:position w:val="0"/>
        </w:rPr>
        <w:t>护城河</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val="0"/>
        <w:keepLines w:val="0"/>
        <w:widowControl w:val="0"/>
        <w:numPr>
          <w:ilvl w:val="0"/>
          <w:numId w:val="33"/>
        </w:numPr>
        <w:shd w:val="clear" w:color="auto" w:fill="auto"/>
        <w:bidi w:val="0"/>
        <w:spacing w:before="0" w:line="314" w:lineRule="exact"/>
        <w:ind w:left="0" w:right="0" w:firstLine="480"/>
        <w:jc w:val="both"/>
      </w:pPr>
      <w:bookmarkStart w:id="274" w:name="bookmark274"/>
      <w:bookmarkEnd w:id="274"/>
      <w:r>
        <w:rPr>
          <w:b/>
          <w:bCs/>
          <w:color w:val="000000"/>
          <w:spacing w:val="0"/>
          <w:w w:val="100"/>
          <w:position w:val="0"/>
        </w:rPr>
        <w:t>打造竞争优势，做强做大传统业务</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海上风电引领行业发展。充分发挥公司在海上风电领域已有的行业地位和技术实力，坚定不移地推进 海上风电关键技术研发，提高行业影响力和话语权；打造具有永福特色的智慧海上风电核心技术。从勘察、 设计、施工、运维等全方位扩展业务范围，发挥技术优势和自有船舶设备优势，重点关注广东、福建等海 电强省，进一步扩大市场份额。坚持海上风电创新引领，用技术实力促进永福海上风电高质量发展，将海 上风电打造成永福一张靓丽的名片。</w:t>
      </w:r>
    </w:p>
    <w:p>
      <w:pPr>
        <w:pStyle w:val="Style28"/>
        <w:keepNext w:val="0"/>
        <w:keepLines w:val="0"/>
        <w:widowControl w:val="0"/>
        <w:shd w:val="clear" w:color="auto" w:fill="auto"/>
        <w:bidi w:val="0"/>
        <w:spacing w:before="0" w:line="319" w:lineRule="exact"/>
        <w:ind w:left="0" w:right="0" w:firstLine="480"/>
        <w:jc w:val="both"/>
      </w:pPr>
      <w:r>
        <w:rPr>
          <w:color w:val="000000"/>
          <w:spacing w:val="0"/>
          <w:w w:val="100"/>
          <w:position w:val="0"/>
        </w:rPr>
        <w:t>全面推动工程数字化应用。大力开展数字化设计及其成果在</w:t>
      </w:r>
      <w:r>
        <w:rPr>
          <w:rFonts w:ascii="Times New Roman" w:eastAsia="Times New Roman" w:hAnsi="Times New Roman" w:cs="Times New Roman"/>
          <w:color w:val="000000"/>
          <w:spacing w:val="0"/>
          <w:w w:val="100"/>
          <w:position w:val="0"/>
        </w:rPr>
        <w:t>EPC</w:t>
      </w:r>
      <w:r>
        <w:rPr>
          <w:color w:val="000000"/>
          <w:spacing w:val="0"/>
          <w:w w:val="100"/>
          <w:position w:val="0"/>
        </w:rPr>
        <w:t>工程中应用研究，提质降本，提升工 程项目全过程方案解决能力。研发</w:t>
      </w:r>
      <w:r>
        <w:rPr>
          <w:rFonts w:ascii="Times New Roman" w:eastAsia="Times New Roman" w:hAnsi="Times New Roman" w:cs="Times New Roman"/>
          <w:color w:val="000000"/>
          <w:spacing w:val="0"/>
          <w:w w:val="100"/>
          <w:position w:val="0"/>
        </w:rPr>
        <w:t>e</w:t>
      </w:r>
      <w:r>
        <w:rPr>
          <w:color w:val="000000"/>
          <w:spacing w:val="0"/>
          <w:w w:val="100"/>
          <w:position w:val="0"/>
        </w:rPr>
        <w:t>建管平台、分布式光伏投融建一体化平台、建设永福云平台，打造永 福工程数字化名片。</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加快提升综合能源核心竞争力。加快核心能力建设、商业模式创新和示范项目落地，打造综合能源竞 争优势，提升综合能源解决方案的硬实力，初步打造综合能源品牌名片。</w:t>
      </w:r>
    </w:p>
    <w:p>
      <w:pPr>
        <w:pStyle w:val="Style28"/>
        <w:keepNext w:val="0"/>
        <w:keepLines w:val="0"/>
        <w:widowControl w:val="0"/>
        <w:shd w:val="clear" w:color="auto" w:fill="auto"/>
        <w:bidi w:val="0"/>
        <w:spacing w:before="0" w:line="311" w:lineRule="exact"/>
        <w:ind w:left="0" w:right="0" w:firstLine="480"/>
        <w:jc w:val="both"/>
      </w:pPr>
      <w:r>
        <w:rPr>
          <w:color w:val="000000"/>
          <w:spacing w:val="0"/>
          <w:w w:val="100"/>
          <w:position w:val="0"/>
        </w:rPr>
        <w:t>持续发挥输变电与清洁能源业务优势。总结公司在超特高压输变电领域多年来积累的技术经验和行业 口碑，提升公司输变电业务标准化、精细化、差异化等方面的综合实力。加大冶金、化工、石油、新能源 等多领域客户开发及服务能力，解决电网业务单一客户依赖问题，提升公司输变电业务多场景多需求方案 解决能力。发挥燃气电厂版块丰富的经验、技术及标准化优势，提升公司在海外大容量全厂燃气发电的全 过程勘察设计能力、国际标准应用及对标能力，为公司持续深耕海外市场夯实基础。</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稳步推进国际业务。持续提高菲律宾分公司的本土化运营水平，保障公司菲律宾市场份额。根据境外 疫情发展形势，与重点目标国别的潜在合作方深度沟通，锁定合作关系，寻找优质资源，择机介入新的国 别市场。快速构建优秀的国际市场开拓和项目执行队伍，着重提升国际业务执行能力与风控能力，促进国 际业务行稳致远。</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新能源项目开发获得实质性突破。发挥平台优势，整合项目、资金、合作伙伴等资源，构建高效开发 团队，探索形成开发业务新模式、新路径。</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通过做强做大传统业务，打造海上风电、综合能源、工程数字化等永福名片，实现传统业务服务好、 性能优、成本低、效益好的目标。</w:t>
      </w:r>
    </w:p>
    <w:p>
      <w:pPr>
        <w:pStyle w:val="Style28"/>
        <w:keepNext w:val="0"/>
        <w:keepLines w:val="0"/>
        <w:widowControl w:val="0"/>
        <w:numPr>
          <w:ilvl w:val="0"/>
          <w:numId w:val="33"/>
        </w:numPr>
        <w:shd w:val="clear" w:color="auto" w:fill="auto"/>
        <w:bidi w:val="0"/>
        <w:spacing w:before="0" w:line="314" w:lineRule="exact"/>
        <w:ind w:left="0" w:right="0" w:firstLine="480"/>
        <w:jc w:val="both"/>
      </w:pPr>
      <w:bookmarkStart w:id="275" w:name="bookmark275"/>
      <w:bookmarkEnd w:id="275"/>
      <w:r>
        <w:rPr>
          <w:b/>
          <w:bCs/>
          <w:color w:val="000000"/>
          <w:spacing w:val="0"/>
          <w:w w:val="100"/>
          <w:position w:val="0"/>
        </w:rPr>
        <w:t>培育核心能力，做优做实新兴业务</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智慧能源方面：聚焦新能源、储能场景，构建电力自动化研发、销售与实施团队，大力开展一体化监 控系统研发与二次系统集成业务，推动</w:t>
      </w:r>
      <w:r>
        <w:rPr>
          <w:rFonts w:ascii="Times New Roman" w:eastAsia="Times New Roman" w:hAnsi="Times New Roman" w:cs="Times New Roman"/>
          <w:color w:val="000000"/>
          <w:spacing w:val="0"/>
          <w:w w:val="100"/>
          <w:position w:val="0"/>
        </w:rPr>
        <w:t>EMS</w:t>
      </w:r>
      <w:r>
        <w:rPr>
          <w:color w:val="000000"/>
          <w:spacing w:val="0"/>
          <w:w w:val="100"/>
          <w:position w:val="0"/>
        </w:rPr>
        <w:t>系统等产品在电网侧储能站、集中式光伏站示范落地，积累大 型项目业绩。加快智能电气二次设计系统、储能站数字挛生平台、</w:t>
      </w:r>
      <w:r>
        <w:rPr>
          <w:rFonts w:ascii="Times New Roman" w:eastAsia="Times New Roman" w:hAnsi="Times New Roman" w:cs="Times New Roman"/>
          <w:color w:val="000000"/>
          <w:spacing w:val="0"/>
          <w:w w:val="100"/>
          <w:position w:val="0"/>
        </w:rPr>
        <w:t>e</w:t>
      </w:r>
      <w:r>
        <w:rPr>
          <w:color w:val="000000"/>
          <w:spacing w:val="0"/>
          <w:w w:val="100"/>
          <w:position w:val="0"/>
        </w:rPr>
        <w:t>建管等已有成果的市场转化。做强做 大设计院信息化与网安集成业务。</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智能运维方面：围绕保障安全生产、降低运维成本、提高发电量、提高服务效率开展智能运维服务。 发挥设计龙头优势，初步建成具有先进性、独特性、前瞻性的智能运维平台，实现全过程数字化、可追溯， 实现对运维资产全生命周期的管理。聚焦解决方案和服务体系建设，加快服务标准化建设，深入用户的运 维应用场景，形成独具特色的解决方案。</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储能系统集成业务方面：坚持标准化、模块化、智能化理念，通过</w:t>
      </w:r>
      <w:r>
        <w:rPr>
          <w:rFonts w:ascii="Times New Roman" w:eastAsia="Times New Roman" w:hAnsi="Times New Roman" w:cs="Times New Roman"/>
          <w:color w:val="000000"/>
          <w:spacing w:val="0"/>
          <w:w w:val="100"/>
          <w:position w:val="0"/>
        </w:rPr>
        <w:t>3S</w:t>
      </w:r>
      <w:r>
        <w:rPr>
          <w:color w:val="000000"/>
          <w:spacing w:val="0"/>
          <w:w w:val="100"/>
          <w:position w:val="0"/>
        </w:rPr>
        <w:t>高度融合，不断迭代创新，打造 具有核心竞争力的产品。开发行业领先的集中式、分布式储能系统集成产品，储备技术，提前布局，适时 推广。</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电力能源投资业务方面：制定科学的投资策略，明确重点投资方向，有效推进电力能源投资业务。聚 焦光伏、风电、储能等业务，通过加大项目开发力度，推动投资项目落地；聚焦智慧能源、智能运维等新 兴领域，通过加强战略合作，拓宽产业链投资。加快具备开工条件的项目投资建设，充分运用绿色金融政 策，合理运用投资杠杆和金融工具，在新能源、清洁能源领域逐步形成一批优质资产，为公司带来稳定的 收益。</w:t>
      </w:r>
    </w:p>
    <w:p>
      <w:pPr>
        <w:pStyle w:val="Style28"/>
        <w:keepNext w:val="0"/>
        <w:keepLines w:val="0"/>
        <w:widowControl w:val="0"/>
        <w:shd w:val="clear" w:color="auto" w:fill="auto"/>
        <w:bidi w:val="0"/>
        <w:spacing w:before="0" w:line="313" w:lineRule="exact"/>
        <w:ind w:left="0" w:right="0" w:firstLine="4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年力争实现：营业收入</w:t>
      </w:r>
      <w:r>
        <w:rPr>
          <w:rFonts w:ascii="Times New Roman" w:eastAsia="Times New Roman" w:hAnsi="Times New Roman" w:cs="Times New Roman"/>
          <w:color w:val="000000"/>
          <w:spacing w:val="0"/>
          <w:w w:val="100"/>
          <w:position w:val="0"/>
        </w:rPr>
        <w:t>270,000</w:t>
      </w:r>
      <w:r>
        <w:rPr>
          <w:color w:val="000000"/>
          <w:spacing w:val="0"/>
          <w:w w:val="100"/>
          <w:position w:val="0"/>
        </w:rPr>
        <w:t>万元，净利润</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28"/>
        <w:keepNext w:val="0"/>
        <w:keepLines w:val="0"/>
        <w:widowControl w:val="0"/>
        <w:shd w:val="clear" w:color="auto" w:fill="auto"/>
        <w:bidi w:val="0"/>
        <w:spacing w:before="0" w:line="307" w:lineRule="exact"/>
        <w:ind w:left="0" w:right="0" w:firstLine="0"/>
        <w:jc w:val="both"/>
      </w:pPr>
      <w:r>
        <w:rPr>
          <w:color w:val="000000"/>
          <w:spacing w:val="0"/>
          <w:w w:val="100"/>
          <w:position w:val="0"/>
        </w:rPr>
        <w:t>（上述净利润指归属于上市公司股东的净利润，但剔除股权激励计划股份支付费用影响。上述计划并不代 表公司对</w:t>
      </w:r>
      <w:r>
        <w:rPr>
          <w:rFonts w:ascii="Times New Roman" w:eastAsia="Times New Roman" w:hAnsi="Times New Roman" w:cs="Times New Roman"/>
          <w:color w:val="000000"/>
          <w:spacing w:val="0"/>
          <w:w w:val="100"/>
          <w:position w:val="0"/>
        </w:rPr>
        <w:t>2022</w:t>
      </w:r>
      <w:r>
        <w:rPr>
          <w:color w:val="000000"/>
          <w:spacing w:val="0"/>
          <w:w w:val="100"/>
          <w:position w:val="0"/>
        </w:rPr>
        <w:t>年度的盈利预测，不构成公司对投资者的实质承诺，请投资者注意投资风险。）</w:t>
      </w:r>
    </w:p>
    <w:p>
      <w:pPr>
        <w:pStyle w:val="Style28"/>
        <w:keepNext w:val="0"/>
        <w:keepLines w:val="0"/>
        <w:widowControl w:val="0"/>
        <w:shd w:val="clear" w:color="auto" w:fill="auto"/>
        <w:bidi w:val="0"/>
        <w:spacing w:before="0" w:line="313" w:lineRule="exact"/>
        <w:ind w:left="0" w:right="0" w:firstLine="480"/>
        <w:jc w:val="both"/>
      </w:pPr>
      <w:bookmarkStart w:id="276" w:name="bookmark276"/>
      <w:r>
        <w:rPr>
          <w:b/>
          <w:bCs/>
          <w:color w:val="000000"/>
          <w:spacing w:val="0"/>
          <w:w w:val="100"/>
          <w:position w:val="0"/>
        </w:rPr>
        <w:t>（</w:t>
      </w:r>
      <w:bookmarkEnd w:id="276"/>
      <w:r>
        <w:rPr>
          <w:b/>
          <w:bCs/>
          <w:color w:val="000000"/>
          <w:spacing w:val="0"/>
          <w:w w:val="100"/>
          <w:position w:val="0"/>
        </w:rPr>
        <w:t>四）可能面对的风险</w:t>
      </w:r>
    </w:p>
    <w:p>
      <w:pPr>
        <w:pStyle w:val="Style28"/>
        <w:keepNext w:val="0"/>
        <w:keepLines w:val="0"/>
        <w:widowControl w:val="0"/>
        <w:numPr>
          <w:ilvl w:val="0"/>
          <w:numId w:val="35"/>
        </w:numPr>
        <w:shd w:val="clear" w:color="auto" w:fill="auto"/>
        <w:bidi w:val="0"/>
        <w:spacing w:before="0" w:line="313" w:lineRule="exact"/>
        <w:ind w:left="0" w:right="0" w:firstLine="480"/>
        <w:jc w:val="both"/>
      </w:pPr>
      <w:bookmarkStart w:id="277" w:name="bookmark277"/>
      <w:bookmarkEnd w:id="277"/>
      <w:r>
        <w:rPr>
          <w:color w:val="000000"/>
          <w:spacing w:val="0"/>
          <w:w w:val="100"/>
          <w:position w:val="0"/>
        </w:rPr>
        <w:t>政策风险</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等相关政策的部署，我国能源结构加速向清洁化、电气化、智能化、集成化等 方向转型，风电、光伏发电开发建设需求跃升发展。公司所属的电力工程技术服务行业市场规模受国家宏 观经济形势及相关鼓励政策驱动，取得快速增长。但是，相关政策的具体落实情况仍存在不确定性，且清 洁能源发电补贴政策预期退坡，若清洁能源投资开发等与公司业务发展密切相关的政策发生变化或落实节 奏不及预期，可能对公司业务发展造成重大不利影响。</w:t>
      </w:r>
    </w:p>
    <w:p>
      <w:pPr>
        <w:pStyle w:val="Style28"/>
        <w:keepNext w:val="0"/>
        <w:keepLines w:val="0"/>
        <w:widowControl w:val="0"/>
        <w:shd w:val="clear" w:color="auto" w:fill="auto"/>
        <w:bidi w:val="0"/>
        <w:spacing w:before="0" w:line="322" w:lineRule="exact"/>
        <w:ind w:left="0" w:right="0" w:firstLine="480"/>
        <w:jc w:val="both"/>
      </w:pPr>
      <w:r>
        <w:rPr>
          <w:color w:val="000000"/>
          <w:spacing w:val="0"/>
          <w:w w:val="100"/>
          <w:position w:val="0"/>
        </w:rPr>
        <w:t>风险应对措施：公司在抓住相关政策机遇，做优做实新兴业务的同时，做强做大传统业务，打造竞争 优势，确保传统业务保持稳定发展。</w:t>
      </w:r>
    </w:p>
    <w:p>
      <w:pPr>
        <w:pStyle w:val="Style28"/>
        <w:keepNext w:val="0"/>
        <w:keepLines w:val="0"/>
        <w:widowControl w:val="0"/>
        <w:numPr>
          <w:ilvl w:val="0"/>
          <w:numId w:val="35"/>
        </w:numPr>
        <w:shd w:val="clear" w:color="auto" w:fill="auto"/>
        <w:bidi w:val="0"/>
        <w:spacing w:before="0" w:line="313" w:lineRule="exact"/>
        <w:ind w:left="0" w:right="0" w:firstLine="480"/>
        <w:jc w:val="both"/>
      </w:pPr>
      <w:bookmarkStart w:id="278" w:name="bookmark278"/>
      <w:bookmarkEnd w:id="278"/>
      <w:r>
        <w:rPr>
          <w:color w:val="000000"/>
          <w:spacing w:val="0"/>
          <w:w w:val="100"/>
          <w:position w:val="0"/>
        </w:rPr>
        <w:t>市场环境变化风险</w:t>
      </w:r>
    </w:p>
    <w:p>
      <w:pPr>
        <w:pStyle w:val="Style28"/>
        <w:keepNext w:val="0"/>
        <w:keepLines w:val="0"/>
        <w:widowControl w:val="0"/>
        <w:shd w:val="clear" w:color="auto" w:fill="auto"/>
        <w:bidi w:val="0"/>
        <w:spacing w:before="0" w:line="312" w:lineRule="exact"/>
        <w:ind w:left="0" w:right="0" w:firstLine="480"/>
        <w:jc w:val="both"/>
      </w:pPr>
      <w:r>
        <w:rPr>
          <w:color w:val="000000"/>
          <w:spacing w:val="0"/>
          <w:w w:val="100"/>
          <w:position w:val="0"/>
        </w:rPr>
        <w:t>随着行业规模不断扩大、发展前景不断向好，新的竞争者可能涌入市场，加之现有市场竞争者不断加 大投入，市场竞争可能趋向激烈化。此外，电力行业的结构转型及清洁能源的发展存在周期性，如果后期 市场情况发生未预见的变化，或者公司不能有效开拓新市场新订单，可能对公司的持续发展和盈利水平造 成重大不利影响。</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风险应对措施：公司通过坚持创新驱动，打造永福品牌名片，提升服务价值，提高核心竞争力，巩固 提升市场地位，构筑企业</w:t>
      </w:r>
      <w:r>
        <w:rPr>
          <w:rFonts w:ascii="Times New Roman" w:eastAsia="Times New Roman" w:hAnsi="Times New Roman" w:cs="Times New Roman"/>
          <w:color w:val="000000"/>
          <w:spacing w:val="0"/>
          <w:w w:val="100"/>
          <w:position w:val="0"/>
        </w:rPr>
        <w:t>“</w:t>
      </w:r>
      <w:r>
        <w:rPr>
          <w:color w:val="000000"/>
          <w:spacing w:val="0"/>
          <w:w w:val="100"/>
          <w:position w:val="0"/>
        </w:rPr>
        <w:t>护城河</w:t>
      </w:r>
      <w:r>
        <w:rPr>
          <w:rFonts w:ascii="Times New Roman" w:eastAsia="Times New Roman" w:hAnsi="Times New Roman" w:cs="Times New Roman"/>
          <w:color w:val="000000"/>
          <w:spacing w:val="0"/>
          <w:w w:val="100"/>
          <w:position w:val="0"/>
        </w:rPr>
        <w:t>”</w:t>
      </w:r>
      <w:r>
        <w:rPr>
          <w:color w:val="000000"/>
          <w:spacing w:val="0"/>
          <w:w w:val="100"/>
          <w:position w:val="0"/>
        </w:rPr>
        <w:t>，确保公司在市场竞争中保持优势。</w:t>
      </w:r>
    </w:p>
    <w:p>
      <w:pPr>
        <w:pStyle w:val="Style28"/>
        <w:keepNext w:val="0"/>
        <w:keepLines w:val="0"/>
        <w:widowControl w:val="0"/>
        <w:numPr>
          <w:ilvl w:val="0"/>
          <w:numId w:val="35"/>
        </w:numPr>
        <w:shd w:val="clear" w:color="auto" w:fill="auto"/>
        <w:bidi w:val="0"/>
        <w:spacing w:before="0" w:line="313" w:lineRule="exact"/>
        <w:ind w:left="0" w:right="0" w:firstLine="480"/>
        <w:jc w:val="both"/>
      </w:pPr>
      <w:bookmarkStart w:id="279" w:name="bookmark279"/>
      <w:bookmarkEnd w:id="279"/>
      <w:r>
        <w:rPr>
          <w:color w:val="000000"/>
          <w:spacing w:val="0"/>
          <w:w w:val="100"/>
          <w:position w:val="0"/>
        </w:rPr>
        <w:t>资金投入规模较大及资产减值风险</w: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公司承接的部分项目需要投入较大规模的资金，报告期末，公司应收账款余额为</w:t>
      </w:r>
      <w:r>
        <w:rPr>
          <w:rFonts w:ascii="Times New Roman" w:eastAsia="Times New Roman" w:hAnsi="Times New Roman" w:cs="Times New Roman"/>
          <w:color w:val="000000"/>
          <w:spacing w:val="0"/>
          <w:w w:val="100"/>
          <w:position w:val="0"/>
        </w:rPr>
        <w:t>64,669.89</w:t>
      </w:r>
      <w:r>
        <w:rPr>
          <w:color w:val="000000"/>
          <w:spacing w:val="0"/>
          <w:w w:val="100"/>
          <w:position w:val="0"/>
        </w:rPr>
        <w:t>万元，存货 和合同资产余额合计为</w:t>
      </w:r>
      <w:r>
        <w:rPr>
          <w:rFonts w:ascii="Times New Roman" w:eastAsia="Times New Roman" w:hAnsi="Times New Roman" w:cs="Times New Roman"/>
          <w:color w:val="000000"/>
          <w:spacing w:val="0"/>
          <w:w w:val="100"/>
          <w:position w:val="0"/>
        </w:rPr>
        <w:t>84,380.71</w:t>
      </w:r>
      <w:r>
        <w:rPr>
          <w:color w:val="000000"/>
          <w:spacing w:val="0"/>
          <w:w w:val="100"/>
          <w:position w:val="0"/>
        </w:rPr>
        <w:t>万元。此外，报告期末，公司因拓展海上风电业务，预付款项金额较大。 如果合作方出现财务状况恶化或未按期结算、付款的情况，将会导致公司投入形成的资产存在减值风险， 对公司经营状况和盈利水平造成重大不利影响。</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风险应对措施：公司通过生产和市场一体化管理，促进项目订单获取，加快项目执行进度和按期结算；</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line="324" w:lineRule="exact"/>
        <w:ind w:left="0" w:right="0" w:firstLine="5820"/>
        <w:jc w:val="both"/>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同时落实应收账款管理的长效机制，提高应收账款管理水平，加大应收账款催款力度，更快回收应收账款， 有效降低应收账款管理风险。</w:t>
      </w:r>
    </w:p>
    <w:p>
      <w:pPr>
        <w:pStyle w:val="Style28"/>
        <w:keepNext w:val="0"/>
        <w:keepLines w:val="0"/>
        <w:widowControl w:val="0"/>
        <w:numPr>
          <w:ilvl w:val="0"/>
          <w:numId w:val="35"/>
        </w:numPr>
        <w:shd w:val="clear" w:color="auto" w:fill="auto"/>
        <w:bidi w:val="0"/>
        <w:spacing w:before="0" w:line="316" w:lineRule="exact"/>
        <w:ind w:left="0" w:right="0" w:firstLine="480"/>
        <w:jc w:val="both"/>
      </w:pPr>
      <w:bookmarkStart w:id="280" w:name="bookmark280"/>
      <w:bookmarkEnd w:id="280"/>
      <w:r>
        <w:rPr>
          <w:color w:val="000000"/>
          <w:spacing w:val="0"/>
          <w:w w:val="100"/>
          <w:position w:val="0"/>
        </w:rPr>
        <w:t>业务拓展及项目管理风险</w:t>
      </w:r>
    </w:p>
    <w:p>
      <w:pPr>
        <w:pStyle w:val="Style28"/>
        <w:keepNext w:val="0"/>
        <w:keepLines w:val="0"/>
        <w:widowControl w:val="0"/>
        <w:shd w:val="clear" w:color="auto" w:fill="auto"/>
        <w:bidi w:val="0"/>
        <w:spacing w:before="0" w:line="316" w:lineRule="exact"/>
        <w:ind w:left="0" w:right="0" w:firstLine="48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EPC</w:t>
      </w:r>
      <w:r>
        <w:rPr>
          <w:color w:val="000000"/>
          <w:spacing w:val="0"/>
          <w:w w:val="100"/>
          <w:position w:val="0"/>
        </w:rPr>
        <w:t>业务规模快速增长。</w:t>
      </w:r>
      <w:r>
        <w:rPr>
          <w:rFonts w:ascii="Times New Roman" w:eastAsia="Times New Roman" w:hAnsi="Times New Roman" w:cs="Times New Roman"/>
          <w:color w:val="000000"/>
          <w:spacing w:val="0"/>
          <w:w w:val="100"/>
          <w:position w:val="0"/>
        </w:rPr>
        <w:t>EPC</w:t>
      </w:r>
      <w:r>
        <w:rPr>
          <w:color w:val="000000"/>
          <w:spacing w:val="0"/>
          <w:w w:val="100"/>
          <w:position w:val="0"/>
        </w:rPr>
        <w:t>总承包项目管理涉及的主体众多，容易受到各类不确定 的外部因素影响，执行过程中，可能发生项目进程受阻、项目工期延长、项目停滞、质量管控不到位、工 程进度款不及时等情况。另外，公司加大对风电、光伏等清洁能源项目的承接力度，业务类型在原有基础 上有所扩展，业务规模预期扩大，如果公司管理水平、技术水平、风控水平无法满足业务规模或业务类型 扩增的需求，可能存在项目管理失控的风险，进而对公司的经营情况造成重大不利影响。</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风险应对措施：公司继续完善科学的工程</w:t>
      </w:r>
      <w:r>
        <w:rPr>
          <w:rFonts w:ascii="Times New Roman" w:eastAsia="Times New Roman" w:hAnsi="Times New Roman" w:cs="Times New Roman"/>
          <w:color w:val="000000"/>
          <w:spacing w:val="0"/>
          <w:w w:val="100"/>
          <w:position w:val="0"/>
        </w:rPr>
        <w:t>EPC</w:t>
      </w:r>
      <w:r>
        <w:rPr>
          <w:color w:val="000000"/>
          <w:spacing w:val="0"/>
          <w:w w:val="100"/>
          <w:position w:val="0"/>
        </w:rPr>
        <w:t>总承包管理制度体系，强化供应商管理，全面提高项目 管理水平，持续提升管理人员现场管理能力，在项目实施全过程加强安全、质量和进度的日常管理和风险 管控，有效控制项目各类管理风险。</w:t>
      </w:r>
    </w:p>
    <w:p>
      <w:pPr>
        <w:pStyle w:val="Style28"/>
        <w:keepNext w:val="0"/>
        <w:keepLines w:val="0"/>
        <w:widowControl w:val="0"/>
        <w:numPr>
          <w:ilvl w:val="0"/>
          <w:numId w:val="35"/>
        </w:numPr>
        <w:shd w:val="clear" w:color="auto" w:fill="auto"/>
        <w:bidi w:val="0"/>
        <w:spacing w:before="0" w:line="316" w:lineRule="exact"/>
        <w:ind w:left="0" w:right="0" w:firstLine="480"/>
        <w:jc w:val="both"/>
      </w:pPr>
      <w:bookmarkStart w:id="281" w:name="bookmark281"/>
      <w:bookmarkEnd w:id="281"/>
      <w:r>
        <w:rPr>
          <w:color w:val="000000"/>
          <w:spacing w:val="0"/>
          <w:w w:val="100"/>
          <w:position w:val="0"/>
        </w:rPr>
        <w:t>项目投资及业务合作风险</w:t>
      </w:r>
    </w:p>
    <w:p>
      <w:pPr>
        <w:pStyle w:val="Style28"/>
        <w:keepNext w:val="0"/>
        <w:keepLines w:val="0"/>
        <w:widowControl w:val="0"/>
        <w:shd w:val="clear" w:color="auto" w:fill="auto"/>
        <w:bidi w:val="0"/>
        <w:spacing w:before="0" w:line="313" w:lineRule="exact"/>
        <w:ind w:left="0" w:right="0" w:firstLine="480"/>
        <w:jc w:val="both"/>
      </w:pPr>
      <w:r>
        <w:rPr>
          <w:color w:val="000000"/>
          <w:spacing w:val="0"/>
          <w:w w:val="100"/>
          <w:position w:val="0"/>
        </w:rPr>
        <w:t>公司依托对电力行业的理解和积淀的电力能源规划研究能力，拟积极寻求回报率高、盈利能力强的电 力清洁能源和新能源项目投资机会。同时，公司积极与包括宁德时代、福建福船投资有限公司等在内的产 业链相关企业进行合作，合资设立公司拓展业务布局。在公司拓展规模和业务布局的同时，增加了政策风 险、财务风险、法律风险等多方面的投资、合作风险，如果公司未能对相关投资项目或合作项目实现有效 管控，可能无法达到投资、合作预期，甚至对公司财务状况、经营成果产生重大不利影响。</w:t>
      </w:r>
    </w:p>
    <w:p>
      <w:pPr>
        <w:pStyle w:val="Style28"/>
        <w:keepNext w:val="0"/>
        <w:keepLines w:val="0"/>
        <w:widowControl w:val="0"/>
        <w:shd w:val="clear" w:color="auto" w:fill="auto"/>
        <w:bidi w:val="0"/>
        <w:spacing w:before="0" w:line="314" w:lineRule="exact"/>
        <w:ind w:left="0" w:right="0" w:firstLine="480"/>
        <w:jc w:val="both"/>
      </w:pPr>
      <w:r>
        <w:rPr>
          <w:color w:val="000000"/>
          <w:spacing w:val="0"/>
          <w:w w:val="100"/>
          <w:position w:val="0"/>
        </w:rPr>
        <w:t>风险应对措施：公司将坚持</w:t>
      </w:r>
      <w:r>
        <w:rPr>
          <w:rFonts w:ascii="Times New Roman" w:eastAsia="Times New Roman" w:hAnsi="Times New Roman" w:cs="Times New Roman"/>
          <w:color w:val="000000"/>
          <w:spacing w:val="0"/>
          <w:w w:val="100"/>
          <w:position w:val="0"/>
        </w:rPr>
        <w:t>“</w:t>
      </w:r>
      <w:r>
        <w:rPr>
          <w:color w:val="000000"/>
          <w:spacing w:val="0"/>
          <w:w w:val="100"/>
          <w:position w:val="0"/>
        </w:rPr>
        <w:t>效益优先，宁缺毋滥</w:t>
      </w:r>
      <w:r>
        <w:rPr>
          <w:rFonts w:ascii="Times New Roman" w:eastAsia="Times New Roman" w:hAnsi="Times New Roman" w:cs="Times New Roman"/>
          <w:color w:val="000000"/>
          <w:spacing w:val="0"/>
          <w:w w:val="100"/>
          <w:position w:val="0"/>
        </w:rPr>
        <w:t>”</w:t>
      </w:r>
      <w:r>
        <w:rPr>
          <w:color w:val="000000"/>
          <w:spacing w:val="0"/>
          <w:w w:val="100"/>
          <w:position w:val="0"/>
        </w:rPr>
        <w:t>原则，稳健开展项目投资，科学制定并动态跟踪管 理投资项目；加强投资风险事前分析</w:t>
      </w:r>
      <w:r>
        <w:rPr>
          <w:rFonts w:ascii="Times New Roman" w:eastAsia="Times New Roman" w:hAnsi="Times New Roman" w:cs="Times New Roman"/>
          <w:color w:val="000000"/>
          <w:spacing w:val="0"/>
          <w:w w:val="100"/>
          <w:position w:val="0"/>
        </w:rPr>
        <w:t>,</w:t>
      </w:r>
      <w:r>
        <w:rPr>
          <w:color w:val="000000"/>
          <w:spacing w:val="0"/>
          <w:w w:val="100"/>
          <w:position w:val="0"/>
        </w:rPr>
        <w:t>严格执行投资项目管理工作程序，在充分考虑和评估风险的基础上， 做好风险应对预案，为投资决策提供参考；加强监督检查，确保投资项目按计划推进；着力完善投资项目 评审、决策和后评价机制，加强投资风险控制。</w:t>
      </w:r>
    </w:p>
    <w:p>
      <w:pPr>
        <w:pStyle w:val="Style28"/>
        <w:keepNext w:val="0"/>
        <w:keepLines w:val="0"/>
        <w:widowControl w:val="0"/>
        <w:numPr>
          <w:ilvl w:val="0"/>
          <w:numId w:val="35"/>
        </w:numPr>
        <w:shd w:val="clear" w:color="auto" w:fill="auto"/>
        <w:bidi w:val="0"/>
        <w:spacing w:before="0" w:line="316" w:lineRule="exact"/>
        <w:ind w:left="0" w:right="0" w:firstLine="480"/>
        <w:jc w:val="both"/>
      </w:pPr>
      <w:bookmarkStart w:id="282" w:name="bookmark282"/>
      <w:bookmarkEnd w:id="282"/>
      <w:r>
        <w:rPr>
          <w:color w:val="000000"/>
          <w:spacing w:val="0"/>
          <w:w w:val="100"/>
          <w:position w:val="0"/>
        </w:rPr>
        <w:t>海外项目执行风险</w:t>
      </w:r>
    </w:p>
    <w:p>
      <w:pPr>
        <w:pStyle w:val="Style28"/>
        <w:keepNext w:val="0"/>
        <w:keepLines w:val="0"/>
        <w:widowControl w:val="0"/>
        <w:shd w:val="clear" w:color="auto" w:fill="auto"/>
        <w:bidi w:val="0"/>
        <w:spacing w:before="0" w:line="317" w:lineRule="exact"/>
        <w:ind w:left="0" w:right="0" w:firstLine="480"/>
        <w:jc w:val="both"/>
      </w:pPr>
      <w:r>
        <w:rPr>
          <w:color w:val="000000"/>
          <w:spacing w:val="0"/>
          <w:w w:val="100"/>
          <w:position w:val="0"/>
        </w:rPr>
        <w:t>公司存在部分海外业务，海外项目执行受当地的社会安全、产业政策、商业环境、法律法规、标准规 范、国际商务、汇率波动、疫情状况等多方面因素影响。项目执行过程中，若由于当地政策环境、商贸环 境发生变化，可能导致公司海外项目进程受阻或出现损失。</w:t>
      </w:r>
    </w:p>
    <w:p>
      <w:pPr>
        <w:pStyle w:val="Style28"/>
        <w:keepNext w:val="0"/>
        <w:keepLines w:val="0"/>
        <w:widowControl w:val="0"/>
        <w:shd w:val="clear" w:color="auto" w:fill="auto"/>
        <w:bidi w:val="0"/>
        <w:spacing w:before="0" w:line="319" w:lineRule="exact"/>
        <w:ind w:left="0" w:right="0" w:firstLine="480"/>
        <w:jc w:val="both"/>
      </w:pPr>
      <w:r>
        <w:rPr>
          <w:color w:val="000000"/>
          <w:spacing w:val="0"/>
          <w:w w:val="100"/>
          <w:position w:val="0"/>
        </w:rPr>
        <w:t>风险应对措施：完善公司海外项目的各项管理制度，密切关注项目所在国的政治、经济和社会环境变 化；继续加大海外执行能力建设，全面提升商务、技术、管理等能力，完善海外风险管控体系，提高抵御 风险能力。</w:t>
      </w:r>
    </w:p>
    <w:p>
      <w:pPr>
        <w:pStyle w:val="Style28"/>
        <w:keepNext w:val="0"/>
        <w:keepLines w:val="0"/>
        <w:widowControl w:val="0"/>
        <w:numPr>
          <w:ilvl w:val="0"/>
          <w:numId w:val="35"/>
        </w:numPr>
        <w:shd w:val="clear" w:color="auto" w:fill="auto"/>
        <w:bidi w:val="0"/>
        <w:spacing w:before="0" w:line="316" w:lineRule="exact"/>
        <w:ind w:left="0" w:right="0" w:firstLine="480"/>
        <w:jc w:val="both"/>
      </w:pPr>
      <w:bookmarkStart w:id="283" w:name="bookmark283"/>
      <w:bookmarkEnd w:id="283"/>
      <w:r>
        <w:rPr>
          <w:color w:val="000000"/>
          <w:spacing w:val="0"/>
          <w:w w:val="100"/>
          <w:position w:val="0"/>
        </w:rPr>
        <w:t>新冠疫情风险</w:t>
      </w:r>
    </w:p>
    <w:p>
      <w:pPr>
        <w:pStyle w:val="Style28"/>
        <w:keepNext w:val="0"/>
        <w:keepLines w:val="0"/>
        <w:widowControl w:val="0"/>
        <w:shd w:val="clear" w:color="auto" w:fill="auto"/>
        <w:bidi w:val="0"/>
        <w:spacing w:before="0" w:line="319" w:lineRule="exact"/>
        <w:ind w:left="0" w:right="0" w:firstLine="48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年以来，新型冠状病毒疫情在全球蔓延。虽然目前新冠疫情在我国已得到一定控制，但防范外 部疫情输入和疫情反弹的压力仍然很大。本次疫情对全球宏观经济造成重大影响，不利于公司总承包业务， 特别是国外业务的开拓和执行。若疫情的发展超出预期，可能会对公司经营业绩产生进一步的不利影响。</w:t>
      </w:r>
    </w:p>
    <w:p>
      <w:pPr>
        <w:pStyle w:val="Style28"/>
        <w:keepNext w:val="0"/>
        <w:keepLines w:val="0"/>
        <w:widowControl w:val="0"/>
        <w:shd w:val="clear" w:color="auto" w:fill="auto"/>
        <w:bidi w:val="0"/>
        <w:spacing w:before="0" w:line="315" w:lineRule="exact"/>
        <w:ind w:left="0" w:right="0" w:firstLine="480"/>
        <w:jc w:val="both"/>
        <w:sectPr>
          <w:footnotePr>
            <w:pos w:val="pageBottom"/>
            <w:numFmt w:val="decimal"/>
            <w:numRestart w:val="continuous"/>
          </w:footnotePr>
          <w:pgSz w:w="11900" w:h="16840"/>
          <w:pgMar w:top="985" w:right="1004" w:bottom="1375" w:left="1066" w:header="0" w:footer="3" w:gutter="0"/>
          <w:cols w:space="720"/>
          <w:noEndnote/>
          <w:rtlGutter w:val="0"/>
          <w:docGrid w:linePitch="360"/>
        </w:sectPr>
      </w:pPr>
      <w:r>
        <w:rPr>
          <w:color w:val="000000"/>
          <w:spacing w:val="0"/>
          <w:w w:val="100"/>
          <w:position w:val="0"/>
        </w:rPr>
        <w:t>风险应对措施：公司持续密切关注新冠疫情的发展情况，严格按照主管部门的防控要求开展公司防控 工作，做好各项保障，尽力减少新型冠状病毒肺炎疫情带来的影响；紧紧把握电力能源行业新机遇，做强 做大传统业务，快速推动新兴业务，加大</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领域系统集成技术研发，加快布局电力产业链上 下游，提升综合竞争力，提升公司抗风险能力；加快国内项目的实施进度，积极推动国外项目的实施进度。</w:t>
      </w:r>
    </w:p>
    <w:p>
      <w:pPr>
        <w:pStyle w:val="Style22"/>
        <w:keepNext/>
        <w:keepLines/>
        <w:widowControl w:val="0"/>
        <w:shd w:val="clear" w:color="auto" w:fill="auto"/>
        <w:bidi w:val="0"/>
        <w:spacing w:before="0" w:after="34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十二、报告期内接待调研、沟通、采访等活动登记表</w:t>
      </w:r>
      <w:bookmarkEnd w:id="284"/>
      <w:bookmarkEnd w:id="285"/>
      <w:bookmarkEnd w:id="286"/>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96"/>
        <w:gridCol w:w="706"/>
        <w:gridCol w:w="734"/>
        <w:gridCol w:w="840"/>
        <w:gridCol w:w="2338"/>
        <w:gridCol w:w="1862"/>
        <w:gridCol w:w="18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接待</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接待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接待对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 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调研的基本情况索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招商证券：游家训；鸿商资 本：彭海涛、汪福强。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交流公司业务发展规 划、行业前景、经济 效益等。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巨潮网：《永福股份：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日投资 者关系活动记录表》</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广发证券：纪成炜；景顺长 城：曾英捷；汐泰投资：陈 扬亚。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交流公司主要业务、 经营业绩、技术储备、 研发投入等。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巨潮网：《永福股份：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日投 资者关系活动记录 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国泰君安：胥本涛、石岩。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交流公司市场布局、 人员构成、竞争优势、 战略规划等。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 xml:space="preserve">巨潮网：《永福股份：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日投 资者关系活动记录 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年度福建辖区上 市公司投资者网上集体接 待日活动投资者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交流公司研发情况、 市场布局、行业前景、 标杆项目等。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巨潮网：《永福股份：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日投 资者关系活动记录 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中银基金：郭毅；银华基金： 陈日华；兴业证券：吴哲怡。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交流公司对外投资、 技术优势、生产经营 等情况。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巨潮网：《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日投资者关系 活动记录表》</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银华基金：陈日华、石磊、 孙蓓琳、周晶；中信建投： 许琳、杨济谦、范昭楠；兴 业证券：孟杰、吴哲怡；东 北证券：王哲宇；青骊投资： 石川林；华美国际：钟俊杰； 亘曦资产：林娟。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交流公司行业地位、 所处市场环境、业务 情况、竞争优势等。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巨潮网：《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日投资者关系 活动记录表》</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广发证券：杨佩莹、高翔； 汇添富：赵剑、赖中立、花 秀宁、陈威、林炜。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交流公司业务情况、 技术优势、所处市场 环境等。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日投资者关系 活动记录表》</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sz w:val="17"/>
                <w:szCs w:val="17"/>
              </w:rPr>
              <w:t>)</w:t>
            </w:r>
          </w:p>
        </w:tc>
      </w:tr>
    </w:tbl>
    <w:p>
      <w:pPr>
        <w:sectPr>
          <w:footnotePr>
            <w:pos w:val="pageBottom"/>
            <w:numFmt w:val="decimal"/>
            <w:numRestart w:val="continuous"/>
          </w:footnotePr>
          <w:pgSz w:w="11900" w:h="16840"/>
          <w:pgMar w:top="1580" w:right="1071" w:bottom="1580" w:left="1066"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bookmarkEnd w:id="287"/>
    </w:p>
    <w:p>
      <w:pPr>
        <w:pStyle w:val="Style18"/>
        <w:keepNext w:val="0"/>
        <w:keepLines w:val="0"/>
        <w:widowControl w:val="0"/>
        <w:pBdr>
          <w:bottom w:val="single" w:sz="4" w:space="0" w:color="auto"/>
        </w:pBdr>
        <w:shd w:val="clear" w:color="auto" w:fill="auto"/>
        <w:bidi w:val="0"/>
        <w:spacing w:before="0" w:after="54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0"/>
        <w:keepNext/>
        <w:keepLines/>
        <w:widowControl w:val="0"/>
        <w:shd w:val="clear" w:color="auto" w:fill="auto"/>
        <w:bidi w:val="0"/>
        <w:spacing w:before="0" w:line="240" w:lineRule="auto"/>
        <w:ind w:left="0" w:right="0" w:firstLine="0"/>
        <w:jc w:val="center"/>
      </w:pPr>
      <w:bookmarkStart w:id="288" w:name="bookmark288"/>
      <w:bookmarkStart w:id="289" w:name="bookmark289"/>
      <w:bookmarkStart w:id="290" w:name="bookmark290"/>
      <w:r>
        <w:rPr>
          <w:color w:val="000000"/>
          <w:spacing w:val="0"/>
          <w:w w:val="100"/>
          <w:position w:val="0"/>
        </w:rPr>
        <w:t>第四节公司治理</w:t>
      </w:r>
      <w:bookmarkEnd w:id="288"/>
      <w:bookmarkEnd w:id="289"/>
      <w:bookmarkEnd w:id="290"/>
    </w:p>
    <w:p>
      <w:pPr>
        <w:pStyle w:val="Style22"/>
        <w:keepNext/>
        <w:keepLines/>
        <w:widowControl w:val="0"/>
        <w:shd w:val="clear" w:color="auto" w:fill="auto"/>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一</w:t>
      </w:r>
      <w:bookmarkEnd w:id="293"/>
      <w:r>
        <w:rPr>
          <w:color w:val="000000"/>
          <w:spacing w:val="0"/>
          <w:w w:val="100"/>
          <w:position w:val="0"/>
          <w:sz w:val="24"/>
          <w:szCs w:val="24"/>
        </w:rPr>
        <w:t>、公司治理的基本状况</w:t>
      </w:r>
      <w:bookmarkEnd w:id="291"/>
      <w:bookmarkEnd w:id="292"/>
      <w:bookmarkEnd w:id="294"/>
    </w:p>
    <w:p>
      <w:pPr>
        <w:pStyle w:val="Style18"/>
        <w:keepNext w:val="0"/>
        <w:keepLines w:val="0"/>
        <w:widowControl w:val="0"/>
        <w:shd w:val="clear" w:color="auto" w:fill="auto"/>
        <w:bidi w:val="0"/>
        <w:spacing w:before="0" w:after="100"/>
        <w:ind w:left="0" w:right="0" w:firstLine="480"/>
        <w:jc w:val="left"/>
      </w:pPr>
      <w:r>
        <w:rPr>
          <w:color w:val="000000"/>
          <w:spacing w:val="0"/>
          <w:w w:val="100"/>
          <w:position w:val="0"/>
        </w:rPr>
        <w:t>公司严格按照《公司法》《证券法》《上市公司治理准则》《深圳证券交易所创业板股票上市规则》《深圳证券交易所创 业板上市公司规范运作指引》等法律法规及中国证监会有关法律法规的要求，确定了股东大会、董事会、监事会及经营管理 层的分层治理结构，不断完善公司法人治理结构，建立健全公司内部控制制度，进一步规范公司运作，提高公司治理水平。 截止报告期末，公司治理的实际状况符合中国证监会发布的有关上市公司治理的规范性文件的相关要求。</w:t>
      </w:r>
    </w:p>
    <w:p>
      <w:pPr>
        <w:pStyle w:val="Style18"/>
        <w:keepNext w:val="0"/>
        <w:keepLines w:val="0"/>
        <w:widowControl w:val="0"/>
        <w:shd w:val="clear" w:color="auto" w:fill="auto"/>
        <w:bidi w:val="0"/>
        <w:spacing w:before="0" w:after="100"/>
        <w:ind w:left="0" w:right="0" w:firstLine="480"/>
        <w:jc w:val="both"/>
      </w:pPr>
      <w:bookmarkStart w:id="295" w:name="bookmark295"/>
      <w:r>
        <w:rPr>
          <w:b/>
          <w:bCs/>
          <w:color w:val="000000"/>
          <w:spacing w:val="0"/>
          <w:w w:val="100"/>
          <w:position w:val="0"/>
        </w:rPr>
        <w:t>（</w:t>
      </w:r>
      <w:bookmarkEnd w:id="295"/>
      <w:r>
        <w:rPr>
          <w:b/>
          <w:bCs/>
          <w:color w:val="000000"/>
          <w:spacing w:val="0"/>
          <w:w w:val="100"/>
          <w:position w:val="0"/>
        </w:rPr>
        <w:t>一）关于股东和股东大会</w:t>
      </w:r>
    </w:p>
    <w:p>
      <w:pPr>
        <w:pStyle w:val="Style1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公司严格按照《公司法》《上市公司股东大会规则》《公司章程》和《股东大会议事规则》等规定和要求，规范地召集、 召开股东大会，平等的对待所有股东，并采取网络投票等方式为股东参加股东大会提供便利，使其充分行使股东权利。</w:t>
      </w:r>
    </w:p>
    <w:p>
      <w:pPr>
        <w:pStyle w:val="Style18"/>
        <w:keepNext w:val="0"/>
        <w:keepLines w:val="0"/>
        <w:widowControl w:val="0"/>
        <w:shd w:val="clear" w:color="auto" w:fill="auto"/>
        <w:bidi w:val="0"/>
        <w:spacing w:before="0" w:after="100"/>
        <w:ind w:left="0" w:right="0" w:firstLine="480"/>
        <w:jc w:val="both"/>
      </w:pPr>
      <w:bookmarkStart w:id="296" w:name="bookmark296"/>
      <w:r>
        <w:rPr>
          <w:b/>
          <w:bCs/>
          <w:color w:val="000000"/>
          <w:spacing w:val="0"/>
          <w:w w:val="100"/>
          <w:position w:val="0"/>
        </w:rPr>
        <w:t>（</w:t>
      </w:r>
      <w:bookmarkEnd w:id="296"/>
      <w:r>
        <w:rPr>
          <w:b/>
          <w:bCs/>
          <w:color w:val="000000"/>
          <w:spacing w:val="0"/>
          <w:w w:val="100"/>
          <w:position w:val="0"/>
        </w:rPr>
        <w:t>二）关于董事和董事会</w:t>
      </w:r>
    </w:p>
    <w:p>
      <w:pPr>
        <w:pStyle w:val="Style18"/>
        <w:keepNext w:val="0"/>
        <w:keepLines w:val="0"/>
        <w:widowControl w:val="0"/>
        <w:shd w:val="clear" w:color="auto" w:fill="auto"/>
        <w:bidi w:val="0"/>
        <w:spacing w:before="0" w:after="100" w:line="319" w:lineRule="exact"/>
        <w:ind w:left="0" w:right="0" w:firstLine="48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名为独立董事，董事会的人数及人员构成符合法律、法规和《公司章程》的要求。 公司董事能够依据《公司章程》《董事会议事规则》《独立董事工作细则》等要求开展工作，出席董事会、董事会专门委员会 和股东大会，勤勉尽责地履行职责和义务。同时，积极组织相关培训，促进董事的规范履职和科学决策。</w:t>
      </w:r>
    </w:p>
    <w:p>
      <w:pPr>
        <w:pStyle w:val="Style18"/>
        <w:keepNext w:val="0"/>
        <w:keepLines w:val="0"/>
        <w:widowControl w:val="0"/>
        <w:shd w:val="clear" w:color="auto" w:fill="auto"/>
        <w:bidi w:val="0"/>
        <w:spacing w:before="0" w:after="100"/>
        <w:ind w:left="0" w:right="0" w:firstLine="480"/>
        <w:jc w:val="both"/>
      </w:pPr>
      <w:bookmarkStart w:id="297" w:name="bookmark297"/>
      <w:r>
        <w:rPr>
          <w:b/>
          <w:bCs/>
          <w:color w:val="000000"/>
          <w:spacing w:val="0"/>
          <w:w w:val="100"/>
          <w:position w:val="0"/>
        </w:rPr>
        <w:t>（</w:t>
      </w:r>
      <w:bookmarkEnd w:id="297"/>
      <w:r>
        <w:rPr>
          <w:b/>
          <w:bCs/>
          <w:color w:val="000000"/>
          <w:spacing w:val="0"/>
          <w:w w:val="100"/>
          <w:position w:val="0"/>
        </w:rPr>
        <w:t>三）关于监事和监事会</w:t>
      </w:r>
    </w:p>
    <w:p>
      <w:pPr>
        <w:pStyle w:val="Style18"/>
        <w:keepNext w:val="0"/>
        <w:keepLines w:val="0"/>
        <w:widowControl w:val="0"/>
        <w:shd w:val="clear" w:color="auto" w:fill="auto"/>
        <w:bidi w:val="0"/>
        <w:spacing w:before="0" w:after="100" w:line="319" w:lineRule="exact"/>
        <w:ind w:left="0" w:right="0" w:firstLine="480"/>
        <w:jc w:val="both"/>
      </w:pPr>
      <w:r>
        <w:rPr>
          <w:color w:val="000000"/>
          <w:spacing w:val="0"/>
          <w:w w:val="100"/>
          <w:position w:val="0"/>
        </w:rPr>
        <w:t>公司监事会设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 司章程》的要求。公司监事能够按照《公司章程》《监事会议事规则》等规定的要求，认真履行自己的职责，对公司的重大 事项、关联交易、财务状况以及董事、高级管理人员履行职责的合法合规性进行监督，维护公司及股东的合法权益。</w:t>
      </w:r>
    </w:p>
    <w:p>
      <w:pPr>
        <w:pStyle w:val="Style18"/>
        <w:keepNext w:val="0"/>
        <w:keepLines w:val="0"/>
        <w:widowControl w:val="0"/>
        <w:shd w:val="clear" w:color="auto" w:fill="auto"/>
        <w:bidi w:val="0"/>
        <w:spacing w:before="0" w:after="100"/>
        <w:ind w:left="0" w:right="0" w:firstLine="480"/>
        <w:jc w:val="both"/>
      </w:pPr>
      <w:bookmarkStart w:id="298" w:name="bookmark298"/>
      <w:r>
        <w:rPr>
          <w:b/>
          <w:bCs/>
          <w:color w:val="000000"/>
          <w:spacing w:val="0"/>
          <w:w w:val="100"/>
          <w:position w:val="0"/>
        </w:rPr>
        <w:t>（</w:t>
      </w:r>
      <w:bookmarkEnd w:id="298"/>
      <w:r>
        <w:rPr>
          <w:b/>
          <w:bCs/>
          <w:color w:val="000000"/>
          <w:spacing w:val="0"/>
          <w:w w:val="100"/>
          <w:position w:val="0"/>
        </w:rPr>
        <w:t>四）关于高级管理人员与公司激励约束机制</w:t>
      </w:r>
    </w:p>
    <w:p>
      <w:pPr>
        <w:pStyle w:val="Style18"/>
        <w:keepNext w:val="0"/>
        <w:keepLines w:val="0"/>
        <w:widowControl w:val="0"/>
        <w:shd w:val="clear" w:color="auto" w:fill="auto"/>
        <w:bidi w:val="0"/>
        <w:spacing w:before="0" w:after="100"/>
        <w:ind w:left="0" w:right="0" w:firstLine="480"/>
        <w:jc w:val="both"/>
      </w:pPr>
      <w:r>
        <w:rPr>
          <w:color w:val="000000"/>
          <w:spacing w:val="0"/>
          <w:w w:val="100"/>
          <w:position w:val="0"/>
        </w:rPr>
        <w:t>公司建立了科学有效的激励约束机制，以完善公司高级管理人员绩效考核，规范公司高管人员薪酬管理，提高公司经 营管理水平和核心竞争力。公司根据经营目标完成情况及高管工作目标完成情况，由董事会薪酬与绩效考核委员会考核确定 总经理薪酬，由总经理考核确定公司其他高管的薪酬，高管薪酬均由董事会批准执行。高级管理人员的聘任符合法律、法规 的规定。</w:t>
      </w:r>
    </w:p>
    <w:p>
      <w:pPr>
        <w:pStyle w:val="Style18"/>
        <w:keepNext w:val="0"/>
        <w:keepLines w:val="0"/>
        <w:widowControl w:val="0"/>
        <w:shd w:val="clear" w:color="auto" w:fill="auto"/>
        <w:bidi w:val="0"/>
        <w:spacing w:before="0" w:after="100"/>
        <w:ind w:left="0" w:right="0" w:firstLine="480"/>
        <w:jc w:val="both"/>
      </w:pPr>
      <w:bookmarkStart w:id="299" w:name="bookmark299"/>
      <w:r>
        <w:rPr>
          <w:b/>
          <w:bCs/>
          <w:color w:val="000000"/>
          <w:spacing w:val="0"/>
          <w:w w:val="100"/>
          <w:position w:val="0"/>
        </w:rPr>
        <w:t>（</w:t>
      </w:r>
      <w:bookmarkEnd w:id="299"/>
      <w:r>
        <w:rPr>
          <w:b/>
          <w:bCs/>
          <w:color w:val="000000"/>
          <w:spacing w:val="0"/>
          <w:w w:val="100"/>
          <w:position w:val="0"/>
        </w:rPr>
        <w:t>五）关于公司与控股股东及其关联方</w:t>
      </w:r>
    </w:p>
    <w:p>
      <w:pPr>
        <w:pStyle w:val="Style18"/>
        <w:keepNext w:val="0"/>
        <w:keepLines w:val="0"/>
        <w:widowControl w:val="0"/>
        <w:shd w:val="clear" w:color="auto" w:fill="auto"/>
        <w:bidi w:val="0"/>
        <w:spacing w:before="0" w:after="100"/>
        <w:ind w:left="0" w:right="0" w:firstLine="480"/>
        <w:jc w:val="both"/>
      </w:pPr>
      <w:r>
        <w:rPr>
          <w:color w:val="000000"/>
          <w:spacing w:val="0"/>
          <w:w w:val="100"/>
          <w:position w:val="0"/>
        </w:rPr>
        <w:t>公司控股股东及其关联方严格按照《上市公司治理准则》《深圳证券交易所创业板股票上市规则》《深圳证券交易所创 业板上市公司规范运作指引》《公司章程》等规定和要求，规范自己的行为。控股股东不存在超越股东大会权限直接或间接 干预公司的决策和经营活动的行为，未损害公司及其他股东的利益，不存在控股股东占用公司资金的现象，亦无为控股股东 提供担保的情形。公司拥有独立完整的业务和自主经营能力，在业务、人员、资产、机构、财务上独立于控股股东，公司董 事会、监事会和内部机构独立运作。</w:t>
      </w:r>
    </w:p>
    <w:p>
      <w:pPr>
        <w:pStyle w:val="Style18"/>
        <w:keepNext w:val="0"/>
        <w:keepLines w:val="0"/>
        <w:widowControl w:val="0"/>
        <w:shd w:val="clear" w:color="auto" w:fill="auto"/>
        <w:bidi w:val="0"/>
        <w:spacing w:before="0" w:after="100"/>
        <w:ind w:left="0" w:right="0" w:firstLine="480"/>
        <w:jc w:val="both"/>
      </w:pPr>
      <w:bookmarkStart w:id="300" w:name="bookmark300"/>
      <w:r>
        <w:rPr>
          <w:b/>
          <w:bCs/>
          <w:color w:val="000000"/>
          <w:spacing w:val="0"/>
          <w:w w:val="100"/>
          <w:position w:val="0"/>
        </w:rPr>
        <w:t>（</w:t>
      </w:r>
      <w:bookmarkEnd w:id="300"/>
      <w:r>
        <w:rPr>
          <w:b/>
          <w:bCs/>
          <w:color w:val="000000"/>
          <w:spacing w:val="0"/>
          <w:w w:val="100"/>
          <w:position w:val="0"/>
        </w:rPr>
        <w:t>六）关于利益相关者</w:t>
      </w:r>
    </w:p>
    <w:p>
      <w:pPr>
        <w:pStyle w:val="Style18"/>
        <w:keepNext w:val="0"/>
        <w:keepLines w:val="0"/>
        <w:widowControl w:val="0"/>
        <w:shd w:val="clear" w:color="auto" w:fill="auto"/>
        <w:bidi w:val="0"/>
        <w:spacing w:before="0" w:after="100"/>
        <w:ind w:left="0" w:right="0" w:firstLine="480"/>
        <w:jc w:val="both"/>
      </w:pPr>
      <w:r>
        <w:rPr>
          <w:color w:val="000000"/>
          <w:spacing w:val="0"/>
          <w:w w:val="100"/>
          <w:position w:val="0"/>
        </w:rPr>
        <w:t>公司充分尊重和维护利益相关者的合法权益，积极与利益相关者合作，加强与各方的沟通与交流，实现股东、员工、 社会等各方利益的协调平衡，共同推动公司持续健康发展。</w:t>
      </w:r>
    </w:p>
    <w:p>
      <w:pPr>
        <w:pStyle w:val="Style18"/>
        <w:keepNext w:val="0"/>
        <w:keepLines w:val="0"/>
        <w:widowControl w:val="0"/>
        <w:shd w:val="clear" w:color="auto" w:fill="auto"/>
        <w:bidi w:val="0"/>
        <w:spacing w:before="0" w:after="100"/>
        <w:ind w:left="0" w:right="0" w:firstLine="480"/>
        <w:jc w:val="both"/>
      </w:pPr>
      <w:bookmarkStart w:id="301" w:name="bookmark301"/>
      <w:r>
        <w:rPr>
          <w:b/>
          <w:bCs/>
          <w:color w:val="000000"/>
          <w:spacing w:val="0"/>
          <w:w w:val="100"/>
          <w:position w:val="0"/>
        </w:rPr>
        <w:t>（</w:t>
      </w:r>
      <w:bookmarkEnd w:id="301"/>
      <w:r>
        <w:rPr>
          <w:b/>
          <w:bCs/>
          <w:color w:val="000000"/>
          <w:spacing w:val="0"/>
          <w:w w:val="100"/>
          <w:position w:val="0"/>
        </w:rPr>
        <w:t>七）关于信息披露与透明度</w:t>
      </w:r>
    </w:p>
    <w:p>
      <w:pPr>
        <w:pStyle w:val="Style18"/>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公司严格按照《中华人民共和国证券法》《深圳证券交易所创业板股票上市规则》《深圳证券交易所创业板上市公司规 范运作指引》《公司章程》及《信息披露事务管理制度》等法律法规及规范性文件、制度的要求，真实、准确、完整、公平、</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100" w:line="319"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及时地披露有关信息。公司指定董事会秘书负责信息披露工作，并负责接待投资者来访和咨询及投资者关系管理，设立董事 会办公室负责信息披露日常事务。</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00" w:line="316"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240" w:line="331" w:lineRule="exact"/>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二</w:t>
      </w:r>
      <w:bookmarkEnd w:id="304"/>
      <w:r>
        <w:rPr>
          <w:color w:val="000000"/>
          <w:spacing w:val="0"/>
          <w:w w:val="100"/>
          <w:position w:val="0"/>
          <w:sz w:val="24"/>
          <w:szCs w:val="24"/>
        </w:rPr>
        <w:t>、公司相对于控股股东、实际控制人在保证公司资产、人员、财务、机构、业务等方面的 独立情况</w:t>
      </w:r>
      <w:bookmarkEnd w:id="302"/>
      <w:bookmarkEnd w:id="303"/>
      <w:bookmarkEnd w:id="305"/>
    </w:p>
    <w:p>
      <w:pPr>
        <w:pStyle w:val="Style18"/>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公司严格按照《公司法》《证券法》《深圳证券交易所创业板股票上市规则》《深圳证券交易所创业板上市公司规范运作 指引》等有关法律法规、部门规章、规范性文件和《公司章程》的规定规范运作，在资产、人员、财务、机构、业务等方面 与控股股东、实际控制人相互独立，公司董事会、监事会和内部机构独立运作，具有完整的业务体系和面向市场独立经营的 能力。</w:t>
      </w:r>
    </w:p>
    <w:p>
      <w:pPr>
        <w:pStyle w:val="Style22"/>
        <w:keepNext/>
        <w:keepLines/>
        <w:widowControl w:val="0"/>
        <w:shd w:val="clear" w:color="auto" w:fill="auto"/>
        <w:bidi w:val="0"/>
        <w:spacing w:before="0" w:after="240" w:line="331" w:lineRule="exact"/>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三</w:t>
      </w:r>
      <w:bookmarkEnd w:id="308"/>
      <w:r>
        <w:rPr>
          <w:color w:val="000000"/>
          <w:spacing w:val="0"/>
          <w:w w:val="100"/>
          <w:position w:val="0"/>
          <w:sz w:val="24"/>
          <w:szCs w:val="24"/>
        </w:rPr>
        <w:t>、同业竞争情况</w:t>
      </w:r>
      <w:bookmarkEnd w:id="306"/>
      <w:bookmarkEnd w:id="307"/>
      <w:bookmarkEnd w:id="309"/>
    </w:p>
    <w:p>
      <w:pPr>
        <w:pStyle w:val="Style18"/>
        <w:keepNext w:val="0"/>
        <w:keepLines w:val="0"/>
        <w:widowControl w:val="0"/>
        <w:shd w:val="clear" w:color="auto" w:fill="auto"/>
        <w:bidi w:val="0"/>
        <w:spacing w:before="0" w:after="300" w:line="316" w:lineRule="exact"/>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60" w:line="331"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四</w:t>
      </w:r>
      <w:bookmarkEnd w:id="312"/>
      <w:r>
        <w:rPr>
          <w:color w:val="000000"/>
          <w:spacing w:val="0"/>
          <w:w w:val="100"/>
          <w:position w:val="0"/>
          <w:sz w:val="24"/>
          <w:szCs w:val="24"/>
        </w:rPr>
        <w:t>、报告期内召开的年度股东大会和临时股东大会的有关情况</w:t>
      </w:r>
      <w:bookmarkEnd w:id="310"/>
      <w:bookmarkEnd w:id="311"/>
      <w:bookmarkEnd w:id="313"/>
    </w:p>
    <w:p>
      <w:pPr>
        <w:pStyle w:val="Style32"/>
        <w:keepNext/>
        <w:keepLines/>
        <w:widowControl w:val="0"/>
        <w:shd w:val="clear" w:color="auto" w:fill="auto"/>
        <w:bidi w:val="0"/>
        <w:spacing w:before="0" w:after="30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、本报告期股东大会情况</w:t>
      </w:r>
      <w:bookmarkEnd w:id="314"/>
      <w:bookmarkEnd w:id="315"/>
      <w:bookmarkEnd w:id="317"/>
    </w:p>
    <w:tbl>
      <w:tblPr>
        <w:tblOverlap w:val="never"/>
        <w:jc w:val="center"/>
        <w:tblLayout w:type="fixed"/>
      </w:tblPr>
      <w:tblGrid>
        <w:gridCol w:w="1114"/>
        <w:gridCol w:w="931"/>
        <w:gridCol w:w="1109"/>
        <w:gridCol w:w="1306"/>
        <w:gridCol w:w="1368"/>
        <w:gridCol w:w="37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会议类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一次临时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审议通过了《关于提名暨选举第二届董事会非 独立董事候选人的议案》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二次临时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审议通过了《关于续聘会计师事务所的议案》 《关于公司</w:t>
            </w:r>
            <w:r>
              <w:rPr>
                <w:color w:val="000000"/>
                <w:spacing w:val="0"/>
                <w:w w:val="100"/>
                <w:position w:val="0"/>
                <w:sz w:val="18"/>
                <w:szCs w:val="18"/>
              </w:rPr>
              <w:t>〈</w:t>
            </w:r>
            <w:r>
              <w:rPr>
                <w:color w:val="000000"/>
                <w:spacing w:val="0"/>
                <w:w w:val="100"/>
                <w:position w:val="0"/>
                <w:sz w:val="17"/>
                <w:szCs w:val="17"/>
              </w:rPr>
              <w:t>第一期限制性股票激励计划（草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及其摘要的议案》《关于公司</w:t>
            </w:r>
            <w:r>
              <w:rPr>
                <w:color w:val="000000"/>
                <w:spacing w:val="0"/>
                <w:w w:val="100"/>
                <w:position w:val="0"/>
                <w:sz w:val="18"/>
                <w:szCs w:val="18"/>
              </w:rPr>
              <w:t>〈</w:t>
            </w:r>
            <w:r>
              <w:rPr>
                <w:color w:val="000000"/>
                <w:spacing w:val="0"/>
                <w:w w:val="100"/>
                <w:position w:val="0"/>
                <w:sz w:val="17"/>
                <w:szCs w:val="17"/>
              </w:rPr>
              <w:t>第一期限 制性股票激励计划实施考核管理办法</w:t>
            </w:r>
            <w:r>
              <w:rPr>
                <w:color w:val="000000"/>
                <w:spacing w:val="0"/>
                <w:w w:val="100"/>
                <w:position w:val="0"/>
                <w:sz w:val="18"/>
                <w:szCs w:val="18"/>
              </w:rPr>
              <w:t>〉</w:t>
            </w:r>
            <w:r>
              <w:rPr>
                <w:color w:val="000000"/>
                <w:spacing w:val="0"/>
                <w:w w:val="100"/>
                <w:position w:val="0"/>
                <w:sz w:val="17"/>
                <w:szCs w:val="17"/>
              </w:rPr>
              <w:t>的议 案》《关于提请股东大会授权董事会办理股权 激励相关事宜的议案》</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度股东大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年度股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 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年度监事会工作 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 告的议案》《关于公司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年度财务预算报告 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年度利润分配预案的 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年年度报告及其摘要的 议案》《关于为子公司融资及履约提供担保额 度的议案》</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审议通过了《关于为参股公司提供担保暨关联</w:t>
            </w:r>
          </w:p>
        </w:tc>
      </w:tr>
    </w:tbl>
    <w:p>
      <w:pPr>
        <w:sectPr>
          <w:footnotePr>
            <w:pos w:val="pageBottom"/>
            <w:numFmt w:val="decimal"/>
            <w:numRestart w:val="continuous"/>
          </w:footnotePr>
          <w:pgSz w:w="11900" w:h="16840"/>
          <w:pgMar w:top="985" w:right="1035" w:bottom="1414" w:left="1054" w:header="0" w:footer="3" w:gutter="0"/>
          <w:cols w:space="720"/>
          <w:noEndnote/>
          <w:rtlGutter w:val="0"/>
          <w:docGrid w:linePitch="360"/>
        </w:sectPr>
      </w:pPr>
    </w:p>
    <w:tbl>
      <w:tblPr>
        <w:tblOverlap w:val="never"/>
        <w:jc w:val="center"/>
        <w:tblLayout w:type="fixed"/>
      </w:tblPr>
      <w:tblGrid>
        <w:gridCol w:w="1114"/>
        <w:gridCol w:w="931"/>
        <w:gridCol w:w="1109"/>
        <w:gridCol w:w="1306"/>
        <w:gridCol w:w="1368"/>
        <w:gridCol w:w="3758"/>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三次临时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7"/>
                <w:szCs w:val="17"/>
              </w:rPr>
              <w:t>交易的议案》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审议通过了《关于为全资子公司履约提供担保 的议案》</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五次临时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审议通过了《关于公司符合向特定对象发行股 票条件的议案》《关于公司向特定对象发行股 票方案的议案》《关于公司向特定对象发行股 票预案的议案》《关于公司向特定对象发行股 票方案论证分析报告的议案》《关于公司向特 定对象发行股票募集资金使用可行性分析报 告的议案》《关于公司前次募集资金使用情况 报告的议案》《关于公司向特定对象发行股票 涉及关联交易的议案》《关于公司与特定对象 签署附生效条件的股份认购协议的议案》《关 于公司向特定对象发行股票摊薄即期回报、采 取填补措施及相关主体承诺的议案》《关于公 司未来三年（</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年）股东回报规划的 议案》《关于提请股东大会授权董事会及其授 权人士全权办理本次向特定对象发行股票相 关事宜的议案》《关于公司子公司出售资产暨 关联交易的议案》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六次临时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审议通过了《关于提名暨选举第二届董事会非 独立董事候选人的议案》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七次临时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年度日常关联交易额 度预计的议案》《关于投资上海快卜新能源科 技有限公司暨关联交易的议案》</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八次临时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以累积投票方式，逐项审议通过了《关于公司 董事会换届选举暨选举第三届董事会非独立 董事的议案》《关于公司董事会换届选举暨选 举第三届董事会独立董事的议案》《关于公司 监事会换届选举暨选举第三届监事会非职工 代表监事的议案》，并以非累积投票方式审议 通过了《关于拟定第三届董事会非独立董事成 员薪酬标准的议案》《关于拟定第三届董事会 独立董事成员津贴标准的议案》《关于拟定第 三届监事会成员薪酬标准的议案》《关于修改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投资决策管理制度</w:t>
            </w:r>
            <w:r>
              <w:rPr>
                <w:color w:val="000000"/>
                <w:spacing w:val="0"/>
                <w:w w:val="100"/>
                <w:position w:val="0"/>
                <w:sz w:val="18"/>
                <w:szCs w:val="18"/>
              </w:rPr>
              <w:t>〉</w:t>
            </w:r>
            <w:r>
              <w:rPr>
                <w:color w:val="000000"/>
                <w:spacing w:val="0"/>
                <w:w w:val="100"/>
                <w:position w:val="0"/>
                <w:sz w:val="17"/>
                <w:szCs w:val="17"/>
              </w:rPr>
              <w:t>的议案》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九次临时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审议通过了《关于为参股公司提供担保暨关联 交易的议案》</w:t>
            </w:r>
          </w:p>
        </w:tc>
      </w:tr>
    </w:tbl>
    <w:p>
      <w:pPr>
        <w:spacing w:lineRule="exact" w:line="1"/>
        <w:rPr>
          <w:sz w:val="2"/>
          <w:szCs w:val="2"/>
        </w:rPr>
      </w:pPr>
      <w:r>
        <w:br w:type="page"/>
      </w:r>
    </w:p>
    <w:tbl>
      <w:tblPr>
        <w:tblOverlap w:val="never"/>
        <w:jc w:val="center"/>
        <w:tblLayout w:type="fixed"/>
      </w:tblPr>
      <w:tblGrid>
        <w:gridCol w:w="1114"/>
        <w:gridCol w:w="931"/>
        <w:gridCol w:w="1109"/>
        <w:gridCol w:w="1306"/>
        <w:gridCol w:w="1368"/>
        <w:gridCol w:w="3758"/>
      </w:tblGrid>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十次临时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审议通过了《关于修订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《关于修订</w:t>
            </w:r>
            <w:r>
              <w:rPr>
                <w:color w:val="000000"/>
                <w:spacing w:val="0"/>
                <w:w w:val="100"/>
                <w:position w:val="0"/>
                <w:sz w:val="18"/>
                <w:szCs w:val="18"/>
              </w:rPr>
              <w:t>〈</w:t>
            </w:r>
            <w:r>
              <w:rPr>
                <w:color w:val="000000"/>
                <w:spacing w:val="0"/>
                <w:w w:val="100"/>
                <w:position w:val="0"/>
                <w:sz w:val="17"/>
                <w:szCs w:val="17"/>
              </w:rPr>
              <w:t>对外担保决策制度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 于修订</w:t>
            </w:r>
            <w:r>
              <w:rPr>
                <w:color w:val="000000"/>
                <w:spacing w:val="0"/>
                <w:w w:val="100"/>
                <w:position w:val="0"/>
                <w:sz w:val="18"/>
                <w:szCs w:val="18"/>
              </w:rPr>
              <w:t>〈</w:t>
            </w:r>
            <w:r>
              <w:rPr>
                <w:color w:val="000000"/>
                <w:spacing w:val="0"/>
                <w:w w:val="100"/>
                <w:position w:val="0"/>
                <w:sz w:val="17"/>
                <w:szCs w:val="17"/>
              </w:rPr>
              <w:t>关联交易管理制度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的议案》《关于修 订</w:t>
            </w:r>
            <w:r>
              <w:rPr>
                <w:color w:val="000000"/>
                <w:spacing w:val="0"/>
                <w:w w:val="100"/>
                <w:position w:val="0"/>
                <w:sz w:val="18"/>
                <w:szCs w:val="18"/>
              </w:rPr>
              <w:t>〈</w:t>
            </w:r>
            <w:r>
              <w:rPr>
                <w:color w:val="000000"/>
                <w:spacing w:val="0"/>
                <w:w w:val="100"/>
                <w:position w:val="0"/>
                <w:sz w:val="17"/>
                <w:szCs w:val="17"/>
              </w:rPr>
              <w:t>募集资金管理制度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股东大会议事规则</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董事 会议事规则</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 xml:space="preserve">独立董事工 作细则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的议案》《关于续聘会计师事务所的议 案》</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、表决权恢复的优先股股东请求召开临时股东大会</w:t>
      </w:r>
      <w:bookmarkEnd w:id="318"/>
      <w:bookmarkEnd w:id="319"/>
      <w:bookmarkEnd w:id="32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五</w:t>
      </w:r>
      <w:bookmarkEnd w:id="324"/>
      <w:r>
        <w:rPr>
          <w:color w:val="000000"/>
          <w:spacing w:val="0"/>
          <w:w w:val="100"/>
          <w:position w:val="0"/>
          <w:sz w:val="24"/>
          <w:szCs w:val="24"/>
        </w:rPr>
        <w:t>、</w:t>
        <w:tab/>
        <w:t>公司具有表决权差异安排</w:t>
      </w:r>
      <w:bookmarkEnd w:id="322"/>
      <w:bookmarkEnd w:id="323"/>
      <w:bookmarkEnd w:id="32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六</w:t>
      </w:r>
      <w:bookmarkEnd w:id="328"/>
      <w:r>
        <w:rPr>
          <w:color w:val="000000"/>
          <w:spacing w:val="0"/>
          <w:w w:val="100"/>
          <w:position w:val="0"/>
          <w:sz w:val="24"/>
          <w:szCs w:val="24"/>
        </w:rPr>
        <w:t>、</w:t>
        <w:tab/>
        <w:t>红筹架构公司治理情况</w:t>
      </w:r>
      <w:bookmarkEnd w:id="326"/>
      <w:bookmarkEnd w:id="327"/>
      <w:bookmarkEnd w:id="32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七</w:t>
      </w:r>
      <w:bookmarkEnd w:id="332"/>
      <w:r>
        <w:rPr>
          <w:color w:val="000000"/>
          <w:spacing w:val="0"/>
          <w:w w:val="100"/>
          <w:position w:val="0"/>
          <w:sz w:val="24"/>
          <w:szCs w:val="24"/>
        </w:rPr>
        <w:t>、</w:t>
        <w:tab/>
        <w:t>董事、监事和高级管理人员情况</w:t>
      </w:r>
      <w:bookmarkEnd w:id="330"/>
      <w:bookmarkEnd w:id="331"/>
      <w:bookmarkEnd w:id="333"/>
    </w:p>
    <w:p>
      <w:pPr>
        <w:pStyle w:val="Style32"/>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、基本情况</w:t>
      </w:r>
      <w:bookmarkEnd w:id="334"/>
      <w:bookmarkEnd w:id="335"/>
      <w:bookmarkEnd w:id="33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持股 数</w:t>
            </w:r>
          </w:p>
          <w:p>
            <w:pPr>
              <w:pStyle w:val="Style2"/>
              <w:keepNext w:val="0"/>
              <w:keepLines w:val="0"/>
              <w:widowControl w:val="0"/>
              <w:shd w:val="clear" w:color="auto" w:fill="auto"/>
              <w:bidi w:val="0"/>
              <w:spacing w:before="0" w:after="6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期末 持股 数</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股份 增减 变动 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林一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王劲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钱有 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 副总 经理、 总工 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谭立 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黄肇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许永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郭谋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林庆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张俊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许伟 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郭泗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宋发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卢庆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张善 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副总 经理、 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罗志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赖福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李庆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吴轶 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副总 经理、 董事 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季征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梁成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胡继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卓秀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日，由于个人原因，梁成都申请辞去公司董事职务，辞职后其将不再担任公司任何职务。</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股东方推荐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个人原因请辞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工作变动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工作变动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公司生产经营需要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赖福梁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公司生产经营需要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公司生产经营需要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吴轶群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公司生产经营需要</w:t>
            </w:r>
          </w:p>
        </w:tc>
      </w:tr>
    </w:tbl>
    <w:tbl>
      <w:tblPr>
        <w:tblOverlap w:val="never"/>
        <w:jc w:val="center"/>
        <w:tblLayout w:type="fixed"/>
      </w:tblPr>
      <w:tblGrid>
        <w:gridCol w:w="1339"/>
        <w:gridCol w:w="1330"/>
        <w:gridCol w:w="1330"/>
        <w:gridCol w:w="1330"/>
        <w:gridCol w:w="4258"/>
      </w:tblGrid>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事会秘书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、任职情况</w:t>
      </w:r>
      <w:bookmarkEnd w:id="338"/>
      <w:bookmarkEnd w:id="339"/>
      <w:bookmarkEnd w:id="341"/>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3" w:lineRule="exact"/>
        <w:ind w:left="0" w:right="0" w:firstLine="50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）公司董事任职情况：</w:t>
      </w:r>
    </w:p>
    <w:p>
      <w:pPr>
        <w:pStyle w:val="Style18"/>
        <w:keepNext w:val="0"/>
        <w:keepLines w:val="0"/>
        <w:widowControl w:val="0"/>
        <w:numPr>
          <w:ilvl w:val="0"/>
          <w:numId w:val="37"/>
        </w:numPr>
        <w:shd w:val="clear" w:color="auto" w:fill="auto"/>
        <w:tabs>
          <w:tab w:pos="802" w:val="left"/>
        </w:tabs>
        <w:bidi w:val="0"/>
        <w:spacing w:before="0" w:after="0" w:line="313" w:lineRule="exact"/>
        <w:ind w:left="0" w:right="0" w:firstLine="500"/>
        <w:jc w:val="both"/>
      </w:pPr>
      <w:bookmarkStart w:id="343" w:name="bookmark343"/>
      <w:bookmarkEnd w:id="343"/>
      <w:r>
        <w:rPr>
          <w:color w:val="000000"/>
          <w:spacing w:val="0"/>
          <w:w w:val="100"/>
          <w:position w:val="0"/>
        </w:rPr>
        <w:t>林一文先生：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月出生，中国国籍，无永久境外居留权，上海交通大学热能工程学本科学历，高级工程师。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月至今，福建永福电力设计股份有限公司董事长兼总经理；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月至今，福建省永福博发投资股份有限公司董 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月至今，福州永福恒诚投资管理股份有限公司董事长；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月至今，福州博宏投资管理有限公司执行董 事;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月至今，福建永福集团有限公司董事；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月，福建永福铁塔技术开发有限公司执行董事；</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月，福建永福电通技术开发有限公司执行董事；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月至今，时代永福科技有限公司董事长；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月，福州新创机电设备有限公司执行董事；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月，福思威特（福建）电力工程有限公司执行 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月上海福毅永帆信息科技有限公司董事长。</w:t>
      </w:r>
    </w:p>
    <w:p>
      <w:pPr>
        <w:pStyle w:val="Style18"/>
        <w:keepNext w:val="0"/>
        <w:keepLines w:val="0"/>
        <w:widowControl w:val="0"/>
        <w:numPr>
          <w:ilvl w:val="0"/>
          <w:numId w:val="37"/>
        </w:numPr>
        <w:shd w:val="clear" w:color="auto" w:fill="auto"/>
        <w:tabs>
          <w:tab w:pos="802" w:val="left"/>
        </w:tabs>
        <w:bidi w:val="0"/>
        <w:spacing w:before="0" w:after="0" w:line="313" w:lineRule="exact"/>
        <w:ind w:left="0" w:right="0" w:firstLine="500"/>
        <w:jc w:val="both"/>
      </w:pPr>
      <w:bookmarkStart w:id="344" w:name="bookmark344"/>
      <w:bookmarkEnd w:id="344"/>
      <w:r>
        <w:rPr>
          <w:color w:val="000000"/>
          <w:spacing w:val="0"/>
          <w:w w:val="100"/>
          <w:position w:val="0"/>
        </w:rPr>
        <w:t>王劲军先生：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月出生，中国国籍，无永久境外居留权，华南理工大学电力系统及其自动化本科学历，高级 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月，福建永福电力设计股份有限公司董事、副总经理、总工程师；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福建永福电力设计股份有限公司董事、副总经理；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月，福建永福电力设计股份有限公司副董事长、副 总经理；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月至今，福建省永福博发投资股份有限公司 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月至今福州永福恒诚投资管理股份有限公司董事；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月至今，福建永鑫昌电力科技有限公司董事长；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月至今福建永福信息科技有限公司董事长；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月，上海福毅永帆信息科技有限公司董事长；</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月至今，福建永福铁塔技术开发有限公司执行董事、总经理；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月至今，甘肃电通电力工程设计咨询有限公司董 事。</w:t>
      </w:r>
    </w:p>
    <w:p>
      <w:pPr>
        <w:pStyle w:val="Style18"/>
        <w:keepNext w:val="0"/>
        <w:keepLines w:val="0"/>
        <w:widowControl w:val="0"/>
        <w:numPr>
          <w:ilvl w:val="0"/>
          <w:numId w:val="37"/>
        </w:numPr>
        <w:shd w:val="clear" w:color="auto" w:fill="auto"/>
        <w:tabs>
          <w:tab w:pos="788" w:val="left"/>
        </w:tabs>
        <w:bidi w:val="0"/>
        <w:spacing w:before="0" w:after="0" w:line="313" w:lineRule="exact"/>
        <w:ind w:left="0" w:right="0" w:firstLine="500"/>
        <w:jc w:val="both"/>
      </w:pPr>
      <w:bookmarkStart w:id="345" w:name="bookmark345"/>
      <w:bookmarkEnd w:id="345"/>
      <w:r>
        <w:rPr>
          <w:color w:val="000000"/>
          <w:spacing w:val="0"/>
          <w:w w:val="100"/>
          <w:position w:val="0"/>
        </w:rPr>
        <w:t>钱有武先生：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月出生，中国国籍，无永久境外居留权，山东建筑工程学院工民建专业本科学历，高级工程 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月至今，福建永福电力设计股份有限公司董事、副总经理；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月至今，福州永福恒诚投资管理股份有限 公司董事；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月至今，福建省永福博发投资股份有限公司董事；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月至今，福州新创机电设备有限公司执行董 事、总经理；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月，四川云能水利电力工程咨询有限公司董事长；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月，福建永福铁 塔技术开发有限公司执行董事、总经理。</w:t>
      </w:r>
    </w:p>
    <w:p>
      <w:pPr>
        <w:pStyle w:val="Style18"/>
        <w:keepNext w:val="0"/>
        <w:keepLines w:val="0"/>
        <w:widowControl w:val="0"/>
        <w:numPr>
          <w:ilvl w:val="0"/>
          <w:numId w:val="37"/>
        </w:numPr>
        <w:shd w:val="clear" w:color="auto" w:fill="auto"/>
        <w:tabs>
          <w:tab w:pos="798" w:val="left"/>
        </w:tabs>
        <w:bidi w:val="0"/>
        <w:spacing w:before="0" w:after="0" w:line="313" w:lineRule="exact"/>
        <w:ind w:left="0" w:right="0" w:firstLine="500"/>
        <w:jc w:val="both"/>
      </w:pPr>
      <w:bookmarkStart w:id="346" w:name="bookmark346"/>
      <w:bookmarkEnd w:id="346"/>
      <w:r>
        <w:rPr>
          <w:color w:val="000000"/>
          <w:spacing w:val="0"/>
          <w:w w:val="100"/>
          <w:position w:val="0"/>
        </w:rPr>
        <w:t>刘勇先生：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月出生，中国国籍，无永久境外居留权，上海交通大学热能工程专业和技术经济专业本科学历， 高级工程师，注册公用设备师（动力）、注册咨询工程师（投资）、注册环保工程师。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月，福建永福电力 设计股份有限公司董事、副总经理、副总工程师；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月至今，福建永福电力设计股份有限公司董事、副总经理、总工 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月至今，福建省永福博发投资股份有限公司董事；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月至今，福州永福恒诚投资管理股份有限公司董事；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月，福建海电运维科技有限责任公司监事；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月至今，福建永福工程科技有限公司董事长；</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月至今，福建永福信息科技有限公司董事长；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月至今，福建华超信息科技有限公司董事；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月至今，港华 时代智慧能源科技（苏州）有限公司董事。</w:t>
      </w:r>
    </w:p>
    <w:p>
      <w:pPr>
        <w:pStyle w:val="Style18"/>
        <w:keepNext w:val="0"/>
        <w:keepLines w:val="0"/>
        <w:widowControl w:val="0"/>
        <w:numPr>
          <w:ilvl w:val="0"/>
          <w:numId w:val="37"/>
        </w:numPr>
        <w:shd w:val="clear" w:color="auto" w:fill="auto"/>
        <w:tabs>
          <w:tab w:pos="793" w:val="left"/>
        </w:tabs>
        <w:bidi w:val="0"/>
        <w:spacing w:before="0" w:after="0" w:line="313" w:lineRule="exact"/>
        <w:ind w:left="0" w:right="0" w:firstLine="500"/>
        <w:jc w:val="both"/>
      </w:pPr>
      <w:bookmarkStart w:id="347" w:name="bookmark347"/>
      <w:bookmarkEnd w:id="347"/>
      <w:r>
        <w:rPr>
          <w:color w:val="000000"/>
          <w:spacing w:val="0"/>
          <w:w w:val="100"/>
          <w:position w:val="0"/>
        </w:rPr>
        <w:t>谭立斌先生：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月出生，中国国籍，无境外永久居住权，浙江大学学士。曾任宁德时代新能源科技股份有限 公司董事，东莞新科电子厂部门经理，戴尔（中国）计算机公司</w:t>
      </w:r>
      <w:r>
        <w:rPr>
          <w:rFonts w:ascii="Times New Roman" w:eastAsia="Times New Roman" w:hAnsi="Times New Roman" w:cs="Times New Roman"/>
          <w:color w:val="000000"/>
          <w:spacing w:val="0"/>
          <w:w w:val="100"/>
          <w:position w:val="0"/>
          <w:sz w:val="18"/>
          <w:szCs w:val="18"/>
        </w:rPr>
        <w:t>NPI</w:t>
      </w:r>
      <w:r>
        <w:rPr>
          <w:color w:val="000000"/>
          <w:spacing w:val="0"/>
          <w:w w:val="100"/>
          <w:position w:val="0"/>
        </w:rPr>
        <w:t>经理，东莞新能源电子科技有限公司销售经理，东莞 新能源科技有限公司销售总监，宁德新能源科技有限公司销售副总裁。现任宁德时代新能源科技股份有限公司副总经理，时 代广汽动力电池有限公司副董事长兼总经理，广汽时代动力电池系统有限公司董事长，新疆国网时代储能发展有限公司董事， 上海快卜新能源科技有限公司董事，宁德时代科士达科技有限公司董事，广州汇宁时代新能源发展有限公司董事长。</w:t>
      </w:r>
    </w:p>
    <w:p>
      <w:pPr>
        <w:pStyle w:val="Style18"/>
        <w:keepNext w:val="0"/>
        <w:keepLines w:val="0"/>
        <w:widowControl w:val="0"/>
        <w:numPr>
          <w:ilvl w:val="0"/>
          <w:numId w:val="37"/>
        </w:numPr>
        <w:shd w:val="clear" w:color="auto" w:fill="auto"/>
        <w:tabs>
          <w:tab w:pos="798" w:val="left"/>
        </w:tabs>
        <w:bidi w:val="0"/>
        <w:spacing w:before="0" w:after="160" w:line="313" w:lineRule="exact"/>
        <w:ind w:left="0" w:right="0" w:firstLine="500"/>
        <w:jc w:val="both"/>
        <w:sectPr>
          <w:footnotePr>
            <w:pos w:val="pageBottom"/>
            <w:numFmt w:val="decimal"/>
            <w:numRestart w:val="continuous"/>
          </w:footnotePr>
          <w:pgSz w:w="11900" w:h="16840"/>
          <w:pgMar w:top="1543" w:right="1089" w:bottom="1472" w:left="1033" w:header="0" w:footer="3" w:gutter="0"/>
          <w:cols w:space="720"/>
          <w:noEndnote/>
          <w:rtlGutter w:val="0"/>
          <w:docGrid w:linePitch="360"/>
        </w:sectPr>
      </w:pPr>
      <w:bookmarkStart w:id="348" w:name="bookmark348"/>
      <w:bookmarkEnd w:id="348"/>
      <w:r>
        <w:rPr>
          <w:color w:val="000000"/>
          <w:spacing w:val="0"/>
          <w:w w:val="100"/>
          <w:position w:val="0"/>
        </w:rPr>
        <w:t>黄肇敏先生：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月出生，中国国籍，无永久境外居留权，福州大学电气工程自动化本科学历，高级工程师。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月，福建永福电力设计股份有限公司变电副总工程师；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月，福建永福电力设计股 份有限公司副总工程师兼数字化技术研发部主任；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月至今，福建永福电力设计股份有限公司智慧能源部副主任；</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月，福建永福电力设计股份有限公司董事；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月至今，福建永福电力设计股份有限公司董事；</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月至今，福建省永福博发投资股份有限公司总经理；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月至今，福州永福恒诚投资管理股份有限公司总经理；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月至今，福州博宏投资管理有限公司总经理；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月至今，上海毅昊自动化有限公司执行董事；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月至今，福</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2"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建华超信息科技有限公司董事；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月，上海福毅永帆信息科技有限公司董事；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月至今，上海福毅 永帆信息科技有限公司执行董事兼总经理。</w:t>
      </w:r>
    </w:p>
    <w:p>
      <w:pPr>
        <w:pStyle w:val="Style18"/>
        <w:keepNext w:val="0"/>
        <w:keepLines w:val="0"/>
        <w:widowControl w:val="0"/>
        <w:numPr>
          <w:ilvl w:val="0"/>
          <w:numId w:val="37"/>
        </w:numPr>
        <w:shd w:val="clear" w:color="auto" w:fill="auto"/>
        <w:bidi w:val="0"/>
        <w:spacing w:before="0" w:after="0" w:line="312" w:lineRule="exact"/>
        <w:ind w:left="0" w:right="0" w:firstLine="540"/>
        <w:jc w:val="both"/>
      </w:pPr>
      <w:bookmarkStart w:id="349" w:name="bookmark349"/>
      <w:bookmarkEnd w:id="349"/>
      <w:r>
        <w:rPr>
          <w:color w:val="000000"/>
          <w:spacing w:val="0"/>
          <w:w w:val="100"/>
          <w:position w:val="0"/>
        </w:rPr>
        <w:t>许永东先生：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月出生，中国国籍，无境外永久居留权。华东政法学院法学学士，北京大学高级管理人员工 商管理硕士。</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年至今任福建拓维律师事务所首席合伙人、律师；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年至今任福建省政协委员；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年任福建 南平太阳电缆股份有限公司太阳电缆独立董事；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年至今任福建永福电力设计股份有限公司独立董事；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 福建新大陆通信科技股份有限公司独立董事；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年至今任新大陆数字技术股份有限公司独立董事。</w:t>
      </w:r>
    </w:p>
    <w:p>
      <w:pPr>
        <w:pStyle w:val="Style18"/>
        <w:keepNext w:val="0"/>
        <w:keepLines w:val="0"/>
        <w:widowControl w:val="0"/>
        <w:numPr>
          <w:ilvl w:val="0"/>
          <w:numId w:val="37"/>
        </w:numPr>
        <w:shd w:val="clear" w:color="auto" w:fill="auto"/>
        <w:bidi w:val="0"/>
        <w:spacing w:before="0" w:after="0" w:line="312" w:lineRule="exact"/>
        <w:ind w:left="0" w:right="0" w:firstLine="540"/>
        <w:jc w:val="both"/>
      </w:pPr>
      <w:bookmarkStart w:id="350" w:name="bookmark350"/>
      <w:bookmarkEnd w:id="350"/>
      <w:r>
        <w:rPr>
          <w:color w:val="000000"/>
          <w:spacing w:val="0"/>
          <w:w w:val="100"/>
          <w:position w:val="0"/>
        </w:rPr>
        <w:t>郭谋发先生：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月出生，中国国籍，无境外永久居住权。台湾元智大学博士，福州大学电气工程与自动化学 院教授、博士研究生导师。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年任福州大学电气工程与自动化学院电力工程系系主任；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年任福州大 学电气工程与自动化学院电力工程系党支部书记；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年至今任福州大学配电网及其自动化研究中心主任；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年至今任福 州大学电气工程与自动化学院学术委员会委员。</w:t>
      </w:r>
    </w:p>
    <w:p>
      <w:pPr>
        <w:pStyle w:val="Style18"/>
        <w:keepNext w:val="0"/>
        <w:keepLines w:val="0"/>
        <w:widowControl w:val="0"/>
        <w:numPr>
          <w:ilvl w:val="0"/>
          <w:numId w:val="37"/>
        </w:numPr>
        <w:shd w:val="clear" w:color="auto" w:fill="auto"/>
        <w:bidi w:val="0"/>
        <w:spacing w:before="0" w:after="0" w:line="312" w:lineRule="exact"/>
        <w:ind w:left="0" w:right="0" w:firstLine="540"/>
        <w:jc w:val="both"/>
      </w:pPr>
      <w:bookmarkStart w:id="351" w:name="bookmark351"/>
      <w:bookmarkEnd w:id="351"/>
      <w:r>
        <w:rPr>
          <w:color w:val="000000"/>
          <w:spacing w:val="0"/>
          <w:w w:val="100"/>
          <w:position w:val="0"/>
        </w:rPr>
        <w:t>林庆瑜先生：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月出生，中国国籍，无境外永久居住权，福州大学硕士。</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年任天健正信会计师事务所有 限公司合伙人。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年至今任致同会计师事务所（特殊普通合伙）合伙人，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年至今任福人木业（福州）有限公司董事。</w:t>
      </w:r>
    </w:p>
    <w:p>
      <w:pPr>
        <w:pStyle w:val="Style18"/>
        <w:keepNext w:val="0"/>
        <w:keepLines w:val="0"/>
        <w:widowControl w:val="0"/>
        <w:shd w:val="clear" w:color="auto" w:fill="auto"/>
        <w:bidi w:val="0"/>
        <w:spacing w:before="0" w:after="0" w:line="312" w:lineRule="exact"/>
        <w:ind w:left="0" w:right="0" w:firstLine="540"/>
        <w:jc w:val="both"/>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）公司监事任职情况：</w:t>
      </w:r>
    </w:p>
    <w:p>
      <w:pPr>
        <w:pStyle w:val="Style18"/>
        <w:keepNext w:val="0"/>
        <w:keepLines w:val="0"/>
        <w:widowControl w:val="0"/>
        <w:numPr>
          <w:ilvl w:val="0"/>
          <w:numId w:val="39"/>
        </w:numPr>
        <w:shd w:val="clear" w:color="auto" w:fill="auto"/>
        <w:bidi w:val="0"/>
        <w:spacing w:before="0" w:after="0" w:line="312" w:lineRule="exact"/>
        <w:ind w:left="0" w:right="0" w:firstLine="540"/>
        <w:jc w:val="both"/>
      </w:pPr>
      <w:bookmarkStart w:id="353" w:name="bookmark353"/>
      <w:bookmarkEnd w:id="353"/>
      <w:r>
        <w:rPr>
          <w:color w:val="000000"/>
          <w:spacing w:val="0"/>
          <w:w w:val="100"/>
          <w:position w:val="0"/>
        </w:rPr>
        <w:t>张俊财先生：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月出生，中国国籍，无永久境外居留权，华北电力大学热能工程专业本科学历，高级工程师， 注册公用设备师。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月，福建永福电力设计股份有限公司发电设计部副主任、主任；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月，福建永福电力设计股份有限公司发电事业部总经理；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月，福建永福电力设计股份有限公司监事；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月至今，福建永福电力设计股份有限公司监事会主席；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月至今，福建永福电力设计股份有限公司企业运营 部主任；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月至今，福建省永福博发投资股份有限公司监事；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月至今，福州永福恒诚投资管理股份有限公司监 事;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月至今，福州博宏投资管理有限公司监事；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月至今，攀枝花三能新能源有限公司董事。</w:t>
      </w:r>
    </w:p>
    <w:p>
      <w:pPr>
        <w:pStyle w:val="Style18"/>
        <w:keepNext w:val="0"/>
        <w:keepLines w:val="0"/>
        <w:widowControl w:val="0"/>
        <w:numPr>
          <w:ilvl w:val="0"/>
          <w:numId w:val="39"/>
        </w:numPr>
        <w:shd w:val="clear" w:color="auto" w:fill="auto"/>
        <w:bidi w:val="0"/>
        <w:spacing w:before="0" w:after="0" w:line="312" w:lineRule="exact"/>
        <w:ind w:left="0" w:right="0" w:firstLine="540"/>
        <w:jc w:val="both"/>
      </w:pPr>
      <w:bookmarkStart w:id="354" w:name="bookmark354"/>
      <w:bookmarkEnd w:id="354"/>
      <w:r>
        <w:rPr>
          <w:color w:val="000000"/>
          <w:spacing w:val="0"/>
          <w:w w:val="100"/>
          <w:position w:val="0"/>
        </w:rPr>
        <w:t>许伟坤先生：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月出生，中国国籍，无永久境外居留权，福州大学勘察技术与工程专业本科学历，高级工程 师，注册咨询师。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月，福建永福电力设计股份有限公司经营管理部主管、高级客户经理；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w:t>
      </w:r>
      <w:r>
        <w:rPr>
          <w:color w:val="000000"/>
          <w:spacing w:val="0"/>
          <w:w w:val="100"/>
          <w:position w:val="0"/>
        </w:rPr>
        <w:t>福建永福电力设计股份有限公司企业运营部副主任；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月至今，福建永福电力设计股份有限公司总经理工 作部主任；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月至今，福建永福电力设计股份有限公司监事。</w:t>
      </w:r>
    </w:p>
    <w:p>
      <w:pPr>
        <w:pStyle w:val="Style18"/>
        <w:keepNext w:val="0"/>
        <w:keepLines w:val="0"/>
        <w:widowControl w:val="0"/>
        <w:numPr>
          <w:ilvl w:val="0"/>
          <w:numId w:val="39"/>
        </w:numPr>
        <w:shd w:val="clear" w:color="auto" w:fill="auto"/>
        <w:tabs>
          <w:tab w:pos="370" w:val="left"/>
        </w:tabs>
        <w:bidi w:val="0"/>
        <w:spacing w:before="0" w:after="0" w:line="312" w:lineRule="exact"/>
        <w:ind w:left="0" w:right="0" w:firstLine="540"/>
        <w:jc w:val="both"/>
        <w:rPr>
          <w:sz w:val="18"/>
          <w:szCs w:val="18"/>
        </w:rPr>
      </w:pPr>
      <w:bookmarkStart w:id="355" w:name="bookmark355"/>
      <w:bookmarkEnd w:id="355"/>
      <w:r>
        <w:rPr>
          <w:color w:val="000000"/>
          <w:spacing w:val="0"/>
          <w:w w:val="100"/>
          <w:position w:val="0"/>
          <w:sz w:val="17"/>
          <w:szCs w:val="17"/>
        </w:rPr>
        <w:t>郭泗煊先生：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月出生，中国国籍，无永久境外居留权，西南交通大学工商管理专业本科学历。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月至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月，福建永福电力设计股份有限公司监事、工程部副主任；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月，福建永福电力设计股份有限公 司监事会主席、采购管理部副主任；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月，福建永福电力设计股份有限公司监事会主席、档案出版部副主 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月，福建永福电力设计股份有限公司监事会主席、开发运营部副总经理；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月至今，福建 永福电力设计股份有限公司监事、开发运营部副总经理；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月，福建省永福博发投资股份有限公司监事；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月，福州永福恒诚投资管理股份有限公司监事；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月，福州博宏投资管理有限公司监 事;</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月至今，福建永福集团有限公司监事；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日，漳浦国电投光伏有限公司监事；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月，福建福帆新能源有限公司执行董事、经理；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月，福建长帆新能源有限公司执行董事、 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月，福建众帆新能源有限公司执行董事、经理。</w:t>
      </w:r>
    </w:p>
    <w:p>
      <w:pPr>
        <w:pStyle w:val="Style18"/>
        <w:keepNext w:val="0"/>
        <w:keepLines w:val="0"/>
        <w:widowControl w:val="0"/>
        <w:shd w:val="clear" w:color="auto" w:fill="auto"/>
        <w:bidi w:val="0"/>
        <w:spacing w:before="0" w:after="0" w:line="312" w:lineRule="exact"/>
        <w:ind w:left="0" w:right="0" w:firstLine="540"/>
        <w:jc w:val="both"/>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）公司高级管理人员任职情况：</w:t>
      </w:r>
    </w:p>
    <w:p>
      <w:pPr>
        <w:pStyle w:val="Style18"/>
        <w:keepNext w:val="0"/>
        <w:keepLines w:val="0"/>
        <w:widowControl w:val="0"/>
        <w:numPr>
          <w:ilvl w:val="0"/>
          <w:numId w:val="41"/>
        </w:numPr>
        <w:shd w:val="clear" w:color="auto" w:fill="auto"/>
        <w:bidi w:val="0"/>
        <w:spacing w:before="0" w:after="0" w:line="312" w:lineRule="exact"/>
        <w:ind w:left="0" w:right="0" w:firstLine="540"/>
        <w:jc w:val="both"/>
      </w:pPr>
      <w:bookmarkStart w:id="357" w:name="bookmark357"/>
      <w:bookmarkEnd w:id="357"/>
      <w:r>
        <w:rPr>
          <w:color w:val="000000"/>
          <w:spacing w:val="0"/>
          <w:w w:val="100"/>
          <w:position w:val="0"/>
        </w:rPr>
        <w:t>林一文先生：公司总经理（详见董事简历）</w:t>
      </w:r>
    </w:p>
    <w:p>
      <w:pPr>
        <w:pStyle w:val="Style18"/>
        <w:keepNext w:val="0"/>
        <w:keepLines w:val="0"/>
        <w:widowControl w:val="0"/>
        <w:numPr>
          <w:ilvl w:val="0"/>
          <w:numId w:val="41"/>
        </w:numPr>
        <w:shd w:val="clear" w:color="auto" w:fill="auto"/>
        <w:bidi w:val="0"/>
        <w:spacing w:before="0" w:after="0" w:line="312" w:lineRule="exact"/>
        <w:ind w:left="0" w:right="0" w:firstLine="540"/>
        <w:jc w:val="both"/>
      </w:pPr>
      <w:bookmarkStart w:id="358" w:name="bookmark358"/>
      <w:bookmarkEnd w:id="358"/>
      <w:r>
        <w:rPr>
          <w:color w:val="000000"/>
          <w:spacing w:val="0"/>
          <w:w w:val="100"/>
          <w:position w:val="0"/>
        </w:rPr>
        <w:t>宋发兴先生：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月出生，中国国籍，无永久境外居留权，中共中央党校函授学院本科学历，工程师。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月，福建省永福博发投资股份有限公司董事；</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月，福州永福恒诚投资管理股份有限公司董事；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月，福建永福运维科技有限公司董事 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月，福思威特（福建）电力工程有限公司执行董事、总经理；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月至今，福思威特（福建） 电力工程有限公司董事长；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月至今，四川云能水利电力工程咨询有限公司董事长。</w:t>
      </w:r>
    </w:p>
    <w:p>
      <w:pPr>
        <w:pStyle w:val="Style18"/>
        <w:keepNext w:val="0"/>
        <w:keepLines w:val="0"/>
        <w:widowControl w:val="0"/>
        <w:numPr>
          <w:ilvl w:val="0"/>
          <w:numId w:val="41"/>
        </w:numPr>
        <w:shd w:val="clear" w:color="auto" w:fill="auto"/>
        <w:bidi w:val="0"/>
        <w:spacing w:before="0" w:after="0" w:line="312" w:lineRule="exact"/>
        <w:ind w:left="0" w:right="0" w:firstLine="540"/>
        <w:jc w:val="both"/>
      </w:pPr>
      <w:bookmarkStart w:id="359" w:name="bookmark359"/>
      <w:bookmarkEnd w:id="359"/>
      <w:r>
        <w:rPr>
          <w:color w:val="000000"/>
          <w:spacing w:val="0"/>
          <w:w w:val="100"/>
          <w:position w:val="0"/>
        </w:rPr>
        <w:t>钱有武先生：公司副总经理（详见董事简历）</w:t>
      </w:r>
    </w:p>
    <w:p>
      <w:pPr>
        <w:pStyle w:val="Style18"/>
        <w:keepNext w:val="0"/>
        <w:keepLines w:val="0"/>
        <w:widowControl w:val="0"/>
        <w:numPr>
          <w:ilvl w:val="0"/>
          <w:numId w:val="41"/>
        </w:numPr>
        <w:shd w:val="clear" w:color="auto" w:fill="auto"/>
        <w:bidi w:val="0"/>
        <w:spacing w:before="0" w:after="0" w:line="312" w:lineRule="exact"/>
        <w:ind w:left="0" w:right="0" w:firstLine="540"/>
        <w:jc w:val="both"/>
      </w:pPr>
      <w:bookmarkStart w:id="360" w:name="bookmark360"/>
      <w:bookmarkEnd w:id="360"/>
      <w:r>
        <w:rPr>
          <w:color w:val="000000"/>
          <w:spacing w:val="0"/>
          <w:w w:val="100"/>
          <w:position w:val="0"/>
        </w:rPr>
        <w:t>刘勇先生：公司副总经理、总工程师（详见董事简历）</w:t>
      </w:r>
    </w:p>
    <w:p>
      <w:pPr>
        <w:pStyle w:val="Style18"/>
        <w:keepNext w:val="0"/>
        <w:keepLines w:val="0"/>
        <w:widowControl w:val="0"/>
        <w:numPr>
          <w:ilvl w:val="0"/>
          <w:numId w:val="41"/>
        </w:numPr>
        <w:shd w:val="clear" w:color="auto" w:fill="auto"/>
        <w:bidi w:val="0"/>
        <w:spacing w:before="0" w:after="0" w:line="312" w:lineRule="exact"/>
        <w:ind w:left="0" w:right="0" w:firstLine="540"/>
        <w:jc w:val="both"/>
      </w:pPr>
      <w:bookmarkStart w:id="361" w:name="bookmark361"/>
      <w:bookmarkEnd w:id="361"/>
      <w:r>
        <w:rPr>
          <w:color w:val="000000"/>
          <w:spacing w:val="0"/>
          <w:w w:val="100"/>
          <w:position w:val="0"/>
        </w:rPr>
        <w:t>卢庆议先生：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月出生，中国国籍，无永久境外居留权，上海电力学院工业自动化专业本科学历，高级工程 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月，福建永福电力设计股份有限公司副总经理、董事会秘书；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 股份有限公司副总经理；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月至今，福建永福电力设计股份有限公司工会主席；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月至今，福建永福工程科技</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有限公司董事。</w:t>
      </w:r>
    </w:p>
    <w:p>
      <w:pPr>
        <w:pStyle w:val="Style18"/>
        <w:keepNext w:val="0"/>
        <w:keepLines w:val="0"/>
        <w:widowControl w:val="0"/>
        <w:numPr>
          <w:ilvl w:val="0"/>
          <w:numId w:val="41"/>
        </w:numPr>
        <w:shd w:val="clear" w:color="auto" w:fill="auto"/>
        <w:bidi w:val="0"/>
        <w:spacing w:before="0" w:after="0"/>
        <w:ind w:left="0" w:right="0" w:firstLine="540"/>
        <w:jc w:val="both"/>
      </w:pPr>
      <w:bookmarkStart w:id="362" w:name="bookmark362"/>
      <w:bookmarkEnd w:id="362"/>
      <w:r>
        <w:rPr>
          <w:color w:val="000000"/>
          <w:spacing w:val="0"/>
          <w:w w:val="100"/>
          <w:position w:val="0"/>
        </w:rPr>
        <w:t>张善传先生：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月出生，中国国籍，无永久境外居留权，福州大学会计与审计专业本科学历，高级会计师。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月至今，福建永福电力设计股份有限公司财务总监；</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月至今，福建永福电力设计股份有限公司副总经理；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月至今，福建省永福博发投资股份有限公司董事；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月至今，福州永福恒诚投资管理股份有限公司董事；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月至今，福建永福集团有限公司董事；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月，福建永帆风电科技有限公司董事；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月，福建永帆风电科技有限公司监事；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月，福建海上风电运维服务有限公司副董事长；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 福建平潭福润投资合伙企业（有限合伙）执行事务合伙人；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月至今，福建永福运维科技有限公司董事长；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月至今，港华时代智慧能源科技（苏州）有限公司监事；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月至今，宜春时代创投新能源有限公司董事长。</w:t>
      </w:r>
    </w:p>
    <w:p>
      <w:pPr>
        <w:pStyle w:val="Style18"/>
        <w:keepNext w:val="0"/>
        <w:keepLines w:val="0"/>
        <w:widowControl w:val="0"/>
        <w:numPr>
          <w:ilvl w:val="0"/>
          <w:numId w:val="41"/>
        </w:numPr>
        <w:shd w:val="clear" w:color="auto" w:fill="auto"/>
        <w:bidi w:val="0"/>
        <w:spacing w:before="0" w:after="0"/>
        <w:ind w:left="0" w:right="0" w:firstLine="540"/>
        <w:jc w:val="both"/>
      </w:pPr>
      <w:bookmarkStart w:id="363" w:name="bookmark363"/>
      <w:bookmarkEnd w:id="363"/>
      <w:r>
        <w:rPr>
          <w:color w:val="000000"/>
          <w:spacing w:val="0"/>
          <w:w w:val="100"/>
          <w:position w:val="0"/>
        </w:rPr>
        <w:t>罗志青先生：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月出生，中国国籍，无永久境外居留权，福州大学会计系本科学历，湖南大学会计学研究生 班研究生结业，高级会计师。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月至今，福建永福电力设计股份有限公司副总经理；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 永福博发投资股份有限公司董事；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月，福州永福恒诚投资管理股份有限公司；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月至今，福建永 福集团有限公司董事；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月至今，福建永帆风电科技有限公司执行董事；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月至今，福建海电运维科技有限责任 公司副董事长；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月至今，福建永福新能电力投资有限公司执行董事；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月至今，福建永福创智能源管理有限公 司执行董事兼总经理；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日，上海福毅永帆信息科技有限公司董事。</w:t>
      </w:r>
    </w:p>
    <w:p>
      <w:pPr>
        <w:pStyle w:val="Style18"/>
        <w:keepNext w:val="0"/>
        <w:keepLines w:val="0"/>
        <w:widowControl w:val="0"/>
        <w:numPr>
          <w:ilvl w:val="0"/>
          <w:numId w:val="41"/>
        </w:numPr>
        <w:shd w:val="clear" w:color="auto" w:fill="auto"/>
        <w:bidi w:val="0"/>
        <w:spacing w:before="0" w:after="0"/>
        <w:ind w:left="0" w:right="0" w:firstLine="540"/>
        <w:jc w:val="both"/>
      </w:pPr>
      <w:bookmarkStart w:id="364" w:name="bookmark364"/>
      <w:bookmarkEnd w:id="364"/>
      <w:r>
        <w:rPr>
          <w:color w:val="000000"/>
          <w:spacing w:val="0"/>
          <w:w w:val="100"/>
          <w:position w:val="0"/>
        </w:rPr>
        <w:t>赖福梁先生：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月出生，中国国籍，无永久境外居留权，武汉水利电力大学水利水电建筑工程（施工技术与 管理）本科学历，教授级高级工程师，注册造价工程师，国家能源局风电标准委员会风电场施工安装分技术委员会委员。</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月，福建永福电力设计股份有限公司发电设计部副主任；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月，福建省新能海上风电研 发中心有限公司工程技术规划咨询部主任；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月，福建永福电力设计股份有限公司副总工程师；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月至今，福建永福电力设计股份有限公司总经理助理兼发电事业部总经理；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 司副总经理。</w:t>
      </w:r>
    </w:p>
    <w:p>
      <w:pPr>
        <w:pStyle w:val="Style18"/>
        <w:keepNext w:val="0"/>
        <w:keepLines w:val="0"/>
        <w:widowControl w:val="0"/>
        <w:numPr>
          <w:ilvl w:val="0"/>
          <w:numId w:val="41"/>
        </w:numPr>
        <w:shd w:val="clear" w:color="auto" w:fill="auto"/>
        <w:bidi w:val="0"/>
        <w:spacing w:before="0" w:after="0"/>
        <w:ind w:left="0" w:right="0" w:firstLine="540"/>
        <w:jc w:val="both"/>
      </w:pPr>
      <w:bookmarkStart w:id="365" w:name="bookmark365"/>
      <w:bookmarkEnd w:id="365"/>
      <w:r>
        <w:rPr>
          <w:color w:val="000000"/>
          <w:spacing w:val="0"/>
          <w:w w:val="100"/>
          <w:position w:val="0"/>
        </w:rPr>
        <w:t>李庆先先生：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月出生，中国国籍，无永久境外居留权，福州大学电力系统及其自动化专业本科学历，高级 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月，福建永福电力设计股份有限公司监事，副总工程师、线路设计部主任；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月，福建永福电力设计股份有限公司监事；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月至今，福建永福电力设计股份有限公司总经理助理、电网事业部 总经理；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月至今，福建省永福博发投资股份有限公司监 事;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月至今，福州永福恒诚投资管理股份有限公司监事；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月至今，福建永鑫昌电力科技有限公司董事；</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月至今，四川云能水利电力工程咨询有限公司董事。</w:t>
      </w:r>
    </w:p>
    <w:p>
      <w:pPr>
        <w:pStyle w:val="Style18"/>
        <w:keepNext w:val="0"/>
        <w:keepLines w:val="0"/>
        <w:widowControl w:val="0"/>
        <w:numPr>
          <w:ilvl w:val="0"/>
          <w:numId w:val="41"/>
        </w:numPr>
        <w:shd w:val="clear" w:color="auto" w:fill="auto"/>
        <w:bidi w:val="0"/>
        <w:spacing w:before="0" w:after="120"/>
        <w:ind w:left="0" w:right="0" w:firstLine="540"/>
        <w:jc w:val="both"/>
      </w:pPr>
      <w:bookmarkStart w:id="366" w:name="bookmark366"/>
      <w:bookmarkEnd w:id="366"/>
      <w:r>
        <w:rPr>
          <w:color w:val="000000"/>
          <w:spacing w:val="0"/>
          <w:w w:val="100"/>
          <w:position w:val="0"/>
        </w:rPr>
        <w:t xml:space="preserve">吴轶群女士：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月出生，中国国籍，无永久境外居留权。同济大学结构工程硕士研究生学历，高级工程师。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月，福建永福电力设计股份有限公司职员；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月，福建永福电力设计股份有限公司 董事会办公室主管；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月，福建永福电力设计股份有限公司董事会办公室主管、证券事务代表；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月，福建永福电力设计股份有限公司董事会办公室副主任、证券事务代表；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 设计股份有限公司董事会办公室主任、证券事务代表；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月至今，福建永福电力设计股份有限公司副总经理、董事会 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月，上海福毅永帆信息科技有限公司监事；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月至今，时代永福科技有限公司监事。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3230"/>
        <w:gridCol w:w="1080"/>
        <w:gridCol w:w="1210"/>
        <w:gridCol w:w="1349"/>
        <w:gridCol w:w="149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在股东单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福州博宏投资管理有限公司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985" w:right="1023" w:bottom="1409" w:left="1066" w:header="0" w:footer="3" w:gutter="0"/>
          <w:cols w:space="720"/>
          <w:noEndnote/>
          <w:rtlGutter w:val="0"/>
          <w:docGrid w:linePitch="360"/>
        </w:sectPr>
      </w:pPr>
    </w:p>
    <w:tbl>
      <w:tblPr>
        <w:tblOverlap w:val="never"/>
        <w:jc w:val="center"/>
        <w:tblLayout w:type="fixed"/>
      </w:tblPr>
      <w:tblGrid>
        <w:gridCol w:w="1224"/>
        <w:gridCol w:w="3230"/>
        <w:gridCol w:w="1080"/>
        <w:gridCol w:w="1210"/>
        <w:gridCol w:w="1349"/>
        <w:gridCol w:w="1493"/>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宁德时代新能源科技股份有限公司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福建省永福博发投资股份有限公司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在股东单位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任职情况的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在其他单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时代永福科技有限公司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福建永福铁塔技术开发有限公司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甘肃电通电力工程设计咨询有限公司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上海福毅永帆信息科技有限公司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福建永鑫昌电力科技有限公司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福州新创机电设备有限公司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钱有武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福建永福铁塔技术开发有限公司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港华时代智慧能源科技（苏州）有限公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时代广汽动力电池有限公司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副董事长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广汽时代动力电池系统有限公司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新疆国网时代储能发展有限公司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上海快卜新能源科技有限公司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广州汇宁时代新能源发展有限公司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宁德时代科士达科技有限公司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上海福毅永帆信息科技有限公司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上海福毅永帆信息科技有限公司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福建拓维律师事务所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首席合伙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新大陆数字技术股份有限公司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郭谋发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福州大学电气工程与自动化学院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致同会计师事务所（特殊普通合伙）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福人木业（福州）有限公司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漳浦国电投光伏有限公司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福建众帆新能源有限公司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福建永福运维科技有限公司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福思威特（福建）电力工程有限公司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福思威特（福建）电力工程有限公司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福建永福运维科技有限公司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港华时代智慧能源科技（苏州）有限公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宜春时代创投新能源有限公司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福建平潭福润投资合伙企业（有限合伙）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 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福建永福新能电力投资有限公司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罗志青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福建永福创智能源管理有限公司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上海福毅永帆信息科技有限公司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福建永帆风电科技有限公司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福建海电运维科技有限责任公司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福建永鑫昌电力科技有限公司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吴轶群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上海福毅永帆信息科技有限公司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吴轶群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时代永福科技有限公司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任职情况的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、董事、监事、高级管理人员报酬情况</w:t>
      </w:r>
      <w:bookmarkEnd w:id="367"/>
      <w:bookmarkEnd w:id="368"/>
      <w:bookmarkEnd w:id="370"/>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numPr>
          <w:ilvl w:val="0"/>
          <w:numId w:val="43"/>
        </w:numPr>
        <w:shd w:val="clear" w:color="auto" w:fill="auto"/>
        <w:tabs>
          <w:tab w:pos="834" w:val="left"/>
        </w:tabs>
        <w:bidi w:val="0"/>
        <w:spacing w:before="0" w:after="0" w:line="317" w:lineRule="exact"/>
        <w:ind w:left="0" w:right="0" w:firstLine="380"/>
        <w:jc w:val="left"/>
      </w:pPr>
      <w:bookmarkStart w:id="371" w:name="bookmark371"/>
      <w:bookmarkEnd w:id="371"/>
      <w:r>
        <w:rPr>
          <w:b/>
          <w:bCs/>
          <w:color w:val="000000"/>
          <w:spacing w:val="0"/>
          <w:w w:val="100"/>
          <w:position w:val="0"/>
        </w:rPr>
        <w:t>董事、监事、高级管理人员报酬的决策程序</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公司董事、监事薪酬由股东大会决定；总经理薪酬由董事会薪酬与绩效考核委员会考核确定，报董事会批准执行；其他 高管薪酬由总经理考核确定，经董事会薪酬与绩效考核委员会审核后报董事会批准执行。</w:t>
      </w:r>
    </w:p>
    <w:p>
      <w:pPr>
        <w:pStyle w:val="Style18"/>
        <w:keepNext w:val="0"/>
        <w:keepLines w:val="0"/>
        <w:widowControl w:val="0"/>
        <w:numPr>
          <w:ilvl w:val="0"/>
          <w:numId w:val="43"/>
        </w:numPr>
        <w:shd w:val="clear" w:color="auto" w:fill="auto"/>
        <w:tabs>
          <w:tab w:pos="834" w:val="left"/>
        </w:tabs>
        <w:bidi w:val="0"/>
        <w:spacing w:before="0" w:after="0" w:line="317" w:lineRule="exact"/>
        <w:ind w:left="0" w:right="0" w:firstLine="380"/>
        <w:jc w:val="left"/>
      </w:pPr>
      <w:bookmarkStart w:id="372" w:name="bookmark372"/>
      <w:bookmarkEnd w:id="372"/>
      <w:r>
        <w:rPr>
          <w:b/>
          <w:bCs/>
          <w:color w:val="000000"/>
          <w:spacing w:val="0"/>
          <w:w w:val="100"/>
          <w:position w:val="0"/>
        </w:rPr>
        <w:t>董事、监事、高级管理人员报酬的确定依据</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不在公司担任职务的董事(含独立董事)薪酬为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年(含税)，在公司担任职务的董事(指公司管理人员或员工兼 任的董事)领取其职务薪酬，公司不另行支付其作为董事的薪酬；监事在公司领取其原职务薪酬，公司不再另行支付其作为 监事的薪酬；总经理薪酬由薪酬与绩效考核委员会根据考核方案进行考核确定；其他高级管理人员薪酬由总经理根据其绩效 考核指标完成情况进行考核。</w:t>
      </w:r>
    </w:p>
    <w:p>
      <w:pPr>
        <w:pStyle w:val="Style18"/>
        <w:keepNext w:val="0"/>
        <w:keepLines w:val="0"/>
        <w:widowControl w:val="0"/>
        <w:numPr>
          <w:ilvl w:val="0"/>
          <w:numId w:val="43"/>
        </w:numPr>
        <w:shd w:val="clear" w:color="auto" w:fill="auto"/>
        <w:tabs>
          <w:tab w:pos="834" w:val="left"/>
        </w:tabs>
        <w:bidi w:val="0"/>
        <w:spacing w:before="0" w:after="0" w:line="317" w:lineRule="exact"/>
        <w:ind w:left="0" w:right="0" w:firstLine="380"/>
        <w:jc w:val="left"/>
      </w:pPr>
      <w:bookmarkStart w:id="373" w:name="bookmark373"/>
      <w:bookmarkEnd w:id="373"/>
      <w:r>
        <w:rPr>
          <w:b/>
          <w:bCs/>
          <w:color w:val="000000"/>
          <w:spacing w:val="0"/>
          <w:w w:val="100"/>
          <w:position w:val="0"/>
        </w:rPr>
        <w:t>董事、监事、高级管理人员报酬的实际支付情况</w:t>
      </w:r>
    </w:p>
    <w:p>
      <w:pPr>
        <w:pStyle w:val="Style18"/>
        <w:keepNext w:val="0"/>
        <w:keepLines w:val="0"/>
        <w:widowControl w:val="0"/>
        <w:shd w:val="clear" w:color="auto" w:fill="auto"/>
        <w:bidi w:val="0"/>
        <w:spacing w:before="0" w:after="40" w:line="317"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年度，公司向董事、监事、高级管理人员共人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年支付薪酬合计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,039.15</w:t>
      </w:r>
      <w:r>
        <w:rPr>
          <w:color w:val="000000"/>
          <w:spacing w:val="0"/>
          <w:w w:val="100"/>
          <w:position w:val="0"/>
        </w:rPr>
        <w:t>万元。</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从公司获得的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联方获取报酬</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董事长、总经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董事、副总经 理、总工程师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郭谋发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许伟坤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八</w:t>
      </w:r>
      <w:bookmarkEnd w:id="376"/>
      <w:r>
        <w:rPr>
          <w:color w:val="000000"/>
          <w:spacing w:val="0"/>
          <w:w w:val="100"/>
          <w:position w:val="0"/>
          <w:sz w:val="24"/>
          <w:szCs w:val="24"/>
        </w:rPr>
        <w:t>、报告期内董事履行职责的情况</w:t>
      </w:r>
      <w:bookmarkEnd w:id="374"/>
      <w:bookmarkEnd w:id="375"/>
      <w:bookmarkEnd w:id="377"/>
    </w:p>
    <w:p>
      <w:pPr>
        <w:pStyle w:val="Style32"/>
        <w:keepNext/>
        <w:keepLines/>
        <w:widowControl w:val="0"/>
        <w:shd w:val="clear" w:color="auto" w:fill="auto"/>
        <w:bidi w:val="0"/>
        <w:spacing w:before="0" w:after="30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、本报告期董事会情况</w:t>
      </w:r>
      <w:bookmarkEnd w:id="378"/>
      <w:bookmarkEnd w:id="379"/>
      <w:bookmarkEnd w:id="381"/>
    </w:p>
    <w:tbl>
      <w:tblPr>
        <w:tblOverlap w:val="never"/>
        <w:jc w:val="center"/>
        <w:tblLayout w:type="fixed"/>
      </w:tblPr>
      <w:tblGrid>
        <w:gridCol w:w="1310"/>
        <w:gridCol w:w="1243"/>
        <w:gridCol w:w="1248"/>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第十八次会议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审议通过《关于续聘会计师事务所的议案》《关于公司</w:t>
            </w:r>
            <w:r>
              <w:rPr>
                <w:color w:val="000000"/>
                <w:spacing w:val="0"/>
                <w:w w:val="100"/>
                <w:position w:val="0"/>
                <w:sz w:val="18"/>
                <w:szCs w:val="18"/>
              </w:rPr>
              <w:t>〈</w:t>
            </w:r>
            <w:r>
              <w:rPr>
                <w:color w:val="000000"/>
                <w:spacing w:val="0"/>
                <w:w w:val="100"/>
                <w:position w:val="0"/>
                <w:sz w:val="17"/>
                <w:szCs w:val="17"/>
              </w:rPr>
              <w:t>第一期限制性股 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及其摘要的议案》《关于公司</w:t>
            </w:r>
            <w:r>
              <w:rPr>
                <w:color w:val="000000"/>
                <w:spacing w:val="0"/>
                <w:w w:val="100"/>
                <w:position w:val="0"/>
                <w:sz w:val="18"/>
                <w:szCs w:val="18"/>
              </w:rPr>
              <w:t>〈</w:t>
            </w:r>
            <w:r>
              <w:rPr>
                <w:color w:val="000000"/>
                <w:spacing w:val="0"/>
                <w:w w:val="100"/>
                <w:position w:val="0"/>
                <w:sz w:val="17"/>
                <w:szCs w:val="17"/>
              </w:rPr>
              <w:t>第一期限制性股票 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的议案》《关于提请股东大会授权董事会办 理股权激励相关事宜的议案》《关于提请召开公司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股东大会的议案》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第十九次会议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审议通过《关于与关联方共同投资暨关联交易的议案》《关于调整公司 组织架构的议案》</w:t>
            </w:r>
          </w:p>
        </w:tc>
      </w:tr>
    </w:tbl>
    <w:p>
      <w:pPr>
        <w:spacing w:lineRule="exact" w:line="1"/>
        <w:rPr>
          <w:sz w:val="2"/>
          <w:szCs w:val="2"/>
        </w:rPr>
      </w:pPr>
      <w:r>
        <w:br w:type="page"/>
      </w:r>
    </w:p>
    <w:tbl>
      <w:tblPr>
        <w:tblOverlap w:val="never"/>
        <w:jc w:val="center"/>
        <w:tblLayout w:type="fixed"/>
      </w:tblPr>
      <w:tblGrid>
        <w:gridCol w:w="1310"/>
        <w:gridCol w:w="1243"/>
        <w:gridCol w:w="1248"/>
        <w:gridCol w:w="5784"/>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决议公告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第二十次会议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审议通过《关于调整公司第一期限制性股票激励计划相关事项的议案》 《关于向公司第一期限制性股票激励计划激励对象授予限制性股票议 案》</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第二十一次会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年度总经理工作报告的议案》《关于公司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 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年度财务预算报告的议案》《关于公司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年度利润分配预案的议案》《关于公司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年度募集资金存放与使用 情况的专项报告的议案》《关于公司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 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年度高级管理人员薪酬的议案》《关于公司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年年度报告及其摘要的议案》《关于公司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年第一季度报告的 议案》《关于为子公司融资及履约提供担保额度的议案》《关于提请召开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第二十二次会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审议通过《关于为参股公司提供担保暨关联交易的议案》《关于提请召 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第二十三次会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审议通过《关于为全资子公司履约提供担保的议案》《关于提请召开公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第二十四次会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审议通过《关于放弃参股公司增资优先认缴权暨关联交易的议案》</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第二十五次会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审议通过《关于公司符合向特定对象发行股票条件的议案》《关于公司 向特定对象发行股票方案的议案》《关于公司向特定对象发行股票预案 的议案》《关于公司向特定对象发行股票方案论证分析报告的议案》《关 于公司向特定对象发行股票募集资金使用可行性分析报告的议案》《关 于公司前次募集资金使用情况报告的议案》《关于公司向特定对象发行 股票涉及关联交易的议案》《关于公司与特定对象签署附生效条件的股 份认购协议的议案》《关于公司向特定对象发行股票摊薄即期回报、采 取填补措施及相关主体承诺的议案》《关于公司未来三年</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年） 股东回报规划的议案》《关于公司设立募集资金专用账户的议案》《关于 提请股东大会授权董事会及其授权人士全权办理本次向特定对象发行 股票相关事宜的议案》《关于公司内部控制自我评价报告的议案》《关于 公司子公司出售资产暨关联交易的议案》《关于提请召开公司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第五次临时股东大会的议案》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第二十六次会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年半年度募集资金存放与使用情况的专项 报告的议案》《关于公司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年半年度报告及其摘要的议案》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第二十七次会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审议通过《关于提名暨选举第二届董事会非独立董事候选人的议案》《关 于制定</w:t>
            </w:r>
            <w:r>
              <w:rPr>
                <w:color w:val="000000"/>
                <w:spacing w:val="0"/>
                <w:w w:val="100"/>
                <w:position w:val="0"/>
                <w:sz w:val="18"/>
                <w:szCs w:val="18"/>
              </w:rPr>
              <w:t>〈</w:t>
            </w:r>
            <w:r>
              <w:rPr>
                <w:color w:val="000000"/>
                <w:spacing w:val="0"/>
                <w:w w:val="100"/>
                <w:position w:val="0"/>
                <w:sz w:val="17"/>
                <w:szCs w:val="17"/>
              </w:rPr>
              <w:t>信息披露暂缓与豁免事务管理制度</w:t>
            </w:r>
            <w:r>
              <w:rPr>
                <w:color w:val="000000"/>
                <w:spacing w:val="0"/>
                <w:w w:val="100"/>
                <w:position w:val="0"/>
                <w:sz w:val="18"/>
                <w:szCs w:val="18"/>
              </w:rPr>
              <w:t>〉</w:t>
            </w:r>
            <w:r>
              <w:rPr>
                <w:color w:val="000000"/>
                <w:spacing w:val="0"/>
                <w:w w:val="100"/>
                <w:position w:val="0"/>
                <w:sz w:val="17"/>
                <w:szCs w:val="17"/>
              </w:rPr>
              <w:t>的议案》《关于提请召开公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年第六次临时股东大会的议案》</w:t>
            </w:r>
          </w:p>
        </w:tc>
      </w:tr>
    </w:tbl>
    <w:p>
      <w:pPr>
        <w:spacing w:lineRule="exact" w:line="1"/>
        <w:rPr>
          <w:sz w:val="2"/>
          <w:szCs w:val="2"/>
        </w:rPr>
      </w:pPr>
      <w:r>
        <w:br w:type="page"/>
      </w:r>
    </w:p>
    <w:tbl>
      <w:tblPr>
        <w:tblOverlap w:val="never"/>
        <w:jc w:val="center"/>
        <w:tblLayout w:type="fixed"/>
      </w:tblPr>
      <w:tblGrid>
        <w:gridCol w:w="1310"/>
        <w:gridCol w:w="1243"/>
        <w:gridCol w:w="1248"/>
        <w:gridCol w:w="5784"/>
      </w:tblGrid>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第二十八次会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年度日常关联交易额度预计的议案》《关于投资 上海快卜新能源科技有限公司暨关联交易的议案》《关于提请召开公司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年第七次临时股东大会的议案》</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第二十九次会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审议通过了《关于公司董事会换届选举暨提名第三届董事会非独立董事 候选人的议案》《关于公司董事会换届选举暨提名第三届董事会独立董 事候选人的议案》《关于拟定第三届董事会非独立董事成员薪酬标准的 议案》《关于拟定第三届董事会独立董事成员津贴标准的议案》《关于修 改</w:t>
            </w:r>
            <w:r>
              <w:rPr>
                <w:color w:val="000000"/>
                <w:spacing w:val="0"/>
                <w:w w:val="100"/>
                <w:position w:val="0"/>
                <w:sz w:val="18"/>
                <w:szCs w:val="18"/>
              </w:rPr>
              <w:t>〈</w:t>
            </w:r>
            <w:r>
              <w:rPr>
                <w:color w:val="000000"/>
                <w:spacing w:val="0"/>
                <w:w w:val="100"/>
                <w:position w:val="0"/>
                <w:sz w:val="17"/>
                <w:szCs w:val="17"/>
              </w:rPr>
              <w:t>投资决策管理制度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年第八次临 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第三十次会议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年第三季度报告的议案》</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第一次会议决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审议通过了《关于选举公司第三届董事会董事长的议案》《关于选举公 司第三届董事会副董事长的议案》《关于选举公司第三届董事会专门委 员会成员的议案》《关于聘任总经理的议案》《关于聘任副总经理的议案》 《关于聘任财务总监的议案》《关于聘任总工程师的议案》《关于聘任董 事会秘书的议案》《关于聘任证券事务代表的议案》《关于新增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度日常关联交易额度预计的议案》《关于为参股公司提供担保暨关联交 易的议案》《关于提请召开公司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年第九次临时股东大会的议案》</w:t>
            </w:r>
          </w:p>
        </w:tc>
      </w:tr>
      <w:tr>
        <w:trPr>
          <w:trHeight w:val="29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第二次会议决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审议通过了《关于修订</w:t>
            </w:r>
            <w:r>
              <w:rPr>
                <w:color w:val="000000"/>
                <w:spacing w:val="0"/>
                <w:w w:val="100"/>
                <w:position w:val="0"/>
                <w:sz w:val="18"/>
                <w:szCs w:val="18"/>
              </w:rPr>
              <w:t>〈</w:t>
            </w:r>
            <w:r>
              <w:rPr>
                <w:color w:val="000000"/>
                <w:spacing w:val="0"/>
                <w:w w:val="100"/>
                <w:position w:val="0"/>
                <w:sz w:val="17"/>
                <w:szCs w:val="17"/>
              </w:rPr>
              <w:t>公司章程</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信息披露事务管 理制度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对外担保决策制度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关联交易管理制度</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 xml:space="preserve">募集资金管理制度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 于修订</w:t>
            </w:r>
            <w:r>
              <w:rPr>
                <w:color w:val="000000"/>
                <w:spacing w:val="0"/>
                <w:w w:val="100"/>
                <w:position w:val="0"/>
                <w:sz w:val="18"/>
                <w:szCs w:val="18"/>
              </w:rPr>
              <w:t>〈</w:t>
            </w:r>
            <w:r>
              <w:rPr>
                <w:color w:val="000000"/>
                <w:spacing w:val="0"/>
                <w:w w:val="100"/>
                <w:position w:val="0"/>
                <w:sz w:val="17"/>
                <w:szCs w:val="17"/>
              </w:rPr>
              <w:t>投资者关系管理办法</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媒体采访和投资者调 研接待管理办法</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股东大会议事规则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 于修订</w:t>
            </w:r>
            <w:r>
              <w:rPr>
                <w:color w:val="000000"/>
                <w:spacing w:val="0"/>
                <w:w w:val="100"/>
                <w:position w:val="0"/>
                <w:sz w:val="18"/>
                <w:szCs w:val="18"/>
              </w:rPr>
              <w:t>〈</w:t>
            </w:r>
            <w:r>
              <w:rPr>
                <w:color w:val="000000"/>
                <w:spacing w:val="0"/>
                <w:w w:val="100"/>
                <w:position w:val="0"/>
                <w:sz w:val="17"/>
                <w:szCs w:val="17"/>
              </w:rPr>
              <w:t>董事会议事规则</w:t>
            </w:r>
            <w:r>
              <w:rPr>
                <w:color w:val="000000"/>
                <w:spacing w:val="0"/>
                <w:w w:val="100"/>
                <w:position w:val="0"/>
                <w:sz w:val="18"/>
                <w:szCs w:val="18"/>
              </w:rPr>
              <w:t>〉</w:t>
            </w:r>
            <w:r>
              <w:rPr>
                <w:color w:val="000000"/>
                <w:spacing w:val="0"/>
                <w:w w:val="100"/>
                <w:position w:val="0"/>
                <w:sz w:val="17"/>
                <w:szCs w:val="17"/>
              </w:rPr>
              <w:t>的议案》《关于修订</w:t>
            </w:r>
            <w:r>
              <w:rPr>
                <w:color w:val="000000"/>
                <w:spacing w:val="0"/>
                <w:w w:val="100"/>
                <w:position w:val="0"/>
                <w:sz w:val="18"/>
                <w:szCs w:val="18"/>
              </w:rPr>
              <w:t>〈</w:t>
            </w:r>
            <w:r>
              <w:rPr>
                <w:color w:val="000000"/>
                <w:spacing w:val="0"/>
                <w:w w:val="100"/>
                <w:position w:val="0"/>
                <w:sz w:val="17"/>
                <w:szCs w:val="17"/>
              </w:rPr>
              <w:t>独立董事工作细则</w:t>
            </w:r>
            <w:r>
              <w:rPr>
                <w:color w:val="000000"/>
                <w:spacing w:val="0"/>
                <w:w w:val="100"/>
                <w:position w:val="0"/>
                <w:sz w:val="18"/>
                <w:szCs w:val="18"/>
              </w:rPr>
              <w:t>〉</w:t>
            </w:r>
            <w:r>
              <w:rPr>
                <w:color w:val="000000"/>
                <w:spacing w:val="0"/>
                <w:w w:val="100"/>
                <w:position w:val="0"/>
                <w:sz w:val="17"/>
                <w:szCs w:val="17"/>
              </w:rPr>
              <w:t>的议 案》《关于修订</w:t>
            </w:r>
            <w:r>
              <w:rPr>
                <w:color w:val="000000"/>
                <w:spacing w:val="0"/>
                <w:w w:val="100"/>
                <w:position w:val="0"/>
                <w:sz w:val="18"/>
                <w:szCs w:val="18"/>
              </w:rPr>
              <w:t>〈</w:t>
            </w:r>
            <w:r>
              <w:rPr>
                <w:color w:val="000000"/>
                <w:spacing w:val="0"/>
                <w:w w:val="100"/>
                <w:position w:val="0"/>
                <w:sz w:val="17"/>
                <w:szCs w:val="17"/>
              </w:rPr>
              <w:t>总经理工作细则</w:t>
            </w:r>
            <w:r>
              <w:rPr>
                <w:color w:val="000000"/>
                <w:spacing w:val="0"/>
                <w:w w:val="100"/>
                <w:position w:val="0"/>
                <w:sz w:val="18"/>
                <w:szCs w:val="18"/>
              </w:rPr>
              <w:t>〉</w:t>
            </w:r>
            <w:r>
              <w:rPr>
                <w:color w:val="000000"/>
                <w:spacing w:val="0"/>
                <w:w w:val="100"/>
                <w:position w:val="0"/>
                <w:sz w:val="17"/>
                <w:szCs w:val="17"/>
              </w:rPr>
              <w:t>的议案》《关于续聘会计师事务所的议 案》《关于会计估计变更的议案》《关于提请召开公司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年第十次临 时股东大会的议案》</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、董事出席董事会及股东大会的情况</w:t>
      </w:r>
      <w:bookmarkEnd w:id="382"/>
      <w:bookmarkEnd w:id="383"/>
      <w:bookmarkEnd w:id="385"/>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以通讯方式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缺席董事会</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钱有武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郭谋发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董事对公司有关事项提出异议的情况</w:t>
      </w:r>
      <w:bookmarkEnd w:id="386"/>
      <w:bookmarkEnd w:id="387"/>
      <w:bookmarkEnd w:id="389"/>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董事履行职责的其他说明</w:t>
      </w:r>
      <w:bookmarkEnd w:id="390"/>
      <w:bookmarkEnd w:id="391"/>
      <w:bookmarkEnd w:id="393"/>
    </w:p>
    <w:p>
      <w:pPr>
        <w:pStyle w:val="Style18"/>
        <w:keepNext w:val="0"/>
        <w:keepLines w:val="0"/>
        <w:widowControl w:val="0"/>
        <w:shd w:val="clear" w:color="auto" w:fill="auto"/>
        <w:bidi w:val="0"/>
        <w:spacing w:before="0" w:line="314"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董事在任职期间严格按照《公司法》《证券法》等相关法律法规及规范性文件的规定和要求，认真行权，依法履职，充 分发挥董事的作用，积极出席公司召开的相关会议，认真审议董事会、董事会专门委员会相关议案，对公司规范治理、日常 经营、发展规划等提出了建议，并被公司予以采纳，较好地发挥了董事的作用，切实维护了公司和股东的利益。</w:t>
      </w:r>
    </w:p>
    <w:p>
      <w:pPr>
        <w:pStyle w:val="Style22"/>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九</w:t>
      </w:r>
      <w:bookmarkEnd w:id="396"/>
      <w:r>
        <w:rPr>
          <w:color w:val="000000"/>
          <w:spacing w:val="0"/>
          <w:w w:val="100"/>
          <w:position w:val="0"/>
          <w:sz w:val="24"/>
          <w:szCs w:val="24"/>
        </w:rPr>
        <w:t>、董事会下设专门委员会在报告期内的情况</w:t>
      </w:r>
      <w:bookmarkEnd w:id="394"/>
      <w:bookmarkEnd w:id="395"/>
      <w:bookmarkEnd w:id="397"/>
    </w:p>
    <w:tbl>
      <w:tblPr>
        <w:tblOverlap w:val="never"/>
        <w:jc w:val="center"/>
        <w:tblLayout w:type="fixed"/>
      </w:tblPr>
      <w:tblGrid>
        <w:gridCol w:w="1013"/>
        <w:gridCol w:w="600"/>
        <w:gridCol w:w="821"/>
        <w:gridCol w:w="1200"/>
        <w:gridCol w:w="2357"/>
        <w:gridCol w:w="1637"/>
        <w:gridCol w:w="912"/>
        <w:gridCol w:w="104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委员会名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提出的重要意见 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其他履</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行职责</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异议事项</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具体情况</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（如有）</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季征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审议通过《关于续聘会计师 事务所的议案》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审计委员会严格 按照《公司法》、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02" w:lineRule="exact"/>
              <w:ind w:left="0" w:right="0" w:firstLine="0"/>
              <w:jc w:val="left"/>
              <w:rPr>
                <w:sz w:val="17"/>
                <w:szCs w:val="17"/>
              </w:rPr>
            </w:pPr>
            <w:r>
              <w:rPr>
                <w:color w:val="000000"/>
                <w:spacing w:val="0"/>
                <w:w w:val="100"/>
                <w:position w:val="0"/>
                <w:sz w:val="17"/>
                <w:szCs w:val="17"/>
              </w:rPr>
              <w:t>第二届董 事会审计 委员会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南、 胡继 荣、 许永 东</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0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年第四季度内部审计工作 总结和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年第一季度工 作计划的议案》《关于公司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年第四季度内部审计 报告的议案》《关于公司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中国证监会监管 规则以及《公司章 程》、《董事会议事 规则》的规定对审 议事项进行审核， 并提出了相关的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指导内</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部审计 工作、监 督、评估</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外部审</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计机构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47" w:right="1137" w:bottom="1454" w:left="1076" w:header="0" w:footer="3" w:gutter="0"/>
          <w:cols w:space="720"/>
          <w:noEndnote/>
          <w:rtlGutter w:val="0"/>
          <w:docGrid w:linePitch="360"/>
        </w:sectPr>
      </w:pPr>
    </w:p>
    <w:tbl>
      <w:tblPr>
        <w:tblOverlap w:val="never"/>
        <w:jc w:val="center"/>
        <w:tblLayout w:type="fixed"/>
      </w:tblPr>
      <w:tblGrid>
        <w:gridCol w:w="1037"/>
        <w:gridCol w:w="600"/>
        <w:gridCol w:w="821"/>
        <w:gridCol w:w="1200"/>
        <w:gridCol w:w="2357"/>
        <w:gridCol w:w="1637"/>
        <w:gridCol w:w="912"/>
        <w:gridCol w:w="1142"/>
      </w:tblGrid>
      <w:tr>
        <w:trPr>
          <w:trHeight w:val="485"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永福</w:t>
            </w:r>
          </w:p>
          <w:p>
            <w:pPr>
              <w:pStyle w:val="Style2"/>
              <w:keepNext w:val="0"/>
              <w:keepLines w:val="0"/>
              <w:widowControl w:val="0"/>
              <w:shd w:val="clear" w:color="auto" w:fill="auto"/>
              <w:bidi w:val="0"/>
              <w:spacing w:before="0" w:after="0" w:line="209" w:lineRule="auto"/>
              <w:ind w:left="0" w:right="0" w:firstLine="720"/>
              <w:jc w:val="left"/>
              <w:rPr>
                <w:sz w:val="11"/>
                <w:szCs w:val="11"/>
              </w:rPr>
            </w:pPr>
            <w:r>
              <w:rPr>
                <w:rFonts w:ascii="Arial" w:eastAsia="Arial" w:hAnsi="Arial" w:cs="Arial"/>
                <w:b/>
                <w:bCs/>
                <w:color w:val="1C1C1C"/>
                <w:spacing w:val="0"/>
                <w:w w:val="100"/>
                <w:position w:val="0"/>
                <w:sz w:val="11"/>
                <w:szCs w:val="11"/>
              </w:rPr>
              <w:t>YongFu</w:t>
            </w:r>
          </w:p>
        </w:tc>
        <w:tc>
          <w:tcPr>
            <w:gridSpan w:val="5"/>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p>
        </w:tc>
      </w:tr>
      <w:tr>
        <w:trPr>
          <w:trHeight w:val="3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年度内部审计报告的 议案》《关于公司审计部</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年度工作计划的议案》</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《关于</w:t>
            </w:r>
            <w:r>
              <w:rPr>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年年度财 务报告（未经审计）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 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 季度内部审计报告的议案》</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年第一季 度内部审计工作总结和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年第二季度工作计划 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意见，经过充分沟 通讨论，一致通过 所有议案。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工作、审 阅公司 的财务 报告。</w:t>
            </w:r>
          </w:p>
        </w:tc>
        <w:tc>
          <w:tcPr>
            <w:tcBorders>
              <w:top w:val="single" w:sz="4"/>
              <w:left w:val="single" w:sz="4"/>
            </w:tcBorders>
            <w:shd w:val="clear" w:color="auto" w:fill="FFFFFF"/>
            <w:vAlign w:val="top"/>
          </w:tcPr>
          <w:p>
            <w:pPr>
              <w:widowControl w:val="0"/>
              <w:rPr>
                <w:sz w:val="10"/>
                <w:szCs w:val="10"/>
              </w:rPr>
            </w:pPr>
          </w:p>
        </w:tc>
      </w:tr>
      <w:tr>
        <w:trPr>
          <w:trHeight w:val="50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年度财务决算报告的议案》</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年度财务 预算报告的议案》《关于公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年度利润分配预案 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度募集资金存放与使用情 况的专项报告的议案》《关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年度募集资金 存放与使用情况内部审计 报告的议案》《关于公司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年度内部控制自我评 价报告的议案》《关于公司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年年度财务报告的议 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 季度财务报告的议案》</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审议通过《关于公司前次募 集资金使用情况报告的议 案》《关于公司内部控制自 我评价报告的议案》</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0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年半年度募集资金存放与 实际使用情况的专项报告 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第二季度内部审计报告的 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 二季度内部审计工作总结 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年第三季度工作计 划的议案》《关于公司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年半年度财务报告的议案》 《关于公司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 内部审计报告的议案》《关</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028" w:right="1100" w:bottom="1201" w:left="1095" w:header="0" w:footer="3" w:gutter="0"/>
          <w:cols w:space="720"/>
          <w:noEndnote/>
          <w:rtlGutter w:val="0"/>
          <w:docGrid w:linePitch="360"/>
        </w:sectPr>
      </w:pPr>
    </w:p>
    <w:tbl>
      <w:tblPr>
        <w:tblOverlap w:val="never"/>
        <w:jc w:val="center"/>
        <w:tblLayout w:type="fixed"/>
      </w:tblPr>
      <w:tblGrid>
        <w:gridCol w:w="1013"/>
        <w:gridCol w:w="600"/>
        <w:gridCol w:w="821"/>
        <w:gridCol w:w="1200"/>
        <w:gridCol w:w="2357"/>
        <w:gridCol w:w="1637"/>
        <w:gridCol w:w="912"/>
        <w:gridCol w:w="1046"/>
      </w:tblGrid>
      <w:tr>
        <w:trPr>
          <w:trHeight w:val="104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年半年度募集 资金存放与使用情况内部 审计报告的议案》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年第三季度内部审计报告 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第三季度内部审计工作总 结和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年第四季度工作 计划的议案》《关于公司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年第三季度度财务报 告的议案》《关于公司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年前三季度度财务报告的 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第二届董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事会提名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林一 文、 陈 冲、 许永 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审议《关于提名暨选举第二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届董事会非独立董事候选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按照《专委会议事 规则》开展工作， 根据法规指引要 求，勤勉尽责，对 三届董事会董事 候选人的任职资 格进行了审核并 提出建议。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审议通过了《关于提名暨选 举第三届董事会非独立董 事候选人的议案》《关于提 名暨选举第三届董事会独 立董事候选人的议案》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审议《关于聘任公司总经理 候选人的议案》《关于聘任 副总经理候选人的议案》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《关于聘任财务总监候选 人的议案》《关于聘任总工 程师候选人的议案》《关于 聘任董事会秘书候选人的 议案》</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第二届董 事会薪酬 与绩效考 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林一 文、 陈 冲、 胡继 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审议通过了《关于公司</w:t>
            </w:r>
            <w:r>
              <w:rPr>
                <w:color w:val="000000"/>
                <w:spacing w:val="0"/>
                <w:w w:val="100"/>
                <w:position w:val="0"/>
                <w:sz w:val="18"/>
                <w:szCs w:val="18"/>
              </w:rPr>
              <w:t>〈</w:t>
            </w:r>
            <w:r>
              <w:rPr>
                <w:color w:val="000000"/>
                <w:spacing w:val="0"/>
                <w:w w:val="100"/>
                <w:position w:val="0"/>
                <w:sz w:val="17"/>
                <w:szCs w:val="17"/>
              </w:rPr>
              <w:t>第 一期限制性股票激励计划</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（草案）</w:t>
            </w:r>
            <w:r>
              <w:rPr>
                <w:color w:val="000000"/>
                <w:spacing w:val="0"/>
                <w:w w:val="100"/>
                <w:position w:val="0"/>
                <w:sz w:val="18"/>
                <w:szCs w:val="18"/>
              </w:rPr>
              <w:t>〉</w:t>
            </w:r>
            <w:r>
              <w:rPr>
                <w:color w:val="000000"/>
                <w:spacing w:val="0"/>
                <w:w w:val="100"/>
                <w:position w:val="0"/>
                <w:sz w:val="17"/>
                <w:szCs w:val="17"/>
              </w:rPr>
              <w:t>及其摘要的议案》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《关于公司</w:t>
            </w:r>
            <w:r>
              <w:rPr>
                <w:color w:val="000000"/>
                <w:spacing w:val="0"/>
                <w:w w:val="100"/>
                <w:position w:val="0"/>
                <w:sz w:val="18"/>
                <w:szCs w:val="18"/>
              </w:rPr>
              <w:t>〈</w:t>
            </w:r>
            <w:r>
              <w:rPr>
                <w:color w:val="000000"/>
                <w:spacing w:val="0"/>
                <w:w w:val="100"/>
                <w:position w:val="0"/>
                <w:sz w:val="17"/>
                <w:szCs w:val="17"/>
              </w:rPr>
              <w:t xml:space="preserve">第一期限制性 股票激励计划实施考核管 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公司薪酬与考核 委员会严格按照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《董事会薪酬与 考核委员会工作 细则》开展工作， 勤勉尽责，根据公 司的实际情况，提 出了相关的意见， 经过充分沟通讨 论，一致通过议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年度总经理年度绩效考评 结果的议案》</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对董事、 监事、高 级管理 人员工 作绩效 进行评 估和考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600"/>
        <w:gridCol w:w="821"/>
        <w:gridCol w:w="1200"/>
        <w:gridCol w:w="2357"/>
        <w:gridCol w:w="1637"/>
        <w:gridCol w:w="912"/>
        <w:gridCol w:w="1046"/>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核、审核 薪酬。</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年度高级管理人员薪酬的 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度总经理绩效考核方案的 议案》</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审议通过了《关于拟定第三 届董事会非独立董事成员 薪酬标准的议案》《关于拟 定第三届董事会独立董事 成员津贴标准的议案》</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十、监事会工作情况</w:t>
      </w:r>
      <w:bookmarkEnd w:id="398"/>
      <w:bookmarkEnd w:id="399"/>
      <w:bookmarkEnd w:id="40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十^一、公司员工情况</w:t>
      </w:r>
      <w:bookmarkEnd w:id="401"/>
      <w:bookmarkEnd w:id="402"/>
      <w:bookmarkEnd w:id="403"/>
    </w:p>
    <w:p>
      <w:pPr>
        <w:pStyle w:val="Style32"/>
        <w:keepNext/>
        <w:keepLines/>
        <w:widowControl w:val="0"/>
        <w:shd w:val="clear" w:color="auto" w:fill="auto"/>
        <w:bidi w:val="0"/>
        <w:spacing w:before="0" w:after="30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、员工数量、专业构成及教育程度</w:t>
      </w:r>
      <w:bookmarkEnd w:id="404"/>
      <w:bookmarkEnd w:id="405"/>
      <w:bookmarkEnd w:id="40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后勤人员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1,264</w:t>
            </w:r>
          </w:p>
        </w:tc>
      </w:tr>
    </w:tbl>
    <w:tbl>
      <w:tblPr>
        <w:tblOverlap w:val="never"/>
        <w:jc w:val="center"/>
        <w:tblLayout w:type="fixed"/>
      </w:tblPr>
      <w:tblGrid>
        <w:gridCol w:w="4790"/>
        <w:gridCol w:w="4795"/>
      </w:tblGrid>
      <w:tr>
        <w:trPr>
          <w:trHeight w:val="45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r>
    </w:tbl>
    <w:p>
      <w:pPr>
        <w:widowControl w:val="0"/>
        <w:spacing w:after="359" w:line="1" w:lineRule="exact"/>
      </w:pPr>
    </w:p>
    <w:p>
      <w:pPr>
        <w:pStyle w:val="Style32"/>
        <w:keepNext/>
        <w:keepLines/>
        <w:widowControl w:val="0"/>
        <w:shd w:val="clear" w:color="auto" w:fill="auto"/>
        <w:tabs>
          <w:tab w:pos="366" w:val="left"/>
        </w:tabs>
        <w:bidi w:val="0"/>
        <w:spacing w:before="0" w:after="2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薪酬政策</w:t>
      </w:r>
      <w:bookmarkEnd w:id="408"/>
      <w:bookmarkEnd w:id="409"/>
      <w:bookmarkEnd w:id="411"/>
    </w:p>
    <w:p>
      <w:pPr>
        <w:pStyle w:val="Style18"/>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为吸引和留住人才，公司进一步完善薪酬福利体系。根据公司战略规划和业务结构，参照同行业薪酬水平，结合公司实 际，针对不同序列、不同层级的员工制定了相应的薪酬政策和薪酬方案。</w:t>
      </w:r>
    </w:p>
    <w:p>
      <w:pPr>
        <w:pStyle w:val="Style18"/>
        <w:keepNext w:val="0"/>
        <w:keepLines w:val="0"/>
        <w:widowControl w:val="0"/>
        <w:shd w:val="clear" w:color="auto" w:fill="auto"/>
        <w:bidi w:val="0"/>
        <w:spacing w:before="0" w:after="360"/>
        <w:ind w:left="0" w:right="0" w:firstLine="380"/>
        <w:jc w:val="both"/>
      </w:pPr>
      <w:r>
        <w:rPr>
          <w:color w:val="000000"/>
          <w:spacing w:val="0"/>
          <w:w w:val="100"/>
          <w:position w:val="0"/>
        </w:rPr>
        <w:t>报告期内，为进一步激发员工积极性、提高管理效能及盈利能力，公司根据事业部运行情况，进一步完善绩效考核体系， 公平公正评估每位员工的贡献，将每位员工绩效考核结果与薪酬激励、职业发展紧密挂钩。同时，进一步优化各职业发展序 列分配机制、各事业部二、三级分配机制，形成科学有效的激励和约束，以实现公司目标与员工利益相统一。</w:t>
      </w:r>
    </w:p>
    <w:p>
      <w:pPr>
        <w:pStyle w:val="Style32"/>
        <w:keepNext/>
        <w:keepLines/>
        <w:widowControl w:val="0"/>
        <w:shd w:val="clear" w:color="auto" w:fill="auto"/>
        <w:tabs>
          <w:tab w:pos="366" w:val="left"/>
        </w:tabs>
        <w:bidi w:val="0"/>
        <w:spacing w:before="0" w:after="2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t>培训计划</w:t>
      </w:r>
      <w:bookmarkEnd w:id="412"/>
      <w:bookmarkEnd w:id="413"/>
      <w:bookmarkEnd w:id="415"/>
    </w:p>
    <w:p>
      <w:pPr>
        <w:pStyle w:val="Style18"/>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为保障公司经营业务发展需要，提高员工专业技能和素质，进一步推进公司教育培训工作有计划、有组织、有重点开展， 每年初，公司组织各部门（分公司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子公司）开展年度培训计划编制工作并以此实施。</w:t>
      </w:r>
    </w:p>
    <w:p>
      <w:pPr>
        <w:pStyle w:val="Style18"/>
        <w:keepNext w:val="0"/>
        <w:keepLines w:val="0"/>
        <w:widowControl w:val="0"/>
        <w:shd w:val="clear" w:color="auto" w:fill="auto"/>
        <w:bidi w:val="0"/>
        <w:spacing w:before="0" w:after="40"/>
        <w:ind w:left="0" w:right="0" w:firstLine="380"/>
        <w:jc w:val="both"/>
      </w:pPr>
      <w:r>
        <w:rPr>
          <w:color w:val="000000"/>
          <w:spacing w:val="0"/>
          <w:w w:val="100"/>
          <w:position w:val="0"/>
        </w:rPr>
        <w:t>报告期内，坚持公司统筹、业务分训，提高人才培养的针对性和有效性。针对中基层干部，开展红色管理、绩效考核等 系列培训，提升干部的目标管控、绩效管理、人才培养能力；针对晋升至基层、中层、高层的情况，搭建各级干部的岗前培 训方案。积极开展部门内训，探索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两个经常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工作机制助力提升基层干部管理能力，搭建新员工微课程体系，创办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云讲堂</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实现员工异地同步学习，各具特色的培训方式，加速人才成长。重点加强了国际业务能力、商务风控等关键岗位人才的培训。 公司统一组织为推动公司差异化、集团化、国际化发展提供了有力的人才支持和智力支撑。</w:t>
      </w:r>
    </w:p>
    <w:p>
      <w:pPr>
        <w:pStyle w:val="Style1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报告期内，为提升教育培训效果，公司进一步改进了培训组织方式，在干部管理能力、市场开拓能力、经营管理能力以 及新员工的入职培训中，均组建专项工作小组，对教材和课件进行评审，精心组织授课，取得了良好的培训效果。为后续持 续开展员工教育培训积累了知识和经验。</w:t>
      </w:r>
    </w:p>
    <w:p>
      <w:pPr>
        <w:pStyle w:val="Style32"/>
        <w:keepNext/>
        <w:keepLines/>
        <w:widowControl w:val="0"/>
        <w:shd w:val="clear" w:color="auto" w:fill="auto"/>
        <w:tabs>
          <w:tab w:pos="366"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4</w:t>
      </w:r>
      <w:bookmarkEnd w:id="418"/>
      <w:r>
        <w:rPr>
          <w:color w:val="000000"/>
          <w:spacing w:val="0"/>
          <w:w w:val="100"/>
          <w:position w:val="0"/>
        </w:rPr>
        <w:t>、</w:t>
        <w:tab/>
        <w:t>劳务外包情况</w:t>
      </w:r>
      <w:bookmarkEnd w:id="416"/>
      <w:bookmarkEnd w:id="417"/>
      <w:bookmarkEnd w:id="419"/>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4,017,862.00</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十二、公司利润分配及资本公积金转增股本情况</w:t>
      </w:r>
      <w:bookmarkEnd w:id="420"/>
      <w:bookmarkEnd w:id="421"/>
      <w:bookmarkEnd w:id="422"/>
    </w:p>
    <w:p>
      <w:pPr>
        <w:pStyle w:val="Style18"/>
        <w:keepNext w:val="0"/>
        <w:keepLines w:val="0"/>
        <w:widowControl w:val="0"/>
        <w:shd w:val="clear" w:color="auto" w:fill="auto"/>
        <w:bidi w:val="0"/>
        <w:spacing w:before="0"/>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ind w:left="0" w:right="0" w:firstLine="380"/>
        <w:jc w:val="both"/>
      </w:pPr>
      <w:r>
        <w:rPr>
          <w:color w:val="000000"/>
          <w:spacing w:val="0"/>
          <w:w w:val="100"/>
          <w:position w:val="0"/>
        </w:rPr>
        <w:t xml:space="preserve">公司严格执行《公司章程》中的利润分配政策，未进行利润分配政策变更，分红比例明确清晰，相关的决策程序和机制 </w:t>
      </w:r>
      <w:r>
        <w:rPr>
          <w:color w:val="000000"/>
          <w:spacing w:val="0"/>
          <w:w w:val="100"/>
          <w:position w:val="0"/>
          <w:u w:val="single"/>
        </w:rPr>
        <w:t>完备，相关的议案经董事会、监事会审议通过后提交股东大会审议，且独立董事发表了独立意见。</w:t>
      </w:r>
    </w:p>
    <w:p>
      <w:pPr>
        <w:pStyle w:val="Style18"/>
        <w:keepNext w:val="0"/>
        <w:keepLines w:val="0"/>
        <w:widowControl w:val="0"/>
        <w:pBdr>
          <w:top w:val="single" w:sz="0" w:space="6" w:color="D3D3D3"/>
          <w:left w:val="single" w:sz="0" w:space="0" w:color="D3D3D3"/>
          <w:bottom w:val="single" w:sz="0" w:space="0" w:color="D3D3D3"/>
          <w:right w:val="single" w:sz="0" w:space="0" w:color="D3D3D3"/>
        </w:pBdr>
        <w:shd w:val="clear" w:color="auto" w:fill="D3D3D3"/>
        <w:bidi w:val="0"/>
        <w:spacing w:before="0" w:after="280"/>
        <w:ind w:left="0" w:right="0" w:firstLine="0"/>
        <w:jc w:val="center"/>
      </w:pPr>
      <w:r>
        <w:rPr>
          <w:color w:val="000000"/>
          <w:spacing w:val="0"/>
          <w:w w:val="100"/>
          <w:position w:val="0"/>
        </w:rPr>
        <w:t>现金分红政策的专项说明</w:t>
      </w:r>
      <w:r>
        <w:br w:type="page"/>
      </w:r>
    </w:p>
    <w:tbl>
      <w:tblPr>
        <w:tblOverlap w:val="never"/>
        <w:jc w:val="center"/>
        <w:tblLayout w:type="fixed"/>
      </w:tblPr>
      <w:tblGrid>
        <w:gridCol w:w="4790"/>
        <w:gridCol w:w="4795"/>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是口否口不适用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346,544,896.19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357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left"/>
              <w:rPr>
                <w:sz w:val="17"/>
                <w:szCs w:val="17"/>
              </w:rPr>
            </w:pPr>
            <w:r>
              <w:rPr>
                <w:color w:val="000000"/>
                <w:spacing w:val="0"/>
                <w:w w:val="100"/>
                <w:position w:val="0"/>
                <w:sz w:val="17"/>
                <w:szCs w:val="17"/>
              </w:rPr>
              <w:t>经立信会计师事务所（特殊普通合伙）审计，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年度合并报表归属于上市公司股东的净利润为人民币</w:t>
            </w:r>
            <w:r>
              <w:rPr>
                <w:rFonts w:ascii="Times New Roman" w:eastAsia="Times New Roman" w:hAnsi="Times New Roman" w:cs="Times New Roman"/>
                <w:color w:val="000000"/>
                <w:spacing w:val="0"/>
                <w:w w:val="100"/>
                <w:position w:val="0"/>
                <w:sz w:val="18"/>
                <w:szCs w:val="18"/>
              </w:rPr>
              <w:t xml:space="preserve">40,765,880.21 </w:t>
            </w:r>
            <w:r>
              <w:rPr>
                <w:color w:val="000000"/>
                <w:spacing w:val="0"/>
                <w:w w:val="100"/>
                <w:position w:val="0"/>
                <w:sz w:val="17"/>
                <w:szCs w:val="17"/>
              </w:rPr>
              <w:t>元，其中，母公司实现净利润为人民币</w:t>
            </w:r>
            <w:r>
              <w:rPr>
                <w:rFonts w:ascii="Times New Roman" w:eastAsia="Times New Roman" w:hAnsi="Times New Roman" w:cs="Times New Roman"/>
                <w:color w:val="000000"/>
                <w:spacing w:val="0"/>
                <w:w w:val="100"/>
                <w:position w:val="0"/>
                <w:sz w:val="18"/>
                <w:szCs w:val="18"/>
              </w:rPr>
              <w:t>13,117,401.40</w:t>
            </w:r>
            <w:r>
              <w:rPr>
                <w:color w:val="000000"/>
                <w:spacing w:val="0"/>
                <w:w w:val="100"/>
                <w:position w:val="0"/>
                <w:sz w:val="17"/>
                <w:szCs w:val="17"/>
              </w:rPr>
              <w:t>元。根据《公司法》及《公司章程》规定，以母公司净利润为基数， 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法定盈余公积为人民币</w:t>
            </w:r>
            <w:r>
              <w:rPr>
                <w:rFonts w:ascii="Times New Roman" w:eastAsia="Times New Roman" w:hAnsi="Times New Roman" w:cs="Times New Roman"/>
                <w:color w:val="000000"/>
                <w:spacing w:val="0"/>
                <w:w w:val="100"/>
                <w:position w:val="0"/>
                <w:sz w:val="18"/>
                <w:szCs w:val="18"/>
              </w:rPr>
              <w:t>1,311,740.14</w:t>
            </w:r>
            <w:r>
              <w:rPr>
                <w:color w:val="000000"/>
                <w:spacing w:val="0"/>
                <w:w w:val="100"/>
                <w:position w:val="0"/>
                <w:sz w:val="17"/>
                <w:szCs w:val="17"/>
              </w:rPr>
              <w:t>元，母公司当年实现的可供分配利润为人民币</w:t>
            </w:r>
            <w:r>
              <w:rPr>
                <w:rFonts w:ascii="Times New Roman" w:eastAsia="Times New Roman" w:hAnsi="Times New Roman" w:cs="Times New Roman"/>
                <w:color w:val="000000"/>
                <w:spacing w:val="0"/>
                <w:w w:val="100"/>
                <w:position w:val="0"/>
                <w:sz w:val="18"/>
                <w:szCs w:val="18"/>
              </w:rPr>
              <w:t>11,805,661.26</w:t>
            </w:r>
            <w:r>
              <w:rPr>
                <w:color w:val="000000"/>
                <w:spacing w:val="0"/>
                <w:w w:val="100"/>
                <w:position w:val="0"/>
                <w:sz w:val="17"/>
                <w:szCs w:val="17"/>
              </w:rPr>
              <w:t>元，减去支付 上年度应付现金股利</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sz w:val="17"/>
                <w:szCs w:val="17"/>
              </w:rPr>
              <w:t>元，加上以前年度未分配利润人民币</w:t>
            </w:r>
            <w:r>
              <w:rPr>
                <w:rFonts w:ascii="Times New Roman" w:eastAsia="Times New Roman" w:hAnsi="Times New Roman" w:cs="Times New Roman"/>
                <w:color w:val="000000"/>
                <w:spacing w:val="0"/>
                <w:w w:val="100"/>
                <w:position w:val="0"/>
                <w:sz w:val="18"/>
                <w:szCs w:val="18"/>
              </w:rPr>
              <w:t>352,949,634.93</w:t>
            </w:r>
            <w:r>
              <w:rPr>
                <w:color w:val="000000"/>
                <w:spacing w:val="0"/>
                <w:w w:val="100"/>
                <w:position w:val="0"/>
                <w:sz w:val="17"/>
                <w:szCs w:val="17"/>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母公司可供分配利润为人民币</w:t>
            </w:r>
            <w:r>
              <w:rPr>
                <w:rFonts w:ascii="Times New Roman" w:eastAsia="Times New Roman" w:hAnsi="Times New Roman" w:cs="Times New Roman"/>
                <w:color w:val="000000"/>
                <w:spacing w:val="0"/>
                <w:w w:val="100"/>
                <w:position w:val="0"/>
                <w:sz w:val="18"/>
                <w:szCs w:val="18"/>
              </w:rPr>
              <w:t>346,544,896.19</w:t>
            </w:r>
            <w:r>
              <w:rPr>
                <w:color w:val="000000"/>
                <w:spacing w:val="0"/>
                <w:w w:val="100"/>
                <w:position w:val="0"/>
                <w:sz w:val="17"/>
                <w:szCs w:val="17"/>
              </w:rPr>
              <w:t>元。合并报表当年实现的可供分配利润为人民币</w:t>
            </w:r>
            <w:r>
              <w:rPr>
                <w:rFonts w:ascii="Times New Roman" w:eastAsia="Times New Roman" w:hAnsi="Times New Roman" w:cs="Times New Roman"/>
                <w:color w:val="000000"/>
                <w:spacing w:val="0"/>
                <w:w w:val="100"/>
                <w:position w:val="0"/>
                <w:sz w:val="18"/>
                <w:szCs w:val="18"/>
              </w:rPr>
              <w:t>39,454,140.07</w:t>
            </w:r>
            <w:r>
              <w:rPr>
                <w:color w:val="000000"/>
                <w:spacing w:val="0"/>
                <w:w w:val="100"/>
                <w:position w:val="0"/>
                <w:sz w:val="17"/>
                <w:szCs w:val="17"/>
              </w:rPr>
              <w:t>元，减去支 付上年度应付现金股利</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sz w:val="17"/>
                <w:szCs w:val="17"/>
              </w:rPr>
              <w:t>元，加上以前年度未分配利润</w:t>
            </w:r>
            <w:r>
              <w:rPr>
                <w:rFonts w:ascii="Times New Roman" w:eastAsia="Times New Roman" w:hAnsi="Times New Roman" w:cs="Times New Roman"/>
                <w:color w:val="000000"/>
                <w:spacing w:val="0"/>
                <w:w w:val="100"/>
                <w:position w:val="0"/>
                <w:sz w:val="18"/>
                <w:szCs w:val="18"/>
              </w:rPr>
              <w:t>328,917,085.03</w:t>
            </w:r>
            <w:r>
              <w:rPr>
                <w:color w:val="000000"/>
                <w:spacing w:val="0"/>
                <w:w w:val="100"/>
                <w:position w:val="0"/>
                <w:sz w:val="17"/>
                <w:szCs w:val="17"/>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日可供分 配利润为人民币</w:t>
            </w:r>
            <w:r>
              <w:rPr>
                <w:rFonts w:ascii="Times New Roman" w:eastAsia="Times New Roman" w:hAnsi="Times New Roman" w:cs="Times New Roman"/>
                <w:color w:val="000000"/>
                <w:spacing w:val="0"/>
                <w:w w:val="100"/>
                <w:position w:val="0"/>
                <w:sz w:val="18"/>
                <w:szCs w:val="18"/>
              </w:rPr>
              <w:t>350,160,825.10</w:t>
            </w:r>
            <w:r>
              <w:rPr>
                <w:color w:val="000000"/>
                <w:spacing w:val="0"/>
                <w:w w:val="100"/>
                <w:position w:val="0"/>
                <w:sz w:val="17"/>
                <w:szCs w:val="17"/>
              </w:rPr>
              <w:t>元。</w:t>
            </w:r>
          </w:p>
          <w:p>
            <w:pPr>
              <w:pStyle w:val="Style2"/>
              <w:keepNext w:val="0"/>
              <w:keepLines w:val="0"/>
              <w:widowControl w:val="0"/>
              <w:shd w:val="clear" w:color="auto" w:fill="auto"/>
              <w:bidi w:val="0"/>
              <w:spacing w:before="0" w:after="0" w:line="304" w:lineRule="exact"/>
              <w:ind w:left="0" w:right="0" w:firstLine="0"/>
              <w:jc w:val="left"/>
              <w:rPr>
                <w:sz w:val="17"/>
                <w:szCs w:val="17"/>
              </w:rPr>
            </w:pPr>
            <w:r>
              <w:rPr>
                <w:color w:val="000000"/>
                <w:spacing w:val="0"/>
                <w:w w:val="100"/>
                <w:position w:val="0"/>
                <w:sz w:val="17"/>
                <w:szCs w:val="17"/>
              </w:rPr>
              <w:t>公司根据《公司法》和《公司章程》的相关规定，拟定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年利润分配方案如下：以截止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日公司总股 本</w:t>
            </w:r>
            <w:r>
              <w:rPr>
                <w:rFonts w:ascii="Times New Roman" w:eastAsia="Times New Roman" w:hAnsi="Times New Roman" w:cs="Times New Roman"/>
                <w:color w:val="000000"/>
                <w:spacing w:val="0"/>
                <w:w w:val="100"/>
                <w:position w:val="0"/>
                <w:sz w:val="18"/>
                <w:szCs w:val="18"/>
              </w:rPr>
              <w:t>182,104,000</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元人民币（含税），合计派发现金股利为人民币</w:t>
            </w:r>
            <w:r>
              <w:rPr>
                <w:rFonts w:ascii="Times New Roman" w:eastAsia="Times New Roman" w:hAnsi="Times New Roman" w:cs="Times New Roman"/>
                <w:color w:val="000000"/>
                <w:spacing w:val="0"/>
                <w:w w:val="100"/>
                <w:position w:val="0"/>
                <w:sz w:val="18"/>
                <w:szCs w:val="18"/>
              </w:rPr>
              <w:t xml:space="preserve">18,210,400 </w:t>
            </w:r>
            <w:r>
              <w:rPr>
                <w:color w:val="000000"/>
                <w:spacing w:val="0"/>
                <w:w w:val="100"/>
                <w:position w:val="0"/>
                <w:sz w:val="17"/>
                <w:szCs w:val="17"/>
              </w:rPr>
              <w:t>元（含税），不送红股，不以资本公积金转增股本。剩余未分配利润结转以后年度。董事会审议利润分配方案后至实施 前，公司股本如发生变动，将按照分配总额不变的原则对分配比例进行调整。</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083" w:bottom="1560" w:left="1043" w:header="0" w:footer="3" w:gutter="0"/>
          <w:cols w:space="720"/>
          <w:noEndnote/>
          <w:rtlGutter w:val="0"/>
          <w:docGrid w:linePitch="360"/>
        </w:sectPr>
      </w:pPr>
      <w:r>
        <w:rPr>
          <w:color w:val="000000"/>
          <w:spacing w:val="0"/>
          <w:w w:val="100"/>
          <w:position w:val="0"/>
        </w:rPr>
        <w:t>公司报告期内盈利且母公司可供股东分配利润为正但未提出现金红利分配预案</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60" w:line="322"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十三、公司股权激励计划、员工持股计划或其他员工激励措施的实施情况</w:t>
      </w:r>
      <w:bookmarkEnd w:id="423"/>
      <w:bookmarkEnd w:id="424"/>
      <w:bookmarkEnd w:id="425"/>
    </w:p>
    <w:p>
      <w:pPr>
        <w:pStyle w:val="Style18"/>
        <w:keepNext w:val="0"/>
        <w:keepLines w:val="0"/>
        <w:widowControl w:val="0"/>
        <w:shd w:val="clear" w:color="auto" w:fill="auto"/>
        <w:bidi w:val="0"/>
        <w:spacing w:before="0" w:after="400" w:line="3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2"/>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、股权激励</w:t>
      </w:r>
      <w:bookmarkEnd w:id="426"/>
      <w:bookmarkEnd w:id="427"/>
      <w:bookmarkEnd w:id="429"/>
    </w:p>
    <w:p>
      <w:pPr>
        <w:pStyle w:val="Style18"/>
        <w:keepNext w:val="0"/>
        <w:keepLines w:val="0"/>
        <w:widowControl w:val="0"/>
        <w:shd w:val="clear" w:color="auto" w:fill="auto"/>
        <w:bidi w:val="0"/>
        <w:spacing w:before="0" w:after="100"/>
        <w:ind w:left="0" w:right="0" w:firstLine="420"/>
        <w:jc w:val="both"/>
      </w:pPr>
      <w:r>
        <w:rPr>
          <w:color w:val="000000"/>
          <w:spacing w:val="0"/>
          <w:w w:val="100"/>
          <w:position w:val="0"/>
        </w:rPr>
        <w:t>为了进一步建立、健全公司长效激励机制，吸引和留住优秀人才，充分调动公司董事、高级管理人员、中层管理人员及 核心技术（业务）骨干人员的积极性，有效地将股东利益、公司利益和核心团队个人利益结合在一起，使各方共同关注公司 的长远发展，在充分保障股东利益的前提，公司于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年实施第一期限制性股票激励计划，向</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名激励对象授予的第二类 限制性股票总量为</w:t>
      </w:r>
      <w:r>
        <w:rPr>
          <w:rFonts w:ascii="Times New Roman" w:eastAsia="Times New Roman" w:hAnsi="Times New Roman" w:cs="Times New Roman"/>
          <w:color w:val="000000"/>
          <w:spacing w:val="0"/>
          <w:w w:val="100"/>
          <w:position w:val="0"/>
          <w:sz w:val="18"/>
          <w:szCs w:val="18"/>
        </w:rPr>
        <w:t>836</w:t>
      </w:r>
      <w:r>
        <w:rPr>
          <w:color w:val="000000"/>
          <w:spacing w:val="0"/>
          <w:w w:val="100"/>
          <w:position w:val="0"/>
        </w:rPr>
        <w:t>万股，占公司股本总额</w:t>
      </w:r>
      <w:r>
        <w:rPr>
          <w:rFonts w:ascii="Times New Roman" w:eastAsia="Times New Roman" w:hAnsi="Times New Roman" w:cs="Times New Roman"/>
          <w:color w:val="000000"/>
          <w:spacing w:val="0"/>
          <w:w w:val="100"/>
          <w:position w:val="0"/>
          <w:sz w:val="18"/>
          <w:szCs w:val="18"/>
        </w:rPr>
        <w:t>18,210.4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日，股票 来源为公司向激励对象定向发行的本公司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股普通股。《第一期限制性股票激励计划（草案）》及其摘要和《第一期限制性股 票激励计划实施考核管理办法》由公司薪酬与绩效考核委员会拟订，于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日经公司第二届董事会第十八次会议、 公司第二届监事会第十四次会议审议通过，独立董事发表了明确同意的独立意见，于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股东大会审议通过。具体内容详见公司分别于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日在巨潮资讯网披露的相关公告。</w:t>
      </w:r>
    </w:p>
    <w:p>
      <w:pPr>
        <w:pStyle w:val="Style18"/>
        <w:keepNext w:val="0"/>
        <w:keepLines w:val="0"/>
        <w:widowControl w:val="0"/>
        <w:shd w:val="clear" w:color="auto" w:fill="auto"/>
        <w:bidi w:val="0"/>
        <w:spacing w:before="0" w:after="160" w:line="315" w:lineRule="exact"/>
        <w:ind w:left="0" w:right="0" w:firstLine="420"/>
        <w:jc w:val="both"/>
      </w:pPr>
      <w:r>
        <w:rPr>
          <w:color w:val="000000"/>
          <w:spacing w:val="0"/>
          <w:w w:val="100"/>
          <w:position w:val="0"/>
        </w:rPr>
        <w:t>鉴于激励对象中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名激励对象因离职失去激励资格，公司取消拟向上述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名激励对象授予的限制性股票共计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万股。经 过上述调整后，公司授予限制性股票的总数由</w:t>
      </w:r>
      <w:r>
        <w:rPr>
          <w:rFonts w:ascii="Times New Roman" w:eastAsia="Times New Roman" w:hAnsi="Times New Roman" w:cs="Times New Roman"/>
          <w:color w:val="000000"/>
          <w:spacing w:val="0"/>
          <w:w w:val="100"/>
          <w:position w:val="0"/>
          <w:sz w:val="18"/>
          <w:szCs w:val="18"/>
        </w:rPr>
        <w:t>836.00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834.5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万股。本次激励计划激励对象由</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人。 除上述调整外，股权激励计划与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年第二次临时股东大会审议通过的一致。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日公司召开第二届董事会第二十 次会议和第二届监事会第十六次会议，审议通过了《关于向公司第一期限制性股票激励计划激励对象授予限制性股票议案》 和《关于调整公司第一期限制性股票激励计划相关事项的议案》。具体内容详见公司于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日在巨潮资讯网披露的相 关公告。</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董事、高级管理人员获得的股权激励情况</w:t>
      </w:r>
    </w:p>
    <w:p>
      <w:pPr>
        <w:pStyle w:val="Style18"/>
        <w:keepNext w:val="0"/>
        <w:keepLines w:val="0"/>
        <w:widowControl w:val="0"/>
        <w:shd w:val="clear" w:color="auto" w:fill="auto"/>
        <w:bidi w:val="0"/>
        <w:spacing w:before="0" w:after="160" w:line="3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both"/>
              <w:rPr>
                <w:sz w:val="17"/>
                <w:szCs w:val="17"/>
              </w:rPr>
            </w:pPr>
            <w:r>
              <w:rPr>
                <w:color w:val="000000"/>
                <w:spacing w:val="0"/>
                <w:w w:val="100"/>
                <w:position w:val="0"/>
                <w:sz w:val="17"/>
                <w:szCs w:val="17"/>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市价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20"/>
              <w:jc w:val="left"/>
              <w:rPr>
                <w:sz w:val="17"/>
                <w:szCs w:val="17"/>
              </w:rPr>
            </w:pPr>
            <w:r>
              <w:rPr>
                <w:color w:val="000000"/>
                <w:spacing w:val="0"/>
                <w:w w:val="100"/>
                <w:position w:val="0"/>
                <w:sz w:val="17"/>
                <w:szCs w:val="17"/>
              </w:rPr>
              <w:t>限制 性股 票的 授予 价格</w:t>
            </w:r>
          </w:p>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 持有 限制 性股 票数 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林一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 长、总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王劲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钱有 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footnotePr>
            <w:pos w:val="pageBottom"/>
            <w:numFmt w:val="decimal"/>
            <w:numRestart w:val="continuous"/>
          </w:footnotePr>
          <w:pgSz w:w="11900" w:h="16840"/>
          <w:pgMar w:top="985" w:right="1032" w:bottom="1201" w:left="1066" w:header="0" w:footer="3" w:gutter="0"/>
          <w:cols w:space="720"/>
          <w:noEndnote/>
          <w:rtlGutter w:val="0"/>
          <w:docGrid w:linePitch="360"/>
        </w:sectPr>
      </w:pP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 副总 经理、 总工 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黄肇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宋发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卢庆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副总 经理、 工会 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张善 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副总 经理、 财务 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罗志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赖福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吴轶 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副总 经理、 董事 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1,855, 000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报告期内公司实施了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年限制性股票激励计划，激励工具为第二类限制性股票，截止报告期末，董 事、高级管理人员所获授的限制性股票已授予完毕，但尚未办理归属登记。</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公司制定了《高管薪酬管理规定》，公司总经理履职情况由董事会薪酬与绩效考核委员考核，其他高级管理人员由总经 </w:t>
      </w:r>
      <w:r>
        <w:rPr>
          <w:color w:val="000000"/>
          <w:spacing w:val="0"/>
          <w:w w:val="100"/>
          <w:position w:val="0"/>
        </w:rPr>
        <w:t>理考核，高级管理人员薪酬经董事会薪酬与绩效考核委员审核后报公司董事会审批。</w:t>
      </w:r>
    </w:p>
    <w:p>
      <w:pPr>
        <w:pStyle w:val="Style18"/>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报告期内，公司高级管理人员严格按照《公司法》《公司章程》及有关法律法规认真履行职责，积极落实公司股东大会 和董事会相关决议，较好地完成了本年度的各项任务。</w:t>
      </w:r>
    </w:p>
    <w:p>
      <w:pPr>
        <w:pStyle w:val="Style32"/>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、员工持股计划的实施情况</w:t>
      </w:r>
      <w:bookmarkEnd w:id="430"/>
      <w:bookmarkEnd w:id="431"/>
      <w:bookmarkEnd w:id="433"/>
    </w:p>
    <w:p>
      <w:pPr>
        <w:pStyle w:val="Style18"/>
        <w:keepNext w:val="0"/>
        <w:keepLines w:val="0"/>
        <w:widowControl w:val="0"/>
        <w:shd w:val="clear" w:color="auto" w:fill="auto"/>
        <w:bidi w:val="0"/>
        <w:spacing w:before="0" w:after="200" w:line="317" w:lineRule="exact"/>
        <w:ind w:left="0" w:right="0" w:firstLine="0"/>
        <w:jc w:val="left"/>
        <w:sectPr>
          <w:footnotePr>
            <w:pos w:val="pageBottom"/>
            <w:numFmt w:val="decimal"/>
            <w:numRestart w:val="continuous"/>
          </w:footnotePr>
          <w:pgSz w:w="11900" w:h="16840"/>
          <w:pgMar w:top="1484" w:right="1118" w:bottom="1484"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8"/>
        <w:keepNext w:val="0"/>
        <w:framePr w:dropCap="drop" w:hAnchor="text" w:lines="1" w:vAnchor="text" w:hSpace="1099" w:vSpace="1099"/>
        <w:widowControl w:val="0"/>
        <w:shd w:val="clear" w:color="auto" w:fill="auto"/>
        <w:spacing w:before="8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8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26" w:lineRule="exact"/>
        <w:ind w:left="0" w:right="0" w:firstLine="0"/>
        <w:jc w:val="right"/>
      </w:pPr>
      <w:r>
        <w:rPr>
          <w:color w:val="000000"/>
          <w:spacing w:val="0"/>
          <w:w w:val="100"/>
          <w:position w:val="0"/>
          <w:u w:val="single"/>
          <w:shd w:val="clear" w:color="auto" w:fill="FFFFFF"/>
        </w:rPr>
        <w:t>福建永福电力设计股份有限公司</w:t>
      </w:r>
      <w:r>
        <w:rPr>
          <w:rFonts w:ascii="Times New Roman" w:eastAsia="Times New Roman" w:hAnsi="Times New Roman" w:cs="Times New Roman"/>
          <w:color w:val="000000"/>
          <w:spacing w:val="0"/>
          <w:w w:val="100"/>
          <w:position w:val="0"/>
          <w:sz w:val="18"/>
          <w:szCs w:val="18"/>
          <w:u w:val="single"/>
          <w:shd w:val="clear" w:color="auto" w:fill="FFFFFF"/>
        </w:rPr>
        <w:t>2021</w:t>
      </w:r>
      <w:r>
        <w:rPr>
          <w:color w:val="000000"/>
          <w:spacing w:val="0"/>
          <w:w w:val="100"/>
          <w:position w:val="0"/>
          <w:u w:val="single"/>
          <w:shd w:val="clear" w:color="auto" w:fill="FFFFFF"/>
        </w:rPr>
        <w:t>年年度报告</w:t>
      </w:r>
    </w:p>
    <w:p>
      <w:pPr>
        <w:pStyle w:val="Style32"/>
        <w:keepNext/>
        <w:keepLines/>
        <w:widowControl w:val="0"/>
        <w:shd w:val="clear" w:color="auto" w:fill="auto"/>
        <w:bidi w:val="0"/>
        <w:spacing w:before="0" w:after="260" w:line="326"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、其他员工激励措施</w:t>
      </w:r>
      <w:bookmarkEnd w:id="434"/>
      <w:bookmarkEnd w:id="435"/>
      <w:bookmarkEnd w:id="437"/>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十四、报告期内的内部控制制度建设及实施情况</w:t>
      </w:r>
      <w:bookmarkEnd w:id="438"/>
      <w:bookmarkEnd w:id="439"/>
      <w:bookmarkEnd w:id="440"/>
    </w:p>
    <w:p>
      <w:pPr>
        <w:pStyle w:val="Style32"/>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、内部控制建设及实施情况</w:t>
      </w:r>
      <w:bookmarkEnd w:id="441"/>
      <w:bookmarkEnd w:id="442"/>
      <w:bookmarkEnd w:id="444"/>
    </w:p>
    <w:p>
      <w:pPr>
        <w:pStyle w:val="Style18"/>
        <w:keepNext w:val="0"/>
        <w:keepLines w:val="0"/>
        <w:widowControl w:val="0"/>
        <w:shd w:val="clear" w:color="auto" w:fill="auto"/>
        <w:bidi w:val="0"/>
        <w:spacing w:before="0"/>
        <w:ind w:left="0" w:right="0" w:firstLine="420"/>
        <w:jc w:val="both"/>
      </w:pPr>
      <w:r>
        <w:rPr>
          <w:color w:val="000000"/>
          <w:spacing w:val="0"/>
          <w:w w:val="100"/>
          <w:position w:val="0"/>
        </w:rPr>
        <w:t>为贯彻公司全面提升企业风险管理水平和风险防范能力、加快构建内部控制体系政策的要求，同时，为进一步加强公司 风险防范能力、提升治理及管理水平、增强核心竞争力、实现可持续发展战略，公司建立了一套科学、系统的内部控制体系 建设的方法和规范，作为公司建立、执行、评价和维护内控与风险管理体系的指导和依据。公司的内部控制体系的建设旨在 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以风险为导向，以内部控制为手段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的内控与风险管理理念，强调事前和事中控制，在构建良好的内部环境的基础上， 把管理风险作为内部控制的目标，实现风险预控和规范化管理。</w:t>
      </w:r>
    </w:p>
    <w:p>
      <w:pPr>
        <w:pStyle w:val="Style18"/>
        <w:keepNext w:val="0"/>
        <w:keepLines w:val="0"/>
        <w:widowControl w:val="0"/>
        <w:shd w:val="clear" w:color="auto" w:fill="auto"/>
        <w:bidi w:val="0"/>
        <w:spacing w:before="0" w:line="314" w:lineRule="exact"/>
        <w:ind w:left="0" w:right="0" w:firstLine="420"/>
        <w:jc w:val="both"/>
      </w:pPr>
      <w:r>
        <w:rPr>
          <w:color w:val="000000"/>
          <w:spacing w:val="0"/>
          <w:w w:val="100"/>
          <w:position w:val="0"/>
        </w:rPr>
        <w:t>公司的内部控制体系分别为内控与风险管理体系、内部环境、风险评估、控制活动、信息与沟通、内部监督：</w:t>
      </w:r>
    </w:p>
    <w:p>
      <w:pPr>
        <w:pStyle w:val="Style18"/>
        <w:keepNext w:val="0"/>
        <w:keepLines w:val="0"/>
        <w:widowControl w:val="0"/>
        <w:numPr>
          <w:ilvl w:val="0"/>
          <w:numId w:val="45"/>
        </w:numPr>
        <w:shd w:val="clear" w:color="auto" w:fill="auto"/>
        <w:bidi w:val="0"/>
        <w:spacing w:before="0" w:line="310" w:lineRule="exact"/>
        <w:ind w:left="0" w:right="0" w:firstLine="420"/>
        <w:jc w:val="both"/>
      </w:pPr>
      <w:bookmarkStart w:id="445" w:name="bookmark445"/>
      <w:bookmarkEnd w:id="445"/>
      <w:r>
        <w:rPr>
          <w:color w:val="000000"/>
          <w:spacing w:val="0"/>
          <w:w w:val="100"/>
          <w:position w:val="0"/>
        </w:rPr>
        <w:t>内控与风险管理体系部分，描述公司内控与风险管理体系组织架构与职责分配，全面阐述内控与风险管理体系建 设的目标，并以财政部等五部委《企业内部控制基本规范》及其配套指引框架为指导，从内部环境、风险评估、控制活动、 信息与沟通、内部监督五个方面对内控与风险管理体系的构成要素、关注重点和相应措施进行全面、系统的阐述。</w:t>
      </w:r>
    </w:p>
    <w:p>
      <w:pPr>
        <w:pStyle w:val="Style18"/>
        <w:keepNext w:val="0"/>
        <w:keepLines w:val="0"/>
        <w:widowControl w:val="0"/>
        <w:numPr>
          <w:ilvl w:val="0"/>
          <w:numId w:val="45"/>
        </w:numPr>
        <w:shd w:val="clear" w:color="auto" w:fill="auto"/>
        <w:bidi w:val="0"/>
        <w:spacing w:before="0" w:line="298" w:lineRule="exact"/>
        <w:ind w:left="0" w:right="0" w:firstLine="420"/>
        <w:jc w:val="both"/>
      </w:pPr>
      <w:bookmarkStart w:id="446" w:name="bookmark446"/>
      <w:bookmarkEnd w:id="446"/>
      <w:r>
        <w:rPr>
          <w:color w:val="000000"/>
          <w:spacing w:val="0"/>
          <w:w w:val="100"/>
          <w:position w:val="0"/>
        </w:rPr>
        <w:t>内部环境部分，介绍内部环境的概念，从组织结构与职责分配、人力资源、公司战略、企业文化、社会责任、内 部审计、法律环境等方面，对内部环境的关注重点和控制措施进行阐述。</w:t>
      </w:r>
    </w:p>
    <w:p>
      <w:pPr>
        <w:pStyle w:val="Style18"/>
        <w:keepNext w:val="0"/>
        <w:keepLines w:val="0"/>
        <w:widowControl w:val="0"/>
        <w:numPr>
          <w:ilvl w:val="0"/>
          <w:numId w:val="45"/>
        </w:numPr>
        <w:shd w:val="clear" w:color="auto" w:fill="auto"/>
        <w:bidi w:val="0"/>
        <w:spacing w:before="0" w:line="331" w:lineRule="exact"/>
        <w:ind w:left="0" w:right="0" w:firstLine="420"/>
        <w:jc w:val="both"/>
      </w:pPr>
      <w:bookmarkStart w:id="447" w:name="bookmark447"/>
      <w:bookmarkEnd w:id="447"/>
      <w:r>
        <w:rPr>
          <w:color w:val="000000"/>
          <w:spacing w:val="0"/>
          <w:w w:val="100"/>
          <w:position w:val="0"/>
        </w:rPr>
        <w:t>风险评估部分，介绍风险及风险评估的基本概念，对风险识别、风险分析和风险应对等方面的关注重点和控制措 施进行阐述。</w:t>
      </w:r>
    </w:p>
    <w:p>
      <w:pPr>
        <w:pStyle w:val="Style18"/>
        <w:keepNext w:val="0"/>
        <w:keepLines w:val="0"/>
        <w:widowControl w:val="0"/>
        <w:numPr>
          <w:ilvl w:val="0"/>
          <w:numId w:val="45"/>
        </w:numPr>
        <w:shd w:val="clear" w:color="auto" w:fill="auto"/>
        <w:bidi w:val="0"/>
        <w:spacing w:before="0" w:line="322" w:lineRule="exact"/>
        <w:ind w:left="0" w:right="0" w:firstLine="420"/>
        <w:jc w:val="both"/>
      </w:pPr>
      <w:bookmarkStart w:id="448" w:name="bookmark448"/>
      <w:bookmarkEnd w:id="448"/>
      <w:r>
        <w:rPr>
          <w:color w:val="000000"/>
          <w:spacing w:val="0"/>
          <w:w w:val="100"/>
          <w:position w:val="0"/>
        </w:rPr>
        <w:t>控制活动部分，介绍风险控制活动的概念及分类，从公司层面控制和业务层面控制方面，对风险控制活动的关注 重点和相应的控制措施进行阐述。</w:t>
      </w:r>
    </w:p>
    <w:p>
      <w:pPr>
        <w:pStyle w:val="Style18"/>
        <w:keepNext w:val="0"/>
        <w:keepLines w:val="0"/>
        <w:widowControl w:val="0"/>
        <w:numPr>
          <w:ilvl w:val="0"/>
          <w:numId w:val="45"/>
        </w:numPr>
        <w:shd w:val="clear" w:color="auto" w:fill="auto"/>
        <w:bidi w:val="0"/>
        <w:spacing w:before="0" w:line="322" w:lineRule="exact"/>
        <w:ind w:left="0" w:right="0" w:firstLine="420"/>
        <w:jc w:val="both"/>
      </w:pPr>
      <w:bookmarkStart w:id="449" w:name="bookmark449"/>
      <w:bookmarkEnd w:id="449"/>
      <w:r>
        <w:rPr>
          <w:color w:val="000000"/>
          <w:spacing w:val="0"/>
          <w:w w:val="100"/>
          <w:position w:val="0"/>
        </w:rPr>
        <w:t>信息与沟通部分，介绍信息与沟通的概念，从信息收集与沟通、反舞弊工作、信息系统等方面，对信息与沟通的 关注重点和相应控制措施进行阐述。</w:t>
      </w:r>
    </w:p>
    <w:p>
      <w:pPr>
        <w:pStyle w:val="Style18"/>
        <w:keepNext w:val="0"/>
        <w:keepLines w:val="0"/>
        <w:widowControl w:val="0"/>
        <w:numPr>
          <w:ilvl w:val="0"/>
          <w:numId w:val="45"/>
        </w:numPr>
        <w:shd w:val="clear" w:color="auto" w:fill="auto"/>
        <w:bidi w:val="0"/>
        <w:spacing w:before="0" w:line="326" w:lineRule="exact"/>
        <w:ind w:left="0" w:right="0" w:firstLine="420"/>
        <w:jc w:val="both"/>
      </w:pPr>
      <w:bookmarkStart w:id="450" w:name="bookmark450"/>
      <w:bookmarkEnd w:id="450"/>
      <w:r>
        <w:rPr>
          <w:color w:val="000000"/>
          <w:spacing w:val="0"/>
          <w:w w:val="100"/>
          <w:position w:val="0"/>
        </w:rPr>
        <w:t>内部监督部分，介绍内部监督的概念及要素，从监督机构设置、监督程序等方面对内部监督关注重点及相应控制 措施进行阐述。</w:t>
      </w:r>
    </w:p>
    <w:p>
      <w:pPr>
        <w:pStyle w:val="Style18"/>
        <w:keepNext w:val="0"/>
        <w:keepLines w:val="0"/>
        <w:widowControl w:val="0"/>
        <w:shd w:val="clear" w:color="auto" w:fill="auto"/>
        <w:bidi w:val="0"/>
        <w:spacing w:before="0" w:line="314" w:lineRule="exact"/>
        <w:ind w:left="0" w:right="0" w:firstLine="420"/>
        <w:jc w:val="both"/>
      </w:pPr>
      <w:r>
        <w:rPr>
          <w:color w:val="000000"/>
          <w:spacing w:val="0"/>
          <w:w w:val="100"/>
          <w:position w:val="0"/>
        </w:rPr>
        <w:t>自从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日创业板上市以来，公司的内控体系持续改进，内控制度运行和风险管控持续有效。公司将继续完善 内部控制制度，规范内部控制制度执行，强化内部控制监督检查，促进公司健康、可持续发展。根据公司业务发展和战略实 施实际情况，改进内控制度，优化业务流程，增强信息化运用，提高运行效率和风险管理能力，提升公司内部治理水平，持 续规范运作，提高上市公司质量；针对公司集团化管理和发展战略要求，加强内部审计管理，提高审计工作质量，加强审计 意见的落实，做好审计的闭环管理，充分发挥内部审计在风险防范、管理提升和效益提高中的作用；随着能源行业的发展， 新能源、储能、综合能源、智慧能源等业务将迎来发展机遇。公司在巩固传统业务的同时不断开拓新的市场领域，不断改进 与完善内部控制制度并有效执行，从而实现高质高速发展。</w:t>
      </w:r>
    </w:p>
    <w:p>
      <w:pPr>
        <w:pStyle w:val="Style18"/>
        <w:keepNext w:val="0"/>
        <w:keepLines w:val="0"/>
        <w:widowControl w:val="0"/>
        <w:shd w:val="clear" w:color="auto" w:fill="auto"/>
        <w:bidi w:val="0"/>
        <w:spacing w:before="0" w:line="315" w:lineRule="exact"/>
        <w:ind w:left="0" w:right="0" w:firstLine="420"/>
        <w:jc w:val="both"/>
      </w:pPr>
      <w:r>
        <w:rPr>
          <w:color w:val="000000"/>
          <w:spacing w:val="0"/>
          <w:w w:val="100"/>
          <w:position w:val="0"/>
        </w:rPr>
        <w:t>公司已经根据基本规范、评价指引及其他相关法律法规的要求，对公司截至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日的内部控制设计与运行的有 效性进行了自我评价。报告期内，公司对纳入评价范围的业务与事项均已建立了内部控制，并得以有效执行，达到了公司内 部控制的目标，不存在重大缺陷。自内部控制评价报告基准日至内部控制评价报告发出日之间未发生对评价结论产生实质性 影响的内部控制的重大变化。</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、报告期内发现的内部控制重大缺陷的具体情况</w:t>
      </w:r>
      <w:bookmarkEnd w:id="451"/>
      <w:bookmarkEnd w:id="452"/>
      <w:bookmarkEnd w:id="45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2"/>
        <w:keepNext/>
        <w:keepLines/>
        <w:widowControl w:val="0"/>
        <w:shd w:val="clear" w:color="auto" w:fill="auto"/>
        <w:bidi w:val="0"/>
        <w:spacing w:before="0" w:after="32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十五、公司报告期内对子公司的管理控制情况</w:t>
      </w:r>
      <w:bookmarkEnd w:id="455"/>
      <w:bookmarkEnd w:id="456"/>
      <w:bookmarkEnd w:id="457"/>
    </w:p>
    <w:tbl>
      <w:tblPr>
        <w:tblOverlap w:val="never"/>
        <w:jc w:val="center"/>
        <w:tblLayout w:type="fixed"/>
      </w:tblPr>
      <w:tblGrid>
        <w:gridCol w:w="1378"/>
        <w:gridCol w:w="2453"/>
        <w:gridCol w:w="1920"/>
        <w:gridCol w:w="1080"/>
        <w:gridCol w:w="974"/>
        <w:gridCol w:w="840"/>
        <w:gridCol w:w="94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整合中遇</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已采取的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解决进 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后续解</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决计划</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攀枝花三能新 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公司制定了完善的整合计 划，已全面接管公司的日常 运营、财务管理，并通过控 制董事会，外派总经理和财 务总监等关键岗位人员的方 式，根据实际情况重新设置 部门架构等方式，强化对该 子公司的整合工作，并推动 该公司在建的综合节能减排 项目尽快复工达产。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公司已全面控制该子 公司，全面接管日常 生产经营和建设活 动，目前在建的综合 节能减排项目已经有 序复工，正在紧密施 工中。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十六、内部控制自我评价报告或内部控制审计报告</w:t>
      </w:r>
      <w:bookmarkEnd w:id="458"/>
      <w:bookmarkEnd w:id="459"/>
      <w:bookmarkEnd w:id="460"/>
    </w:p>
    <w:p>
      <w:pPr>
        <w:pStyle w:val="Style32"/>
        <w:keepNext/>
        <w:keepLines/>
        <w:widowControl w:val="0"/>
        <w:shd w:val="clear" w:color="auto" w:fill="auto"/>
        <w:bidi w:val="0"/>
        <w:spacing w:before="0" w:after="32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、内控自我评价报告</w:t>
      </w:r>
      <w:bookmarkEnd w:id="461"/>
      <w:bookmarkEnd w:id="462"/>
      <w:bookmarkEnd w:id="46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3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)财务报告内部控制重大缺陷包括： ①控制环境无效，审计委员会及内部审 计部门对内控的监督无效；②董事、监 事和高级管理人员舞弊，或员工存在串 通舞弊的情形并给公司造成损失或不利 影响；③公司更正已公布的财务报告， 注册会计师发现当期财务报告存在重大 错报而内控在运行过程中未能发现；④ 沟通后的重大缺陷没有在合理的期限得 到纠正。(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)财务报告内部控制重要缺 陷包括：①未依照公认会计准则选择和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)非财务报告内部控制重大缺陷 包括：①项目违规操作，出现重大质 量事故，造成重大经济损失或重大人 员伤亡事故，引起政府、监管机构调 查或引发诉讼；②公司经营活动严重 违反国家法律法规；③重要业务缺乏 制度、流程控制或系统失效；④内部 控制重大缺陷未得到整改；⑤中高级 管理人员和高级技术人员严重流失； ⑥媒体负面新闻频频曝光，对公司声 誉造成重大损害。(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)非财务报告内</w:t>
            </w:r>
          </w:p>
        </w:tc>
      </w:tr>
    </w:tbl>
    <w:p>
      <w:pPr>
        <w:sectPr>
          <w:footnotePr>
            <w:pos w:val="pageBottom"/>
            <w:numFmt w:val="decimal"/>
            <w:numRestart w:val="continuous"/>
          </w:footnotePr>
          <w:pgSz w:w="11900" w:h="16840"/>
          <w:pgMar w:top="972" w:right="1042" w:bottom="1288" w:left="1056" w:header="0" w:footer="3" w:gutter="0"/>
          <w:cols w:space="720"/>
          <w:noEndnote/>
          <w:rtlGutter w:val="0"/>
          <w:docGrid w:linePitch="360"/>
        </w:sectPr>
      </w:pPr>
    </w:p>
    <w:tbl>
      <w:tblPr>
        <w:tblOverlap w:val="never"/>
        <w:jc w:val="center"/>
        <w:tblLayout w:type="fixed"/>
      </w:tblPr>
      <w:tblGrid>
        <w:gridCol w:w="3202"/>
        <w:gridCol w:w="3322"/>
        <w:gridCol w:w="3062"/>
      </w:tblGrid>
      <w:tr>
        <w:trPr>
          <w:trHeight w:val="57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应用会计政策；②未建立反舞弊程序和 控制措施；③期末财务报告流程的内控 问题，对于期末财务报告过程的控制存 在一项或多项缺陷且不能合理保证编制 的财务报表达到真实、准确的目标；④ 对于非常规或特殊交易的账务处理没有 建立相应的控制机制或没有实施相应的 补偿性控制。（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）财务报告内部控制一 般缺陷包括：其他不属于重大缺陷、重 要缺陷判断标准范畴的缺陷。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部控制重要缺陷包括：①大型项目管 理不善，出现一般质量事故，造成经 济损失或人员伤亡事故，引发业主书 面投诉；②公司违反国家法律法规受 到轻微处罚；③重要业务制度、流程 或系统存在缺陷；④内部控制重要缺 陷未得到整改；⑤关键岗位业务人员 流失严重；⑥媒体出现负面新闻，波 及局部区域。（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）非财务报告内部控 制一般缺陷包括：①项目管理存在漏 洞，造成项目延期时间较长或存在一 定质量、安全隐患，引发业主不满； ②违反企业内部规章，但未形成损 失；③一般业务制度、流程或系统存 在缺陷；④内部控制一般缺陷未得到 整改；⑤一般岗位业务人员流动频 繁；⑥媒体出现负面新闻，但影响不 大。</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）资产总额影响程度：①一般缺陷： 错报金额</w:t>
            </w:r>
            <w:r>
              <w:rPr>
                <w:color w:val="000000"/>
                <w:spacing w:val="0"/>
                <w:w w:val="100"/>
                <w:position w:val="0"/>
                <w:sz w:val="18"/>
                <w:szCs w:val="18"/>
              </w:rPr>
              <w:t>〈</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；②重 要缺陷：合并资产总额的</w:t>
            </w:r>
            <w:r>
              <w:rPr>
                <w:rFonts w:ascii="Times New Roman" w:eastAsia="Times New Roman" w:hAnsi="Times New Roman" w:cs="Times New Roman"/>
                <w:color w:val="000000"/>
                <w:spacing w:val="0"/>
                <w:w w:val="100"/>
                <w:position w:val="0"/>
                <w:sz w:val="18"/>
                <w:szCs w:val="18"/>
              </w:rPr>
              <w:t>0.5%</w:t>
            </w:r>
            <w:r>
              <w:rPr>
                <w:rFonts w:ascii="Arial" w:eastAsia="Arial" w:hAnsi="Arial" w:cs="Arial"/>
                <w:color w:val="000000"/>
                <w:spacing w:val="0"/>
                <w:w w:val="100"/>
                <w:position w:val="0"/>
                <w:sz w:val="18"/>
                <w:szCs w:val="18"/>
              </w:rPr>
              <w:t>W</w:t>
            </w:r>
            <w:r>
              <w:rPr>
                <w:color w:val="000000"/>
                <w:spacing w:val="0"/>
                <w:w w:val="100"/>
                <w:position w:val="0"/>
                <w:sz w:val="17"/>
                <w:szCs w:val="17"/>
              </w:rPr>
              <w:t>错报金 额</w:t>
            </w:r>
            <w:r>
              <w:rPr>
                <w:color w:val="000000"/>
                <w:spacing w:val="0"/>
                <w:w w:val="100"/>
                <w:position w:val="0"/>
                <w:sz w:val="18"/>
                <w:szCs w:val="18"/>
              </w:rPr>
              <w:t>〈</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;③重大缺陷： 错报金额</w:t>
            </w:r>
            <w:r>
              <w:rPr>
                <w:rFonts w:ascii="Arial" w:eastAsia="Arial" w:hAnsi="Arial" w:cs="Arial"/>
                <w:color w:val="000000"/>
                <w:spacing w:val="0"/>
                <w:w w:val="100"/>
                <w:position w:val="0"/>
                <w:sz w:val="18"/>
                <w:szCs w:val="18"/>
              </w:rPr>
              <w:t>N</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）营 业收入影响程度：①一般缺陷：错报金 额</w:t>
            </w:r>
            <w:r>
              <w:rPr>
                <w:color w:val="000000"/>
                <w:spacing w:val="0"/>
                <w:w w:val="100"/>
                <w:position w:val="0"/>
                <w:sz w:val="18"/>
                <w:szCs w:val="18"/>
              </w:rPr>
              <w:t>〈</w:t>
            </w:r>
            <w:r>
              <w:rPr>
                <w:color w:val="000000"/>
                <w:spacing w:val="0"/>
                <w:w w:val="100"/>
                <w:position w:val="0"/>
                <w:sz w:val="17"/>
                <w:szCs w:val="17"/>
              </w:rPr>
              <w:t>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；②重要缺陷： 合并营业收入的</w:t>
            </w:r>
            <w:r>
              <w:rPr>
                <w:rFonts w:ascii="Times New Roman" w:eastAsia="Times New Roman" w:hAnsi="Times New Roman" w:cs="Times New Roman"/>
                <w:color w:val="000000"/>
                <w:spacing w:val="0"/>
                <w:w w:val="100"/>
                <w:position w:val="0"/>
                <w:sz w:val="18"/>
                <w:szCs w:val="18"/>
              </w:rPr>
              <w:t>0.5%</w:t>
            </w:r>
            <w:r>
              <w:rPr>
                <w:rFonts w:ascii="Arial" w:eastAsia="Arial" w:hAnsi="Arial" w:cs="Arial"/>
                <w:color w:val="000000"/>
                <w:spacing w:val="0"/>
                <w:w w:val="100"/>
                <w:position w:val="0"/>
                <w:sz w:val="18"/>
                <w:szCs w:val="18"/>
              </w:rPr>
              <w:t>W</w:t>
            </w:r>
            <w:r>
              <w:rPr>
                <w:color w:val="000000"/>
                <w:spacing w:val="0"/>
                <w:w w:val="100"/>
                <w:position w:val="0"/>
                <w:sz w:val="17"/>
                <w:szCs w:val="17"/>
              </w:rPr>
              <w:t>错报金额</w:t>
            </w:r>
            <w:r>
              <w:rPr>
                <w:color w:val="000000"/>
                <w:spacing w:val="0"/>
                <w:w w:val="100"/>
                <w:position w:val="0"/>
                <w:sz w:val="18"/>
                <w:szCs w:val="18"/>
              </w:rPr>
              <w:t>〈</w:t>
            </w:r>
            <w:r>
              <w:rPr>
                <w:color w:val="000000"/>
                <w:spacing w:val="0"/>
                <w:w w:val="100"/>
                <w:position w:val="0"/>
                <w:sz w:val="17"/>
                <w:szCs w:val="17"/>
              </w:rPr>
              <w:t>合并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；③重大缺陷：错报金额 </w:t>
            </w:r>
            <w:r>
              <w:rPr>
                <w:rFonts w:ascii="Arial" w:eastAsia="Arial" w:hAnsi="Arial" w:cs="Arial"/>
                <w:color w:val="000000"/>
                <w:spacing w:val="0"/>
                <w:w w:val="100"/>
                <w:position w:val="0"/>
                <w:sz w:val="18"/>
                <w:szCs w:val="18"/>
              </w:rPr>
              <w:t>N</w:t>
            </w:r>
            <w:r>
              <w:rPr>
                <w:color w:val="000000"/>
                <w:spacing w:val="0"/>
                <w:w w:val="100"/>
                <w:position w:val="0"/>
                <w:sz w:val="17"/>
                <w:szCs w:val="17"/>
              </w:rPr>
              <w:t>合并营业收入的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）利润总额影 响程度：①一般缺陷：错报金额</w:t>
            </w:r>
            <w:r>
              <w:rPr>
                <w:color w:val="000000"/>
                <w:spacing w:val="0"/>
                <w:w w:val="100"/>
                <w:position w:val="0"/>
                <w:sz w:val="18"/>
                <w:szCs w:val="18"/>
              </w:rPr>
              <w:t>〈</w:t>
            </w:r>
            <w:r>
              <w:rPr>
                <w:color w:val="000000"/>
                <w:spacing w:val="0"/>
                <w:w w:val="100"/>
                <w:position w:val="0"/>
                <w:sz w:val="17"/>
                <w:szCs w:val="17"/>
              </w:rPr>
              <w:t>合并利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；②重要缺陷：合并利润总 额的</w:t>
            </w:r>
            <w:r>
              <w:rPr>
                <w:rFonts w:ascii="Times New Roman" w:eastAsia="Times New Roman" w:hAnsi="Times New Roman" w:cs="Times New Roman"/>
                <w:color w:val="000000"/>
                <w:spacing w:val="0"/>
                <w:w w:val="100"/>
                <w:position w:val="0"/>
                <w:sz w:val="18"/>
                <w:szCs w:val="18"/>
              </w:rPr>
              <w:t>5%</w:t>
            </w:r>
            <w:r>
              <w:rPr>
                <w:rFonts w:ascii="Arial" w:eastAsia="Arial" w:hAnsi="Arial" w:cs="Arial"/>
                <w:color w:val="000000"/>
                <w:spacing w:val="0"/>
                <w:w w:val="100"/>
                <w:position w:val="0"/>
                <w:sz w:val="18"/>
                <w:szCs w:val="18"/>
              </w:rPr>
              <w:t>W</w:t>
            </w:r>
            <w:r>
              <w:rPr>
                <w:color w:val="000000"/>
                <w:spacing w:val="0"/>
                <w:w w:val="100"/>
                <w:position w:val="0"/>
                <w:sz w:val="17"/>
                <w:szCs w:val="17"/>
              </w:rPr>
              <w:t>错报金额</w:t>
            </w:r>
            <w:r>
              <w:rPr>
                <w:color w:val="000000"/>
                <w:spacing w:val="0"/>
                <w:w w:val="100"/>
                <w:position w:val="0"/>
                <w:sz w:val="18"/>
                <w:szCs w:val="18"/>
              </w:rPr>
              <w:t>〈</w:t>
            </w:r>
            <w:r>
              <w:rPr>
                <w:color w:val="000000"/>
                <w:spacing w:val="0"/>
                <w:w w:val="100"/>
                <w:position w:val="0"/>
                <w:sz w:val="17"/>
                <w:szCs w:val="17"/>
              </w:rPr>
              <w:t xml:space="preserve">合并利润总额的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；③重大缺陷：错报金额</w:t>
            </w:r>
            <w:r>
              <w:rPr>
                <w:rFonts w:ascii="Arial" w:eastAsia="Arial" w:hAnsi="Arial" w:cs="Arial"/>
                <w:color w:val="000000"/>
                <w:spacing w:val="0"/>
                <w:w w:val="100"/>
                <w:position w:val="0"/>
                <w:sz w:val="18"/>
                <w:szCs w:val="18"/>
              </w:rPr>
              <w:t>N</w:t>
            </w:r>
            <w:r>
              <w:rPr>
                <w:color w:val="000000"/>
                <w:spacing w:val="0"/>
                <w:w w:val="100"/>
                <w:position w:val="0"/>
                <w:sz w:val="17"/>
                <w:szCs w:val="17"/>
              </w:rPr>
              <w:t>合并利 润总额的</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一般缺陷：直接财产损失金额 </w:t>
            </w:r>
            <w:r>
              <w:rPr>
                <w:rFonts w:ascii="Times New Roman" w:eastAsia="Times New Roman" w:hAnsi="Times New Roman" w:cs="Times New Roman"/>
                <w:color w:val="000000"/>
                <w:spacing w:val="0"/>
                <w:w w:val="100"/>
                <w:position w:val="0"/>
                <w:sz w:val="18"/>
                <w:szCs w:val="18"/>
              </w:rPr>
              <w:t>&lt;100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万元 </w:t>
            </w:r>
            <w:r>
              <w:rPr>
                <w:rFonts w:ascii="Arial" w:eastAsia="Arial" w:hAnsi="Arial" w:cs="Arial"/>
                <w:color w:val="000000"/>
                <w:spacing w:val="0"/>
                <w:w w:val="100"/>
                <w:position w:val="0"/>
                <w:sz w:val="18"/>
                <w:szCs w:val="18"/>
              </w:rPr>
              <w:t>W</w:t>
            </w:r>
            <w:r>
              <w:rPr>
                <w:color w:val="000000"/>
                <w:spacing w:val="0"/>
                <w:w w:val="100"/>
                <w:position w:val="0"/>
                <w:sz w:val="17"/>
                <w:szCs w:val="17"/>
              </w:rPr>
              <w:t>直接财产损失金额</w:t>
            </w:r>
            <w:r>
              <w:rPr>
                <w:rFonts w:ascii="Times New Roman" w:eastAsia="Times New Roman" w:hAnsi="Times New Roman" w:cs="Times New Roman"/>
                <w:color w:val="000000"/>
                <w:spacing w:val="0"/>
                <w:w w:val="100"/>
                <w:position w:val="0"/>
                <w:sz w:val="18"/>
                <w:szCs w:val="18"/>
              </w:rPr>
              <w:t>&lt;500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重大缺陷：直接财产损失金额</w:t>
            </w:r>
            <w:r>
              <w:rPr>
                <w:rFonts w:ascii="Arial" w:eastAsia="Arial" w:hAnsi="Arial" w:cs="Arial"/>
                <w:color w:val="000000"/>
                <w:spacing w:val="0"/>
                <w:w w:val="100"/>
                <w:position w:val="0"/>
                <w:sz w:val="18"/>
                <w:szCs w:val="18"/>
              </w:rPr>
              <w:t>N</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、内部控制审计报告或鉴证报告</w:t>
      </w:r>
      <w:bookmarkEnd w:id="465"/>
      <w:bookmarkEnd w:id="466"/>
      <w:bookmarkEnd w:id="468"/>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84" w:right="1196" w:bottom="1484" w:left="1119" w:header="0" w:footer="3" w:gutter="0"/>
          <w:cols w:space="720"/>
          <w:noEndnote/>
          <w:rtlGutter w:val="0"/>
          <w:docGrid w:linePitch="360"/>
        </w:sectPr>
      </w:pPr>
      <w:r>
        <w:rPr>
          <w:color w:val="000000"/>
          <w:spacing w:val="0"/>
          <w:w w:val="100"/>
          <w:position w:val="0"/>
        </w:rPr>
        <w:t>不适用</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41" w:lineRule="exact"/>
        <w:ind w:left="0" w:right="0" w:firstLine="0"/>
        <w:jc w:val="right"/>
      </w:pPr>
      <w:bookmarkStart w:id="469" w:name="bookmark469"/>
      <w:r>
        <w:rPr>
          <w:color w:val="000000"/>
          <w:spacing w:val="0"/>
          <w:w w:val="100"/>
          <w:position w:val="0"/>
          <w:u w:val="single"/>
          <w:shd w:val="clear" w:color="auto" w:fill="FFFFFF"/>
        </w:rPr>
        <w:t>福建永福电力设计股份有限公司</w:t>
      </w:r>
      <w:r>
        <w:rPr>
          <w:rFonts w:ascii="Times New Roman" w:eastAsia="Times New Roman" w:hAnsi="Times New Roman" w:cs="Times New Roman"/>
          <w:color w:val="000000"/>
          <w:spacing w:val="0"/>
          <w:w w:val="100"/>
          <w:position w:val="0"/>
          <w:sz w:val="18"/>
          <w:szCs w:val="18"/>
          <w:u w:val="single"/>
          <w:shd w:val="clear" w:color="auto" w:fill="FFFFFF"/>
        </w:rPr>
        <w:t>2021</w:t>
      </w:r>
      <w:r>
        <w:rPr>
          <w:color w:val="000000"/>
          <w:spacing w:val="0"/>
          <w:w w:val="100"/>
          <w:position w:val="0"/>
          <w:u w:val="single"/>
          <w:shd w:val="clear" w:color="auto" w:fill="FFFFFF"/>
        </w:rPr>
        <w:t>年年度报告</w:t>
      </w:r>
      <w:bookmarkEnd w:id="469"/>
    </w:p>
    <w:p>
      <w:pPr>
        <w:pStyle w:val="Style59"/>
        <w:keepNext w:val="0"/>
        <w:keepLines w:val="0"/>
        <w:widowControl w:val="0"/>
        <w:shd w:val="clear" w:color="auto" w:fill="auto"/>
        <w:bidi w:val="0"/>
        <w:spacing w:before="0" w:line="341" w:lineRule="exact"/>
        <w:ind w:left="0" w:right="0" w:firstLine="0"/>
        <w:jc w:val="left"/>
      </w:pPr>
      <w:bookmarkStart w:id="470" w:name="bookmark470"/>
      <w:r>
        <w:rPr>
          <w:color w:val="000000"/>
          <w:spacing w:val="0"/>
          <w:w w:val="100"/>
          <w:position w:val="0"/>
          <w:sz w:val="24"/>
          <w:szCs w:val="24"/>
        </w:rPr>
        <w:t>十七、上市公司治理专项行动自查问题整改情况</w:t>
      </w:r>
      <w:bookmarkEnd w:id="470"/>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根据中国证监会《关于开展上市公司治理专项行动的公告》（证监会公告〔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号）和福建证监局《关于开展福建 辖区上市公司治理专项行动的通知》（闽证监发〔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号）的要求，公司本着实事求是的原则，严格对照《公司法》《证 券法》等相关法律法规、部门规章以及《公司章程》等公司制度，对公司治理情况进行了全面自查，并完成上市公司治理专 项自查清单。</w:t>
      </w:r>
    </w:p>
    <w:p>
      <w:pPr>
        <w:pStyle w:val="Style18"/>
        <w:keepNext w:val="0"/>
        <w:keepLines w:val="0"/>
        <w:widowControl w:val="0"/>
        <w:shd w:val="clear" w:color="auto" w:fill="auto"/>
        <w:bidi w:val="0"/>
        <w:spacing w:before="0" w:after="0" w:line="313" w:lineRule="exact"/>
        <w:ind w:left="0" w:right="0" w:firstLine="420"/>
        <w:jc w:val="both"/>
        <w:sectPr>
          <w:footnotePr>
            <w:pos w:val="pageBottom"/>
            <w:numFmt w:val="decimal"/>
            <w:numRestart w:val="continuous"/>
          </w:footnotePr>
          <w:pgSz w:w="11900" w:h="16840"/>
          <w:pgMar w:top="985" w:right="1071" w:bottom="1201" w:left="1066" w:header="0" w:footer="3" w:gutter="0"/>
          <w:cols w:space="720"/>
          <w:noEndnote/>
          <w:rtlGutter w:val="0"/>
          <w:docGrid w:linePitch="360"/>
        </w:sectPr>
      </w:pPr>
      <w:r>
        <w:rPr>
          <w:color w:val="000000"/>
          <w:spacing w:val="0"/>
          <w:w w:val="100"/>
          <w:position w:val="0"/>
        </w:rPr>
        <w:t>经自查，公司治理情况符合相关法律法规的要求，具备良好的上市公司治理结构。通过本次自查，公司将继续总结公司 治理经验，持续优化公司治理水平，夯实公司高质量发展的基础。</w:t>
      </w:r>
    </w:p>
    <w:p>
      <w:pPr>
        <w:widowControl w:val="0"/>
        <w:jc w:val="left"/>
        <w:rPr>
          <w:sz w:val="2"/>
          <w:szCs w:val="2"/>
        </w:rPr>
      </w:pPr>
      <w:r>
        <w:drawing>
          <wp:inline>
            <wp:extent cx="865505" cy="3473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865505" cy="347345"/>
                    </a:xfrm>
                    <a:prstGeom prst="rect"/>
                  </pic:spPr>
                </pic:pic>
              </a:graphicData>
            </a:graphic>
          </wp:inline>
        </w:drawing>
      </w:r>
    </w:p>
    <w:p>
      <w:pPr>
        <w:widowControl w:val="0"/>
        <w:spacing w:after="619" w:line="1" w:lineRule="exact"/>
      </w:pPr>
    </w:p>
    <w:p>
      <w:pPr>
        <w:pStyle w:val="Style10"/>
        <w:keepNext/>
        <w:keepLines/>
        <w:widowControl w:val="0"/>
        <w:shd w:val="clear" w:color="auto" w:fill="auto"/>
        <w:bidi w:val="0"/>
        <w:spacing w:before="0" w:line="240" w:lineRule="auto"/>
        <w:ind w:left="0" w:right="0" w:firstLine="0"/>
        <w:jc w:val="center"/>
      </w:pPr>
      <w:bookmarkStart w:id="471" w:name="bookmark471"/>
      <w:bookmarkStart w:id="472" w:name="bookmark472"/>
      <w:bookmarkStart w:id="473" w:name="bookmark473"/>
      <w:r>
        <w:rPr>
          <w:color w:val="000000"/>
          <w:spacing w:val="0"/>
          <w:w w:val="100"/>
          <w:position w:val="0"/>
        </w:rPr>
        <w:t>第五节环境和社会责任</w:t>
      </w:r>
      <w:bookmarkEnd w:id="471"/>
      <w:bookmarkEnd w:id="472"/>
      <w:bookmarkEnd w:id="473"/>
    </w:p>
    <w:p>
      <w:pPr>
        <w:pStyle w:val="Style22"/>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bookmarkStart w:id="478" w:name="bookmark478"/>
      <w:r>
        <w:rPr>
          <w:color w:val="000000"/>
          <w:spacing w:val="0"/>
          <w:w w:val="100"/>
          <w:position w:val="0"/>
          <w:sz w:val="24"/>
          <w:szCs w:val="24"/>
        </w:rPr>
        <w:t>一</w:t>
      </w:r>
      <w:bookmarkEnd w:id="477"/>
      <w:r>
        <w:rPr>
          <w:color w:val="000000"/>
          <w:spacing w:val="0"/>
          <w:w w:val="100"/>
          <w:position w:val="0"/>
          <w:sz w:val="24"/>
          <w:szCs w:val="24"/>
        </w:rPr>
        <w:t>、重大环保问题</w:t>
      </w:r>
      <w:bookmarkEnd w:id="475"/>
      <w:bookmarkEnd w:id="476"/>
      <w:bookmarkEnd w:id="478"/>
      <w:bookmarkEnd w:id="474"/>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25" w:lineRule="exact"/>
        <w:ind w:left="0" w:right="0" w:firstLine="380"/>
        <w:jc w:val="both"/>
      </w:pPr>
      <w:r>
        <w:rPr>
          <w:color w:val="000000"/>
          <w:spacing w:val="0"/>
          <w:w w:val="100"/>
          <w:position w:val="0"/>
        </w:rPr>
        <w:t>公司及其子公司在日常生产经营中认真执行《中华人民共和国环境保护法》《中华人民共和国大气污染防治法》《中华人 民共和国水污染防治法》《中华人民共和国固体废物污染环境防治法》《土壤污染防治行动计划》等环保方面的法律法规，报 告期内未出现因违反环境保护法律法规而受到行政处罚的情形，公司及子公司不属于环境保护部门公布的重点排污单位。 在报告期内为减少其碳排放所采取的措施及效果</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二</w:t>
      </w:r>
      <w:bookmarkEnd w:id="481"/>
      <w:r>
        <w:rPr>
          <w:color w:val="000000"/>
          <w:spacing w:val="0"/>
          <w:w w:val="100"/>
          <w:position w:val="0"/>
          <w:sz w:val="24"/>
          <w:szCs w:val="24"/>
        </w:rPr>
        <w:t>、社会责任情况</w:t>
      </w:r>
      <w:bookmarkEnd w:id="479"/>
      <w:bookmarkEnd w:id="480"/>
      <w:bookmarkEnd w:id="482"/>
    </w:p>
    <w:p>
      <w:pPr>
        <w:pStyle w:val="Style18"/>
        <w:keepNext w:val="0"/>
        <w:keepLines w:val="0"/>
        <w:widowControl w:val="0"/>
        <w:shd w:val="clear" w:color="auto" w:fill="auto"/>
        <w:tabs>
          <w:tab w:pos="821" w:val="left"/>
        </w:tabs>
        <w:bidi w:val="0"/>
        <w:spacing w:before="0" w:line="314" w:lineRule="exact"/>
        <w:ind w:left="0" w:right="0" w:firstLine="280"/>
        <w:jc w:val="left"/>
      </w:pPr>
      <w:bookmarkStart w:id="483" w:name="bookmark483"/>
      <w:r>
        <w:rPr>
          <w:b/>
          <w:bCs/>
          <w:color w:val="000000"/>
          <w:spacing w:val="0"/>
          <w:w w:val="100"/>
          <w:position w:val="0"/>
        </w:rPr>
        <w:t>（</w:t>
      </w:r>
      <w:bookmarkEnd w:id="483"/>
      <w:r>
        <w:rPr>
          <w:b/>
          <w:bCs/>
          <w:color w:val="000000"/>
          <w:spacing w:val="0"/>
          <w:w w:val="100"/>
          <w:position w:val="0"/>
        </w:rPr>
        <w:t>一）</w:t>
        <w:tab/>
        <w:t>履行社会责任的宗旨和理念</w:t>
      </w:r>
    </w:p>
    <w:p>
      <w:pPr>
        <w:pStyle w:val="Style18"/>
        <w:keepNext w:val="0"/>
        <w:keepLines w:val="0"/>
        <w:widowControl w:val="0"/>
        <w:shd w:val="clear" w:color="auto" w:fill="auto"/>
        <w:bidi w:val="0"/>
        <w:spacing w:before="0"/>
        <w:ind w:left="0" w:right="0" w:firstLine="38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让电力更清洁、更智慧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为使命，努力实现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成为国际知名的电力能 源综合服务商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的愿景。面对复杂多变的外部环境，永福股份在企业文化理念体系指引下积极创造企业价值，坚持履行对社 会的责任，在力所能及的范围内，积极回馈社会，支持社会公益事业。</w:t>
      </w:r>
    </w:p>
    <w:p>
      <w:pPr>
        <w:pStyle w:val="Style18"/>
        <w:keepNext w:val="0"/>
        <w:keepLines w:val="0"/>
        <w:widowControl w:val="0"/>
        <w:shd w:val="clear" w:color="auto" w:fill="auto"/>
        <w:tabs>
          <w:tab w:pos="821" w:val="left"/>
        </w:tabs>
        <w:bidi w:val="0"/>
        <w:spacing w:before="0" w:line="314" w:lineRule="exact"/>
        <w:ind w:left="0" w:right="0" w:firstLine="280"/>
        <w:jc w:val="left"/>
      </w:pPr>
      <w:bookmarkStart w:id="484" w:name="bookmark484"/>
      <w:r>
        <w:rPr>
          <w:b/>
          <w:bCs/>
          <w:color w:val="000000"/>
          <w:spacing w:val="0"/>
          <w:w w:val="100"/>
          <w:position w:val="0"/>
        </w:rPr>
        <w:t>（</w:t>
      </w:r>
      <w:bookmarkEnd w:id="484"/>
      <w:r>
        <w:rPr>
          <w:b/>
          <w:bCs/>
          <w:color w:val="000000"/>
          <w:spacing w:val="0"/>
          <w:w w:val="100"/>
          <w:position w:val="0"/>
        </w:rPr>
        <w:t>二）</w:t>
        <w:tab/>
        <w:t>股东和债权人权益保护</w:t>
      </w:r>
    </w:p>
    <w:p>
      <w:pPr>
        <w:pStyle w:val="Style18"/>
        <w:keepNext w:val="0"/>
        <w:keepLines w:val="0"/>
        <w:widowControl w:val="0"/>
        <w:shd w:val="clear" w:color="auto" w:fill="auto"/>
        <w:bidi w:val="0"/>
        <w:spacing w:before="0"/>
        <w:ind w:left="0" w:right="0" w:firstLine="380"/>
        <w:jc w:val="both"/>
      </w:pPr>
      <w:r>
        <w:rPr>
          <w:color w:val="000000"/>
          <w:spacing w:val="0"/>
          <w:w w:val="100"/>
          <w:position w:val="0"/>
        </w:rPr>
        <w:t>公司严格按照《公司法》《证券法》《深圳证券交易所创业板股票上市规则》《深圳证券交易所创业板上市公司规范运作 指引》等法律法规、部门规章、规范性文件和《公司章程》的规定，不断完善公司制度，落实内控工作，健全和完善公司法 人治理结构，保证公司长期、稳定、健康发展。公司建立了《信息披露管理办法》《内幕信息知情人登记管理制度》等相关 制度，秉持真实、准确、完整、及时、公平的原则开展信息披露工作，所披露的信息简明清晰、通俗易懂，为投资者的投资 决策提供参考，更好得保护投资者的利益。</w:t>
      </w:r>
    </w:p>
    <w:p>
      <w:pPr>
        <w:pStyle w:val="Style18"/>
        <w:keepNext w:val="0"/>
        <w:keepLines w:val="0"/>
        <w:widowControl w:val="0"/>
        <w:shd w:val="clear" w:color="auto" w:fill="auto"/>
        <w:bidi w:val="0"/>
        <w:spacing w:before="0" w:line="322" w:lineRule="exact"/>
        <w:ind w:left="0" w:right="0" w:firstLine="380"/>
        <w:jc w:val="both"/>
      </w:pPr>
      <w:r>
        <w:rPr>
          <w:color w:val="000000"/>
          <w:spacing w:val="0"/>
          <w:w w:val="100"/>
          <w:position w:val="0"/>
        </w:rPr>
        <w:t>公司通过官网投资者关系专栏、电话、电子邮箱、互动易平台、调研活动等渠道保持与投资者的沟通与交流，建立和维 护良好的投资者关系。同时，公司依法召开股东大会，积极主动采取网络投票等方式扩大股东参与股东大会的比例。</w:t>
      </w:r>
    </w:p>
    <w:p>
      <w:pPr>
        <w:pStyle w:val="Style18"/>
        <w:keepNext w:val="0"/>
        <w:keepLines w:val="0"/>
        <w:widowControl w:val="0"/>
        <w:shd w:val="clear" w:color="auto" w:fill="auto"/>
        <w:bidi w:val="0"/>
        <w:spacing w:before="0" w:line="317" w:lineRule="exact"/>
        <w:ind w:left="0" w:right="0" w:firstLine="380"/>
        <w:jc w:val="both"/>
      </w:pPr>
      <w:r>
        <w:rPr>
          <w:color w:val="000000"/>
          <w:spacing w:val="0"/>
          <w:w w:val="100"/>
          <w:position w:val="0"/>
        </w:rPr>
        <w:t>此外，公司的财务政策稳健，资产、资金安全，在维护股东利益的同时兼顾债权人的利益。报告期内，公司无大股东及 关联方占用公司资金情形，亦不存在将资金直接或间接地提供给大股东及关联方使用的各种情形。</w:t>
      </w:r>
    </w:p>
    <w:p>
      <w:pPr>
        <w:pStyle w:val="Style18"/>
        <w:keepNext w:val="0"/>
        <w:keepLines w:val="0"/>
        <w:widowControl w:val="0"/>
        <w:shd w:val="clear" w:color="auto" w:fill="auto"/>
        <w:bidi w:val="0"/>
        <w:spacing w:before="0" w:line="314" w:lineRule="exact"/>
        <w:ind w:left="0" w:right="0" w:firstLine="380"/>
        <w:jc w:val="both"/>
        <w:sectPr>
          <w:footnotePr>
            <w:pos w:val="pageBottom"/>
            <w:numFmt w:val="decimal"/>
            <w:numRestart w:val="continuous"/>
          </w:footnotePr>
          <w:pgSz w:w="11900" w:h="16840"/>
          <w:pgMar w:top="894" w:right="1109" w:bottom="1201" w:left="1104" w:header="0" w:footer="3" w:gutter="0"/>
          <w:cols w:space="720"/>
          <w:noEndnote/>
          <w:rtlGutter w:val="0"/>
          <w:docGrid w:linePitch="360"/>
        </w:sectPr>
      </w:pPr>
      <w:bookmarkStart w:id="485" w:name="bookmark485"/>
      <w:r>
        <w:rPr>
          <w:b/>
          <w:bCs/>
          <w:color w:val="000000"/>
          <w:spacing w:val="0"/>
          <w:w w:val="100"/>
          <w:position w:val="0"/>
        </w:rPr>
        <w:t>（</w:t>
      </w:r>
      <w:bookmarkEnd w:id="485"/>
      <w:r>
        <w:rPr>
          <w:b/>
          <w:bCs/>
          <w:color w:val="000000"/>
          <w:spacing w:val="0"/>
          <w:w w:val="100"/>
          <w:position w:val="0"/>
        </w:rPr>
        <w:t>三）职工权益保护</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line="315" w:lineRule="exact"/>
        <w:ind w:left="0" w:right="0" w:firstLine="582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公司严格遵守《劳动法》《劳动合同法》等法律法规，规范劳动用工制度，严格执行工作时间和休息休假制度，与员工 通过平等协商签订劳动合同，建立和谐的劳工关系。为增强员工凝聚力，推进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一会双师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制，聚焦员工全方位健康成长，开 展思想沟通交流会，凝聚人心，激发斗志；设立思想导师，关注员工思想动态，发挥思想引领作用，营造良好团队氛围。</w:t>
      </w:r>
    </w:p>
    <w:p>
      <w:pPr>
        <w:pStyle w:val="Style18"/>
        <w:keepNext w:val="0"/>
        <w:keepLines w:val="0"/>
        <w:widowControl w:val="0"/>
        <w:shd w:val="clear" w:color="auto" w:fill="auto"/>
        <w:bidi w:val="0"/>
        <w:spacing w:before="0"/>
        <w:ind w:left="0" w:right="0" w:firstLine="420"/>
        <w:jc w:val="both"/>
      </w:pPr>
      <w:r>
        <w:rPr>
          <w:color w:val="000000"/>
          <w:spacing w:val="0"/>
          <w:w w:val="100"/>
          <w:position w:val="0"/>
        </w:rPr>
        <w:t>坚持公司统筹、业务分训，提高人才培养的针对性和有效性。针对中基层干部综合素养提升，举办系列讲座；开展部门 内训，探索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两个经常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工作机制、搭建新员工微课程体系、创办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勘测云讲堂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每周一学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以讲促学等各具特色的培训 方式，加速人才成长。</w:t>
      </w:r>
    </w:p>
    <w:p>
      <w:pPr>
        <w:pStyle w:val="Style18"/>
        <w:keepNext w:val="0"/>
        <w:keepLines w:val="0"/>
        <w:widowControl w:val="0"/>
        <w:shd w:val="clear" w:color="auto" w:fill="auto"/>
        <w:bidi w:val="0"/>
        <w:spacing w:before="0" w:line="314" w:lineRule="exact"/>
        <w:ind w:left="0" w:right="0" w:firstLine="420"/>
        <w:jc w:val="both"/>
      </w:pPr>
      <w:r>
        <w:rPr>
          <w:color w:val="000000"/>
          <w:spacing w:val="0"/>
          <w:w w:val="100"/>
          <w:position w:val="0"/>
        </w:rPr>
        <w:t>公司拥有科学、公平、合理评价贡献的绩效管理体系，注重绩效管理的</w:t>
      </w:r>
      <w:r>
        <w:rPr>
          <w:rFonts w:ascii="Times New Roman" w:eastAsia="Times New Roman" w:hAnsi="Times New Roman" w:cs="Times New Roman"/>
          <w:color w:val="000000"/>
          <w:spacing w:val="0"/>
          <w:w w:val="100"/>
          <w:position w:val="0"/>
          <w:sz w:val="18"/>
          <w:szCs w:val="18"/>
        </w:rPr>
        <w:t>PDCA</w:t>
      </w:r>
      <w:r>
        <w:rPr>
          <w:color w:val="000000"/>
          <w:spacing w:val="0"/>
          <w:w w:val="100"/>
          <w:position w:val="0"/>
        </w:rPr>
        <w:t>循环，围绕公司发展战略、年度目标及 重点工作，科学合理地分解考核指标。强化考核周期管理，开展绩效面谈和反馈，及时纠偏和解决问题。考核结果与工作效 果、价值创造深度挂钩，进一步激励员工的工作热情和积极性。</w:t>
      </w:r>
    </w:p>
    <w:p>
      <w:pPr>
        <w:pStyle w:val="Style18"/>
        <w:keepNext w:val="0"/>
        <w:keepLines w:val="0"/>
        <w:widowControl w:val="0"/>
        <w:shd w:val="clear" w:color="auto" w:fill="auto"/>
        <w:bidi w:val="0"/>
        <w:spacing w:before="0" w:line="314" w:lineRule="exact"/>
        <w:ind w:left="0" w:right="0" w:firstLine="420"/>
        <w:jc w:val="both"/>
      </w:pPr>
      <w:r>
        <w:rPr>
          <w:color w:val="000000"/>
          <w:spacing w:val="0"/>
          <w:w w:val="100"/>
          <w:position w:val="0"/>
        </w:rPr>
        <w:t>公司高度重视员工职业健康和人身安全，依据《职业健康安全管理体系要求及使用指南》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GBT45001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）、《企业安 全标准化建设基本规范》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 33000-2016</w:t>
      </w:r>
      <w:r>
        <w:rPr>
          <w:color w:val="000000"/>
          <w:spacing w:val="0"/>
          <w:w w:val="100"/>
          <w:position w:val="0"/>
        </w:rPr>
        <w:t>）</w:t>
      </w:r>
      <w:r>
        <w:rPr>
          <w:color w:val="000000"/>
          <w:spacing w:val="0"/>
          <w:w w:val="100"/>
          <w:position w:val="0"/>
        </w:rPr>
        <w:t xml:space="preserve">为准则，建立了科学规范安全管理体系，同时，为员工提供舒适、环保、安全 的工作环境及条件。公司内部设立专职安全管理机构，配置了专业安全管理人员，以保障安全管理体系有效运行。公司践行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快乐工作、健康生活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工作理念，倡导员工拥有与保持健康体魄，弘扬积极向善健康心态，同时，为员工提供丰富的文体活 动。</w:t>
      </w:r>
    </w:p>
    <w:p>
      <w:pPr>
        <w:pStyle w:val="Style18"/>
        <w:keepNext w:val="0"/>
        <w:keepLines w:val="0"/>
        <w:widowControl w:val="0"/>
        <w:shd w:val="clear" w:color="auto" w:fill="auto"/>
        <w:bidi w:val="0"/>
        <w:spacing w:before="0" w:line="317" w:lineRule="exact"/>
        <w:ind w:left="0" w:right="0" w:firstLine="420"/>
        <w:jc w:val="both"/>
      </w:pPr>
      <w:r>
        <w:rPr>
          <w:color w:val="000000"/>
          <w:spacing w:val="0"/>
          <w:w w:val="100"/>
          <w:position w:val="0"/>
        </w:rPr>
        <w:t>与此同时，公司重视对员工的生活的关怀，及时了解掌握员工生活中遇到的困难并提供必要的资金援助和精神支持，让 每位员工都充分感受到永福股份这个大家庭的温暖。</w:t>
      </w:r>
    </w:p>
    <w:p>
      <w:pPr>
        <w:pStyle w:val="Style18"/>
        <w:keepNext w:val="0"/>
        <w:keepLines w:val="0"/>
        <w:widowControl w:val="0"/>
        <w:shd w:val="clear" w:color="auto" w:fill="auto"/>
        <w:bidi w:val="0"/>
        <w:spacing w:before="0" w:line="313" w:lineRule="exact"/>
        <w:ind w:left="0" w:right="0" w:firstLine="420"/>
        <w:jc w:val="both"/>
      </w:pPr>
      <w:bookmarkStart w:id="486" w:name="bookmark486"/>
      <w:r>
        <w:rPr>
          <w:b/>
          <w:bCs/>
          <w:color w:val="000000"/>
          <w:spacing w:val="0"/>
          <w:w w:val="100"/>
          <w:position w:val="0"/>
        </w:rPr>
        <w:t>（</w:t>
      </w:r>
      <w:bookmarkEnd w:id="486"/>
      <w:r>
        <w:rPr>
          <w:b/>
          <w:bCs/>
          <w:color w:val="000000"/>
          <w:spacing w:val="0"/>
          <w:w w:val="100"/>
          <w:position w:val="0"/>
        </w:rPr>
        <w:t>四）客户、供应商权益保护</w:t>
      </w:r>
    </w:p>
    <w:p>
      <w:pPr>
        <w:pStyle w:val="Style18"/>
        <w:keepNext w:val="0"/>
        <w:keepLines w:val="0"/>
        <w:widowControl w:val="0"/>
        <w:shd w:val="clear" w:color="auto" w:fill="auto"/>
        <w:bidi w:val="0"/>
        <w:spacing w:before="0" w:line="317" w:lineRule="exact"/>
        <w:ind w:left="0" w:right="0" w:firstLine="420"/>
        <w:jc w:val="both"/>
      </w:pPr>
      <w:r>
        <w:rPr>
          <w:color w:val="000000"/>
          <w:spacing w:val="0"/>
          <w:w w:val="100"/>
          <w:position w:val="0"/>
        </w:rPr>
        <w:t>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作为核心价值观，与客户和供应商建立深厚和长期良好的合作伙伴关系，充分尊重并保护 客户和供应商的合法权益。</w:t>
      </w:r>
    </w:p>
    <w:p>
      <w:pPr>
        <w:pStyle w:val="Style18"/>
        <w:keepNext w:val="0"/>
        <w:keepLines w:val="0"/>
        <w:widowControl w:val="0"/>
        <w:shd w:val="clear" w:color="auto" w:fill="auto"/>
        <w:bidi w:val="0"/>
        <w:spacing w:before="0" w:line="313" w:lineRule="exact"/>
        <w:ind w:left="0" w:right="0" w:firstLine="420"/>
        <w:jc w:val="both"/>
      </w:pPr>
      <w:r>
        <w:rPr>
          <w:color w:val="000000"/>
          <w:spacing w:val="0"/>
          <w:w w:val="100"/>
          <w:position w:val="0"/>
        </w:rPr>
        <w:t>公司的主要客户是央企和地方国企，客户委托业务均严格遵守国家相关法律法规，主要采用公开招标模式。公司通过公 共媒体信息、客户邀约及合作伙伴的推荐来获取市场信息并参与客户组织的招标。公司建立、实施、保持和持续改进质量、 环境和职业健康安全管理体系，持有中电联（北京）检测认证中心有限责任公司颁发的</w:t>
      </w:r>
      <w:r>
        <w:rPr>
          <w:rFonts w:ascii="Times New Roman" w:eastAsia="Times New Roman" w:hAnsi="Times New Roman" w:cs="Times New Roman"/>
          <w:color w:val="000000"/>
          <w:spacing w:val="0"/>
          <w:w w:val="100"/>
          <w:position w:val="0"/>
          <w:sz w:val="18"/>
          <w:szCs w:val="18"/>
        </w:rPr>
        <w:t>GB/T19001-2016</w:t>
      </w:r>
      <w:r>
        <w:rPr>
          <w:color w:val="000000"/>
          <w:spacing w:val="0"/>
          <w:w w:val="100"/>
          <w:position w:val="0"/>
        </w:rPr>
        <w:t xml:space="preserve">质量管理体系、 </w:t>
      </w:r>
      <w:r>
        <w:rPr>
          <w:rFonts w:ascii="Times New Roman" w:eastAsia="Times New Roman" w:hAnsi="Times New Roman" w:cs="Times New Roman"/>
          <w:color w:val="000000"/>
          <w:spacing w:val="0"/>
          <w:w w:val="100"/>
          <w:position w:val="0"/>
          <w:sz w:val="18"/>
          <w:szCs w:val="18"/>
        </w:rPr>
        <w:t>GB/T24001-2016</w:t>
      </w:r>
      <w:r>
        <w:rPr>
          <w:color w:val="000000"/>
          <w:spacing w:val="0"/>
          <w:w w:val="100"/>
          <w:position w:val="0"/>
        </w:rPr>
        <w:t>环境管理体系、</w:t>
      </w:r>
      <w:r>
        <w:rPr>
          <w:rFonts w:ascii="Times New Roman" w:eastAsia="Times New Roman" w:hAnsi="Times New Roman" w:cs="Times New Roman"/>
          <w:color w:val="000000"/>
          <w:spacing w:val="0"/>
          <w:w w:val="100"/>
          <w:position w:val="0"/>
          <w:sz w:val="18"/>
          <w:szCs w:val="18"/>
        </w:rPr>
        <w:t>GB/T45001-2020</w:t>
      </w:r>
      <w:r>
        <w:rPr>
          <w:color w:val="000000"/>
          <w:spacing w:val="0"/>
          <w:w w:val="100"/>
          <w:position w:val="0"/>
        </w:rPr>
        <w:t>职业健康安全管理体系证书。多年来，公司持续优化产品和服务水平，受 到客户的高度认可与赞誉。</w:t>
      </w:r>
    </w:p>
    <w:p>
      <w:pPr>
        <w:pStyle w:val="Style18"/>
        <w:keepNext w:val="0"/>
        <w:keepLines w:val="0"/>
        <w:widowControl w:val="0"/>
        <w:shd w:val="clear" w:color="auto" w:fill="auto"/>
        <w:bidi w:val="0"/>
        <w:spacing w:before="0"/>
        <w:ind w:left="0" w:right="0" w:firstLine="420"/>
        <w:jc w:val="both"/>
      </w:pPr>
      <w:r>
        <w:rPr>
          <w:color w:val="000000"/>
          <w:spacing w:val="0"/>
          <w:w w:val="100"/>
          <w:position w:val="0"/>
        </w:rPr>
        <w:t>公司拥有完整的供应商管理体系，从供应商入库、选择和评价等实施全过程管理。供应商的入库管理含资质、人员、装 备、业绩、经营和财务情况等；供应商的选择采用竞争性谈判或封闭式报价等形式，通过公司各项严谨完整的流程确认；每 年公司对有合作项目的供应商进行年度考核评价。公司通过全过程精细化管理，确保供应商的资质、资信、技术能力等能全 面满足公司的生产需求。</w:t>
      </w:r>
    </w:p>
    <w:p>
      <w:pPr>
        <w:pStyle w:val="Style18"/>
        <w:keepNext w:val="0"/>
        <w:keepLines w:val="0"/>
        <w:widowControl w:val="0"/>
        <w:shd w:val="clear" w:color="auto" w:fill="auto"/>
        <w:bidi w:val="0"/>
        <w:spacing w:before="0" w:line="313" w:lineRule="exact"/>
        <w:ind w:left="0" w:right="0" w:firstLine="420"/>
        <w:jc w:val="both"/>
      </w:pPr>
      <w:bookmarkStart w:id="487" w:name="bookmark487"/>
      <w:r>
        <w:rPr>
          <w:b/>
          <w:bCs/>
          <w:color w:val="000000"/>
          <w:spacing w:val="0"/>
          <w:w w:val="100"/>
          <w:position w:val="0"/>
        </w:rPr>
        <w:t>（</w:t>
      </w:r>
      <w:bookmarkEnd w:id="487"/>
      <w:r>
        <w:rPr>
          <w:b/>
          <w:bCs/>
          <w:color w:val="000000"/>
          <w:spacing w:val="0"/>
          <w:w w:val="100"/>
          <w:position w:val="0"/>
        </w:rPr>
        <w:t>五）环境保护与可持续发展</w:t>
      </w:r>
    </w:p>
    <w:p>
      <w:pPr>
        <w:pStyle w:val="Style18"/>
        <w:keepNext w:val="0"/>
        <w:keepLines w:val="0"/>
        <w:widowControl w:val="0"/>
        <w:shd w:val="clear" w:color="auto" w:fill="auto"/>
        <w:bidi w:val="0"/>
        <w:spacing w:before="0"/>
        <w:ind w:left="0" w:right="0" w:firstLine="420"/>
        <w:jc w:val="both"/>
      </w:pPr>
      <w:r>
        <w:rPr>
          <w:color w:val="000000"/>
          <w:spacing w:val="0"/>
          <w:w w:val="100"/>
          <w:position w:val="0"/>
        </w:rPr>
        <w:t>公司坚定践行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让电力更清洁、更智慧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的企业使命，紧紧跟随国家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战略步伐，践行环境保护理念，坚持走可持续 发展道路，力争成为核心竞争力突出、品牌和技术领先、具备较强的盈利能力和抗风险能力的优质上市公司。</w:t>
      </w:r>
    </w:p>
    <w:p>
      <w:pPr>
        <w:pStyle w:val="Style18"/>
        <w:keepNext w:val="0"/>
        <w:keepLines w:val="0"/>
        <w:widowControl w:val="0"/>
        <w:shd w:val="clear" w:color="auto" w:fill="auto"/>
        <w:bidi w:val="0"/>
        <w:spacing w:before="0" w:line="313" w:lineRule="exact"/>
        <w:ind w:left="0" w:right="0" w:firstLine="420"/>
        <w:jc w:val="both"/>
      </w:pPr>
      <w:r>
        <w:rPr>
          <w:color w:val="000000"/>
          <w:spacing w:val="0"/>
          <w:w w:val="100"/>
          <w:position w:val="0"/>
        </w:rPr>
        <w:t>随着双碳战略推进，公司大力开展新能源和清洁能源业务，创新商务模式，增加技术实力，积累了丰富的项目经验；持 续开拓综合能源和储能业务，综合能源解决方案能力不断提升，综合能源业务能力行业认可度不断增强；夯实海上风电领域 已有的行业地位和技术实力，通过产学研相结合，坚定不移地推进海上风电关键技术研发；发挥平台优势，整合项目、资金、 合作伙伴等资源，构建高效开发团队，探索形成新能源项目开发业务新模式、新路径。在能源行业蓬勃发展的当下，公司把 握新形势、抢抓新机遇，为建设低碳环保的世界，贡献自己的智慧和力量。</w:t>
      </w:r>
    </w:p>
    <w:p>
      <w:pPr>
        <w:pStyle w:val="Style18"/>
        <w:keepNext w:val="0"/>
        <w:keepLines w:val="0"/>
        <w:widowControl w:val="0"/>
        <w:shd w:val="clear" w:color="auto" w:fill="auto"/>
        <w:bidi w:val="0"/>
        <w:spacing w:before="0" w:line="313" w:lineRule="exact"/>
        <w:ind w:left="0" w:right="0" w:firstLine="420"/>
        <w:jc w:val="both"/>
      </w:pPr>
      <w:bookmarkStart w:id="488" w:name="bookmark488"/>
      <w:r>
        <w:rPr>
          <w:b/>
          <w:bCs/>
          <w:color w:val="000000"/>
          <w:spacing w:val="0"/>
          <w:w w:val="100"/>
          <w:position w:val="0"/>
        </w:rPr>
        <w:t>（</w:t>
      </w:r>
      <w:bookmarkEnd w:id="488"/>
      <w:r>
        <w:rPr>
          <w:b/>
          <w:bCs/>
          <w:color w:val="000000"/>
          <w:spacing w:val="0"/>
          <w:w w:val="100"/>
          <w:position w:val="0"/>
        </w:rPr>
        <w:t>六）公共关系及社会公益事业</w:t>
      </w:r>
    </w:p>
    <w:p>
      <w:pPr>
        <w:pStyle w:val="Style18"/>
        <w:keepNext w:val="0"/>
        <w:keepLines w:val="0"/>
        <w:widowControl w:val="0"/>
        <w:shd w:val="clear" w:color="auto" w:fill="auto"/>
        <w:bidi w:val="0"/>
        <w:spacing w:before="0" w:line="313" w:lineRule="exact"/>
        <w:ind w:left="0" w:right="0" w:firstLine="420"/>
        <w:jc w:val="both"/>
      </w:pPr>
      <w:r>
        <w:rPr>
          <w:color w:val="000000"/>
          <w:spacing w:val="0"/>
          <w:w w:val="100"/>
          <w:position w:val="0"/>
        </w:rPr>
        <w:t>公司严格遵守国家法律法规以及相关政策的规定，始终依法诚信经营，积极纳税，发展就业岗位，并在力所能及的范围</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60" w:line="317"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内，积极履行社会责任，参与政府的扶贫项目及其他社会公益项目。报告期内，公司党委组织开展雷锋月主题志愿者活动， 派出志愿者前往南屿社区走访慰问困难群众并向困难群众捐助物资，一定程度上解决了困难家庭的基本生活需求。</w:t>
      </w:r>
    </w:p>
    <w:p>
      <w:pPr>
        <w:pStyle w:val="Style22"/>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、巩固拓展脱贫攻坚成果、乡村振兴的情况</w:t>
      </w:r>
      <w:bookmarkEnd w:id="489"/>
      <w:bookmarkEnd w:id="490"/>
      <w:bookmarkEnd w:id="492"/>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公司积极履行社会责任和义务，对接地方政府的扶贫项目及其他社会公益项目。报告期内，公司党委组织开展雷锋月主 题志愿者活动，派出志愿者前往南屿社区走访慰问困难群众并捐助物资，一定程度上解决了困难家庭的基本生活需求。</w:t>
      </w:r>
    </w:p>
    <w:p>
      <w:pPr>
        <w:pStyle w:val="Style18"/>
        <w:keepNext w:val="0"/>
        <w:keepLines w:val="0"/>
        <w:widowControl w:val="0"/>
        <w:shd w:val="clear" w:color="auto" w:fill="auto"/>
        <w:bidi w:val="0"/>
        <w:spacing w:before="0" w:after="320"/>
        <w:ind w:left="0" w:right="0" w:firstLine="420"/>
        <w:jc w:val="both"/>
        <w:sectPr>
          <w:footnotePr>
            <w:pos w:val="pageBottom"/>
            <w:numFmt w:val="decimal"/>
            <w:numRestart w:val="continuous"/>
          </w:footnotePr>
          <w:pgSz w:w="11900" w:h="16840"/>
          <w:pgMar w:top="962" w:right="1023" w:bottom="1278" w:left="1066" w:header="0" w:footer="3" w:gutter="0"/>
          <w:cols w:space="720"/>
          <w:noEndnote/>
          <w:rtlGutter w:val="0"/>
          <w:docGrid w:linePitch="360"/>
        </w:sectPr>
      </w:pPr>
      <w:r>
        <w:rPr>
          <w:color w:val="000000"/>
          <w:spacing w:val="0"/>
          <w:w w:val="100"/>
          <w:position w:val="0"/>
        </w:rPr>
        <w:t>未来，公司将整合资源、统筹规划，继续参与政府的扶贫计划及社会其他公益项目。在巩固现有脱贫攻坚成果的基础上， 公司将继续做好企村结对帮扶，加快补齐脱贫地区科技、设施、营销等短板弱项，以务实举措助力帮扶对象脱贫致富进程， 接续推进脱贫地区乡村振兴。</w:t>
      </w:r>
    </w:p>
    <w:p>
      <w:pPr>
        <w:widowControl w:val="0"/>
        <w:jc w:val="left"/>
        <w:rPr>
          <w:sz w:val="2"/>
          <w:szCs w:val="2"/>
        </w:rPr>
      </w:pPr>
      <w:r>
        <w:drawing>
          <wp:inline>
            <wp:extent cx="865505" cy="3473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865505" cy="347345"/>
                    </a:xfrm>
                    <a:prstGeom prst="rect"/>
                  </pic:spPr>
                </pic:pic>
              </a:graphicData>
            </a:graphic>
          </wp:inline>
        </w:drawing>
      </w:r>
    </w:p>
    <w:p>
      <w:pPr>
        <w:widowControl w:val="0"/>
        <w:spacing w:after="579" w:line="1" w:lineRule="exact"/>
      </w:pPr>
    </w:p>
    <w:p>
      <w:pPr>
        <w:pStyle w:val="Style10"/>
        <w:keepNext/>
        <w:keepLines/>
        <w:widowControl w:val="0"/>
        <w:shd w:val="clear" w:color="auto" w:fill="auto"/>
        <w:bidi w:val="0"/>
        <w:spacing w:before="0" w:after="580" w:line="240" w:lineRule="auto"/>
        <w:ind w:left="0" w:right="0" w:firstLine="0"/>
        <w:jc w:val="center"/>
      </w:pPr>
      <w:bookmarkStart w:id="493" w:name="bookmark493"/>
      <w:bookmarkStart w:id="494" w:name="bookmark494"/>
      <w:bookmarkStart w:id="495" w:name="bookmark495"/>
      <w:r>
        <w:rPr>
          <w:color w:val="000000"/>
          <w:spacing w:val="0"/>
          <w:w w:val="100"/>
          <w:position w:val="0"/>
        </w:rPr>
        <w:t>第六节重要事项</w:t>
      </w:r>
      <w:bookmarkEnd w:id="493"/>
      <w:bookmarkEnd w:id="494"/>
      <w:bookmarkEnd w:id="495"/>
    </w:p>
    <w:p>
      <w:pPr>
        <w:pStyle w:val="Style22"/>
        <w:keepNext/>
        <w:keepLines/>
        <w:widowControl w:val="0"/>
        <w:shd w:val="clear" w:color="auto" w:fill="auto"/>
        <w:bidi w:val="0"/>
        <w:spacing w:before="0" w:after="260" w:line="240" w:lineRule="auto"/>
        <w:ind w:left="0" w:right="0" w:firstLine="0"/>
        <w:jc w:val="left"/>
      </w:pPr>
      <w:bookmarkStart w:id="496" w:name="bookmark496"/>
      <w:bookmarkStart w:id="497" w:name="bookmark497"/>
      <w:bookmarkStart w:id="498" w:name="bookmark498"/>
      <w:bookmarkStart w:id="499" w:name="bookmark499"/>
      <w:bookmarkStart w:id="500" w:name="bookmark500"/>
      <w:r>
        <w:rPr>
          <w:color w:val="000000"/>
          <w:spacing w:val="0"/>
          <w:w w:val="100"/>
          <w:position w:val="0"/>
          <w:sz w:val="24"/>
          <w:szCs w:val="24"/>
        </w:rPr>
        <w:t>一</w:t>
      </w:r>
      <w:bookmarkEnd w:id="499"/>
      <w:r>
        <w:rPr>
          <w:color w:val="000000"/>
          <w:spacing w:val="0"/>
          <w:w w:val="100"/>
          <w:position w:val="0"/>
          <w:sz w:val="24"/>
          <w:szCs w:val="24"/>
        </w:rPr>
        <w:t>、承诺事项履行情况</w:t>
      </w:r>
      <w:bookmarkEnd w:id="497"/>
      <w:bookmarkEnd w:id="498"/>
      <w:bookmarkEnd w:id="500"/>
      <w:bookmarkEnd w:id="496"/>
    </w:p>
    <w:p>
      <w:pPr>
        <w:pStyle w:val="Style32"/>
        <w:keepNext/>
        <w:keepLines/>
        <w:widowControl w:val="0"/>
        <w:shd w:val="clear" w:color="auto" w:fill="auto"/>
        <w:bidi w:val="0"/>
        <w:spacing w:before="0" w:line="322" w:lineRule="exact"/>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、公司实际控制人、股东、关联方、收购人以及公司等承诺相关方在报告期内履行完毕及截至报告期末 尚未履行完毕的承诺事项</w:t>
      </w:r>
      <w:bookmarkEnd w:id="501"/>
      <w:bookmarkEnd w:id="502"/>
      <w:bookmarkEnd w:id="504"/>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87"/>
        <w:gridCol w:w="1200"/>
        <w:gridCol w:w="672"/>
        <w:gridCol w:w="3542"/>
        <w:gridCol w:w="1051"/>
        <w:gridCol w:w="1003"/>
        <w:gridCol w:w="7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收购报告书或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权益变动报告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或再融资时所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林一文、季 征南、王劲 军、宋发兴、 钱有武、卓 秀者、陈 强、卢庆议、 福州博宏投 资管理有限 公司、福州 永福恒诚投 资管理股份 有限公司、 福建省永福 博发投资股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控股股东和实际控制人自锁定期满之日起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年内减持股份的具体安排如下：（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 数量：承诺人在锁定期满后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年内拟进行 股份减持，合计减持股份数量不超过发行 人股份总数的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年内若 拟进行股份减持，将在减持前按照证券交 易所规则及时、准确、完整地履行信息披 露义务。承诺人若预计未来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个月内通过 证券交易系统出售直接或者间接持有的发 行人股份可能达到或超过发行人股份总数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的，应当在首次出售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个交易日前刊 登股份减持计划公告，在减持计划实施完 成或者</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个月期限届满后拟继续出售股份 的，应当予以重新计算。承诺人如未按前 述规定刊登股份减持计划公告的，则任意 连续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个月内通过证券交易系统出售发行 人股份不得达到或超过发行人股份总数的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）减持方式：通过证券交易所集中 竞价交易系统、大宗交易系统进行，或通 过协议转让进行，但如果承诺人预计未来</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个月内公开出售解除限售存量股份的数量 合计超过公司股份总数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的，将不通过证 券交易所集中竞价交易系统转让所持股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）减持价格：所持股票在锁定期满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年内减持的，减持价格不低于发行价；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bl>
    <w:p>
      <w:pPr>
        <w:sectPr>
          <w:footnotePr>
            <w:pos w:val="pageBottom"/>
            <w:numFmt w:val="decimal"/>
            <w:numRestart w:val="continuous"/>
          </w:footnotePr>
          <w:pgSz w:w="11900" w:h="16840"/>
          <w:pgMar w:top="894" w:right="1119" w:bottom="1201" w:left="1109" w:header="0" w:footer="3" w:gutter="0"/>
          <w:cols w:space="720"/>
          <w:noEndnote/>
          <w:rtlGutter w:val="0"/>
          <w:docGrid w:linePitch="360"/>
        </w:sectPr>
      </w:pPr>
    </w:p>
    <w:tbl>
      <w:tblPr>
        <w:tblOverlap w:val="never"/>
        <w:jc w:val="center"/>
        <w:tblLayout w:type="fixed"/>
      </w:tblPr>
      <w:tblGrid>
        <w:gridCol w:w="1387"/>
        <w:gridCol w:w="1200"/>
        <w:gridCol w:w="672"/>
        <w:gridCol w:w="3542"/>
        <w:gridCol w:w="1051"/>
        <w:gridCol w:w="1003"/>
        <w:gridCol w:w="730"/>
      </w:tblGrid>
      <w:tr>
        <w:trPr>
          <w:trHeight w:val="374"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个月内如发行人股票连续</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2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个月期末收盘价低于发行价，承 诺人持有发行人股票的锁定期限自动延长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）减持期限：减持股份行为的期 限为减持计划公告后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个月内，减持期限 届满后，若拟继续减持股份，则需按照上 述安排再次履行减持公告。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27"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林一文、季 征南、王劲 军、宋发兴、 钱有武、卓 秀者、陈 强、卢庆议、 福州博宏投 资管理有限 公司、福州 永福恒诚投 资管理股份 有限公司、 福建省永福 博发投资股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截至本承诺函出具之日，本公司及本人在 中国境内外未直接或间接从事或参与任何 在商业上对发行人构成竞争的业务或活 动；本公司及本人将来也不在中国境内外 以任何方式（包括但不限于单独经营、通 过合资经营或拥有另外一公司或企业的股 权或其它权益）直接或间接从事或参与任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何在商业上对发行人构成竞争的业务及活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动；若发行人今后从事新的业务领域，则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竞争、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本公司及本人控制的其他企业将不在中国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境内外以控股方式或参股但拥有实质控制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权的方式从事与发行人新的业务领域有竞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争的业务或活动，包括在中国境内外投资、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年</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占用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收购、兼并与发行人今后从事的新业务有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直接竞争的公司或者其他企业；如从任何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地方获得的商业机会与发行人经营的业务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48"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有竞争或可能形成竞争，则本公司及本人 将立即通知发行人，并将该商业机会让与 发行人；在本公司及本人作为发行人的控 股股东、实际控制人期间，以及在担任发 行人董事、监事或高级管理人员期间及辞 去上述职务后六个月内，本承诺为有效之 承诺，本公司及本人愿意承担违反上述承 诺而给发行人造成的全部损失。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90"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林一文、福 州博宏投资 管理有限公 司、福州永 福恒诚投资 管理股份有 限公司、福 建省永福博 发投资股份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承诺人所控制的 公司、分公司、合营或联营公司及其他任 何类型的企业现有及将来与福建永福电力 设计股份有限公司发生的关联交易是公允 的，是按照正常商业行为准则进行的。本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承诺人保证将继续规范并逐步减少与 福建永福电力设计股份有限公司及其子公 司、分公司、合营或联营公司发生关联交 易。本公司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承诺人所控制的公司、分公司、合营 或联营公司及其他任何类型的企业不以垄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bl>
    <w:p>
      <w:pPr>
        <w:spacing w:lineRule="exact" w:line="1"/>
        <w:rPr>
          <w:sz w:val="2"/>
          <w:szCs w:val="2"/>
        </w:rPr>
      </w:pPr>
      <w:r>
        <w:br w:type="page"/>
      </w:r>
    </w:p>
    <w:tbl>
      <w:tblPr>
        <w:tblOverlap w:val="never"/>
        <w:jc w:val="center"/>
        <w:tblLayout w:type="fixed"/>
      </w:tblPr>
      <w:tblGrid>
        <w:gridCol w:w="1387"/>
        <w:gridCol w:w="1200"/>
        <w:gridCol w:w="672"/>
        <w:gridCol w:w="3542"/>
        <w:gridCol w:w="1051"/>
        <w:gridCol w:w="1003"/>
        <w:gridCol w:w="730"/>
      </w:tblGrid>
      <w:tr>
        <w:trPr>
          <w:trHeight w:val="38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断采购和销售业务渠道等方式干预福建永 福电力设计股份有限公司的经营，损害其 利益。关联交易活动应遵循商业原则，关 联交易的价格原则上应不偏离市场独立第 三方的价格或收费的标准。作为福建永福 电力设计股份有限公司的控股股东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实际控 制人，本公司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承诺人保证将按照法律法规 和《福建永福电力设计股份有限公司章程》 的规定，在审议涉及本公司的关联交易时， 切实遵守福建永福电力设计股份有限公司 董事会、股东大会上进行关联交易表决时 的回避程序。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林一文、王 劲军、钱有 武、刘勇、 宋发兴、卢 庆议、张 善传、罗志 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首次公开发行摊薄即期回报采取填补措施 的承诺：公司董事、高级管理人员承诺忠 实、勤勉地履行职责，维护公司和全体股 东的合法权益，并根据中国证监会相关规 定对公司填补即期回报措施能够得到切实 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）不得无偿或以不 公平条件向其他单位或者个人输送利益， 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 董事和高级管理人员的职务消费行为进行 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）不动用公司资产从事与履行职 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）由董事会 或薪酬与绩效考核委员会制订的薪酬制度 与公司填补回报措施的执行情况相挂钩；</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）未来拟公布的公司股权激励的行权条 件与公司填补回报措施的执行情况相挂 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）如上述承诺与中国证监会关于填 补回报措施及其承诺的明确规定不符或未 能满足相关规定的，其将根据中国证监会 最新规定及监管要求进行相应调整；（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若违反或拒不履行上述承诺，其愿意根据 中国证监会和证券交易所等监管机构的有 关规定和规则承担相应责任。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福建永福电</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力设计股份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利润分配政策的承诺：公司股票在深圳证 券交易所创业板上市后，本公司将严格履 行《公司章程（草案）》中披露的利润分配 政策。有关利润分配政策参见招股说明书 “第九节财务会计信息与管理层分析”之 “十七、发行人的股利分配情况和发行前</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后股利分配政策”的具体内容。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福建永福电</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力设计股份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关于限售安排、自愿锁定股份、延长锁定 期限以及相关股东持股及减持意向承诺的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653" w:right="0" w:firstLine="0"/>
        <w:jc w:val="left"/>
        <w:rPr>
          <w:sz w:val="20"/>
          <w:szCs w:val="20"/>
        </w:rPr>
      </w:pPr>
      <w:r>
        <w:rPr>
          <w:color w:val="000000"/>
          <w:spacing w:val="0"/>
          <w:w w:val="100"/>
          <w:position w:val="0"/>
          <w:sz w:val="20"/>
          <w:szCs w:val="20"/>
        </w:rPr>
        <w:t>永福</w:t>
      </w:r>
    </w:p>
    <w:p>
      <w:pPr>
        <w:pStyle w:val="Style24"/>
        <w:keepNext w:val="0"/>
        <w:keepLines w:val="0"/>
        <w:widowControl w:val="0"/>
        <w:shd w:val="clear" w:color="auto" w:fill="auto"/>
        <w:bidi w:val="0"/>
        <w:spacing w:before="0" w:after="0" w:line="209" w:lineRule="auto"/>
        <w:ind w:left="653" w:right="0" w:firstLine="0"/>
        <w:jc w:val="left"/>
        <w:rPr>
          <w:sz w:val="11"/>
          <w:szCs w:val="11"/>
        </w:rPr>
      </w:pPr>
      <w:r>
        <w:rPr>
          <w:rFonts w:ascii="Arial" w:eastAsia="Arial" w:hAnsi="Arial" w:cs="Arial"/>
          <w:b/>
          <w:bCs/>
          <w:color w:val="1C1C1C"/>
          <w:spacing w:val="0"/>
          <w:w w:val="100"/>
          <w:position w:val="0"/>
          <w:sz w:val="11"/>
          <w:szCs w:val="11"/>
        </w:rPr>
        <w:t>YongFu</w:t>
      </w:r>
    </w:p>
    <w:tbl>
      <w:tblPr>
        <w:tblOverlap w:val="never"/>
        <w:jc w:val="center"/>
        <w:tblLayout w:type="fixed"/>
      </w:tblPr>
      <w:tblGrid>
        <w:gridCol w:w="1387"/>
        <w:gridCol w:w="1200"/>
        <w:gridCol w:w="672"/>
        <w:gridCol w:w="3542"/>
        <w:gridCol w:w="1051"/>
        <w:gridCol w:w="1003"/>
        <w:gridCol w:w="730"/>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约束措施：若未履行限售安排、自愿锁定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福州博宏投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股份、延长锁定期限以及相关股东持股及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资管理有限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减持意向的承诺或法律法规及证券交易所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公司、福州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相关性规定减持公司股份，公司实际控制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永福恒诚投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人、控股股东、其他股东以及公司董事、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资管理股份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监事、高级管理人员等承诺人，将在发行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人股东大会及中国证监会指定报刊上公开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说明未履行的具体原因并向股东和社会公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博发投资股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众投资者道歉，并将在符合法律、法规及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规范性文件规定的情况下</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个交易日内回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司、福建省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购违规卖出的股票，且自回购完成之日起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平潭卓成股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自动延长持有全部股份的锁定期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权投资合伙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如果因未履行承诺事项而获得收入的</w:t>
            </w:r>
            <w:r>
              <w:rPr>
                <w:color w:val="000000"/>
                <w:spacing w:val="0"/>
                <w:w w:val="100"/>
                <w:position w:val="0"/>
                <w:sz w:val="18"/>
                <w:szCs w:val="18"/>
              </w:rPr>
              <w:t>，</w:t>
            </w:r>
            <w:r>
              <w:rPr>
                <w:color w:val="000000"/>
                <w:spacing w:val="0"/>
                <w:w w:val="100"/>
                <w:position w:val="0"/>
                <w:sz w:val="17"/>
                <w:szCs w:val="17"/>
              </w:rPr>
              <w:t>所得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的收入归发行人所有，其将在获得收入的</w:t>
            </w: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合伙）、中国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日内将前述收入支付给发行人指定账户；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比利时直接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如果因未履行承诺事项给发行人或者其他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投资者造成损失的，其将向发行人或者其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金、青岛汉 缆股份有限 公司、林文 丹、宁波梅 山保税港区 领慧投资合 伙企业（有 限合伙）、林 一文、季征 南、王劲 军、钱有 武、刘勇、 宋发兴、卓 秀者、陈 强、卢庆 议、张善 传、罗志 青、郭泗 煊、王建 明、李庆先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他投资者依法承担赔偿责任。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福建永福电</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力设计股份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关于利润分配承诺的约束措施：本公司若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违反相关承诺，将在股东大会及中国证监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会指定报刊上公开说明未履行的具体原因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并向股东和社会公众投资者道歉；如果因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年</w:t>
            </w:r>
          </w:p>
        </w:tc>
        <w:tc>
          <w:tcPr>
            <w:vMerge/>
            <w:tcBorders>
              <w:left w:val="single" w:sz="4"/>
              <w:right w:val="single" w:sz="4"/>
            </w:tcBorders>
            <w:shd w:val="clear" w:color="auto" w:fill="FFFFFF"/>
            <w:vAlign w:val="bottom"/>
          </w:tcPr>
          <w:p>
            <w:pP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未履行相关公开承诺事项给投资者造成损 失的，将依法向投资者赔偿相关损失。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370"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1200"/>
        <w:gridCol w:w="672"/>
        <w:gridCol w:w="3542"/>
        <w:gridCol w:w="1051"/>
        <w:gridCol w:w="1003"/>
        <w:gridCol w:w="730"/>
      </w:tblGrid>
      <w:tr>
        <w:trPr>
          <w:trHeight w:val="420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福建永福电</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力设计股份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对相关责任主体的其他约束措施：对发行 人未能履行承诺的约束措施：发行人已就 公司首次公开发行股票并在创业板上市出 具系列承诺，已经出具的承诺对公司具有 不可撤销的约束力，公司将严格按照承诺 要求履行相应义务，若公司怠于履行相应 承诺而给相关权利方造成损失的，公司将：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）及时、充分披露承诺未能履行、无法 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 愿接受社会和监管部门的监督，及时改正 并继续履行有关公开承诺；（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）因违反承 诺给投资者造成损失的，依法对投资者进 行赔偿。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林一文、季 征南、王劲 军、宋发兴、 钱有武、卓 秀者、陈 强、卢庆议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对相关责任主体的其他约束措施：对实际 控制人未能履行承诺的约束措施：发行人 实际控制人林一文、季征南、王劲军、宋 发兴、钱有武、卓秀者、陈强、卢庆议已 就公司首次公开发行股票并在创业板上市 出具系列承诺，已经出具的承诺对本人具 有不可撤销的约束力，本人将严格按照承 诺要求履行相应义务，若本人怠于履行相 应承诺而给相关权利方造成损失的，本人 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）通过公司及时、充分披露其承诺 未能履行、无法履行或无法按期履行的具 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）自愿接受社会和监管部门的 监督，及时改正并继续履行有关公开承诺；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）因违反承诺给公司或投资者造成损失 的，依法对公司或投资者进行赔偿；（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因违反承诺所产生的收益全部归公司所 有，公司有权暂扣其应得的现金分红和应 从公司领取的薪酬，同时不得转让其直接 及间接持有的公司股份，直至其将违规收 益足额交付公司为止。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福州博宏投 资管理有限 公司、福州 永福恒诚投 资管理股份 有限公司、 福建省永福 博发投资股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对相关责任主体的其他约束措施：对控股 股东未能履行承诺的约束措施：发行人控 股股东福州博宏投资管理有限公司、福州 永福恒诚投资管理股份有限公司和福建省 永福博发投资股份有限公司已就发行人首 次公开发行股票并在创业板上市出具系列 承诺，已经出具的承诺对发行人控股股东 具有不可撤销的约束力，发行人控股股东 将严格按照承诺要求履行相应义务，若发 行人控股股东怠于履行相应承诺而给相关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bl>
    <w:p>
      <w:pPr>
        <w:spacing w:lineRule="exact" w:line="1"/>
        <w:rPr>
          <w:sz w:val="2"/>
          <w:szCs w:val="2"/>
        </w:rPr>
      </w:pPr>
      <w:r>
        <w:br w:type="page"/>
      </w:r>
    </w:p>
    <w:tbl>
      <w:tblPr>
        <w:tblOverlap w:val="never"/>
        <w:jc w:val="center"/>
        <w:tblLayout w:type="fixed"/>
      </w:tblPr>
      <w:tblGrid>
        <w:gridCol w:w="1387"/>
        <w:gridCol w:w="1200"/>
        <w:gridCol w:w="672"/>
        <w:gridCol w:w="3542"/>
        <w:gridCol w:w="1051"/>
        <w:gridCol w:w="1003"/>
        <w:gridCol w:w="730"/>
      </w:tblGrid>
      <w:tr>
        <w:trPr>
          <w:trHeight w:val="35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权利方造成损失的，公司将：（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）通过发 行人及时、充分披露其承诺未能履行、无 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自愿接受社会和监管部门的监督，及时改 正并继续履行有关公开承诺；（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）因违反 承诺给发行人或投资者造成损失的，依法 对发行人或投资者进行赔偿；（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）因违反 承诺所产生的收益全部归发行人所有，发 行人有权暂扣其应得的现金分红，同时不 得转让其直接及间接持有的发行人股份， 直至其将违规收益足额交付发行人为止。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林一文、王 劲军、钱有 武、刘勇、 宋发兴、卓 秀者、陈强、</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卢庆议、张 善传、罗志 青、郭泗煊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对相关责任主体的其他约束措施：对董事、 监事、高级管理人员未能履行承诺时的约 束措施：发行人董事、监事、高级管理人 员已就公司首次公开发行股票并在创业板 上市出具系列承诺，已经出具的承诺对本 人具有不可撤销的约束力，本人将严格按 照承诺要求履行相应义务，若本人怠于履 行相应承诺而给相关权利方造成损失的， 本人将：（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）通过公司及时、充分披露其 承诺未能履行、无法履行或无法按期履行 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）自愿接受社会和监管部 门的监督，及时改正并继续履行有关公开 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）因违反承诺给公司或投资者造 成损失的，依法对公司或投资者进行赔偿；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）因违反承诺所产生的收益全部归公司 所有，公司有权暂扣其应得的现金分红和 应从公司领取的薪酬，同时不得转让其直 接及间接持有的公司股份，直至其将违规 收益足额交付公司为止；（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）违反承诺情 节严重的，公司控股股东或董事会、监事 会、半数以上的独立董事有权提请股东大 会同意更换相关董事、监事，公司董事会 有权解聘相关高级管理人员。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承诺是否按时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如承诺超期未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履行完毕的，</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tbl>
      <w:tblPr>
        <w:tblOverlap w:val="never"/>
        <w:jc w:val="center"/>
        <w:tblLayout w:type="fixed"/>
      </w:tblPr>
      <w:tblGrid>
        <w:gridCol w:w="1387"/>
        <w:gridCol w:w="8198"/>
      </w:tblGrid>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应当详细说明 未完成履行的 具体原因及下 一步的工作计 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keepLines/>
        <w:widowControl w:val="0"/>
        <w:shd w:val="clear" w:color="auto" w:fill="auto"/>
        <w:bidi w:val="0"/>
        <w:spacing w:before="0" w:after="260" w:line="322" w:lineRule="exact"/>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、公司资产或项目存在盈利预测，且报告期仍处在盈利预测期间，公司就资产或项目达到原盈利预测及 其原因做出说明</w:t>
      </w:r>
      <w:bookmarkEnd w:id="505"/>
      <w:bookmarkEnd w:id="506"/>
      <w:bookmarkEnd w:id="508"/>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260" w:line="302" w:lineRule="exact"/>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二</w:t>
      </w:r>
      <w:bookmarkEnd w:id="511"/>
      <w:r>
        <w:rPr>
          <w:color w:val="000000"/>
          <w:spacing w:val="0"/>
          <w:w w:val="100"/>
          <w:position w:val="0"/>
          <w:sz w:val="24"/>
          <w:szCs w:val="24"/>
        </w:rPr>
        <w:t>、</w:t>
        <w:tab/>
        <w:t>控股股东及其他关联方对上市公司的非经营性占用资金情况</w:t>
      </w:r>
      <w:bookmarkEnd w:id="509"/>
      <w:bookmarkEnd w:id="510"/>
      <w:bookmarkEnd w:id="512"/>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260" w:line="302"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w:t>
        <w:tab/>
        <w:t>违规对外担保情况</w:t>
      </w:r>
      <w:bookmarkEnd w:id="513"/>
      <w:bookmarkEnd w:id="514"/>
      <w:bookmarkEnd w:id="516"/>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22" w:val="left"/>
        </w:tabs>
        <w:bidi w:val="0"/>
        <w:spacing w:before="0" w:after="260" w:line="302" w:lineRule="exact"/>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四</w:t>
      </w:r>
      <w:bookmarkEnd w:id="519"/>
      <w:r>
        <w:rPr>
          <w:color w:val="000000"/>
          <w:spacing w:val="0"/>
          <w:w w:val="100"/>
          <w:position w:val="0"/>
          <w:sz w:val="24"/>
          <w:szCs w:val="24"/>
        </w:rPr>
        <w:t>、</w:t>
        <w:tab/>
        <w:t>董事会对最近一期“非标准审计报告”相关情况的说明</w:t>
      </w:r>
      <w:bookmarkEnd w:id="517"/>
      <w:bookmarkEnd w:id="518"/>
      <w:bookmarkEnd w:id="520"/>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22" w:val="left"/>
        </w:tabs>
        <w:bidi w:val="0"/>
        <w:spacing w:before="0" w:after="260" w:line="302"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五</w:t>
      </w:r>
      <w:bookmarkEnd w:id="523"/>
      <w:r>
        <w:rPr>
          <w:color w:val="000000"/>
          <w:spacing w:val="0"/>
          <w:w w:val="100"/>
          <w:position w:val="0"/>
          <w:sz w:val="24"/>
          <w:szCs w:val="24"/>
        </w:rPr>
        <w:t>、</w:t>
        <w:tab/>
        <w:t>董事会、监事会、独立董事（如有）对会计师事务所本报告期“非标准审计报告”的说 明</w:t>
      </w:r>
      <w:bookmarkEnd w:id="521"/>
      <w:bookmarkEnd w:id="522"/>
      <w:bookmarkEnd w:id="524"/>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22" w:val="left"/>
        </w:tabs>
        <w:bidi w:val="0"/>
        <w:spacing w:before="0" w:after="260" w:line="302" w:lineRule="exact"/>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六</w:t>
      </w:r>
      <w:bookmarkEnd w:id="527"/>
      <w:r>
        <w:rPr>
          <w:color w:val="000000"/>
          <w:spacing w:val="0"/>
          <w:w w:val="100"/>
          <w:position w:val="0"/>
          <w:sz w:val="24"/>
          <w:szCs w:val="24"/>
        </w:rPr>
        <w:t>、</w:t>
        <w:tab/>
        <w:t>董事会关于报告期会计政策、会计估计变更或重大会计差错更正的说明</w:t>
      </w:r>
      <w:bookmarkEnd w:id="525"/>
      <w:bookmarkEnd w:id="526"/>
      <w:bookmarkEnd w:id="528"/>
    </w:p>
    <w:p>
      <w:pPr>
        <w:pStyle w:val="Style18"/>
        <w:keepNext w:val="0"/>
        <w:keepLines w:val="0"/>
        <w:widowControl w:val="0"/>
        <w:shd w:val="clear" w:color="auto" w:fill="auto"/>
        <w:bidi w:val="0"/>
        <w:spacing w:before="0" w:after="0" w:line="315"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541" w:val="left"/>
        </w:tabs>
        <w:bidi w:val="0"/>
        <w:spacing w:before="0" w:after="0" w:line="315" w:lineRule="exact"/>
        <w:ind w:left="0" w:right="0" w:firstLine="0"/>
        <w:jc w:val="both"/>
      </w:pPr>
      <w:bookmarkStart w:id="529" w:name="bookmark529"/>
      <w:r>
        <w:rPr>
          <w:b/>
          <w:bCs/>
          <w:color w:val="000000"/>
          <w:spacing w:val="0"/>
          <w:w w:val="100"/>
          <w:position w:val="0"/>
        </w:rPr>
        <w:t>（</w:t>
      </w:r>
      <w:bookmarkEnd w:id="529"/>
      <w:r>
        <w:rPr>
          <w:b/>
          <w:bCs/>
          <w:color w:val="000000"/>
          <w:spacing w:val="0"/>
          <w:w w:val="100"/>
          <w:position w:val="0"/>
        </w:rPr>
        <w:t>一）</w:t>
        <w:tab/>
        <w:t>会计政策变更</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具体详见本报告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tabs>
          <w:tab w:pos="541" w:val="left"/>
        </w:tabs>
        <w:bidi w:val="0"/>
        <w:spacing w:before="0" w:after="0" w:line="315" w:lineRule="exact"/>
        <w:ind w:left="0" w:right="0" w:firstLine="0"/>
        <w:jc w:val="both"/>
      </w:pPr>
      <w:bookmarkStart w:id="530" w:name="bookmark530"/>
      <w:r>
        <w:rPr>
          <w:b/>
          <w:bCs/>
          <w:color w:val="000000"/>
          <w:spacing w:val="0"/>
          <w:w w:val="100"/>
          <w:position w:val="0"/>
        </w:rPr>
        <w:t>（</w:t>
      </w:r>
      <w:bookmarkEnd w:id="530"/>
      <w:r>
        <w:rPr>
          <w:b/>
          <w:bCs/>
          <w:color w:val="000000"/>
          <w:spacing w:val="0"/>
          <w:w w:val="100"/>
          <w:position w:val="0"/>
        </w:rPr>
        <w:t>二）</w:t>
        <w:tab/>
        <w:t>会计估计变更</w:t>
      </w:r>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日召开了第三届董事会第二次会议和第三届监事会第二次会议，分别审议通过了《关于会计估计变 更的议案》。公司对</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业务中与收入相关、不满足无条件收款权的已完工未结算资产的预计损失率进行变更，以更加客观、 公允地反映公司的财务状况和经营成果。不需要对以往年度财务报表进行追溯调整，不会对以往各期间财务状况、经营成果 和现金流量产生影响。</w:t>
      </w:r>
    </w:p>
    <w:p>
      <w:pPr>
        <w:pStyle w:val="Style18"/>
        <w:keepNext w:val="0"/>
        <w:keepLines w:val="0"/>
        <w:widowControl w:val="0"/>
        <w:shd w:val="clear" w:color="auto" w:fill="auto"/>
        <w:bidi w:val="0"/>
        <w:spacing w:before="0" w:after="0"/>
        <w:ind w:left="0" w:right="0" w:firstLine="380"/>
        <w:jc w:val="left"/>
      </w:pPr>
      <w:r>
        <w:rPr>
          <w:color w:val="000000"/>
          <w:spacing w:val="0"/>
          <w:w w:val="100"/>
          <w:position w:val="0"/>
        </w:rPr>
        <w:t>公司董事会认为：本次会计估计变更事项符合公司的实际情况，能更加客观、公允的反映公司的财务状况和经营成果， 符合公司和全体股东的利益。</w:t>
      </w:r>
    </w:p>
    <w:p>
      <w:pPr>
        <w:pStyle w:val="Style18"/>
        <w:keepNext w:val="0"/>
        <w:keepLines w:val="0"/>
        <w:widowControl w:val="0"/>
        <w:shd w:val="clear" w:color="auto" w:fill="auto"/>
        <w:bidi w:val="0"/>
        <w:spacing w:before="0" w:after="260" w:line="315" w:lineRule="exact"/>
        <w:ind w:left="0" w:right="0" w:firstLine="38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日在巨潮网披露的《关于会计估计变更的公告》。</w:t>
      </w:r>
    </w:p>
    <w:p>
      <w:pPr>
        <w:pStyle w:val="Style22"/>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七</w:t>
      </w:r>
      <w:bookmarkEnd w:id="533"/>
      <w:r>
        <w:rPr>
          <w:color w:val="000000"/>
          <w:spacing w:val="0"/>
          <w:w w:val="100"/>
          <w:position w:val="0"/>
          <w:sz w:val="24"/>
          <w:szCs w:val="24"/>
        </w:rPr>
        <w:t>、与上年度财务报告相比，合并报表范围发生变化的情况说明</w:t>
      </w:r>
      <w:bookmarkEnd w:id="531"/>
      <w:bookmarkEnd w:id="532"/>
      <w:bookmarkEnd w:id="534"/>
    </w:p>
    <w:p>
      <w:pPr>
        <w:pStyle w:val="Style18"/>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①本期发生的非同一控制下企业合并的情况</w:t>
      </w:r>
    </w:p>
    <w:tbl>
      <w:tblPr>
        <w:tblOverlap w:val="never"/>
        <w:jc w:val="center"/>
        <w:tblLayout w:type="fixed"/>
      </w:tblPr>
      <w:tblGrid>
        <w:gridCol w:w="4464"/>
        <w:gridCol w:w="1454"/>
        <w:gridCol w:w="2261"/>
        <w:gridCol w:w="1464"/>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被购买方名称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股权取得成本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股权取得比例（%）</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bl>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②其他原因的合并范围变动</w:t>
      </w:r>
    </w:p>
    <w:p>
      <w:pPr>
        <w:widowControl w:val="0"/>
        <w:spacing w:after="139" w:line="1" w:lineRule="exact"/>
      </w:pP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日，公司设立子公司福建众帆新能源有限公司，注册资本为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日，公司设立子公司德庆丰帆新能源有限公司，注册资本为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日，公司设立子公司德庆旭帆新能源有限公司，注册资本为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日，公司设立子公司福建兆帆新能源有限公司，注册资本为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日，公司设立子公司福建沧海新能源有限公司，注册资本为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日，公司设立子公司福建旭帆新能源有限公司，注册资本为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22"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日，公司设立子公司福建三帆新能源有限公司，注册资本为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福建三帆新能源有限公司股权。</w:t>
      </w:r>
    </w:p>
    <w:p>
      <w:pPr>
        <w:pStyle w:val="Style18"/>
        <w:keepNext w:val="0"/>
        <w:keepLines w:val="0"/>
        <w:widowControl w:val="0"/>
        <w:shd w:val="clear" w:color="auto" w:fill="auto"/>
        <w:bidi w:val="0"/>
        <w:spacing w:before="0" w:line="319"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福建灿帆新能源有限公司股权。</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日，公司设立子公司福建昌帆新能源有限公司，注册资本为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日，公司设立子公司宜阳县昌帆新能源有限公司，注册资本为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日，公司设立子公司吴忠市三帆新能源有限公司，注册资本为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both"/>
        <w:sectPr>
          <w:footnotePr>
            <w:pos w:val="pageBottom"/>
            <w:numFmt w:val="decimal"/>
            <w:numRestart w:val="continuous"/>
          </w:footnotePr>
          <w:pgSz w:w="11900" w:h="16840"/>
          <w:pgMar w:top="1440" w:right="1060" w:bottom="1321" w:left="10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日，公司设立子公司赣州亿帆新能源有限公司，注册资本为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日，公司设立子公司威海百帆新能源有限公司，注册资本为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日，公司设立子公司海南昌江福帆新能源有限公司，注册资本为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日，公司设立子公司石嘴山福捷新能源有限公司，注册资本为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 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日，公司设立子公司北京慧创新能源有限公司，注册资本为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日，公司设立子公司石嘴山隆惠昌光伏发电有限公司，注册资本为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line="317" w:lineRule="exact"/>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日，公司设立子公司石嘴山珠友旭能源发展有限公司，注册资本为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日，公司设立子公司保定福骏新能源科技有限公司，注册资本为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360"/>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日，公司设立子公司河北卓晖新能源有限公司，注册资本为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2"/>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八</w:t>
      </w:r>
      <w:bookmarkEnd w:id="537"/>
      <w:r>
        <w:rPr>
          <w:color w:val="000000"/>
          <w:spacing w:val="0"/>
          <w:w w:val="100"/>
          <w:position w:val="0"/>
          <w:sz w:val="24"/>
          <w:szCs w:val="24"/>
        </w:rPr>
        <w:t>、聘任、解聘会计师事务所情况</w:t>
      </w:r>
      <w:bookmarkEnd w:id="535"/>
      <w:bookmarkEnd w:id="536"/>
      <w:bookmarkEnd w:id="53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杨志平、瞿玉敏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杨志平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年、瞿玉敏</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报告期内，公司因向特定对象发行股票事项，聘请国信证券为保荐机构，聘请立信会计师事务所（特殊普通合伙）为审计机 构，报告期内未支付相关费用。</w:t>
      </w:r>
    </w:p>
    <w:p>
      <w:pPr>
        <w:pStyle w:val="Style22"/>
        <w:keepNext/>
        <w:keepLines/>
        <w:widowControl w:val="0"/>
        <w:shd w:val="clear" w:color="auto" w:fill="auto"/>
        <w:bidi w:val="0"/>
        <w:spacing w:before="0" w:after="24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九</w:t>
      </w:r>
      <w:bookmarkEnd w:id="541"/>
      <w:r>
        <w:rPr>
          <w:color w:val="000000"/>
          <w:spacing w:val="0"/>
          <w:w w:val="100"/>
          <w:position w:val="0"/>
          <w:sz w:val="24"/>
          <w:szCs w:val="24"/>
        </w:rPr>
        <w:t>、年度报告披露后面临退市情况</w:t>
      </w:r>
      <w:bookmarkEnd w:id="539"/>
      <w:bookmarkEnd w:id="540"/>
      <w:bookmarkEnd w:id="542"/>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r>
        <w:rPr>
          <w:color w:val="000000"/>
          <w:spacing w:val="0"/>
          <w:w w:val="100"/>
          <w:position w:val="0"/>
          <w:sz w:val="24"/>
          <w:szCs w:val="24"/>
        </w:rPr>
        <w:t>十、破产重整相关事项</w:t>
      </w:r>
      <w:bookmarkEnd w:id="543"/>
      <w:bookmarkEnd w:id="544"/>
      <w:bookmarkEnd w:id="54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60" w:line="326" w:lineRule="exact"/>
        <w:ind w:left="0" w:right="0" w:firstLine="582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r>
        <w:rPr>
          <w:color w:val="000000"/>
          <w:spacing w:val="0"/>
          <w:w w:val="100"/>
          <w:position w:val="0"/>
          <w:sz w:val="24"/>
          <w:szCs w:val="24"/>
        </w:rPr>
        <w:t>十一、重大诉讼、仲裁事项</w:t>
      </w:r>
      <w:bookmarkEnd w:id="546"/>
      <w:bookmarkEnd w:id="547"/>
      <w:bookmarkEnd w:id="548"/>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是否形成预</w:t>
            </w:r>
          </w:p>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其他诉讼汇总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其他诉讼汇总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0"/>
        <w:jc w:val="left"/>
      </w:pPr>
      <w:bookmarkStart w:id="549" w:name="bookmark549"/>
      <w:bookmarkStart w:id="550" w:name="bookmark550"/>
      <w:bookmarkStart w:id="551" w:name="bookmark551"/>
      <w:r>
        <w:rPr>
          <w:color w:val="000000"/>
          <w:spacing w:val="0"/>
          <w:w w:val="100"/>
          <w:position w:val="0"/>
          <w:sz w:val="24"/>
          <w:szCs w:val="24"/>
        </w:rPr>
        <w:t>十二、处罚及整改情况</w:t>
      </w:r>
      <w:bookmarkEnd w:id="549"/>
      <w:bookmarkEnd w:id="550"/>
      <w:bookmarkEnd w:id="551"/>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r>
        <w:rPr>
          <w:color w:val="000000"/>
          <w:spacing w:val="0"/>
          <w:w w:val="100"/>
          <w:position w:val="0"/>
          <w:sz w:val="24"/>
          <w:szCs w:val="24"/>
        </w:rPr>
        <w:t>十三、公司及其控股股东、实际控制人的诚信状况</w:t>
      </w:r>
      <w:bookmarkEnd w:id="552"/>
      <w:bookmarkEnd w:id="553"/>
      <w:bookmarkEnd w:id="554"/>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报告期内，公司及本公司控股股东、实际控制人诚信状况良好，不存在未履行法院生效判决、所负数额较大的债务到期未清 偿等情况，且不属于失信被执行人。</w:t>
      </w:r>
    </w:p>
    <w:p>
      <w:pPr>
        <w:pStyle w:val="Style22"/>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r>
        <w:rPr>
          <w:color w:val="000000"/>
          <w:spacing w:val="0"/>
          <w:w w:val="100"/>
          <w:position w:val="0"/>
          <w:sz w:val="24"/>
          <w:szCs w:val="24"/>
        </w:rPr>
        <w:t>十四、重大关联交易</w:t>
      </w:r>
      <w:bookmarkEnd w:id="555"/>
      <w:bookmarkEnd w:id="556"/>
      <w:bookmarkEnd w:id="557"/>
    </w:p>
    <w:p>
      <w:pPr>
        <w:pStyle w:val="Style32"/>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、与日常经营相关的关联交易</w:t>
      </w:r>
      <w:bookmarkEnd w:id="558"/>
      <w:bookmarkEnd w:id="559"/>
      <w:bookmarkEnd w:id="561"/>
    </w:p>
    <w:p>
      <w:pPr>
        <w:pStyle w:val="Style1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40" w:right="0" w:firstLine="0"/>
              <w:jc w:val="left"/>
              <w:rPr>
                <w:sz w:val="17"/>
                <w:szCs w:val="17"/>
              </w:rPr>
            </w:pPr>
            <w:r>
              <w:rPr>
                <w:color w:val="000000"/>
                <w:spacing w:val="0"/>
                <w:w w:val="100"/>
                <w:position w:val="0"/>
                <w:sz w:val="17"/>
                <w:szCs w:val="17"/>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获批 的交 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结算</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索引</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宁德时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代及其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140" w:firstLine="0"/>
              <w:jc w:val="right"/>
              <w:rPr>
                <w:sz w:val="17"/>
                <w:szCs w:val="17"/>
              </w:rPr>
            </w:pPr>
            <w:r>
              <w:rPr>
                <w:color w:val="000000"/>
                <w:spacing w:val="0"/>
                <w:w w:val="100"/>
                <w:position w:val="0"/>
                <w:sz w:val="17"/>
                <w:szCs w:val="17"/>
              </w:rPr>
              <w:t>公司 持股</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 上股 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向关 联人 提供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工程 设计、 建设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参照 市场 价格 公允 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合同 约定 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按进 度款、 验收 款分 期付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不适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 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 于</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 日常 关联 交易</w:t>
            </w:r>
          </w:p>
        </w:tc>
      </w:tr>
    </w:tbl>
    <w:p>
      <w:pPr>
        <w:sectPr>
          <w:footnotePr>
            <w:pos w:val="pageBottom"/>
            <w:numFmt w:val="decimal"/>
            <w:numRestart w:val="continuous"/>
          </w:footnotePr>
          <w:pgSz w:w="11900" w:h="16840"/>
          <w:pgMar w:top="957" w:right="1031" w:bottom="1273" w:left="1053" w:header="0" w:footer="3" w:gutter="0"/>
          <w:cols w:space="720"/>
          <w:noEndnote/>
          <w:rtlGutter w:val="0"/>
          <w:docGrid w:linePitch="360"/>
        </w:sectPr>
      </w:pP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22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color w:val="000000"/>
                <w:spacing w:val="0"/>
                <w:w w:val="100"/>
                <w:position w:val="0"/>
                <w:sz w:val="17"/>
                <w:szCs w:val="17"/>
              </w:rPr>
              <w:t>额度 预计 的公 告》</w:t>
            </w:r>
          </w:p>
          <w:p>
            <w:pPr>
              <w:pStyle w:val="Style2"/>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
              <w:keepNext w:val="0"/>
              <w:keepLines w:val="0"/>
              <w:widowControl w:val="0"/>
              <w:shd w:val="clear" w:color="auto" w:fill="auto"/>
              <w:bidi w:val="0"/>
              <w:spacing w:before="0" w:after="12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盛高科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技产业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届董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季征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接受</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供服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工程 施工、 建设； 设备 采购； 信息 系统 等技 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参照 市场 价格 公允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合同 约定 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 协议 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3" w:lineRule="exact"/>
              <w:ind w:left="0" w:right="0" w:firstLine="0"/>
              <w:jc w:val="left"/>
              <w:rPr>
                <w:sz w:val="17"/>
                <w:szCs w:val="17"/>
              </w:rPr>
            </w:pPr>
            <w:r>
              <w:rPr>
                <w:color w:val="000000"/>
                <w:spacing w:val="0"/>
                <w:w w:val="100"/>
                <w:position w:val="0"/>
                <w:sz w:val="17"/>
                <w:szCs w:val="17"/>
              </w:rPr>
              <w:t>巨潮</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 于新 增</w:t>
            </w:r>
          </w:p>
          <w:p>
            <w:pPr>
              <w:pStyle w:val="Style2"/>
              <w:keepNext w:val="0"/>
              <w:keepLines w:val="0"/>
              <w:widowControl w:val="0"/>
              <w:shd w:val="clear" w:color="auto" w:fill="auto"/>
              <w:bidi w:val="0"/>
              <w:spacing w:before="0" w:after="12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 日常 关联 交易 额度 预计 的公 告》</w:t>
            </w:r>
          </w:p>
          <w:p>
            <w:pPr>
              <w:pStyle w:val="Style2"/>
              <w:keepNext w:val="0"/>
              <w:keepLines w:val="0"/>
              <w:widowControl w:val="0"/>
              <w:shd w:val="clear" w:color="auto" w:fill="auto"/>
              <w:bidi w:val="0"/>
              <w:spacing w:before="0" w:after="12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w:t>
            </w:r>
          </w:p>
          <w:p>
            <w:pPr>
              <w:pStyle w:val="Style2"/>
              <w:keepNext w:val="0"/>
              <w:keepLines w:val="0"/>
              <w:widowControl w:val="0"/>
              <w:shd w:val="clear" w:color="auto" w:fill="auto"/>
              <w:bidi w:val="0"/>
              <w:spacing w:before="0" w:after="12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62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年度公司与宁德时代及其子公司发生日常经营相关的关联交易金额合计 </w:t>
            </w:r>
            <w:r>
              <w:rPr>
                <w:rFonts w:ascii="Times New Roman" w:eastAsia="Times New Roman" w:hAnsi="Times New Roman" w:cs="Times New Roman"/>
                <w:color w:val="000000"/>
                <w:spacing w:val="0"/>
                <w:w w:val="100"/>
                <w:position w:val="0"/>
                <w:sz w:val="18"/>
                <w:szCs w:val="18"/>
              </w:rPr>
              <w:t>17,849.37</w:t>
            </w:r>
            <w:r>
              <w:rPr>
                <w:color w:val="000000"/>
                <w:spacing w:val="0"/>
                <w:w w:val="100"/>
                <w:position w:val="0"/>
                <w:sz w:val="17"/>
                <w:szCs w:val="17"/>
              </w:rPr>
              <w:t>万元。公司预计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年年度股东大会召开之日与宁 德时代及其子公司发生的日常关联交易金额为</w:t>
            </w:r>
            <w:r>
              <w:rPr>
                <w:rFonts w:ascii="Times New Roman" w:eastAsia="Times New Roman" w:hAnsi="Times New Roman" w:cs="Times New Roman"/>
                <w:color w:val="000000"/>
                <w:spacing w:val="0"/>
                <w:w w:val="100"/>
                <w:position w:val="0"/>
                <w:sz w:val="18"/>
                <w:szCs w:val="18"/>
              </w:rPr>
              <w:t>135,000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日至报 告期末实际发生额为</w:t>
            </w:r>
            <w:r>
              <w:rPr>
                <w:rFonts w:ascii="Times New Roman" w:eastAsia="Times New Roman" w:hAnsi="Times New Roman" w:cs="Times New Roman"/>
                <w:color w:val="000000"/>
                <w:spacing w:val="0"/>
                <w:w w:val="100"/>
                <w:position w:val="0"/>
                <w:sz w:val="18"/>
                <w:szCs w:val="18"/>
              </w:rPr>
              <w:t>17,371.03</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年度公司与福建和盛高科技产业有限公司发生日常经营相关的关联交易金额 合计</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sz w:val="17"/>
                <w:szCs w:val="17"/>
              </w:rPr>
              <w:t>万元。公司预计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年年度股东大会召开之日与福 建和盛高科技产业有限公司发生的日常关联交易金额为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日至本报告期末实际发生额为</w:t>
            </w:r>
            <w:r>
              <w:rPr>
                <w:rFonts w:ascii="Times New Roman" w:eastAsia="Times New Roman" w:hAnsi="Times New Roman" w:cs="Times New Roman"/>
                <w:color w:val="000000"/>
                <w:spacing w:val="0"/>
                <w:w w:val="100"/>
                <w:position w:val="0"/>
                <w:sz w:val="18"/>
                <w:szCs w:val="18"/>
              </w:rPr>
              <w:t>27.77</w:t>
            </w:r>
            <w:r>
              <w:rPr>
                <w:color w:val="000000"/>
                <w:spacing w:val="0"/>
                <w:w w:val="100"/>
                <w:position w:val="0"/>
                <w:sz w:val="17"/>
                <w:szCs w:val="17"/>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、资产或股权收购、出售发生的关联交易</w:t>
      </w:r>
      <w:bookmarkEnd w:id="562"/>
      <w:bookmarkEnd w:id="563"/>
      <w:bookmarkEnd w:id="56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r>
        <w:br w:type="page"/>
      </w:r>
    </w:p>
    <w:p>
      <w:pPr>
        <w:pStyle w:val="Style32"/>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、共同对外投资的关联交易</w:t>
      </w:r>
      <w:bookmarkEnd w:id="566"/>
      <w:bookmarkEnd w:id="567"/>
      <w:bookmarkEnd w:id="569"/>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2"/>
        <w:gridCol w:w="869"/>
        <w:gridCol w:w="691"/>
        <w:gridCol w:w="3226"/>
        <w:gridCol w:w="1032"/>
        <w:gridCol w:w="994"/>
        <w:gridCol w:w="989"/>
        <w:gridCol w:w="98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共同投 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被投</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资企</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业的</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被投资企业的主营业务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业的注册</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 业的总资 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被投资企 业的净资 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被投资企 业的净利 润（万元）</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宁德时 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以上法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时代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一般项目：海上风电相关系统研发；风 电场相关系统研发；新兴能源技术研 发；在线能源监测技术研发；合同能源 管理；太阳能发电技术服务；风力发电 技术服务；智能输配电及控制设备销 售；对外承包工程；节能管理服务；软 件开发；信息系统集成服务；物联网技 术研发；地理遥感信息服务；工程技术 服务（规划管理、勘察、设计、监理除 外卜）；发电技术服务；以自有资金从事 投资活动；机械电气设备制造；电气机 械设备销售；输配电及控制设备制造</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（除依法须经批准的项目外，凭营业执 照依法自主开展经营活动）许可项目： 建设工程设计；建设工程勘察；测绘服 务；电力设施承装、承修、承试；房屋 建筑和市政基础设施项目工程总承包； 建筑智能化系统设计；各类工程建设活 动；建设工程监理；建筑智能化工程施 工；施工专业作业；供电业务（依法须 经批准的项目，经相关部门批准后方可 开展经营活动，具体经营项目以相关部 门批准文件或许可证件为准）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 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宁德时 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以上法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 快卜 新能 源科 技有 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许可项目：货物进出口。（依法须经批 准的项目，经相关部门批准后方可开展 经营活动，具体经营项目以相关部门批 准文件或许可证件为准）一般项目：新 能源科技、电池科技、计算机软硬件科 技、互联网信息技术、电子科技领域内 的技术开发、技术转让、技术咨询、技 术服务；停车场服务；新能源汽车充换 电设施建设运营；合同能源管理；计算 机软硬件及辅助设备、电子产品的销 售；电力供应、电力销售、售电服务； 新能源发电设备、分布式电源及其配套 产品的研制、销售、服务；系统集成及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5,803.5714</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万元人民 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-1,181.54</w:t>
            </w:r>
          </w:p>
        </w:tc>
      </w:tr>
    </w:tbl>
    <w:tbl>
      <w:tblPr>
        <w:tblOverlap w:val="never"/>
        <w:jc w:val="center"/>
        <w:tblLayout w:type="fixed"/>
      </w:tblPr>
      <w:tblGrid>
        <w:gridCol w:w="802"/>
        <w:gridCol w:w="869"/>
        <w:gridCol w:w="691"/>
        <w:gridCol w:w="3226"/>
        <w:gridCol w:w="1032"/>
        <w:gridCol w:w="994"/>
        <w:gridCol w:w="989"/>
        <w:gridCol w:w="984"/>
      </w:tblGrid>
      <w:tr>
        <w:trPr>
          <w:trHeight w:val="19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技术转让；机电设备、环保设备的安装、 维修、销售；自有设备租赁；广告设计、 代理；广告制作；广告发布(非广播电 台、电视台、报刊出版单位)。(除依法 须经批准的项目外，凭营业执照依法自 主开展经营活动)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被投资企业的重大 在建项目的进展情 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4</w:t>
      </w:r>
      <w:bookmarkEnd w:id="572"/>
      <w:r>
        <w:rPr>
          <w:color w:val="000000"/>
          <w:spacing w:val="0"/>
          <w:w w:val="100"/>
          <w:position w:val="0"/>
        </w:rPr>
        <w:t>、关联债权债务往来</w:t>
      </w:r>
      <w:bookmarkEnd w:id="570"/>
      <w:bookmarkEnd w:id="571"/>
      <w:bookmarkEnd w:id="57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5</w:t>
      </w:r>
      <w:bookmarkEnd w:id="576"/>
      <w:r>
        <w:rPr>
          <w:color w:val="000000"/>
          <w:spacing w:val="0"/>
          <w:w w:val="100"/>
          <w:position w:val="0"/>
        </w:rPr>
        <w:t>、</w:t>
        <w:tab/>
        <w:t>与存在关联关系的财务公司的往来情况</w:t>
      </w:r>
      <w:bookmarkEnd w:id="574"/>
      <w:bookmarkEnd w:id="575"/>
      <w:bookmarkEnd w:id="577"/>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6</w:t>
      </w:r>
      <w:bookmarkEnd w:id="580"/>
      <w:r>
        <w:rPr>
          <w:color w:val="000000"/>
          <w:spacing w:val="0"/>
          <w:w w:val="100"/>
          <w:position w:val="0"/>
        </w:rPr>
        <w:t>、</w:t>
        <w:tab/>
        <w:t>公司控股的财务公司与关联方的往来情况</w:t>
      </w:r>
      <w:bookmarkEnd w:id="578"/>
      <w:bookmarkEnd w:id="579"/>
      <w:bookmarkEnd w:id="581"/>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7</w:t>
      </w:r>
      <w:bookmarkEnd w:id="584"/>
      <w:r>
        <w:rPr>
          <w:color w:val="000000"/>
          <w:spacing w:val="0"/>
          <w:w w:val="100"/>
          <w:position w:val="0"/>
        </w:rPr>
        <w:t>、</w:t>
        <w:tab/>
        <w:t>其他重大关联交易</w:t>
      </w:r>
      <w:bookmarkEnd w:id="582"/>
      <w:bookmarkEnd w:id="583"/>
      <w:bookmarkEnd w:id="585"/>
    </w:p>
    <w:p>
      <w:pPr>
        <w:pStyle w:val="Style18"/>
        <w:keepNext w:val="0"/>
        <w:keepLines w:val="0"/>
        <w:widowControl w:val="0"/>
        <w:shd w:val="clear" w:color="auto" w:fill="auto"/>
        <w:bidi w:val="0"/>
        <w:spacing w:before="0" w:after="0" w:line="313"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numPr>
          <w:ilvl w:val="0"/>
          <w:numId w:val="47"/>
        </w:numPr>
        <w:shd w:val="clear" w:color="auto" w:fill="auto"/>
        <w:tabs>
          <w:tab w:pos="454" w:val="left"/>
        </w:tabs>
        <w:bidi w:val="0"/>
        <w:spacing w:before="0" w:after="0" w:line="313" w:lineRule="exact"/>
        <w:ind w:left="0" w:right="0" w:firstLine="0"/>
        <w:jc w:val="left"/>
      </w:pPr>
      <w:bookmarkStart w:id="586" w:name="bookmark586"/>
      <w:bookmarkEnd w:id="586"/>
      <w:r>
        <w:rPr>
          <w:b/>
          <w:bCs/>
          <w:color w:val="000000"/>
          <w:spacing w:val="0"/>
          <w:w w:val="100"/>
          <w:position w:val="0"/>
        </w:rPr>
        <w:t>全资子公司永帆风电为参股公司海电运维提供担保</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根据业务发展需要，海电运维向中国银行股份有限公司申请不超过人民币</w:t>
      </w:r>
      <w:r>
        <w:rPr>
          <w:rFonts w:ascii="Times New Roman" w:eastAsia="Times New Roman" w:hAnsi="Times New Roman" w:cs="Times New Roman"/>
          <w:color w:val="000000"/>
          <w:spacing w:val="0"/>
          <w:w w:val="100"/>
          <w:position w:val="0"/>
          <w:sz w:val="18"/>
          <w:szCs w:val="18"/>
        </w:rPr>
        <w:t>27,088</w:t>
      </w:r>
      <w:r>
        <w:rPr>
          <w:color w:val="000000"/>
          <w:spacing w:val="0"/>
          <w:w w:val="100"/>
          <w:position w:val="0"/>
        </w:rPr>
        <w:t>万元授信，用于固定资产投资和日常经 营需求。根据公平性原则，永帆风电按照其持股比例为海电运维本次融资提供连带责任反担保保证。截至目前，中国银行股 份有限公司已于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日放弃对该债权的前述担保要求，永帆风电的反担保责任已解除，出质的</w:t>
      </w:r>
      <w:r>
        <w:rPr>
          <w:rFonts w:ascii="Times New Roman" w:eastAsia="Times New Roman" w:hAnsi="Times New Roman" w:cs="Times New Roman"/>
          <w:color w:val="000000"/>
          <w:spacing w:val="0"/>
          <w:w w:val="100"/>
          <w:position w:val="0"/>
          <w:sz w:val="18"/>
          <w:szCs w:val="18"/>
        </w:rPr>
        <w:t>2,988</w:t>
      </w:r>
      <w:r>
        <w:rPr>
          <w:color w:val="000000"/>
          <w:spacing w:val="0"/>
          <w:w w:val="100"/>
          <w:position w:val="0"/>
        </w:rPr>
        <w:t>万元海电运维股 权已于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日解除质押。</w:t>
      </w:r>
    </w:p>
    <w:p>
      <w:pPr>
        <w:pStyle w:val="Style18"/>
        <w:keepNext w:val="0"/>
        <w:keepLines w:val="0"/>
        <w:widowControl w:val="0"/>
        <w:numPr>
          <w:ilvl w:val="0"/>
          <w:numId w:val="47"/>
        </w:numPr>
        <w:shd w:val="clear" w:color="auto" w:fill="auto"/>
        <w:tabs>
          <w:tab w:pos="454" w:val="left"/>
        </w:tabs>
        <w:bidi w:val="0"/>
        <w:spacing w:before="0" w:after="0" w:line="313" w:lineRule="exact"/>
        <w:ind w:left="0" w:right="0" w:firstLine="0"/>
        <w:jc w:val="left"/>
      </w:pPr>
      <w:bookmarkStart w:id="587" w:name="bookmark587"/>
      <w:bookmarkEnd w:id="587"/>
      <w:r>
        <w:rPr>
          <w:b/>
          <w:bCs/>
          <w:color w:val="000000"/>
          <w:spacing w:val="0"/>
          <w:w w:val="100"/>
          <w:position w:val="0"/>
        </w:rPr>
        <w:t>放弃参股公司增资优先认缴权</w:t>
      </w:r>
    </w:p>
    <w:p>
      <w:pPr>
        <w:pStyle w:val="Style1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根据公司及全资子公司永帆风电自身情况和经营规划，全资子公司永帆风电放弃对持股</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的参股公司海电运维的 增资优先认缴权。海电运维增资后，永帆风电持有海电运维的股份比例变更为</w:t>
      </w:r>
      <w:r>
        <w:rPr>
          <w:rFonts w:ascii="Times New Roman" w:eastAsia="Times New Roman" w:hAnsi="Times New Roman" w:cs="Times New Roman"/>
          <w:color w:val="000000"/>
          <w:spacing w:val="0"/>
          <w:w w:val="100"/>
          <w:position w:val="0"/>
          <w:sz w:val="18"/>
          <w:szCs w:val="18"/>
        </w:rPr>
        <w:t>18.29%</w:t>
      </w:r>
      <w:r>
        <w:rPr>
          <w:color w:val="000000"/>
          <w:spacing w:val="0"/>
          <w:w w:val="100"/>
          <w:position w:val="0"/>
        </w:rPr>
        <w:t>。</w:t>
      </w:r>
    </w:p>
    <w:p>
      <w:pPr>
        <w:pStyle w:val="Style18"/>
        <w:keepNext w:val="0"/>
        <w:keepLines w:val="0"/>
        <w:widowControl w:val="0"/>
        <w:numPr>
          <w:ilvl w:val="0"/>
          <w:numId w:val="47"/>
        </w:numPr>
        <w:shd w:val="clear" w:color="auto" w:fill="auto"/>
        <w:tabs>
          <w:tab w:pos="454" w:val="left"/>
        </w:tabs>
        <w:bidi w:val="0"/>
        <w:spacing w:before="0" w:after="0" w:line="313" w:lineRule="exact"/>
        <w:ind w:left="0" w:right="0" w:firstLine="0"/>
        <w:jc w:val="left"/>
      </w:pPr>
      <w:bookmarkStart w:id="588" w:name="bookmark588"/>
      <w:bookmarkEnd w:id="588"/>
      <w:r>
        <w:rPr>
          <w:b/>
          <w:bCs/>
          <w:color w:val="000000"/>
          <w:spacing w:val="0"/>
          <w:w w:val="100"/>
          <w:position w:val="0"/>
        </w:rPr>
        <w:t>为参股公司时代永福提供担保</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根据业务发展需要，公司的参股公司时代永福及其控股公司拟进行融资，融资方式包括但不限于银行融资、银行委托贷 款、资产证券化、基金、资管、信托等。上述事项需时代永福股东提供担保。根据公平性原则，公司及宁德时代分别按其持 股比例向时代永福及其控股公司提供担保。公司为时代永福及其控股公司提供人民币</w:t>
      </w:r>
      <w:r>
        <w:rPr>
          <w:rFonts w:ascii="Times New Roman" w:eastAsia="Times New Roman" w:hAnsi="Times New Roman" w:cs="Times New Roman"/>
          <w:color w:val="000000"/>
          <w:spacing w:val="0"/>
          <w:w w:val="100"/>
          <w:position w:val="0"/>
          <w:sz w:val="18"/>
          <w:szCs w:val="18"/>
        </w:rPr>
        <w:t>9.59</w:t>
      </w:r>
      <w:r>
        <w:rPr>
          <w:color w:val="000000"/>
          <w:spacing w:val="0"/>
          <w:w w:val="100"/>
          <w:position w:val="0"/>
        </w:rPr>
        <w:t>亿元担保，担保方式包括但不限于 保证、抵押、质押等，担保期限依据与相关交易对手方最终协商后签署的合同确定。</w:t>
      </w:r>
    </w:p>
    <w:p>
      <w:pPr>
        <w:pStyle w:val="Style18"/>
        <w:keepNext w:val="0"/>
        <w:keepLines w:val="0"/>
        <w:widowControl w:val="0"/>
        <w:shd w:val="clear" w:color="auto" w:fill="auto"/>
        <w:bidi w:val="0"/>
        <w:spacing w:before="0" w:after="80" w:line="313"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bl>
    <w:tbl>
      <w:tblPr>
        <w:tblOverlap w:val="never"/>
        <w:jc w:val="center"/>
        <w:tblLayout w:type="fixed"/>
      </w:tblPr>
      <w:tblGrid>
        <w:gridCol w:w="3466"/>
        <w:gridCol w:w="2650"/>
        <w:gridCol w:w="3470"/>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关于全资子公司为参股公司提供担保暨关 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sz w:val="17"/>
                <w:szCs w:val="17"/>
              </w:rPr>
              <w:t>)</w:t>
            </w:r>
            <w:r>
              <w:rPr>
                <w:color w:val="000000"/>
                <w:spacing w:val="0"/>
                <w:w w:val="100"/>
                <w:position w:val="0"/>
                <w:sz w:val="17"/>
                <w:szCs w:val="17"/>
              </w:rPr>
              <w:t>公告编 号：</w:t>
            </w:r>
            <w:r>
              <w:rPr>
                <w:rFonts w:ascii="Times New Roman" w:eastAsia="Times New Roman" w:hAnsi="Times New Roman" w:cs="Times New Roman"/>
                <w:color w:val="000000"/>
                <w:spacing w:val="0"/>
                <w:w w:val="100"/>
                <w:position w:val="0"/>
                <w:sz w:val="18"/>
                <w:szCs w:val="18"/>
              </w:rPr>
              <w:t>2021-048</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关于放弃参股公司增资优先认缴权暨关联 交易的公告、关于放弃参股公司增资优先 认缴权暨关联交易进展的公告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sz w:val="17"/>
                <w:szCs w:val="17"/>
              </w:rPr>
              <w:t>)</w:t>
            </w:r>
            <w:r>
              <w:rPr>
                <w:color w:val="000000"/>
                <w:spacing w:val="0"/>
                <w:w w:val="100"/>
                <w:position w:val="0"/>
                <w:sz w:val="17"/>
                <w:szCs w:val="17"/>
              </w:rPr>
              <w:t>公告编 号：</w:t>
            </w:r>
            <w:r>
              <w:rPr>
                <w:rFonts w:ascii="Times New Roman" w:eastAsia="Times New Roman" w:hAnsi="Times New Roman" w:cs="Times New Roman"/>
                <w:color w:val="000000"/>
                <w:spacing w:val="0"/>
                <w:w w:val="100"/>
                <w:position w:val="0"/>
                <w:sz w:val="18"/>
                <w:szCs w:val="18"/>
              </w:rPr>
              <w:t>2021-063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sz w:val="17"/>
                <w:szCs w:val="17"/>
              </w:rPr>
              <w:t>)</w:t>
            </w:r>
            <w:r>
              <w:rPr>
                <w:color w:val="000000"/>
                <w:spacing w:val="0"/>
                <w:w w:val="100"/>
                <w:position w:val="0"/>
                <w:sz w:val="17"/>
                <w:szCs w:val="17"/>
              </w:rPr>
              <w:t>公告编 号：</w:t>
            </w:r>
            <w:r>
              <w:rPr>
                <w:rFonts w:ascii="Times New Roman" w:eastAsia="Times New Roman" w:hAnsi="Times New Roman" w:cs="Times New Roman"/>
                <w:color w:val="000000"/>
                <w:spacing w:val="0"/>
                <w:w w:val="100"/>
                <w:position w:val="0"/>
                <w:sz w:val="18"/>
                <w:szCs w:val="18"/>
              </w:rPr>
              <w:t>2021-137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关于为参股公司提供担保暨关联交易的公 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sz w:val="17"/>
                <w:szCs w:val="17"/>
              </w:rPr>
              <w:t>)</w:t>
            </w:r>
            <w:r>
              <w:rPr>
                <w:color w:val="000000"/>
                <w:spacing w:val="0"/>
                <w:w w:val="100"/>
                <w:position w:val="0"/>
                <w:sz w:val="17"/>
                <w:szCs w:val="17"/>
              </w:rPr>
              <w:t>公告编 号：</w:t>
            </w:r>
            <w:r>
              <w:rPr>
                <w:rFonts w:ascii="Times New Roman" w:eastAsia="Times New Roman" w:hAnsi="Times New Roman" w:cs="Times New Roman"/>
                <w:color w:val="000000"/>
                <w:spacing w:val="0"/>
                <w:w w:val="100"/>
                <w:position w:val="0"/>
                <w:sz w:val="18"/>
                <w:szCs w:val="18"/>
              </w:rPr>
              <w:t>2021-120</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十五、重大合同及其履行情况</w:t>
      </w:r>
      <w:bookmarkEnd w:id="589"/>
      <w:bookmarkEnd w:id="590"/>
      <w:bookmarkEnd w:id="591"/>
    </w:p>
    <w:p>
      <w:pPr>
        <w:pStyle w:val="Style32"/>
        <w:keepNext/>
        <w:keepLines/>
        <w:widowControl w:val="0"/>
        <w:shd w:val="clear" w:color="auto" w:fill="auto"/>
        <w:tabs>
          <w:tab w:pos="368"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托管、承包、租赁事项情况</w:t>
      </w:r>
      <w:bookmarkEnd w:id="592"/>
      <w:bookmarkEnd w:id="593"/>
      <w:bookmarkEnd w:id="595"/>
    </w:p>
    <w:p>
      <w:pPr>
        <w:pStyle w:val="Style32"/>
        <w:keepNext/>
        <w:keepLines/>
        <w:widowControl w:val="0"/>
        <w:numPr>
          <w:ilvl w:val="0"/>
          <w:numId w:val="49"/>
        </w:numPr>
        <w:shd w:val="clear" w:color="auto" w:fill="auto"/>
        <w:tabs>
          <w:tab w:pos="493" w:val="left"/>
        </w:tabs>
        <w:bidi w:val="0"/>
        <w:spacing w:before="0" w:after="240" w:line="240" w:lineRule="auto"/>
        <w:ind w:left="0" w:right="0" w:firstLine="0"/>
        <w:jc w:val="left"/>
      </w:pPr>
      <w:bookmarkStart w:id="592" w:name="bookmark592"/>
      <w:bookmarkStart w:id="593" w:name="bookmark593"/>
      <w:bookmarkStart w:id="596" w:name="bookmark596"/>
      <w:bookmarkStart w:id="597" w:name="bookmark597"/>
      <w:bookmarkEnd w:id="596"/>
      <w:r>
        <w:rPr>
          <w:color w:val="000000"/>
          <w:spacing w:val="0"/>
          <w:w w:val="100"/>
          <w:position w:val="0"/>
        </w:rPr>
        <w:t>托管情况</w:t>
      </w:r>
      <w:bookmarkEnd w:id="592"/>
      <w:bookmarkEnd w:id="593"/>
      <w:bookmarkEnd w:id="597"/>
    </w:p>
    <w:p>
      <w:pPr>
        <w:pStyle w:val="Style18"/>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公司报告期不存在托管情况。</w:t>
      </w:r>
    </w:p>
    <w:p>
      <w:pPr>
        <w:pStyle w:val="Style28"/>
        <w:keepNext w:val="0"/>
        <w:keepLines w:val="0"/>
        <w:widowControl w:val="0"/>
        <w:numPr>
          <w:ilvl w:val="0"/>
          <w:numId w:val="49"/>
        </w:numPr>
        <w:shd w:val="clear" w:color="auto" w:fill="auto"/>
        <w:tabs>
          <w:tab w:pos="493" w:val="left"/>
        </w:tabs>
        <w:bidi w:val="0"/>
        <w:spacing w:before="0" w:after="240" w:line="240" w:lineRule="auto"/>
        <w:ind w:left="0" w:right="0" w:firstLine="0"/>
        <w:jc w:val="left"/>
      </w:pPr>
      <w:bookmarkStart w:id="598" w:name="bookmark598"/>
      <w:bookmarkStart w:id="599" w:name="bookmark599"/>
      <w:bookmarkEnd w:id="598"/>
      <w:r>
        <w:rPr>
          <w:b/>
          <w:bCs/>
          <w:color w:val="000000"/>
          <w:spacing w:val="0"/>
          <w:w w:val="100"/>
          <w:position w:val="0"/>
        </w:rPr>
        <w:t>承包情况</w:t>
      </w:r>
      <w:bookmarkEnd w:id="599"/>
    </w:p>
    <w:p>
      <w:pPr>
        <w:pStyle w:val="Style18"/>
        <w:keepNext w:val="0"/>
        <w:keepLines w:val="0"/>
        <w:widowControl w:val="0"/>
        <w:shd w:val="clear" w:color="auto" w:fill="auto"/>
        <w:bidi w:val="0"/>
        <w:spacing w:before="0" w:after="0" w:line="334"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公司报告期不存在承包情况。</w:t>
      </w:r>
    </w:p>
    <w:p>
      <w:pPr>
        <w:pStyle w:val="Style28"/>
        <w:keepNext w:val="0"/>
        <w:keepLines w:val="0"/>
        <w:widowControl w:val="0"/>
        <w:numPr>
          <w:ilvl w:val="0"/>
          <w:numId w:val="49"/>
        </w:numPr>
        <w:shd w:val="clear" w:color="auto" w:fill="auto"/>
        <w:tabs>
          <w:tab w:pos="493" w:val="left"/>
        </w:tabs>
        <w:bidi w:val="0"/>
        <w:spacing w:before="0" w:after="380" w:line="240" w:lineRule="auto"/>
        <w:ind w:left="0" w:right="0" w:firstLine="0"/>
        <w:jc w:val="left"/>
      </w:pPr>
      <w:bookmarkStart w:id="600" w:name="bookmark600"/>
      <w:bookmarkStart w:id="601" w:name="bookmark601"/>
      <w:bookmarkEnd w:id="600"/>
      <w:r>
        <w:rPr>
          <w:b/>
          <w:bCs/>
          <w:color w:val="000000"/>
          <w:spacing w:val="0"/>
          <w:w w:val="100"/>
          <w:position w:val="0"/>
        </w:rPr>
        <w:t>租赁情况</w:t>
      </w:r>
      <w:bookmarkEnd w:id="601"/>
    </w:p>
    <w:p>
      <w:pPr>
        <w:pStyle w:val="Style18"/>
        <w:keepNext w:val="0"/>
        <w:keepLines w:val="0"/>
        <w:widowControl w:val="0"/>
        <w:shd w:val="clear" w:color="auto" w:fill="auto"/>
        <w:bidi w:val="0"/>
        <w:spacing w:before="0" w:after="0" w:line="386"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34"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0" w:line="334" w:lineRule="exact"/>
        <w:ind w:left="0" w:right="0" w:firstLine="380"/>
        <w:jc w:val="left"/>
      </w:pPr>
      <w:r>
        <w:rPr>
          <w:color w:val="000000"/>
          <w:spacing w:val="0"/>
          <w:w w:val="100"/>
          <w:position w:val="0"/>
        </w:rPr>
        <w:t>报告期内，公司存在租赁房产情形，该等房屋租赁主要用于日常办公场地，工程总承包项目建设地的用房，勘察设计项 目地点的临时性用房，以及为上述各类业务配套的值班宿舍。该等租赁行为对公司的生产经营、财务状况不构成重大影响。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shd w:val="clear" w:color="auto" w:fill="auto"/>
        <w:bidi w:val="0"/>
        <w:spacing w:before="0" w:after="0" w:line="33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34"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38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重大担保</w:t>
      </w:r>
      <w:bookmarkEnd w:id="602"/>
      <w:bookmarkEnd w:id="603"/>
      <w:bookmarkEnd w:id="605"/>
    </w:p>
    <w:p>
      <w:pPr>
        <w:pStyle w:val="Style18"/>
        <w:keepNext w:val="0"/>
        <w:keepLines w:val="0"/>
        <w:widowControl w:val="0"/>
        <w:shd w:val="clear" w:color="auto" w:fill="auto"/>
        <w:bidi w:val="0"/>
        <w:spacing w:before="0" w:after="0" w:line="386"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6"/>
        <w:gridCol w:w="931"/>
        <w:gridCol w:w="926"/>
        <w:gridCol w:w="1162"/>
        <w:gridCol w:w="931"/>
        <w:gridCol w:w="917"/>
        <w:gridCol w:w="715"/>
        <w:gridCol w:w="917"/>
        <w:gridCol w:w="677"/>
        <w:gridCol w:w="66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担保额</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度相关</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公告披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物(如</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反担保 情况(如 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是否</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关联方 担保</w:t>
            </w:r>
          </w:p>
        </w:tc>
      </w:tr>
    </w:tbl>
    <w:p>
      <w:pPr>
        <w:spacing w:lineRule="exact" w:line="1"/>
        <w:rPr>
          <w:sz w:val="2"/>
          <w:szCs w:val="2"/>
        </w:rPr>
      </w:pPr>
      <w:r>
        <w:br w:type="page"/>
      </w:r>
    </w:p>
    <w:tbl>
      <w:tblPr>
        <w:tblOverlap w:val="never"/>
        <w:jc w:val="center"/>
        <w:tblLayout w:type="fixed"/>
      </w:tblPr>
      <w:tblGrid>
        <w:gridCol w:w="946"/>
        <w:gridCol w:w="931"/>
        <w:gridCol w:w="926"/>
        <w:gridCol w:w="1162"/>
        <w:gridCol w:w="931"/>
        <w:gridCol w:w="917"/>
        <w:gridCol w:w="715"/>
        <w:gridCol w:w="917"/>
        <w:gridCol w:w="677"/>
        <w:gridCol w:w="667"/>
        <w:gridCol w:w="80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海电运维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任保证</w:t>
            </w:r>
            <w:r>
              <w:rPr>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海电</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运维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生权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反担 保保 证终 止日 为授 信借 款项 下福 建省 船舶 工业 集团 有限 公司 最后 一次 履行 清偿 义务 之日 后两 年届 满时。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时代永福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报告期内审批的对外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101,295.93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报告期内对外担保实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5,395.93</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外担保额度合计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101,295.93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报告期末实际对外担 保余额合计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物（如</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反担保 情况（如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200"/>
              <w:jc w:val="left"/>
              <w:rPr>
                <w:sz w:val="17"/>
                <w:szCs w:val="17"/>
              </w:rPr>
            </w:pPr>
            <w:r>
              <w:rPr>
                <w:color w:val="000000"/>
                <w:spacing w:val="0"/>
                <w:w w:val="100"/>
                <w:position w:val="0"/>
                <w:sz w:val="17"/>
                <w:szCs w:val="17"/>
              </w:rPr>
              <w:t>担保</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新创机电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541" w:right="1077" w:bottom="1427" w:left="1060" w:header="0" w:footer="3" w:gutter="0"/>
          <w:cols w:space="720"/>
          <w:noEndnote/>
          <w:rtlGutter w:val="0"/>
          <w:docGrid w:linePitch="360"/>
        </w:sectPr>
      </w:pP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537" w:right="1192" w:bottom="1724" w:left="3916" w:header="0" w:footer="3" w:gutter="0"/>
          <w:cols w:space="720"/>
          <w:noEndnote/>
          <w:rtlGutter w:val="0"/>
          <w:docGrid w:linePitch="360"/>
        </w:sectPr>
      </w:pPr>
    </w:p>
    <w:tbl>
      <w:tblPr>
        <w:tblOverlap w:val="never"/>
        <w:jc w:val="center"/>
        <w:tblLayout w:type="fixed"/>
      </w:tblPr>
      <w:tblGrid>
        <w:gridCol w:w="946"/>
        <w:gridCol w:w="931"/>
        <w:gridCol w:w="926"/>
        <w:gridCol w:w="1162"/>
        <w:gridCol w:w="931"/>
        <w:gridCol w:w="917"/>
        <w:gridCol w:w="715"/>
        <w:gridCol w:w="917"/>
        <w:gridCol w:w="677"/>
        <w:gridCol w:w="667"/>
        <w:gridCol w:w="802"/>
      </w:tblGrid>
      <w:tr>
        <w:trPr>
          <w:trHeight w:val="76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四川云 能其他 股东以 其持有 的四川 云能股 权对公 司进行 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新创机电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484" w:right="1191" w:bottom="1484" w:left="1119" w:header="0" w:footer="3" w:gutter="0"/>
          <w:cols w:space="720"/>
          <w:noEndnote/>
          <w:rtlGutter w:val="0"/>
          <w:docGrid w:linePitch="360"/>
        </w:sectPr>
      </w:pP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537" w:right="1192" w:bottom="1724" w:left="3916" w:header="0" w:footer="3" w:gutter="0"/>
          <w:cols w:space="720"/>
          <w:noEndnote/>
          <w:rtlGutter w:val="0"/>
          <w:docGrid w:linePitch="360"/>
        </w:sectPr>
      </w:pPr>
    </w:p>
    <w:tbl>
      <w:tblPr>
        <w:tblOverlap w:val="never"/>
        <w:jc w:val="center"/>
        <w:tblLayout w:type="fixed"/>
      </w:tblPr>
      <w:tblGrid>
        <w:gridCol w:w="946"/>
        <w:gridCol w:w="931"/>
        <w:gridCol w:w="926"/>
        <w:gridCol w:w="1162"/>
        <w:gridCol w:w="931"/>
        <w:gridCol w:w="917"/>
        <w:gridCol w:w="715"/>
        <w:gridCol w:w="917"/>
        <w:gridCol w:w="677"/>
        <w:gridCol w:w="667"/>
        <w:gridCol w:w="802"/>
      </w:tblGrid>
      <w:tr>
        <w:trPr>
          <w:trHeight w:val="7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5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四川云 能其他 股东袁 悦、林东 以其持 有的四 川云能 股权及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80" w:hRule="exact"/>
        </w:trPr>
        <w:tc>
          <w:tcPr>
            <w:tcBorders>
              <w:lef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left"/>
              <w:rPr>
                <w:sz w:val="17"/>
                <w:szCs w:val="17"/>
              </w:rPr>
            </w:pPr>
            <w:r>
              <w:rPr>
                <w:color w:val="000000"/>
                <w:spacing w:val="0"/>
                <w:w w:val="100"/>
                <w:position w:val="0"/>
                <w:sz w:val="17"/>
                <w:szCs w:val="17"/>
              </w:rPr>
              <w:t>四川云能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派生权 益出质， 向公司 提供反 担保，对 代偿资 金按比 例承担 反担保 保证责 任。</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both"/>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新创机电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484" w:right="1191" w:bottom="1484" w:left="1119" w:header="0" w:footer="3" w:gutter="0"/>
          <w:cols w:space="720"/>
          <w:noEndnote/>
          <w:rtlGutter w:val="0"/>
          <w:docGrid w:linePitch="360"/>
        </w:sectPr>
      </w:pPr>
    </w:p>
    <w:tbl>
      <w:tblPr>
        <w:tblOverlap w:val="never"/>
        <w:jc w:val="center"/>
        <w:tblLayout w:type="fixed"/>
      </w:tblPr>
      <w:tblGrid>
        <w:gridCol w:w="1166"/>
        <w:gridCol w:w="931"/>
        <w:gridCol w:w="917"/>
        <w:gridCol w:w="715"/>
        <w:gridCol w:w="917"/>
        <w:gridCol w:w="677"/>
        <w:gridCol w:w="66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66"/>
        <w:gridCol w:w="931"/>
        <w:gridCol w:w="917"/>
        <w:gridCol w:w="715"/>
        <w:gridCol w:w="917"/>
        <w:gridCol w:w="677"/>
        <w:gridCol w:w="667"/>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537" w:right="1192" w:bottom="1676" w:left="3916" w:header="0" w:footer="3" w:gutter="0"/>
          <w:cols w:space="720"/>
          <w:noEndnote/>
          <w:rtlGutter w:val="0"/>
          <w:docGrid w:linePitch="360"/>
        </w:sectPr>
      </w:pPr>
    </w:p>
    <w:tbl>
      <w:tblPr>
        <w:tblOverlap w:val="never"/>
        <w:jc w:val="center"/>
        <w:tblLayout w:type="fixed"/>
      </w:tblPr>
      <w:tblGrid>
        <w:gridCol w:w="946"/>
        <w:gridCol w:w="931"/>
        <w:gridCol w:w="926"/>
        <w:gridCol w:w="1162"/>
        <w:gridCol w:w="931"/>
        <w:gridCol w:w="917"/>
        <w:gridCol w:w="715"/>
        <w:gridCol w:w="917"/>
        <w:gridCol w:w="677"/>
        <w:gridCol w:w="667"/>
        <w:gridCol w:w="802"/>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新创机电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主合 同债 务履 行期 届满 之日 起一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报告期内审批对子公 司担保额度合计</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保实际发生额合计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41,271.66</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际担保余额合计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28,418.47</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实际担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反担保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w:t>
            </w:r>
          </w:p>
        </w:tc>
      </w:tr>
    </w:tbl>
    <w:p>
      <w:pPr>
        <w:spacing w:lineRule="exact" w:line="1"/>
        <w:rPr>
          <w:sz w:val="2"/>
          <w:szCs w:val="2"/>
        </w:rPr>
      </w:pPr>
      <w:r>
        <w:br w:type="page"/>
      </w:r>
    </w:p>
    <w:tbl>
      <w:tblPr>
        <w:tblOverlap w:val="never"/>
        <w:jc w:val="center"/>
        <w:tblLayout w:type="fixed"/>
      </w:tblPr>
      <w:tblGrid>
        <w:gridCol w:w="946"/>
        <w:gridCol w:w="931"/>
        <w:gridCol w:w="571"/>
        <w:gridCol w:w="355"/>
        <w:gridCol w:w="1162"/>
        <w:gridCol w:w="931"/>
        <w:gridCol w:w="917"/>
        <w:gridCol w:w="715"/>
        <w:gridCol w:w="917"/>
        <w:gridCol w:w="677"/>
        <w:gridCol w:w="667"/>
        <w:gridCol w:w="802"/>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度相关</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公告披</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露日期</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物（如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关联方 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201,795.93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生额合计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46,667.59</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302,295.93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28,418.47</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占公司净资产的 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为股东、实际控制人及其关联方提供担保的余额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 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28,418.47</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28,418.47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32"/>
        <w:keepNext/>
        <w:keepLines/>
        <w:widowControl w:val="0"/>
        <w:shd w:val="clear" w:color="auto" w:fill="auto"/>
        <w:bidi w:val="0"/>
        <w:spacing w:before="0" w:after="38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、委托他人进行现金资产管理情况</w:t>
      </w:r>
      <w:bookmarkEnd w:id="606"/>
      <w:bookmarkEnd w:id="607"/>
      <w:bookmarkEnd w:id="609"/>
    </w:p>
    <w:p>
      <w:pPr>
        <w:pStyle w:val="Style50"/>
        <w:keepNext/>
        <w:keepLines/>
        <w:widowControl w:val="0"/>
        <w:shd w:val="clear" w:color="auto" w:fill="auto"/>
        <w:bidi w:val="0"/>
        <w:spacing w:before="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10"/>
      <w:bookmarkEnd w:id="611"/>
      <w:bookmarkEnd w:id="613"/>
    </w:p>
    <w:p>
      <w:pPr>
        <w:pStyle w:val="Style18"/>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逾期未收回理财 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4"/>
      <w:bookmarkEnd w:id="615"/>
      <w:bookmarkEnd w:id="617"/>
    </w:p>
    <w:p>
      <w:pPr>
        <w:pStyle w:val="Style18"/>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1900" w:h="16840"/>
          <w:pgMar w:top="1520" w:right="1126" w:bottom="1636" w:left="1088" w:header="0" w:footer="3" w:gutter="0"/>
          <w:cols w:space="720"/>
          <w:noEndnote/>
          <w:rtlGutter w:val="0"/>
          <w:docGrid w:linePitch="360"/>
        </w:sectPr>
      </w:pPr>
      <w:r>
        <w:rPr>
          <w:color w:val="000000"/>
          <w:spacing w:val="0"/>
          <w:w w:val="100"/>
          <w:position w:val="0"/>
        </w:rPr>
        <w:t xml:space="preserve">□ 适用 </w:t>
      </w:r>
      <w:r>
        <w:rPr>
          <w:rFonts w:ascii="Arial" w:eastAsia="Arial" w:hAnsi="Arial" w:cs="Arial"/>
          <w:color w:val="000000"/>
          <w:spacing w:val="0"/>
          <w:w w:val="100"/>
          <w:position w:val="0"/>
          <w:sz w:val="18"/>
          <w:szCs w:val="18"/>
        </w:rPr>
        <w:t xml:space="preserve">V </w:t>
      </w:r>
      <w:r>
        <w:rPr>
          <w:color w:val="000000"/>
          <w:spacing w:val="0"/>
          <w:w w:val="100"/>
          <w:position w:val="0"/>
        </w:rPr>
        <w:t>不适用</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60" w:line="326"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公司报告期不存在委托贷款。</w:t>
      </w:r>
    </w:p>
    <w:p>
      <w:pPr>
        <w:pStyle w:val="Style32"/>
        <w:keepNext/>
        <w:keepLines/>
        <w:widowControl w:val="0"/>
        <w:shd w:val="clear" w:color="auto" w:fill="auto"/>
        <w:bidi w:val="0"/>
        <w:spacing w:before="0" w:after="2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、其他重大合同</w:t>
      </w:r>
      <w:bookmarkEnd w:id="618"/>
      <w:bookmarkEnd w:id="619"/>
      <w:bookmarkEnd w:id="621"/>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240" w:line="240" w:lineRule="auto"/>
        <w:ind w:left="0" w:right="0" w:firstLine="0"/>
        <w:jc w:val="left"/>
      </w:pPr>
      <w:bookmarkStart w:id="622" w:name="bookmark622"/>
      <w:bookmarkStart w:id="623" w:name="bookmark623"/>
      <w:bookmarkStart w:id="624" w:name="bookmark624"/>
      <w:r>
        <w:rPr>
          <w:color w:val="000000"/>
          <w:spacing w:val="0"/>
          <w:w w:val="100"/>
          <w:position w:val="0"/>
          <w:sz w:val="24"/>
          <w:szCs w:val="24"/>
        </w:rPr>
        <w:t>十六、其他重大事项的说明</w:t>
      </w:r>
      <w:bookmarkEnd w:id="622"/>
      <w:bookmarkEnd w:id="623"/>
      <w:bookmarkEnd w:id="624"/>
    </w:p>
    <w:p>
      <w:pPr>
        <w:pStyle w:val="Style18"/>
        <w:keepNext w:val="0"/>
        <w:keepLines w:val="0"/>
        <w:widowControl w:val="0"/>
        <w:shd w:val="clear" w:color="auto" w:fill="auto"/>
        <w:bidi w:val="0"/>
        <w:spacing w:before="0" w:line="322"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322" w:lineRule="exact"/>
        <w:ind w:left="0" w:right="0" w:firstLine="0"/>
        <w:jc w:val="left"/>
      </w:pPr>
      <w:r>
        <w:rPr>
          <w:b/>
          <w:bCs/>
          <w:color w:val="000000"/>
          <w:spacing w:val="0"/>
          <w:w w:val="100"/>
          <w:position w:val="0"/>
        </w:rPr>
        <w:t>（一）向特定对象发行</w:t>
      </w:r>
    </w:p>
    <w:p>
      <w:pPr>
        <w:pStyle w:val="Style18"/>
        <w:keepNext w:val="0"/>
        <w:keepLines w:val="0"/>
        <w:widowControl w:val="0"/>
        <w:shd w:val="clear" w:color="auto" w:fill="auto"/>
        <w:bidi w:val="0"/>
        <w:spacing w:before="0" w:line="326"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日召开第二届董事会第二十五次会议和第二届监事会第二十次会议，于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五次临时股东大会，分别审议通过了《关于公司向特定对象发行股票预案的议案》及其他相关议案。</w:t>
      </w:r>
    </w:p>
    <w:p>
      <w:pPr>
        <w:pStyle w:val="Style18"/>
        <w:keepNext w:val="0"/>
        <w:keepLines w:val="0"/>
        <w:widowControl w:val="0"/>
        <w:shd w:val="clear" w:color="auto" w:fill="auto"/>
        <w:bidi w:val="0"/>
        <w:spacing w:before="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日，公司收到深交所出具的《关于受理福建永福电力设计股份有限公司向特定对象发行股票申请文件的通 知》（深证上审〔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576</w:t>
      </w:r>
      <w:r>
        <w:rPr>
          <w:color w:val="000000"/>
          <w:spacing w:val="0"/>
          <w:w w:val="100"/>
          <w:position w:val="0"/>
        </w:rPr>
        <w:t>号）。</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日，公司收到深交所出具的《关于福建永福电力设计股份有限公司申请向特定对象发行股票的审核问询函》 （审核函〔</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020014</w:t>
      </w:r>
      <w:r>
        <w:rPr>
          <w:color w:val="000000"/>
          <w:spacing w:val="0"/>
          <w:w w:val="100"/>
          <w:position w:val="0"/>
        </w:rPr>
        <w:t>号），后于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日根据相关要求对审核问询函进行回复并公开披露。</w:t>
      </w:r>
    </w:p>
    <w:p>
      <w:pPr>
        <w:pStyle w:val="Style18"/>
        <w:keepNext w:val="0"/>
        <w:keepLines w:val="0"/>
        <w:widowControl w:val="0"/>
        <w:shd w:val="clear" w:color="auto" w:fill="auto"/>
        <w:bidi w:val="0"/>
        <w:spacing w:before="0" w:line="331" w:lineRule="exact"/>
        <w:ind w:left="0" w:right="0" w:firstLine="42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日，公司召开第三届董事会第三次会议和第三届监事会第三次会议，分别审议通过了《关于调整公司向特 定对象发行股票方案的议案》及其他相关议案。</w:t>
      </w:r>
    </w:p>
    <w:p>
      <w:pPr>
        <w:pStyle w:val="Style18"/>
        <w:keepNext w:val="0"/>
        <w:keepLines w:val="0"/>
        <w:widowControl w:val="0"/>
        <w:shd w:val="clear" w:color="auto" w:fill="auto"/>
        <w:bidi w:val="0"/>
        <w:spacing w:before="0" w:line="322" w:lineRule="exact"/>
        <w:ind w:left="0" w:right="0" w:firstLine="42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日，根据深交所进一步审核意见，公司会同中介机构对审核问询函的回复内容进行了修订并披露。</w:t>
      </w:r>
    </w:p>
    <w:p>
      <w:pPr>
        <w:pStyle w:val="Style18"/>
        <w:keepNext w:val="0"/>
        <w:keepLines w:val="0"/>
        <w:widowControl w:val="0"/>
        <w:shd w:val="clear" w:color="auto" w:fill="auto"/>
        <w:bidi w:val="0"/>
        <w:spacing w:before="0" w:line="317" w:lineRule="exact"/>
        <w:ind w:left="0" w:right="0" w:firstLine="42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日，公司收到深交所出具的《关于福建永福电力设计股份有限公司申请向特定对象发行股票的第二轮审核 问询函》（审核函〔</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020051</w:t>
      </w:r>
      <w:r>
        <w:rPr>
          <w:color w:val="000000"/>
          <w:spacing w:val="0"/>
          <w:w w:val="100"/>
          <w:position w:val="0"/>
        </w:rPr>
        <w:t>号），后于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日根据相关要求对第二轮审核问询函进行回复并公开披露。</w:t>
      </w:r>
    </w:p>
    <w:p>
      <w:pPr>
        <w:pStyle w:val="Style18"/>
        <w:keepNext w:val="0"/>
        <w:keepLines w:val="0"/>
        <w:widowControl w:val="0"/>
        <w:shd w:val="clear" w:color="auto" w:fill="auto"/>
        <w:bidi w:val="0"/>
        <w:spacing w:before="0" w:after="360" w:line="322" w:lineRule="exact"/>
        <w:ind w:left="0" w:right="0" w:firstLine="420"/>
        <w:jc w:val="both"/>
      </w:pPr>
      <w:r>
        <w:rPr>
          <w:color w:val="000000"/>
          <w:spacing w:val="0"/>
          <w:w w:val="100"/>
          <w:position w:val="0"/>
        </w:rPr>
        <w:t>具体内容详见公司在巨潮资讯网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刊登的相关公告。</w:t>
      </w:r>
    </w:p>
    <w:p>
      <w:pPr>
        <w:pStyle w:val="Style22"/>
        <w:keepNext/>
        <w:keepLines/>
        <w:widowControl w:val="0"/>
        <w:shd w:val="clear" w:color="auto" w:fill="auto"/>
        <w:bidi w:val="0"/>
        <w:spacing w:before="0" w:after="240" w:line="240" w:lineRule="auto"/>
        <w:ind w:left="0" w:right="0" w:firstLine="0"/>
        <w:jc w:val="both"/>
      </w:pPr>
      <w:bookmarkStart w:id="625" w:name="bookmark625"/>
      <w:bookmarkStart w:id="626" w:name="bookmark626"/>
      <w:bookmarkStart w:id="627" w:name="bookmark627"/>
      <w:r>
        <w:rPr>
          <w:color w:val="000000"/>
          <w:spacing w:val="0"/>
          <w:w w:val="100"/>
          <w:position w:val="0"/>
          <w:sz w:val="24"/>
          <w:szCs w:val="24"/>
        </w:rPr>
        <w:t>十七、公司子公司重大事项</w:t>
      </w:r>
      <w:bookmarkEnd w:id="625"/>
      <w:bookmarkEnd w:id="626"/>
      <w:bookmarkEnd w:id="627"/>
    </w:p>
    <w:p>
      <w:pPr>
        <w:pStyle w:val="Style18"/>
        <w:keepNext w:val="0"/>
        <w:keepLines w:val="0"/>
        <w:widowControl w:val="0"/>
        <w:shd w:val="clear" w:color="auto" w:fill="auto"/>
        <w:bidi w:val="0"/>
        <w:spacing w:before="0" w:line="322" w:lineRule="exact"/>
        <w:ind w:left="0" w:right="0" w:firstLine="0"/>
        <w:jc w:val="both"/>
        <w:sectPr>
          <w:footnotePr>
            <w:pos w:val="pageBottom"/>
            <w:numFmt w:val="decimal"/>
            <w:numRestart w:val="continuous"/>
          </w:footnotePr>
          <w:pgSz w:w="11900" w:h="16840"/>
          <w:pgMar w:top="985" w:right="1023" w:bottom="1201" w:left="1066"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jc w:val="left"/>
        <w:rPr>
          <w:sz w:val="2"/>
          <w:szCs w:val="2"/>
        </w:rPr>
      </w:pPr>
      <w:r>
        <w:drawing>
          <wp:inline>
            <wp:extent cx="865505" cy="34734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865505" cy="347345"/>
                    </a:xfrm>
                    <a:prstGeom prst="rect"/>
                  </pic:spPr>
                </pic:pic>
              </a:graphicData>
            </a:graphic>
          </wp:inline>
        </w:drawing>
      </w:r>
    </w:p>
    <w:p>
      <w:pPr>
        <w:widowControl w:val="0"/>
        <w:spacing w:after="559" w:line="1" w:lineRule="exact"/>
      </w:pPr>
    </w:p>
    <w:p>
      <w:pPr>
        <w:pStyle w:val="Style10"/>
        <w:keepNext/>
        <w:keepLines/>
        <w:widowControl w:val="0"/>
        <w:shd w:val="clear" w:color="auto" w:fill="auto"/>
        <w:bidi w:val="0"/>
        <w:spacing w:before="0" w:after="560" w:line="240" w:lineRule="auto"/>
        <w:ind w:left="0" w:right="0" w:firstLine="0"/>
        <w:jc w:val="center"/>
      </w:pPr>
      <w:bookmarkStart w:id="628" w:name="bookmark628"/>
      <w:bookmarkStart w:id="629" w:name="bookmark629"/>
      <w:bookmarkStart w:id="630" w:name="bookmark630"/>
      <w:r>
        <w:rPr>
          <w:color w:val="000000"/>
          <w:spacing w:val="0"/>
          <w:w w:val="100"/>
          <w:position w:val="0"/>
        </w:rPr>
        <w:t>第七节股份变动及股东情况</w:t>
      </w:r>
      <w:bookmarkEnd w:id="628"/>
      <w:bookmarkEnd w:id="629"/>
      <w:bookmarkEnd w:id="630"/>
    </w:p>
    <w:p>
      <w:pPr>
        <w:pStyle w:val="Style22"/>
        <w:keepNext/>
        <w:keepLines/>
        <w:widowControl w:val="0"/>
        <w:shd w:val="clear" w:color="auto" w:fill="auto"/>
        <w:bidi w:val="0"/>
        <w:spacing w:before="0" w:after="360" w:line="240" w:lineRule="auto"/>
        <w:ind w:left="0" w:right="0" w:firstLine="0"/>
        <w:jc w:val="left"/>
      </w:pPr>
      <w:bookmarkStart w:id="631" w:name="bookmark631"/>
      <w:bookmarkStart w:id="632" w:name="bookmark632"/>
      <w:bookmarkStart w:id="633" w:name="bookmark633"/>
      <w:bookmarkStart w:id="634" w:name="bookmark634"/>
      <w:bookmarkStart w:id="635" w:name="bookmark635"/>
      <w:r>
        <w:rPr>
          <w:color w:val="000000"/>
          <w:spacing w:val="0"/>
          <w:w w:val="100"/>
          <w:position w:val="0"/>
          <w:sz w:val="24"/>
          <w:szCs w:val="24"/>
        </w:rPr>
        <w:t>一</w:t>
      </w:r>
      <w:bookmarkEnd w:id="634"/>
      <w:r>
        <w:rPr>
          <w:color w:val="000000"/>
          <w:spacing w:val="0"/>
          <w:w w:val="100"/>
          <w:position w:val="0"/>
          <w:sz w:val="24"/>
          <w:szCs w:val="24"/>
        </w:rPr>
        <w:t>、股份变动情况</w:t>
      </w:r>
      <w:bookmarkEnd w:id="632"/>
      <w:bookmarkEnd w:id="633"/>
      <w:bookmarkEnd w:id="635"/>
      <w:bookmarkEnd w:id="631"/>
    </w:p>
    <w:p>
      <w:pPr>
        <w:pStyle w:val="Style32"/>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、股份变动情况</w:t>
      </w:r>
      <w:bookmarkEnd w:id="636"/>
      <w:bookmarkEnd w:id="637"/>
      <w:bookmarkEnd w:id="6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境内自然人持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460" w:line="352" w:lineRule="exact"/>
        <w:ind w:left="0" w:right="0" w:firstLine="0"/>
        <w:jc w:val="left"/>
        <w:sectPr>
          <w:footnotePr>
            <w:pos w:val="pageBottom"/>
            <w:numFmt w:val="decimal"/>
            <w:numRestart w:val="continuous"/>
          </w:footnotePr>
          <w:pgSz w:w="11900" w:h="16840"/>
          <w:pgMar w:top="894" w:right="1109" w:bottom="1201" w:left="1109" w:header="0" w:footer="3" w:gutter="0"/>
          <w:cols w:space="720"/>
          <w:noEndnote/>
          <w:rtlGutter w:val="0"/>
          <w:docGrid w:linePitch="360"/>
        </w:sectPr>
      </w:pPr>
      <w:r>
        <w:rPr>
          <w:color w:val="000000"/>
          <w:spacing w:val="0"/>
          <w:w w:val="100"/>
          <w:position w:val="0"/>
        </w:rPr>
        <w:t>□</w:t>
      </w:r>
      <w:r>
        <w:rPr>
          <w:color w:val="000000"/>
          <w:spacing w:val="0"/>
          <w:w w:val="100"/>
          <w:position w:val="0"/>
        </w:rPr>
        <w:t xml:space="preserve">适用”不适用 股份变动的批准情况 </w:t>
      </w:r>
      <w:r>
        <w:rPr>
          <w:color w:val="000000"/>
          <w:spacing w:val="0"/>
          <w:w w:val="100"/>
          <w:position w:val="0"/>
        </w:rPr>
        <w:t>□</w:t>
      </w:r>
      <w:r>
        <w:rPr>
          <w:color w:val="000000"/>
          <w:spacing w:val="0"/>
          <w:w w:val="100"/>
          <w:position w:val="0"/>
        </w:rPr>
        <w:t xml:space="preserve">适用”不适用 股份变动的过户情况 </w:t>
      </w:r>
      <w:r>
        <w:rPr>
          <w:color w:val="000000"/>
          <w:spacing w:val="0"/>
          <w:w w:val="100"/>
          <w:position w:val="0"/>
        </w:rPr>
        <w:t>□</w:t>
      </w:r>
      <w:r>
        <w:rPr>
          <w:color w:val="000000"/>
          <w:spacing w:val="0"/>
          <w:w w:val="100"/>
          <w:position w:val="0"/>
        </w:rPr>
        <w:t>适用”不适用</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36" w:lineRule="exact"/>
        <w:ind w:left="0" w:right="0" w:firstLine="582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4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、限售股份变动情况</w:t>
      </w:r>
      <w:bookmarkEnd w:id="640"/>
      <w:bookmarkEnd w:id="641"/>
      <w:bookmarkEnd w:id="643"/>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二</w:t>
      </w:r>
      <w:bookmarkEnd w:id="646"/>
      <w:r>
        <w:rPr>
          <w:color w:val="000000"/>
          <w:spacing w:val="0"/>
          <w:w w:val="100"/>
          <w:position w:val="0"/>
          <w:sz w:val="24"/>
          <w:szCs w:val="24"/>
        </w:rPr>
        <w:t>、证券发行与上市情况</w:t>
      </w:r>
      <w:bookmarkEnd w:id="644"/>
      <w:bookmarkEnd w:id="645"/>
      <w:bookmarkEnd w:id="647"/>
    </w:p>
    <w:p>
      <w:pPr>
        <w:pStyle w:val="Style32"/>
        <w:keepNext/>
        <w:keepLines/>
        <w:widowControl w:val="0"/>
        <w:shd w:val="clear" w:color="auto" w:fill="auto"/>
        <w:bidi w:val="0"/>
        <w:spacing w:before="0" w:after="24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、报告期内证券发行（不含优先股）情况</w:t>
      </w:r>
      <w:bookmarkEnd w:id="648"/>
      <w:bookmarkEnd w:id="649"/>
      <w:bookmarkEnd w:id="651"/>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4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、公司股份总数及股东结构的变动、公司资产和负债结构的变动情况说明</w:t>
      </w:r>
      <w:bookmarkEnd w:id="652"/>
      <w:bookmarkEnd w:id="653"/>
      <w:bookmarkEnd w:id="655"/>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2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3</w:t>
      </w:r>
      <w:bookmarkEnd w:id="658"/>
      <w:r>
        <w:rPr>
          <w:color w:val="000000"/>
          <w:spacing w:val="0"/>
          <w:w w:val="100"/>
          <w:position w:val="0"/>
        </w:rPr>
        <w:t>、现存的内部职工股情况</w:t>
      </w:r>
      <w:bookmarkEnd w:id="656"/>
      <w:bookmarkEnd w:id="657"/>
      <w:bookmarkEnd w:id="659"/>
    </w:p>
    <w:p>
      <w:pPr>
        <w:pStyle w:val="Style18"/>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三</w:t>
      </w:r>
      <w:bookmarkEnd w:id="662"/>
      <w:r>
        <w:rPr>
          <w:color w:val="000000"/>
          <w:spacing w:val="0"/>
          <w:w w:val="100"/>
          <w:position w:val="0"/>
          <w:sz w:val="24"/>
          <w:szCs w:val="24"/>
        </w:rPr>
        <w:t>、股东和实际控制人情况</w:t>
      </w:r>
      <w:bookmarkEnd w:id="660"/>
      <w:bookmarkEnd w:id="661"/>
      <w:bookmarkEnd w:id="663"/>
    </w:p>
    <w:p>
      <w:pPr>
        <w:pStyle w:val="Style32"/>
        <w:keepNext/>
        <w:keepLines/>
        <w:widowControl w:val="0"/>
        <w:shd w:val="clear" w:color="auto" w:fill="auto"/>
        <w:bidi w:val="0"/>
        <w:spacing w:before="0" w:after="24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、公司股东数量及持股情况</w:t>
      </w:r>
      <w:bookmarkEnd w:id="664"/>
      <w:bookmarkEnd w:id="665"/>
      <w:bookmarkEnd w:id="667"/>
    </w:p>
    <w:p>
      <w:pPr>
        <w:pStyle w:val="Style18"/>
        <w:keepNext w:val="0"/>
        <w:keepLines w:val="0"/>
        <w:widowControl w:val="0"/>
        <w:shd w:val="clear" w:color="auto" w:fill="auto"/>
        <w:bidi w:val="0"/>
        <w:spacing w:before="0" w:after="80" w:line="336" w:lineRule="exact"/>
        <w:ind w:left="0" w:right="0" w:firstLine="0"/>
        <w:jc w:val="right"/>
      </w:pPr>
      <w:r>
        <w:rPr>
          <w:color w:val="000000"/>
          <w:spacing w:val="0"/>
          <w:w w:val="100"/>
          <w:position w:val="0"/>
        </w:rPr>
        <w:t>单位：股</w:t>
      </w:r>
    </w:p>
    <w:tbl>
      <w:tblPr>
        <w:tblOverlap w:val="never"/>
        <w:jc w:val="center"/>
        <w:tblLayout w:type="fixed"/>
      </w:tblPr>
      <w:tblGrid>
        <w:gridCol w:w="1373"/>
        <w:gridCol w:w="941"/>
        <w:gridCol w:w="782"/>
        <w:gridCol w:w="1094"/>
        <w:gridCol w:w="989"/>
        <w:gridCol w:w="902"/>
        <w:gridCol w:w="893"/>
        <w:gridCol w:w="413"/>
        <w:gridCol w:w="1320"/>
        <w:gridCol w:w="878"/>
      </w:tblGrid>
      <w:tr>
        <w:trPr>
          <w:trHeight w:val="3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22,116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22,043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 表决权恢 复的优先 股股东总 数（如有）</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 告披露 日前上 一月末 表决权 恢复的 优先股 股东总 数（如 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持有特别表决 权股份的股东 总数（如有）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增减变动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 限售条 件的股</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持有无限售条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质押、标记或冻结情况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447" w:val="left"/>
              </w:tabs>
              <w:bidi w:val="0"/>
              <w:spacing w:before="0" w:after="0" w:line="240" w:lineRule="auto"/>
              <w:ind w:left="0" w:right="0" w:firstLine="180"/>
              <w:jc w:val="left"/>
              <w:rPr>
                <w:sz w:val="17"/>
                <w:szCs w:val="17"/>
              </w:rPr>
            </w:pPr>
            <w:r>
              <w:rPr>
                <w:color w:val="000000"/>
                <w:spacing w:val="0"/>
                <w:w w:val="100"/>
                <w:position w:val="0"/>
                <w:sz w:val="17"/>
                <w:szCs w:val="17"/>
              </w:rPr>
              <w:t>股份状态</w:t>
              <w:tab/>
              <w:t>数量</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1373"/>
        <w:gridCol w:w="941"/>
        <w:gridCol w:w="782"/>
        <w:gridCol w:w="1094"/>
        <w:gridCol w:w="989"/>
        <w:gridCol w:w="902"/>
        <w:gridCol w:w="1306"/>
        <w:gridCol w:w="1080"/>
        <w:gridCol w:w="111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福州博宏投资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46,185,486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46,185,486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福州永福恒诚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投资管理股份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35,378,453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35,378,453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宁德时代新能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源科技股份有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14,567,942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14,567,942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福建省永福博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发投资股份有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全国社保基金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一一八组合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3,276,370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中信里昂资产 管理有限公司 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上海浦东发展 银行股份有限 公司一工银瑞 信生态环境行 业股票型证券</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刘长羽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青岛汉缆股份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交通银行股份 有限公司一广 发中证基建工 程交易型开放 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 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报告期内</w:t>
            </w:r>
            <w:r>
              <w:rPr>
                <w:color w:val="000000"/>
                <w:spacing w:val="0"/>
                <w:w w:val="100"/>
                <w:position w:val="0"/>
                <w:sz w:val="18"/>
                <w:szCs w:val="18"/>
              </w:rPr>
              <w:t>，</w:t>
            </w:r>
            <w:r>
              <w:rPr>
                <w:color w:val="000000"/>
                <w:spacing w:val="0"/>
                <w:w w:val="100"/>
                <w:position w:val="0"/>
                <w:sz w:val="17"/>
                <w:szCs w:val="17"/>
              </w:rPr>
              <w:t>福州博宏投资管理有限公司</w:t>
            </w:r>
            <w:r>
              <w:rPr>
                <w:color w:val="000000"/>
                <w:spacing w:val="0"/>
                <w:w w:val="100"/>
                <w:position w:val="0"/>
                <w:sz w:val="18"/>
                <w:szCs w:val="18"/>
              </w:rPr>
              <w:t>，</w:t>
            </w:r>
            <w:r>
              <w:rPr>
                <w:color w:val="000000"/>
                <w:spacing w:val="0"/>
                <w:w w:val="100"/>
                <w:position w:val="0"/>
                <w:sz w:val="17"/>
                <w:szCs w:val="17"/>
              </w:rPr>
              <w:t>福州永福恒诚投资管理股份有限公司和福建省永福 博发投资股份有限公司均为公司实际控制人控制，为公司的控股股东。除此之外，公司未 知上述股东之间是否存在关联关系，也未知是否属于一致行动人。</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2314"/>
        <w:gridCol w:w="3586"/>
        <w:gridCol w:w="1968"/>
        <w:gridCol w:w="171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决权、放弃表决权情况的说 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 户的特别说明（如有）（参 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福州博宏投资管理有限公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46,185,486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46,185,486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福州永福恒诚投资管理股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35,378,453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35,378,453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宁德时代新能源科技股份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14,567,942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14,567,942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福建省永福博发投资股份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3,830,796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3,830,796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全国社保基金一一八组合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3,276,370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3,276,370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中信里昂资产管理有限公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2,002,512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2,002,512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上海浦东发展银行股份有 限公司一工银瑞信生态环 境行业股票型证券投资基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1,425,600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1,425,600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1,405,001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1,405,001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青岛汉缆股份有限公司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1,166,550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1,166,550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交通银行股份有限公司一 广发中证基建工程交易型 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897,772</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 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报告期内，福州博宏投资管理有限公司、福州永福恒诚投资管理股份有限公司和福建省永 福博发投资股份有限公司均为公司实际控制人控制，为公司的控股股东。除此之外，公司 未知上述股东之间以及上述股东和前十名股东之间是否存在关联关系，也未知是否属于一 致行动人。</w:t>
            </w:r>
          </w:p>
        </w:tc>
      </w:tr>
      <w:tr>
        <w:trPr>
          <w:trHeight w:val="20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参与融资融券业务股东情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color w:val="000000"/>
                <w:spacing w:val="0"/>
                <w:w w:val="100"/>
                <w:position w:val="0"/>
                <w:sz w:val="17"/>
                <w:szCs w:val="17"/>
              </w:rPr>
              <w:t>公司股东福州博宏投资管理有限公司除通过普通证券账户持有</w:t>
            </w:r>
            <w:r>
              <w:rPr>
                <w:rFonts w:ascii="Times New Roman" w:eastAsia="Times New Roman" w:hAnsi="Times New Roman" w:cs="Times New Roman"/>
                <w:color w:val="000000"/>
                <w:spacing w:val="0"/>
                <w:w w:val="100"/>
                <w:position w:val="0"/>
                <w:sz w:val="18"/>
                <w:szCs w:val="18"/>
              </w:rPr>
              <w:t>34,185,486</w:t>
            </w:r>
            <w:r>
              <w:rPr>
                <w:color w:val="000000"/>
                <w:spacing w:val="0"/>
                <w:w w:val="100"/>
                <w:position w:val="0"/>
                <w:sz w:val="17"/>
                <w:szCs w:val="17"/>
              </w:rPr>
              <w:t>股以外，还通过 国泰君安证券股份有限公司客户信用交易担保证券账户持有</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sz w:val="17"/>
                <w:szCs w:val="17"/>
              </w:rPr>
              <w:t xml:space="preserve">股，实际合计持有 </w:t>
            </w:r>
            <w:r>
              <w:rPr>
                <w:rFonts w:ascii="Times New Roman" w:eastAsia="Times New Roman" w:hAnsi="Times New Roman" w:cs="Times New Roman"/>
                <w:color w:val="000000"/>
                <w:spacing w:val="0"/>
                <w:w w:val="100"/>
                <w:position w:val="0"/>
                <w:sz w:val="18"/>
                <w:szCs w:val="18"/>
              </w:rPr>
              <w:t xml:space="preserve">46,185,486 </w:t>
            </w:r>
            <w:r>
              <w:rPr>
                <w:color w:val="000000"/>
                <w:spacing w:val="0"/>
                <w:w w:val="100"/>
                <w:position w:val="0"/>
                <w:sz w:val="17"/>
                <w:szCs w:val="17"/>
              </w:rPr>
              <w:t>股。</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公司股东福州永福恒诚投资管理股份有限公司除通过普通证券账户持有</w:t>
            </w:r>
            <w:r>
              <w:rPr>
                <w:rFonts w:ascii="Times New Roman" w:eastAsia="Times New Roman" w:hAnsi="Times New Roman" w:cs="Times New Roman"/>
                <w:color w:val="000000"/>
                <w:spacing w:val="0"/>
                <w:w w:val="100"/>
                <w:position w:val="0"/>
                <w:sz w:val="18"/>
                <w:szCs w:val="18"/>
              </w:rPr>
              <w:t>22,878,453</w:t>
            </w:r>
            <w:r>
              <w:rPr>
                <w:color w:val="000000"/>
                <w:spacing w:val="0"/>
                <w:w w:val="100"/>
                <w:position w:val="0"/>
                <w:sz w:val="17"/>
                <w:szCs w:val="17"/>
              </w:rPr>
              <w:t>股以 夕卜，还通过兴业证券股份有限公司客户信用交易担保证券账户持有</w:t>
            </w:r>
            <w:r>
              <w:rPr>
                <w:rFonts w:ascii="Times New Roman" w:eastAsia="Times New Roman" w:hAnsi="Times New Roman" w:cs="Times New Roman"/>
                <w:color w:val="000000"/>
                <w:spacing w:val="0"/>
                <w:w w:val="100"/>
                <w:position w:val="0"/>
                <w:sz w:val="18"/>
                <w:szCs w:val="18"/>
              </w:rPr>
              <w:t>12,500,000</w:t>
            </w:r>
            <w:r>
              <w:rPr>
                <w:color w:val="000000"/>
                <w:spacing w:val="0"/>
                <w:w w:val="100"/>
                <w:position w:val="0"/>
                <w:sz w:val="17"/>
                <w:szCs w:val="17"/>
              </w:rPr>
              <w:t>股，实际合 计持有</w:t>
            </w:r>
            <w:r>
              <w:rPr>
                <w:rFonts w:ascii="Times New Roman" w:eastAsia="Times New Roman" w:hAnsi="Times New Roman" w:cs="Times New Roman"/>
                <w:color w:val="000000"/>
                <w:spacing w:val="0"/>
                <w:w w:val="100"/>
                <w:position w:val="0"/>
                <w:sz w:val="18"/>
                <w:szCs w:val="18"/>
              </w:rPr>
              <w:t>35,378,453</w:t>
            </w:r>
            <w:r>
              <w:rPr>
                <w:color w:val="000000"/>
                <w:spacing w:val="0"/>
                <w:w w:val="100"/>
                <w:position w:val="0"/>
                <w:sz w:val="17"/>
                <w:szCs w:val="17"/>
              </w:rPr>
              <w:t>股。</w:t>
            </w:r>
          </w:p>
        </w:tc>
      </w:tr>
    </w:tbl>
    <w:p>
      <w:pPr>
        <w:sectPr>
          <w:footnotePr>
            <w:pos w:val="pageBottom"/>
            <w:numFmt w:val="decimal"/>
            <w:numRestart w:val="continuous"/>
          </w:footnotePr>
          <w:pgSz w:w="11900" w:h="16840"/>
          <w:pgMar w:top="1520" w:right="1196" w:bottom="1554" w:left="1119"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tabs>
          <w:tab w:pos="5791" w:val="left"/>
        </w:tabs>
        <w:bidi w:val="0"/>
        <w:spacing w:before="0" w:after="80" w:line="240" w:lineRule="auto"/>
        <w:ind w:left="0" w:right="0" w:firstLine="780"/>
        <w:jc w:val="left"/>
      </w:pPr>
      <w:r>
        <w:rPr>
          <w:rFonts w:ascii="Times New Roman" w:eastAsia="Times New Roman" w:hAnsi="Times New Roman" w:cs="Times New Roman"/>
          <w:color w:val="000000"/>
          <w:spacing w:val="0"/>
          <w:w w:val="100"/>
          <w:position w:val="0"/>
          <w:sz w:val="18"/>
          <w:szCs w:val="18"/>
          <w:u w:val="single"/>
        </w:rPr>
        <w:t>"n</w:t>
      </w:r>
      <w:r>
        <w:rPr>
          <w:color w:val="000000"/>
          <w:spacing w:val="0"/>
          <w:w w:val="100"/>
          <w:position w:val="0"/>
          <w:u w:val="single"/>
        </w:rPr>
        <w:t>皿</w:t>
        <w:tab/>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18"/>
        <w:keepNext w:val="0"/>
        <w:keepLines w:val="0"/>
        <w:widowControl w:val="0"/>
        <w:shd w:val="clear" w:color="auto" w:fill="auto"/>
        <w:tabs>
          <w:tab w:pos="2405" w:val="left"/>
        </w:tabs>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I</w:t>
      </w:r>
      <w:r>
        <w:rPr>
          <w:rFonts w:ascii="Times New Roman" w:eastAsia="Times New Roman" w:hAnsi="Times New Roman" w:cs="Times New Roman"/>
          <w:color w:val="000000"/>
          <w:spacing w:val="0"/>
          <w:w w:val="100"/>
          <w:position w:val="0"/>
          <w:sz w:val="18"/>
          <w:szCs w:val="18"/>
          <w:u w:val="single"/>
        </w:rPr>
        <w:tab/>
      </w:r>
      <w:r>
        <w:rPr>
          <w:color w:val="000000"/>
          <w:spacing w:val="0"/>
          <w:w w:val="100"/>
          <w:position w:val="0"/>
        </w:rPr>
        <w:t>公司股东刘长羽通过华西证券股份有限公司客户信用交易担保证券账户持有</w:t>
      </w:r>
      <w:r>
        <w:rPr>
          <w:rFonts w:ascii="Times New Roman" w:eastAsia="Times New Roman" w:hAnsi="Times New Roman" w:cs="Times New Roman"/>
          <w:color w:val="000000"/>
          <w:spacing w:val="0"/>
          <w:w w:val="100"/>
          <w:position w:val="0"/>
          <w:sz w:val="18"/>
          <w:szCs w:val="18"/>
        </w:rPr>
        <w:t>1,405,001</w:t>
      </w:r>
      <w:r>
        <w:rPr>
          <w:color w:val="000000"/>
          <w:spacing w:val="0"/>
          <w:w w:val="100"/>
          <w:position w:val="0"/>
        </w:rPr>
        <w:t>股。</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、公司控股股东情况</w:t>
      </w:r>
      <w:bookmarkEnd w:id="668"/>
      <w:bookmarkEnd w:id="669"/>
      <w:bookmarkEnd w:id="67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459"/>
        <w:gridCol w:w="1248"/>
        <w:gridCol w:w="1680"/>
        <w:gridCol w:w="1934"/>
        <w:gridCol w:w="326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福州博宏投资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91350100060378750J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投资管理；对电力业、房地产业、通讯 业、计算机网络的投资；企业资产管理； 企业管理咨询。</w:t>
            </w:r>
            <w:r>
              <w:rPr>
                <w:color w:val="000000"/>
                <w:spacing w:val="0"/>
                <w:w w:val="100"/>
                <w:position w:val="0"/>
                <w:sz w:val="18"/>
                <w:szCs w:val="18"/>
              </w:rPr>
              <w:t>（</w:t>
            </w:r>
            <w:r>
              <w:rPr>
                <w:color w:val="000000"/>
                <w:spacing w:val="0"/>
                <w:w w:val="100"/>
                <w:position w:val="0"/>
                <w:sz w:val="17"/>
                <w:szCs w:val="17"/>
              </w:rPr>
              <w:t>依法须经批准的项目， 经相关部门批准后方可开展经营活动</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福州永福恒诚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投资管理股份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913501000603524468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对电力业、房地产业、通讯业、计算机 网络的投资及资产管理，企业管理咨 询。</w:t>
            </w:r>
            <w:r>
              <w:rPr>
                <w:color w:val="000000"/>
                <w:spacing w:val="0"/>
                <w:w w:val="100"/>
                <w:position w:val="0"/>
                <w:sz w:val="18"/>
                <w:szCs w:val="18"/>
              </w:rPr>
              <w:t>（</w:t>
            </w:r>
            <w:r>
              <w:rPr>
                <w:color w:val="000000"/>
                <w:spacing w:val="0"/>
                <w:w w:val="100"/>
                <w:position w:val="0"/>
                <w:sz w:val="17"/>
                <w:szCs w:val="17"/>
              </w:rPr>
              <w:t>依法须经批准的项目，经相关部门 批准后方可开展经营活动</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发投资股份有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913501000561386157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对电力业、房地产业、通讯业、计算机 网络的投资及资产管理，企业管理咨 询。</w:t>
            </w:r>
            <w:r>
              <w:rPr>
                <w:color w:val="000000"/>
                <w:spacing w:val="0"/>
                <w:w w:val="100"/>
                <w:position w:val="0"/>
                <w:sz w:val="18"/>
                <w:szCs w:val="18"/>
              </w:rPr>
              <w:t>（</w:t>
            </w:r>
            <w:r>
              <w:rPr>
                <w:color w:val="000000"/>
                <w:spacing w:val="0"/>
                <w:w w:val="100"/>
                <w:position w:val="0"/>
                <w:sz w:val="17"/>
                <w:szCs w:val="17"/>
              </w:rPr>
              <w:t>依法须经批准的项目，经相关部门 批准后方可开展经营活动</w:t>
            </w:r>
            <w:r>
              <w:rPr>
                <w:color w:val="000000"/>
                <w:spacing w:val="0"/>
                <w:w w:val="100"/>
                <w:position w:val="0"/>
                <w:sz w:val="18"/>
                <w:szCs w:val="18"/>
              </w:rPr>
              <w:t>）</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控股股东报告期内控股和参股 的其他境内外上市公司的股权 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3</w:t>
      </w:r>
      <w:bookmarkEnd w:id="674"/>
      <w:r>
        <w:rPr>
          <w:color w:val="000000"/>
          <w:spacing w:val="0"/>
          <w:w w:val="100"/>
          <w:position w:val="0"/>
        </w:rPr>
        <w:t>、公司实际控制人及其一致行动人</w:t>
      </w:r>
      <w:bookmarkEnd w:id="672"/>
      <w:bookmarkEnd w:id="673"/>
      <w:bookmarkEnd w:id="675"/>
    </w:p>
    <w:p>
      <w:pPr>
        <w:pStyle w:val="Style18"/>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报告期内，林一文先生担任公司董事长、总经理。</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2400"/>
        <w:gridCol w:w="718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 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林一文、季征南、王劲军、宋发兴、钱有武、卓秀者、陈 强、卢庆议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林一文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39" w:line="1" w:lineRule="exact"/>
      </w:pPr>
    </w:p>
    <w:p>
      <w:pPr>
        <w:widowControl w:val="0"/>
        <w:jc w:val="center"/>
        <w:rPr>
          <w:sz w:val="2"/>
          <w:szCs w:val="2"/>
        </w:rPr>
      </w:pPr>
      <w:r>
        <w:drawing>
          <wp:inline>
            <wp:extent cx="4596130" cy="316357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4596130" cy="3163570"/>
                    </a:xfrm>
                    <a:prstGeom prst="rect"/>
                  </pic:spPr>
                </pic:pic>
              </a:graphicData>
            </a:graphic>
          </wp:inline>
        </w:drawing>
      </w:r>
    </w:p>
    <w:p>
      <w:pPr>
        <w:widowControl w:val="0"/>
        <w:spacing w:after="2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4</w:t>
      </w:r>
      <w:bookmarkEnd w:id="67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6"/>
      <w:bookmarkEnd w:id="677"/>
      <w:bookmarkEnd w:id="67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5</w:t>
      </w:r>
      <w:bookmarkEnd w:id="6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0"/>
      <w:bookmarkEnd w:id="681"/>
      <w:bookmarkEnd w:id="68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w:t>
        <w:tab/>
        <w:t>控股股东、实际控制人、重组方及其他承诺主体股份限制减持情况</w:t>
      </w:r>
      <w:bookmarkEnd w:id="684"/>
      <w:bookmarkEnd w:id="685"/>
      <w:bookmarkEnd w:id="687"/>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widowControl w:val="0"/>
        <w:jc w:val="left"/>
        <w:rPr>
          <w:sz w:val="2"/>
          <w:szCs w:val="2"/>
        </w:rPr>
      </w:pPr>
      <w:r>
        <w:drawing>
          <wp:inline>
            <wp:extent cx="865505" cy="34734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865505" cy="347345"/>
                    </a:xfrm>
                    <a:prstGeom prst="rect"/>
                  </pic:spPr>
                </pic:pic>
              </a:graphicData>
            </a:graphic>
          </wp:inline>
        </w:drawing>
      </w:r>
    </w:p>
    <w:p>
      <w:pPr>
        <w:widowControl w:val="0"/>
        <w:spacing w:after="139" w:line="1" w:lineRule="exact"/>
      </w:pPr>
    </w:p>
    <w:p>
      <w:pPr>
        <w:pStyle w:val="Style22"/>
        <w:keepNext/>
        <w:keepLines/>
        <w:widowControl w:val="0"/>
        <w:shd w:val="clear" w:color="auto" w:fill="auto"/>
        <w:bidi w:val="0"/>
        <w:spacing w:before="0" w:after="36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、股份回购在报告期的具体实施情况</w:t>
      </w:r>
      <w:bookmarkEnd w:id="688"/>
      <w:bookmarkEnd w:id="689"/>
      <w:bookmarkEnd w:id="69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505" w:right="1195" w:bottom="1410"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bookmarkEnd w:id="692"/>
    </w:p>
    <w:p>
      <w:pPr>
        <w:pStyle w:val="Style18"/>
        <w:keepNext w:val="0"/>
        <w:keepLines w:val="0"/>
        <w:widowControl w:val="0"/>
        <w:pBdr>
          <w:bottom w:val="single" w:sz="4" w:space="0" w:color="auto"/>
        </w:pBdr>
        <w:shd w:val="clear" w:color="auto" w:fill="auto"/>
        <w:bidi w:val="0"/>
        <w:spacing w:before="0" w:after="56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0"/>
        <w:keepNext/>
        <w:keepLines/>
        <w:widowControl w:val="0"/>
        <w:shd w:val="clear" w:color="auto" w:fill="auto"/>
        <w:bidi w:val="0"/>
        <w:spacing w:before="0" w:after="560" w:line="240" w:lineRule="auto"/>
        <w:ind w:left="0" w:right="0" w:firstLine="0"/>
        <w:jc w:val="center"/>
      </w:pPr>
      <w:bookmarkStart w:id="693" w:name="bookmark693"/>
      <w:bookmarkStart w:id="694" w:name="bookmark694"/>
      <w:bookmarkStart w:id="695" w:name="bookmark695"/>
      <w:r>
        <w:rPr>
          <w:color w:val="000000"/>
          <w:spacing w:val="0"/>
          <w:w w:val="100"/>
          <w:position w:val="0"/>
        </w:rPr>
        <w:t>第八节优先股相关情况</w:t>
      </w:r>
      <w:bookmarkEnd w:id="693"/>
      <w:bookmarkEnd w:id="694"/>
      <w:bookmarkEnd w:id="69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85" w:right="1071" w:bottom="1201" w:left="1066" w:header="0" w:footer="3" w:gutter="0"/>
          <w:cols w:space="720"/>
          <w:noEndnote/>
          <w:rtlGutter w:val="0"/>
          <w:docGrid w:linePitch="360"/>
        </w:sectPr>
      </w:pPr>
      <w:r>
        <w:rPr>
          <w:color w:val="000000"/>
          <w:spacing w:val="0"/>
          <w:w w:val="100"/>
          <w:position w:val="0"/>
        </w:rPr>
        <w:t>报告期公司不存在优先股。</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555" w:right="1143" w:bottom="1301" w:left="1124" w:header="0" w:footer="3" w:gutter="0"/>
          <w:cols w:space="720"/>
          <w:noEndnote/>
          <w:rtlGutter w:val="0"/>
          <w:docGrid w:linePitch="360"/>
        </w:sectPr>
      </w:pPr>
    </w:p>
    <w:p>
      <w:pPr>
        <w:pStyle w:val="Style18"/>
        <w:keepNext w:val="0"/>
        <w:keepLines w:val="0"/>
        <w:framePr w:w="1560" w:h="230" w:wrap="none" w:vAnchor="text" w:hAnchor="page" w:x="1125" w:y="932"/>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96" w:name="bookmark696"/>
      <w:bookmarkStart w:id="697" w:name="bookmark697"/>
      <w:bookmarkStart w:id="698" w:name="bookmark698"/>
      <w:r>
        <w:rPr>
          <w:color w:val="000000"/>
          <w:spacing w:val="0"/>
          <w:w w:val="100"/>
          <w:position w:val="0"/>
        </w:rPr>
        <w:t>第九节债券相关情况</w:t>
      </w:r>
      <w:bookmarkEnd w:id="696"/>
      <w:bookmarkEnd w:id="697"/>
      <w:bookmarkEnd w:id="698"/>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555" w:right="1143" w:bottom="1301" w:left="1124" w:header="0" w:footer="3" w:gutter="0"/>
          <w:cols w:space="720"/>
          <w:noEndnote/>
          <w:rtlGutter w:val="0"/>
          <w:docGrid w:linePitch="360"/>
        </w:sectPr>
      </w:pPr>
    </w:p>
    <w:p>
      <w:pPr>
        <w:pStyle w:val="Style10"/>
        <w:keepNext/>
        <w:keepLines/>
        <w:widowControl w:val="0"/>
        <w:shd w:val="clear" w:color="auto" w:fill="auto"/>
        <w:bidi w:val="0"/>
        <w:spacing w:before="480" w:after="520" w:line="240" w:lineRule="auto"/>
        <w:ind w:left="0" w:right="0" w:firstLine="0"/>
        <w:jc w:val="center"/>
      </w:pPr>
      <w:bookmarkStart w:id="699" w:name="bookmark699"/>
      <w:bookmarkStart w:id="700" w:name="bookmark700"/>
      <w:bookmarkStart w:id="701" w:name="bookmark701"/>
      <w:r>
        <w:rPr>
          <w:color w:val="000000"/>
          <w:spacing w:val="0"/>
          <w:w w:val="100"/>
          <w:position w:val="0"/>
        </w:rPr>
        <w:t>第十节财务报告</w:t>
      </w:r>
      <w:bookmarkEnd w:id="699"/>
      <w:bookmarkEnd w:id="700"/>
      <w:bookmarkEnd w:id="701"/>
    </w:p>
    <w:p>
      <w:pPr>
        <w:pStyle w:val="Style22"/>
        <w:keepNext/>
        <w:keepLines/>
        <w:widowControl w:val="0"/>
        <w:shd w:val="clear" w:color="auto" w:fill="auto"/>
        <w:bidi w:val="0"/>
        <w:spacing w:before="0" w:line="240" w:lineRule="auto"/>
        <w:ind w:left="0" w:right="0" w:firstLine="260"/>
        <w:jc w:val="both"/>
      </w:pPr>
      <w:bookmarkStart w:id="702" w:name="bookmark702"/>
      <w:bookmarkStart w:id="703" w:name="bookmark703"/>
      <w:bookmarkStart w:id="704" w:name="bookmark704"/>
      <w:r>
        <w:rPr>
          <w:color w:val="000000"/>
          <w:spacing w:val="0"/>
          <w:w w:val="100"/>
          <w:position w:val="0"/>
          <w:sz w:val="24"/>
          <w:szCs w:val="24"/>
        </w:rPr>
        <w:t>、审计报告</w:t>
      </w:r>
      <w:bookmarkEnd w:id="702"/>
      <w:bookmarkEnd w:id="703"/>
      <w:bookmarkEnd w:id="70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ZA12149</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杨志平、瞿玉敏</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59" w:line="1" w:lineRule="exact"/>
      </w:pPr>
    </w:p>
    <w:p>
      <w:pPr>
        <w:pStyle w:val="Style28"/>
        <w:keepNext w:val="0"/>
        <w:keepLines w:val="0"/>
        <w:widowControl w:val="0"/>
        <w:shd w:val="clear" w:color="auto" w:fill="auto"/>
        <w:bidi w:val="0"/>
        <w:spacing w:before="0" w:after="60" w:line="312" w:lineRule="exact"/>
        <w:ind w:left="0" w:right="0" w:firstLine="0"/>
        <w:jc w:val="center"/>
      </w:pPr>
      <w:r>
        <w:rPr>
          <w:b/>
          <w:bCs/>
          <w:color w:val="000000"/>
          <w:spacing w:val="0"/>
          <w:w w:val="100"/>
          <w:position w:val="0"/>
        </w:rPr>
        <w:t>审计报告</w:t>
      </w:r>
    </w:p>
    <w:p>
      <w:pPr>
        <w:pStyle w:val="Style69"/>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信会师报字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ZA12149</w:t>
      </w:r>
      <w:r>
        <w:rPr>
          <w:rFonts w:ascii="SimSun" w:eastAsia="SimSun" w:hAnsi="SimSun" w:cs="SimSun"/>
          <w:color w:val="000000"/>
          <w:spacing w:val="0"/>
          <w:w w:val="100"/>
          <w:position w:val="0"/>
        </w:rPr>
        <w:t>号</w:t>
      </w:r>
    </w:p>
    <w:p>
      <w:pPr>
        <w:pStyle w:val="Style28"/>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福建永福电力设计股份有限公司有限公司全体股东：</w:t>
      </w:r>
    </w:p>
    <w:p>
      <w:pPr>
        <w:pStyle w:val="Style28"/>
        <w:keepNext w:val="0"/>
        <w:keepLines w:val="0"/>
        <w:widowControl w:val="0"/>
        <w:shd w:val="clear" w:color="auto" w:fill="auto"/>
        <w:tabs>
          <w:tab w:pos="918" w:val="left"/>
        </w:tabs>
        <w:bidi w:val="0"/>
        <w:spacing w:before="0" w:after="0" w:line="312" w:lineRule="exact"/>
        <w:ind w:left="0" w:right="0" w:firstLine="440"/>
        <w:jc w:val="both"/>
      </w:pPr>
      <w:bookmarkStart w:id="705" w:name="bookmark705"/>
      <w:r>
        <w:rPr>
          <w:b/>
          <w:bCs/>
          <w:color w:val="000000"/>
          <w:spacing w:val="0"/>
          <w:w w:val="100"/>
          <w:position w:val="0"/>
        </w:rPr>
        <w:t>一</w:t>
      </w:r>
      <w:bookmarkEnd w:id="705"/>
      <w:r>
        <w:rPr>
          <w:b/>
          <w:bCs/>
          <w:color w:val="000000"/>
          <w:spacing w:val="0"/>
          <w:w w:val="100"/>
          <w:position w:val="0"/>
        </w:rPr>
        <w:t>、</w:t>
        <w:tab/>
        <w:t>审计意见</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我们审计了福建永福电力设计股份有限公司有限公司（以下简称永福股份）财务报表，包括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 母公司所有者权益变动表以及相关财务报表附注。</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我们认为，后附的财务报表在所有重大方面按照企业会计准则的规定编制，公允反映了永福股份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8"/>
        <w:keepNext w:val="0"/>
        <w:keepLines w:val="0"/>
        <w:widowControl w:val="0"/>
        <w:shd w:val="clear" w:color="auto" w:fill="auto"/>
        <w:tabs>
          <w:tab w:pos="918" w:val="left"/>
        </w:tabs>
        <w:bidi w:val="0"/>
        <w:spacing w:before="0" w:after="0" w:line="312" w:lineRule="exact"/>
        <w:ind w:left="0" w:right="0" w:firstLine="440"/>
        <w:jc w:val="both"/>
      </w:pPr>
      <w:bookmarkStart w:id="706" w:name="bookmark706"/>
      <w:r>
        <w:rPr>
          <w:b/>
          <w:bCs/>
          <w:color w:val="000000"/>
          <w:spacing w:val="0"/>
          <w:w w:val="100"/>
          <w:position w:val="0"/>
        </w:rPr>
        <w:t>二</w:t>
      </w:r>
      <w:bookmarkEnd w:id="706"/>
      <w:r>
        <w:rPr>
          <w:b/>
          <w:bCs/>
          <w:color w:val="000000"/>
          <w:spacing w:val="0"/>
          <w:w w:val="100"/>
          <w:position w:val="0"/>
        </w:rPr>
        <w:t>、</w:t>
        <w:tab/>
        <w:t>形成审计意见的基础</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部分进一步阐述了我们在这些准则下的责任。按照中国注册会计师职业道德守则，我们独立于永 福股份，并履行了职业道德方面的其他责任。我们相信，我们获取的审计证据是充分、适当的，为发表审 计意见提供了基础。</w:t>
      </w:r>
    </w:p>
    <w:p>
      <w:pPr>
        <w:pStyle w:val="Style28"/>
        <w:keepNext w:val="0"/>
        <w:keepLines w:val="0"/>
        <w:widowControl w:val="0"/>
        <w:shd w:val="clear" w:color="auto" w:fill="auto"/>
        <w:tabs>
          <w:tab w:pos="923" w:val="left"/>
        </w:tabs>
        <w:bidi w:val="0"/>
        <w:spacing w:before="0" w:after="0" w:line="312" w:lineRule="exact"/>
        <w:ind w:left="0" w:right="0" w:firstLine="440"/>
        <w:jc w:val="both"/>
      </w:pPr>
      <w:bookmarkStart w:id="707" w:name="bookmark707"/>
      <w:r>
        <w:rPr>
          <w:b/>
          <w:bCs/>
          <w:color w:val="000000"/>
          <w:spacing w:val="0"/>
          <w:w w:val="100"/>
          <w:position w:val="0"/>
        </w:rPr>
        <w:t>三</w:t>
      </w:r>
      <w:bookmarkEnd w:id="707"/>
      <w:r>
        <w:rPr>
          <w:b/>
          <w:bCs/>
          <w:color w:val="000000"/>
          <w:spacing w:val="0"/>
          <w:w w:val="100"/>
          <w:position w:val="0"/>
        </w:rPr>
        <w:t>、</w:t>
        <w:tab/>
        <w:t>关键审计事项</w:t>
      </w:r>
    </w:p>
    <w:p>
      <w:pPr>
        <w:pStyle w:val="Style28"/>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关键审计事项是我们根据职业判断，认为对本期财务报表审计最为重要的事项。这些事项的应对以对</w:t>
      </w:r>
    </w:p>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财务报表整体进行审计并形成审计意见为背景，我们不对这些事项单独发表意见。</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我们在审计中识别出的关键审计事项汇总如下：</w:t>
      </w:r>
    </w:p>
    <w:tbl>
      <w:tblPr>
        <w:tblOverlap w:val="never"/>
        <w:jc w:val="center"/>
        <w:tblLayout w:type="fixed"/>
      </w:tblPr>
      <w:tblGrid>
        <w:gridCol w:w="2794"/>
        <w:gridCol w:w="688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15" w:val="left"/>
              </w:tabs>
              <w:bidi w:val="0"/>
              <w:spacing w:before="0" w:after="0" w:line="240" w:lineRule="auto"/>
              <w:ind w:left="0" w:right="0" w:firstLine="0"/>
              <w:jc w:val="left"/>
              <w:rPr>
                <w:sz w:val="19"/>
                <w:szCs w:val="19"/>
              </w:rPr>
            </w:pPr>
            <w:r>
              <w:rPr>
                <w:b/>
                <w:bCs/>
                <w:color w:val="000000"/>
                <w:spacing w:val="0"/>
                <w:w w:val="100"/>
                <w:position w:val="0"/>
                <w:sz w:val="19"/>
                <w:szCs w:val="19"/>
              </w:rPr>
              <w:t>（一）</w:t>
              <w:tab/>
              <w:t>应收账款的可回收性及坏账准备的计提</w:t>
            </w:r>
          </w:p>
        </w:tc>
      </w:tr>
      <w:tr>
        <w:trPr>
          <w:trHeight w:val="19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请参阅财务报表附注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五、（四） 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注释。</w:t>
            </w:r>
          </w:p>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永福股份截至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 应收账款金额为</w:t>
            </w:r>
            <w:r>
              <w:rPr>
                <w:rFonts w:ascii="Times New Roman" w:eastAsia="Times New Roman" w:hAnsi="Times New Roman" w:cs="Times New Roman"/>
                <w:color w:val="000000"/>
                <w:spacing w:val="0"/>
                <w:w w:val="100"/>
                <w:position w:val="0"/>
                <w:sz w:val="20"/>
                <w:szCs w:val="20"/>
              </w:rPr>
              <w:t>64,669.89</w:t>
            </w:r>
            <w:r>
              <w:rPr>
                <w:color w:val="000000"/>
                <w:spacing w:val="0"/>
                <w:w w:val="100"/>
                <w:position w:val="0"/>
                <w:sz w:val="19"/>
                <w:szCs w:val="19"/>
              </w:rPr>
              <w:t>万元， 占资产总额</w:t>
            </w:r>
            <w:r>
              <w:rPr>
                <w:rFonts w:ascii="Times New Roman" w:eastAsia="Times New Roman" w:hAnsi="Times New Roman" w:cs="Times New Roman"/>
                <w:color w:val="000000"/>
                <w:spacing w:val="0"/>
                <w:w w:val="100"/>
                <w:position w:val="0"/>
                <w:sz w:val="20"/>
                <w:szCs w:val="20"/>
              </w:rPr>
              <w:t>21.37%</w:t>
            </w:r>
            <w:r>
              <w:rPr>
                <w:color w:val="000000"/>
                <w:spacing w:val="0"/>
                <w:w w:val="100"/>
                <w:position w:val="0"/>
                <w:sz w:val="19"/>
                <w:szCs w:val="19"/>
              </w:rPr>
              <w:t>比重较大。由 于评估应收账款的可收回性时，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98" w:val="left"/>
              </w:tabs>
              <w:bidi w:val="0"/>
              <w:spacing w:before="0" w:after="0" w:line="313"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了解并评价管理层在对应收账款可回收性评估方面的关键控制，包括应收账 款的账龄分析和对应收账款余额的可收回性的定期评估；复核报告期坏账准备 计提政策是否保持一致；</w:t>
            </w:r>
          </w:p>
          <w:p>
            <w:pPr>
              <w:pStyle w:val="Style2"/>
              <w:keepNext w:val="0"/>
              <w:keepLines w:val="0"/>
              <w:widowControl w:val="0"/>
              <w:shd w:val="clear" w:color="auto" w:fill="auto"/>
              <w:tabs>
                <w:tab w:pos="259" w:val="left"/>
              </w:tabs>
              <w:bidi w:val="0"/>
              <w:spacing w:before="0" w:after="0" w:line="313"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复核管理层对基于历史信用损失经验并结合当前状况及对未来经济状况的预 测预期信用损失率的合理性，包括对迁徙率、历史损失率的重新计算，参考历 史经验及前瞻性信息，对预期损失率的合理性进行评估；</w:t>
            </w:r>
          </w:p>
        </w:tc>
      </w:tr>
    </w:tbl>
    <w:p>
      <w:pPr>
        <w:widowControl w:val="0"/>
        <w:spacing w:line="1" w:lineRule="exact"/>
      </w:pPr>
      <w:r>
        <w:br w:type="page"/>
      </w:r>
    </w:p>
    <w:tbl>
      <w:tblPr>
        <w:tblOverlap w:val="never"/>
        <w:jc w:val="center"/>
        <w:tblLayout w:type="fixed"/>
      </w:tblPr>
      <w:tblGrid>
        <w:gridCol w:w="2794"/>
        <w:gridCol w:w="6883"/>
      </w:tblGrid>
      <w:tr>
        <w:trPr>
          <w:trHeight w:val="16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很大程度上依赖管理层的判断， 因此，我们将应收账款减值作为 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 我们获取应收款项账龄，关注账龄划分的正确性，根据管理层的坏账计提准 备政策及客户信誉情况，结合函证及回款查验，复核测试公司应收款项的坏账 准备计提是否充分；</w:t>
            </w:r>
          </w:p>
          <w:p>
            <w:pPr>
              <w:pStyle w:val="Style2"/>
              <w:keepNext w:val="0"/>
              <w:keepLines w:val="0"/>
              <w:widowControl w:val="0"/>
              <w:shd w:val="clear" w:color="auto" w:fill="auto"/>
              <w:tabs>
                <w:tab w:pos="302"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w:t>
              <w:tab/>
              <w:t>实施函证程序，并将函证结果与公司记录的金额进行了核对；</w:t>
            </w:r>
          </w:p>
          <w:p>
            <w:pPr>
              <w:pStyle w:val="Style2"/>
              <w:keepNext w:val="0"/>
              <w:keepLines w:val="0"/>
              <w:widowControl w:val="0"/>
              <w:shd w:val="clear" w:color="auto" w:fill="auto"/>
              <w:tabs>
                <w:tab w:pos="302"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w:t>
              <w:tab/>
              <w:t>结合期后回款情况检查，评价管理层坏账准备计提的合理性。</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（二）主营业务收入的确认</w:t>
            </w:r>
          </w:p>
        </w:tc>
      </w:tr>
      <w:tr>
        <w:trPr>
          <w:trHeight w:val="50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请参阅财务报表附注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三（二十 四）收入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所述的会计政策及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五 （三十九）营业收入和营业成 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注释。</w:t>
            </w:r>
          </w:p>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永福股份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年度主营业务收 入金额</w:t>
            </w:r>
            <w:r>
              <w:rPr>
                <w:rFonts w:ascii="Times New Roman" w:eastAsia="Times New Roman" w:hAnsi="Times New Roman" w:cs="Times New Roman"/>
                <w:color w:val="000000"/>
                <w:spacing w:val="0"/>
                <w:w w:val="100"/>
                <w:position w:val="0"/>
                <w:sz w:val="20"/>
                <w:szCs w:val="20"/>
              </w:rPr>
              <w:t>156,716.70</w:t>
            </w:r>
            <w:r>
              <w:rPr>
                <w:color w:val="000000"/>
                <w:spacing w:val="0"/>
                <w:w w:val="100"/>
                <w:position w:val="0"/>
                <w:sz w:val="19"/>
                <w:szCs w:val="19"/>
              </w:rPr>
              <w:t>万元。</w:t>
            </w:r>
          </w:p>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公司提供的劳务主要包括勘察 设计服务和工程总包业务，识别 合同中的履约义务，判断收入确 认的方式均需公司管理层做出 重大判断，不恰当的判断可能导 致收入确认重大错报。因此我们 将收入的确认作为关键审计事 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98" w:val="left"/>
              </w:tabs>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了解并评价与收入确认相关的关键内部控制，复核相关的会计政策是否正确 且一贯地运行；</w:t>
            </w:r>
          </w:p>
          <w:p>
            <w:pPr>
              <w:pStyle w:val="Style2"/>
              <w:keepNext w:val="0"/>
              <w:keepLines w:val="0"/>
              <w:widowControl w:val="0"/>
              <w:shd w:val="clear" w:color="auto" w:fill="auto"/>
              <w:tabs>
                <w:tab w:pos="288" w:val="left"/>
              </w:tabs>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获取公司项目销售合同，检查合同中所列示的重要信息，包括客户名称、项 目名称、业务类型及金额、结算依据、项目进度、签订双方盖章签字等；根据</w:t>
            </w:r>
          </w:p>
          <w:p>
            <w:pPr>
              <w:pStyle w:val="Style2"/>
              <w:keepNext w:val="0"/>
              <w:keepLines w:val="0"/>
              <w:widowControl w:val="0"/>
              <w:shd w:val="clear" w:color="auto" w:fill="auto"/>
              <w:bidi w:val="0"/>
              <w:spacing w:before="0" w:after="0" w:line="316" w:lineRule="exact"/>
              <w:ind w:left="0" w:right="0" w:firstLine="0"/>
              <w:jc w:val="left"/>
              <w:rPr>
                <w:sz w:val="19"/>
                <w:szCs w:val="19"/>
              </w:rPr>
            </w:pPr>
            <w:r>
              <w:rPr>
                <w:color w:val="000000"/>
                <w:spacing w:val="0"/>
                <w:w w:val="100"/>
                <w:position w:val="0"/>
                <w:sz w:val="19"/>
                <w:szCs w:val="19"/>
              </w:rPr>
              <w:t>合同金额、项目进度、结算依据测算应确认收入金额，并逐一与公司财务账面 记载内容进行核对；</w:t>
            </w:r>
          </w:p>
          <w:p>
            <w:pPr>
              <w:pStyle w:val="Style2"/>
              <w:keepNext w:val="0"/>
              <w:keepLines w:val="0"/>
              <w:widowControl w:val="0"/>
              <w:shd w:val="clear" w:color="auto" w:fill="auto"/>
              <w:tabs>
                <w:tab w:pos="283" w:val="left"/>
              </w:tabs>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tab/>
              <w:t>获取公司各项目收入确认依据，包括评审文件、资料交付确认证明等收入确 认依据，核查文件或证明中所列示的包括客户名称、合同名称、合同编号、项</w:t>
            </w:r>
          </w:p>
          <w:p>
            <w:pPr>
              <w:pStyle w:val="Style2"/>
              <w:keepNext w:val="0"/>
              <w:keepLines w:val="0"/>
              <w:widowControl w:val="0"/>
              <w:shd w:val="clear" w:color="auto" w:fill="auto"/>
              <w:bidi w:val="0"/>
              <w:spacing w:before="0" w:after="0" w:line="316" w:lineRule="exact"/>
              <w:ind w:left="0" w:right="0" w:firstLine="0"/>
              <w:jc w:val="left"/>
              <w:rPr>
                <w:sz w:val="19"/>
                <w:szCs w:val="19"/>
              </w:rPr>
            </w:pPr>
            <w:r>
              <w:rPr>
                <w:color w:val="000000"/>
                <w:spacing w:val="0"/>
                <w:w w:val="100"/>
                <w:position w:val="0"/>
                <w:sz w:val="19"/>
                <w:szCs w:val="19"/>
              </w:rPr>
              <w:t>目名称、确认信息、文件或证明日期、评审方或接收方签章，并逐一与公司财 务账面记载内容进行核对；</w:t>
            </w:r>
          </w:p>
          <w:p>
            <w:pPr>
              <w:pStyle w:val="Style2"/>
              <w:keepNext w:val="0"/>
              <w:keepLines w:val="0"/>
              <w:widowControl w:val="0"/>
              <w:shd w:val="clear" w:color="auto" w:fill="auto"/>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 获取经外部确认的总承包工程进度完成签证单，分析比对各期总承包工程完 工进度，根据完工进度重新计算确认工程总承包业务收入金额是否准确；</w:t>
            </w:r>
          </w:p>
          <w:p>
            <w:pPr>
              <w:pStyle w:val="Style2"/>
              <w:keepNext w:val="0"/>
              <w:keepLines w:val="0"/>
              <w:widowControl w:val="0"/>
              <w:shd w:val="clear" w:color="auto" w:fill="auto"/>
              <w:tabs>
                <w:tab w:pos="293" w:val="left"/>
              </w:tabs>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w:t>
              <w:tab/>
              <w:t>实施分析性程序，分析评价公司综合毛利率、业务毛利率、项目毛利率的波 动情况；</w:t>
            </w:r>
          </w:p>
          <w:p>
            <w:pPr>
              <w:pStyle w:val="Style2"/>
              <w:keepNext w:val="0"/>
              <w:keepLines w:val="0"/>
              <w:widowControl w:val="0"/>
              <w:shd w:val="clear" w:color="auto" w:fill="auto"/>
              <w:bidi w:val="0"/>
              <w:spacing w:before="0" w:after="0" w:line="316"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 针对大额收入及应收款项实施函证程序，函证内容包括合同约定条款、项目 的完工情况等。</w:t>
            </w:r>
          </w:p>
        </w:tc>
      </w:tr>
    </w:tbl>
    <w:p>
      <w:pPr>
        <w:pStyle w:val="Style24"/>
        <w:keepNext w:val="0"/>
        <w:keepLines w:val="0"/>
        <w:widowControl w:val="0"/>
        <w:shd w:val="clear" w:color="auto" w:fill="auto"/>
        <w:bidi w:val="0"/>
        <w:spacing w:before="0" w:after="60" w:line="240" w:lineRule="auto"/>
        <w:ind w:left="413" w:right="0" w:firstLine="0"/>
        <w:jc w:val="left"/>
        <w:rPr>
          <w:sz w:val="20"/>
          <w:szCs w:val="20"/>
        </w:rPr>
      </w:pPr>
      <w:r>
        <w:rPr>
          <w:b/>
          <w:bCs/>
          <w:color w:val="000000"/>
          <w:spacing w:val="0"/>
          <w:w w:val="100"/>
          <w:position w:val="0"/>
          <w:sz w:val="20"/>
          <w:szCs w:val="20"/>
        </w:rPr>
        <w:t>四、其他信息</w:t>
      </w:r>
    </w:p>
    <w:p>
      <w:pPr>
        <w:pStyle w:val="Style2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永福股份管理层（以下简称管理层）对其他信息负责。其他信息包括永福股份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年年度报告中涵盖</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的信息，但不包括财务报表和我们的审计报告。</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8"/>
        <w:keepNext w:val="0"/>
        <w:keepLines w:val="0"/>
        <w:widowControl w:val="0"/>
        <w:shd w:val="clear" w:color="auto" w:fill="auto"/>
        <w:tabs>
          <w:tab w:pos="918" w:val="left"/>
        </w:tabs>
        <w:bidi w:val="0"/>
        <w:spacing w:before="0" w:after="0" w:line="314" w:lineRule="exact"/>
        <w:ind w:left="0" w:right="0" w:firstLine="440"/>
        <w:jc w:val="both"/>
      </w:pPr>
      <w:bookmarkStart w:id="708" w:name="bookmark708"/>
      <w:r>
        <w:rPr>
          <w:b/>
          <w:bCs/>
          <w:color w:val="000000"/>
          <w:spacing w:val="0"/>
          <w:w w:val="100"/>
          <w:position w:val="0"/>
        </w:rPr>
        <w:t>五</w:t>
      </w:r>
      <w:bookmarkEnd w:id="708"/>
      <w:r>
        <w:rPr>
          <w:b/>
          <w:bCs/>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在编制财务报表时，管理层负责评估永福股份的持续经营能力，披露与持续经营相关的事项（如适用）， 并运用持续经营假设，除非计划进行清算、终止运营或别无其他现实的选择。</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治理层负责监督永福股份的财务报告过程。</w:t>
      </w:r>
    </w:p>
    <w:p>
      <w:pPr>
        <w:pStyle w:val="Style28"/>
        <w:keepNext w:val="0"/>
        <w:keepLines w:val="0"/>
        <w:widowControl w:val="0"/>
        <w:shd w:val="clear" w:color="auto" w:fill="auto"/>
        <w:tabs>
          <w:tab w:pos="918" w:val="left"/>
        </w:tabs>
        <w:bidi w:val="0"/>
        <w:spacing w:before="0" w:after="0" w:line="314" w:lineRule="exact"/>
        <w:ind w:left="0" w:right="0" w:firstLine="440"/>
        <w:jc w:val="both"/>
      </w:pPr>
      <w:bookmarkStart w:id="709" w:name="bookmark709"/>
      <w:r>
        <w:rPr>
          <w:b/>
          <w:bCs/>
          <w:color w:val="000000"/>
          <w:spacing w:val="0"/>
          <w:w w:val="100"/>
          <w:position w:val="0"/>
        </w:rPr>
        <w:t>六</w:t>
      </w:r>
      <w:bookmarkEnd w:id="709"/>
      <w:r>
        <w:rPr>
          <w:b/>
          <w:bCs/>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8"/>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520" w:right="1007" w:bottom="1406" w:left="1107" w:header="0" w:footer="3" w:gutter="0"/>
          <w:cols w:space="720"/>
          <w:noEndnote/>
          <w:rtlGutter w:val="0"/>
          <w:docGrid w:linePitch="360"/>
        </w:sectPr>
      </w:pPr>
      <w:bookmarkStart w:id="710" w:name="bookmark710"/>
      <w:r>
        <w:rPr>
          <w:color w:val="000000"/>
          <w:spacing w:val="0"/>
          <w:w w:val="100"/>
          <w:position w:val="0"/>
        </w:rPr>
        <w:t>（</w:t>
      </w:r>
      <w:bookmarkEnd w:id="710"/>
      <w:r>
        <w:rPr>
          <w:color w:val="000000"/>
          <w:spacing w:val="0"/>
          <w:w w:val="100"/>
          <w:position w:val="0"/>
        </w:rPr>
        <w:t>一）识别和评估由于舞弊或错误导致的财务报表重大错报风险，设计和实施审计程序以应对这些风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28"/>
        <w:keepNext w:val="0"/>
        <w:keepLines w:val="0"/>
        <w:widowControl w:val="0"/>
        <w:shd w:val="clear" w:color="auto" w:fill="auto"/>
        <w:bidi w:val="0"/>
        <w:spacing w:before="0" w:after="0" w:line="316" w:lineRule="exact"/>
        <w:ind w:left="0" w:right="0" w:firstLine="5820"/>
        <w:jc w:val="left"/>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8"/>
        <w:keepNext w:val="0"/>
        <w:keepLines w:val="0"/>
        <w:widowControl w:val="0"/>
        <w:shd w:val="clear" w:color="auto" w:fill="auto"/>
        <w:bidi w:val="0"/>
        <w:spacing w:before="0" w:after="0" w:line="316" w:lineRule="exact"/>
        <w:ind w:left="0" w:right="0" w:firstLine="480"/>
        <w:jc w:val="both"/>
      </w:pPr>
      <w:bookmarkStart w:id="711" w:name="bookmark711"/>
      <w:r>
        <w:rPr>
          <w:color w:val="000000"/>
          <w:spacing w:val="0"/>
          <w:w w:val="100"/>
          <w:position w:val="0"/>
        </w:rPr>
        <w:t>（</w:t>
      </w:r>
      <w:bookmarkEnd w:id="711"/>
      <w:r>
        <w:rPr>
          <w:color w:val="000000"/>
          <w:spacing w:val="0"/>
          <w:w w:val="100"/>
          <w:position w:val="0"/>
        </w:rPr>
        <w:t>二）了解与审计相关的内部控制，以设计恰当的审计程序，但目的并非对内部控制的有效性发表意 见。</w:t>
      </w:r>
    </w:p>
    <w:p>
      <w:pPr>
        <w:pStyle w:val="Style28"/>
        <w:keepNext w:val="0"/>
        <w:keepLines w:val="0"/>
        <w:widowControl w:val="0"/>
        <w:shd w:val="clear" w:color="auto" w:fill="auto"/>
        <w:bidi w:val="0"/>
        <w:spacing w:before="0" w:after="0" w:line="316" w:lineRule="exact"/>
        <w:ind w:left="0" w:right="0" w:firstLine="480"/>
        <w:jc w:val="both"/>
      </w:pPr>
      <w:bookmarkStart w:id="712" w:name="bookmark712"/>
      <w:r>
        <w:rPr>
          <w:color w:val="000000"/>
          <w:spacing w:val="0"/>
          <w:w w:val="100"/>
          <w:position w:val="0"/>
        </w:rPr>
        <w:t>（</w:t>
      </w:r>
      <w:bookmarkEnd w:id="712"/>
      <w:r>
        <w:rPr>
          <w:color w:val="000000"/>
          <w:spacing w:val="0"/>
          <w:w w:val="100"/>
          <w:position w:val="0"/>
        </w:rPr>
        <w:t>三）评价管理层选用会计政策的恰当性和作出会计估计及相关披露的合理性。</w:t>
      </w:r>
    </w:p>
    <w:p>
      <w:pPr>
        <w:pStyle w:val="Style28"/>
        <w:keepNext w:val="0"/>
        <w:keepLines w:val="0"/>
        <w:widowControl w:val="0"/>
        <w:shd w:val="clear" w:color="auto" w:fill="auto"/>
        <w:bidi w:val="0"/>
        <w:spacing w:before="0" w:after="0" w:line="316" w:lineRule="exact"/>
        <w:ind w:left="0" w:right="0" w:firstLine="480"/>
        <w:jc w:val="both"/>
      </w:pPr>
      <w:bookmarkStart w:id="713" w:name="bookmark713"/>
      <w:r>
        <w:rPr>
          <w:color w:val="000000"/>
          <w:spacing w:val="0"/>
          <w:w w:val="100"/>
          <w:position w:val="0"/>
        </w:rPr>
        <w:t>（</w:t>
      </w:r>
      <w:bookmarkEnd w:id="713"/>
      <w:r>
        <w:rPr>
          <w:color w:val="000000"/>
          <w:spacing w:val="0"/>
          <w:w w:val="100"/>
          <w:position w:val="0"/>
        </w:rPr>
        <w:t>四）对管理层使用持续经营假设的恰当性得出结论。同时，根据获取的审计证据，就可能导致对永 福股份持续经营能力产生重大疑虑的事项或情况是否存在重大不确定性得出结论。如果我们得出结论认为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项或情况可能导致永福股份不能持续经营。</w:t>
      </w:r>
    </w:p>
    <w:p>
      <w:pPr>
        <w:pStyle w:val="Style28"/>
        <w:keepNext w:val="0"/>
        <w:keepLines w:val="0"/>
        <w:widowControl w:val="0"/>
        <w:shd w:val="clear" w:color="auto" w:fill="auto"/>
        <w:bidi w:val="0"/>
        <w:spacing w:before="0" w:after="0" w:line="316" w:lineRule="exact"/>
        <w:ind w:left="0" w:right="0" w:firstLine="480"/>
        <w:jc w:val="both"/>
      </w:pPr>
      <w:bookmarkStart w:id="714" w:name="bookmark714"/>
      <w:r>
        <w:rPr>
          <w:color w:val="000000"/>
          <w:spacing w:val="0"/>
          <w:w w:val="100"/>
          <w:position w:val="0"/>
        </w:rPr>
        <w:t>（</w:t>
      </w:r>
      <w:bookmarkEnd w:id="714"/>
      <w:r>
        <w:rPr>
          <w:color w:val="000000"/>
          <w:spacing w:val="0"/>
          <w:w w:val="100"/>
          <w:position w:val="0"/>
        </w:rPr>
        <w:t>五）评价财务报表的总体列报（包括披露）、结构和内容，并评价财务报表是否公允反映相关交易 和事项。</w:t>
      </w:r>
    </w:p>
    <w:p>
      <w:pPr>
        <w:pStyle w:val="Style28"/>
        <w:keepNext w:val="0"/>
        <w:keepLines w:val="0"/>
        <w:widowControl w:val="0"/>
        <w:shd w:val="clear" w:color="auto" w:fill="auto"/>
        <w:bidi w:val="0"/>
        <w:spacing w:before="0" w:after="0" w:line="316" w:lineRule="exact"/>
        <w:ind w:left="0" w:right="0" w:firstLine="480"/>
        <w:jc w:val="both"/>
      </w:pPr>
      <w:bookmarkStart w:id="715" w:name="bookmark715"/>
      <w:r>
        <w:rPr>
          <w:color w:val="000000"/>
          <w:spacing w:val="0"/>
          <w:w w:val="100"/>
          <w:position w:val="0"/>
        </w:rPr>
        <w:t>（</w:t>
      </w:r>
      <w:bookmarkEnd w:id="715"/>
      <w:r>
        <w:rPr>
          <w:color w:val="000000"/>
          <w:spacing w:val="0"/>
          <w:w w:val="100"/>
          <w:position w:val="0"/>
        </w:rPr>
        <w:t>六）就永福股份中实体或业务活动的财务信息获取充分、适当的审计证据，以对合并财务报表发表 审计意见。我们负责指导、监督和执行集团审计，并对审计意见承担全部责任。</w:t>
      </w:r>
    </w:p>
    <w:p>
      <w:pPr>
        <w:pStyle w:val="Style28"/>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8"/>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8"/>
        <w:keepNext w:val="0"/>
        <w:keepLines w:val="0"/>
        <w:widowControl w:val="0"/>
        <w:shd w:val="clear" w:color="auto" w:fill="auto"/>
        <w:bidi w:val="0"/>
        <w:spacing w:before="0" w:after="300" w:line="316" w:lineRule="exact"/>
        <w:ind w:left="0" w:right="0" w:firstLine="48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8"/>
        <w:keepNext w:val="0"/>
        <w:keepLines w:val="0"/>
        <w:widowControl w:val="0"/>
        <w:shd w:val="clear" w:color="auto" w:fill="auto"/>
        <w:tabs>
          <w:tab w:pos="3635" w:val="left"/>
        </w:tabs>
        <w:bidi w:val="0"/>
        <w:spacing w:before="0" w:after="0" w:line="316" w:lineRule="exact"/>
        <w:ind w:left="0" w:right="0" w:firstLine="340"/>
        <w:jc w:val="both"/>
      </w:pPr>
      <w:r>
        <w:rPr>
          <w:b/>
          <w:bCs/>
          <w:color w:val="000000"/>
          <w:spacing w:val="0"/>
          <w:w w:val="100"/>
          <w:position w:val="0"/>
        </w:rPr>
        <w:t>立信会计师事务所</w:t>
        <w:tab/>
        <w:t>中国注册会计师：</w:t>
      </w:r>
    </w:p>
    <w:p>
      <w:pPr>
        <w:pStyle w:val="Style28"/>
        <w:keepNext w:val="0"/>
        <w:keepLines w:val="0"/>
        <w:widowControl w:val="0"/>
        <w:shd w:val="clear" w:color="auto" w:fill="auto"/>
        <w:tabs>
          <w:tab w:pos="3635" w:val="left"/>
        </w:tabs>
        <w:bidi w:val="0"/>
        <w:spacing w:before="0" w:after="680" w:line="316" w:lineRule="exact"/>
        <w:ind w:left="0" w:right="0" w:firstLine="340"/>
        <w:jc w:val="both"/>
      </w:pPr>
      <w:r>
        <w:rPr>
          <w:b/>
          <w:bCs/>
          <w:color w:val="000000"/>
          <w:spacing w:val="0"/>
          <w:w w:val="100"/>
          <w:position w:val="0"/>
        </w:rPr>
        <w:t>（特殊普通合伙）</w:t>
        <w:tab/>
        <w:t>（项目合伙人）</w:t>
      </w:r>
    </w:p>
    <w:p>
      <w:pPr>
        <w:pStyle w:val="Style28"/>
        <w:keepNext w:val="0"/>
        <w:keepLines w:val="0"/>
        <w:widowControl w:val="0"/>
        <w:shd w:val="clear" w:color="auto" w:fill="auto"/>
        <w:bidi w:val="0"/>
        <w:spacing w:before="0" w:after="680" w:line="240" w:lineRule="auto"/>
        <w:ind w:left="0" w:right="0" w:firstLine="0"/>
        <w:jc w:val="center"/>
      </w:pPr>
      <w:r>
        <w:rPr>
          <w:b/>
          <w:bCs/>
          <w:color w:val="000000"/>
          <w:spacing w:val="0"/>
          <w:w w:val="100"/>
          <w:position w:val="0"/>
        </w:rPr>
        <w:t>中国注册会计师：</w:t>
      </w:r>
    </w:p>
    <w:p>
      <w:pPr>
        <w:pStyle w:val="Style28"/>
        <w:keepNext w:val="0"/>
        <w:keepLines w:val="0"/>
        <w:widowControl w:val="0"/>
        <w:shd w:val="clear" w:color="auto" w:fill="auto"/>
        <w:tabs>
          <w:tab w:pos="3095" w:val="left"/>
        </w:tabs>
        <w:bidi w:val="0"/>
        <w:spacing w:before="0" w:after="380" w:line="240" w:lineRule="auto"/>
        <w:ind w:left="0" w:right="0" w:firstLine="340"/>
        <w:jc w:val="both"/>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tab/>
        <w:t>二</w:t>
      </w:r>
      <w:r>
        <w:rPr>
          <w:b/>
          <w:bCs/>
          <w:color w:val="000000"/>
          <w:spacing w:val="0"/>
          <w:w w:val="100"/>
          <w:position w:val="0"/>
        </w:rPr>
        <w:t>O</w:t>
      </w:r>
      <w:r>
        <w:rPr>
          <w:b/>
          <w:bCs/>
          <w:color w:val="000000"/>
          <w:spacing w:val="0"/>
          <w:w w:val="100"/>
          <w:position w:val="0"/>
        </w:rPr>
        <w:t>二二年四月二十七日</w:t>
      </w:r>
    </w:p>
    <w:p>
      <w:pPr>
        <w:pStyle w:val="Style22"/>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r>
        <w:rPr>
          <w:color w:val="000000"/>
          <w:spacing w:val="0"/>
          <w:w w:val="100"/>
          <w:position w:val="0"/>
          <w:sz w:val="24"/>
          <w:szCs w:val="24"/>
        </w:rPr>
        <w:t>二、财务报表</w:t>
      </w:r>
      <w:bookmarkEnd w:id="716"/>
      <w:bookmarkEnd w:id="717"/>
      <w:bookmarkEnd w:id="71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、合并资产负债表</w:t>
      </w:r>
      <w:bookmarkEnd w:id="719"/>
      <w:bookmarkEnd w:id="720"/>
      <w:bookmarkEnd w:id="72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编制单位：福建永福电力设计股份有限公司</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985" w:right="1004" w:bottom="1201" w:left="1066"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528,088,026.21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354,828,525.01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646,698,873.38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647,202,706.96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14,404,830.78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5,531,704.76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272,842,963.45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83,894,494.30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15,389,293.53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12,997,339.63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156,614,174.98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147,771,898.34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687,192,950.43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580,086,759.23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35,159,838.26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3,521,005.19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2,358,118,240.83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1,844,848,452.17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109,441,857.29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34,477,005.20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61,050,260.33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10,987,318.62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5,596,283.13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4,374,269.10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229,974,364.13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230,615,655.03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172,774,799.06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3,798,718.50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40,536,733.99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34,862,563.37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11,970,760.66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11,970,760.66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27,377,854.23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15,314,882.61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5,139,678.45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667,944,872.66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343,551,656.22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3,026,063,113.49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2,188,400,108.39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694,921,964.42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590,579,784.89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240,703,752.32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175,238,848.84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544,878,699.82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239,781,080.50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164,138,751.64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65,219,648.96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27,418,348.88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16,732,690.80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11,907,460.92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14,485,279.88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82,547,056.69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43,366,086.02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5,064,499.46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1,772,282,800.54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1,145,445,046.31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2,923,764.14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5,414,284.56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4,287,298.54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85,208,048.70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4,287,298.54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1,857,490,849.24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1,149,732,344.85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537,693,142.82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466,398,210.37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47,198,149.29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45,886,409.15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350,160,825.10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328,917,085.03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1,116,859,748.47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1,023,464,925.38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51,712,515.78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15,202,838.16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1,168,572,264.25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1,038,667,763.54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3,026,063,113.49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2,188,400,108.39</w:t>
            </w:r>
          </w:p>
        </w:tc>
      </w:tr>
    </w:tbl>
    <w:p>
      <w:pPr>
        <w:widowControl w:val="0"/>
        <w:spacing w:after="359" w:line="1" w:lineRule="exact"/>
      </w:pPr>
    </w:p>
    <w:p>
      <w:pPr>
        <w:pStyle w:val="Style18"/>
        <w:keepNext w:val="0"/>
        <w:keepLines w:val="0"/>
        <w:widowControl w:val="0"/>
        <w:shd w:val="clear" w:color="auto" w:fill="auto"/>
        <w:tabs>
          <w:tab w:pos="3427" w:val="left"/>
          <w:tab w:pos="7560" w:val="left"/>
        </w:tabs>
        <w:bidi w:val="0"/>
        <w:spacing w:before="0" w:after="0" w:line="240" w:lineRule="auto"/>
        <w:ind w:left="0" w:right="0" w:firstLine="0"/>
        <w:jc w:val="center"/>
      </w:pPr>
      <w:r>
        <w:rPr>
          <w:color w:val="000000"/>
          <w:spacing w:val="0"/>
          <w:w w:val="100"/>
          <w:position w:val="0"/>
        </w:rPr>
        <w:t>法定代表人：林一文</w:t>
        <w:tab/>
        <w:t>主管会计工作负责人：张善传</w:t>
        <w:tab/>
        <w:t>会计机构负责人：张玉科</w:t>
      </w:r>
      <w:r>
        <w:br w:type="page"/>
      </w:r>
    </w:p>
    <w:p>
      <w:pPr>
        <w:pStyle w:val="Style32"/>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、母公司资产负债表</w:t>
      </w:r>
      <w:bookmarkEnd w:id="723"/>
      <w:bookmarkEnd w:id="724"/>
      <w:bookmarkEnd w:id="72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406,135,502.57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298,297,533.64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647,995,939.35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487,553,564.28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12,733,917.58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80,696,599.76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39,982,072.80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358,298,578.12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447,333,687.19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145,929,439.81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127,966,007.81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447,122,219.09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398,911,693.01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4,614,544.55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696,570.51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2,104,916,389.83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1,809,772,929.24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287,130,120.91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117,376,621.56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61,040,760.33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10,987,318.62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12,121,726.66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7,219,073.48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219,936,572.43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223,724,899.57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259,933.63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110,473.01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23,923,828.83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21,297,923.70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22,078,189.35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9,784,402.69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626,831,858.64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390,854,007.27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2,731,748,248.47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2,200,626,936.51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569,895,692.56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434,327,644.79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199,931,939.93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228,521,869.77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465,177,081.22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251,571,694.40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94,584,488.99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58,261,801.97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18,580,003.77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8,277,051.70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8,817,888.78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9,207,782.20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211,378,721.60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160,053,349.77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4,185,471.00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1,572,551,287.85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1,150,257,783.28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2,917,572.12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3,058,923.06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55,537,572.12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3,058,923.06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1,628,088,859.97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1,153,316,706.34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527,607,696.73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467,508,707.24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47,198,149.29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45,886,409.15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346,544,896.19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351,651,892.95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1,103,659,388.50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1,047,310,230.17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2,731,748,248.47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2,200,626,936.51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、合并利润表</w:t>
      </w:r>
      <w:bookmarkEnd w:id="727"/>
      <w:bookmarkEnd w:id="728"/>
      <w:bookmarkEnd w:id="7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980,439,090.50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980,439,090.50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1,567,180,211.63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936,762,233.07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1,223,160,706.70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712,271,627.13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000"/>
              <w:jc w:val="left"/>
              <w:rPr>
                <w:sz w:val="17"/>
                <w:szCs w:val="17"/>
              </w:rPr>
            </w:pPr>
            <w:r>
              <w:rPr>
                <w:color w:val="000000"/>
                <w:spacing w:val="0"/>
                <w:w w:val="100"/>
                <w:position w:val="0"/>
                <w:sz w:val="17"/>
                <w:szCs w:val="17"/>
              </w:rPr>
              <w:t>提取保险责任合同准备 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6,179,442.69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5,790,565.45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65,529,761.38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39,377,199.65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171,462,186.28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85,813,129.54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55,518,296.22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38,466,243.36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45,329,818.36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55,043,467.94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29,753,564.49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32,092,116.57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2,688,663.26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27,453,675.11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15,776,896.24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20,868,921.10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13,805,160.50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18,541,671.51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4,976,404.62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200" w:right="0" w:firstLine="0"/>
              <w:jc w:val="left"/>
              <w:rPr>
                <w:sz w:val="17"/>
                <w:szCs w:val="17"/>
              </w:rPr>
            </w:pPr>
            <w:r>
              <w:rPr>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rPr>
                <w:sz w:val="17"/>
                <w:szCs w:val="17"/>
              </w:rPr>
            </w:pPr>
            <w:r>
              <w:rPr>
                <w:color w:val="000000"/>
                <w:spacing w:val="0"/>
                <w:w w:val="100"/>
                <w:position w:val="0"/>
                <w:sz w:val="17"/>
                <w:szCs w:val="17"/>
              </w:rPr>
              <w:t>公允价值变动收益（损失以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-15,659,216.80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-11,599,654.56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-7,905,083.39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-2,438,165.08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26,329,504.34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59,245,555.96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26,582,705.78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58,788,150.01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-2,876,086.42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11,173,085.24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29,458,792.20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47,615,064.77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29,458,792.20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47,615,064.77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40,765,880.21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50,918,935.37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-11,307,088.01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-3,303,870.60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-486,361.44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-455,589.57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-501,015.03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-501,015.03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28,972,430.76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48,219,572.39</w:t>
            </w: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40,310,290.64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51,523,442.99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-11,337,859.88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-3,303,870.60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法定代表人：林一文</w:t>
        <w:tab/>
        <w:t>主管会计工作负责人：张善传</w:t>
        <w:tab/>
        <w:t>会计机构负责人：张玉科</w:t>
      </w:r>
    </w:p>
    <w:p>
      <w:pPr>
        <w:pStyle w:val="Style32"/>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、母公司利润表</w:t>
      </w:r>
      <w:bookmarkEnd w:id="731"/>
      <w:bookmarkEnd w:id="732"/>
      <w:bookmarkEnd w:id="7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1,233,221,038.12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819,070,831.46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949,171,136.62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601,133,923.92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5,143,931.60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3,660,431.98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49,572,013.29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28,673,725.09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144,496,591.07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58,716,169.61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45,588,985.40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27,638,541.33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33,567,620.47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29,166,191.87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24,441,302.25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27,939,713.93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3,468,339.27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2,484,166.39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11,305,239.84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14,968,744.05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rPr>
                <w:sz w:val="17"/>
                <w:szCs w:val="17"/>
              </w:rPr>
            </w:pPr>
            <w:r>
              <w:rPr>
                <w:color w:val="000000"/>
                <w:spacing w:val="0"/>
                <w:w w:val="100"/>
                <w:position w:val="0"/>
                <w:sz w:val="17"/>
                <w:szCs w:val="17"/>
              </w:rPr>
              <w:t>投资收益（损失以“一”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5,882,422.12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44,667,247.57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1,789,422.65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1,504,957.57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left"/>
              <w:rPr>
                <w:sz w:val="17"/>
                <w:szCs w:val="17"/>
              </w:rPr>
            </w:pPr>
            <w:r>
              <w:rPr>
                <w:color w:val="000000"/>
                <w:spacing w:val="0"/>
                <w:w w:val="100"/>
                <w:position w:val="0"/>
                <w:sz w:val="17"/>
                <w:szCs w:val="17"/>
              </w:rPr>
              <w:t>以摊余成本计量的金 融资产终止确认收益（损失以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rPr>
                <w:sz w:val="17"/>
                <w:szCs w:val="17"/>
              </w:rPr>
            </w:pPr>
            <w:r>
              <w:rPr>
                <w:color w:val="000000"/>
                <w:spacing w:val="0"/>
                <w:w w:val="100"/>
                <w:position w:val="0"/>
                <w:sz w:val="17"/>
                <w:szCs w:val="17"/>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信用减值损失（损失以</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-17,348,463.47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-1,873,407.17</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资产减值损失（损失以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-4,511,124.77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-2,731,355.29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资产处置收益（损失以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1,907,940.19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125,107,713.82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8,235,216.23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599,435.62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10,141,775.29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124,540,102.20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-2,975,626.11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11,713,822.38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13,117,401.40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112,826,279.82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13,117,401.40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112,826,279.82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 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45,425.46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604,507.62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 其他综合收益的金额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13,162,826.86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113,430,787.44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、合并现金流量表</w:t>
      </w:r>
      <w:bookmarkEnd w:id="735"/>
      <w:bookmarkEnd w:id="736"/>
      <w:bookmarkEnd w:id="7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1,654,787,850.19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1,410,165,704.96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25,619,548.90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50,010,015.47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12,535,190.85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1,704,804,468.73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1,448,320,444.71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购买商品、接受劳务支付的现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1,127,477,333.12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1,061,333,420.50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243,882,225.29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188,851,180.96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57,579,521.22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40,627,598.94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94,668,540.66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74,520,183.87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1,523,607,620.29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1,365,332,384.27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181,196,848.44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82,988,060.44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10,603,861.39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2,308,939.91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10,998,068.70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5,637,293.08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3,184,655.91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27,283,423.17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43,557,956.57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19,640,042.88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85,759,500.00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10,924,527.53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31,638,615.84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1,744,880.95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9,496,732.29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170,452,804.70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32,309,451.36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-167,268,148.79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-5,026,028.19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773,065,072.43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669,859,024.75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146,683,760.00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928,347,432.43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759,931,024.75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602,897,774.43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582,473,350.36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46,346,172.68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50,668,017.56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80"/>
              <w:jc w:val="both"/>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137,710,844.96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81,780,000.00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786,954,792.07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714,921,367.92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141,392,640.36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45,009,656.83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-3,005,557.45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152,315,782.56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120,794,540.37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83,887,337.74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356,997,660.67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204,681,878.11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6</w:t>
      </w:r>
      <w:bookmarkEnd w:id="741"/>
      <w:r>
        <w:rPr>
          <w:color w:val="000000"/>
          <w:spacing w:val="0"/>
          <w:w w:val="100"/>
          <w:position w:val="0"/>
        </w:rPr>
        <w:t>、母公司现金流量表</w:t>
      </w:r>
      <w:bookmarkEnd w:id="739"/>
      <w:bookmarkEnd w:id="740"/>
      <w:bookmarkEnd w:id="7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1,156,290,212.08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993,653,889.93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71,429,463.54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51,858,162.03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1,227,719,675.62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1,045,512,051.96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购买商品、接受劳务支付的现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725,987,492.11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644,281,228.85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172,310,089.41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127,774,470.71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45,256,689.84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30,694,924.34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77,114,929.79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94,389,893.68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1,020,669,201.15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897,140,517.58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207,050,474.47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148,371,534.38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7,203,861.39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2,244,227.00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10,962,290.00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8,198,427.00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18,210,351.39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29,455,271.95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16,865,176.67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212,183,989.65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13,087,514.32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254,689,261.60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38,552,690.99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-246,490,834.60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-20,342,339.60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646,938,572.51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543,495,039.13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119,991,760.00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90,765,000.00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766,930,332.51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634,260,039.13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446,673,454.11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509,536,859.08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41,645,833.12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45,326,221.38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支付其他与筹资活动有关的现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133,541,280.00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87,446,000.00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621,860,567.23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642,309,080.46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145,069,765.28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-8,049,041.33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-2,441,302.83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104,103,265.67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117,538,850.62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169,646,977.48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52,108,126.86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273,750,243.15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169,646,977.48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7</w:t>
      </w:r>
      <w:bookmarkEnd w:id="745"/>
      <w:r>
        <w:rPr>
          <w:color w:val="000000"/>
          <w:spacing w:val="0"/>
          <w:w w:val="100"/>
          <w:position w:val="0"/>
        </w:rPr>
        <w:t>、合并所有者权益变动表</w:t>
      </w:r>
      <w:bookmarkEnd w:id="743"/>
      <w:bookmarkEnd w:id="744"/>
      <w:bookmarkEnd w:id="74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466, 398, </w:t>
            </w: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rPr>
                <w:sz w:val="17"/>
                <w:szCs w:val="17"/>
              </w:rPr>
            </w:pPr>
            <w:r>
              <w:rPr>
                <w:color w:val="000000"/>
                <w:spacing w:val="0"/>
                <w:w w:val="100"/>
                <w:position w:val="0"/>
                <w:sz w:val="17"/>
                <w:szCs w:val="17"/>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466, 398, </w:t>
            </w: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三、本期增减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变动金额（减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少以“_”号</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-455 ,589.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-455 ,589.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65,8</w:t>
            </w:r>
          </w:p>
          <w:p>
            <w:pPr>
              <w:pStyle w:val="Style2"/>
              <w:keepNext w:val="0"/>
              <w:keepLines w:val="0"/>
              <w:widowControl w:val="0"/>
              <w:shd w:val="clear" w:color="auto" w:fill="auto"/>
              <w:bidi w:val="0"/>
              <w:spacing w:before="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投入和减少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95,9</w:t>
            </w:r>
          </w:p>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95,9</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95,9</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-405 ,286.</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998,6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一控制下企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-405 ,286.</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998,6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hanging="160"/>
              <w:jc w:val="both"/>
              <w:rPr>
                <w:sz w:val="18"/>
                <w:szCs w:val="18"/>
              </w:rPr>
            </w:pPr>
            <w:r>
              <w:rPr>
                <w:rFonts w:ascii="Times New Roman" w:eastAsia="Times New Roman" w:hAnsi="Times New Roman" w:cs="Times New Roman"/>
                <w:color w:val="000000"/>
                <w:spacing w:val="0"/>
                <w:w w:val="100"/>
                <w:position w:val="0"/>
                <w:sz w:val="18"/>
                <w:szCs w:val="18"/>
              </w:rPr>
              <w:t xml:space="preserve">5,192 </w:t>
            </w:r>
            <w:r>
              <w:rPr>
                <w:rFonts w:ascii="Times New Roman" w:eastAsia="Times New Roman" w:hAnsi="Times New Roman" w:cs="Times New Roman"/>
                <w:color w:val="000000"/>
                <w:spacing w:val="0"/>
                <w:w w:val="100"/>
                <w:position w:val="0"/>
                <w:sz w:val="18"/>
                <w:szCs w:val="18"/>
              </w:rPr>
              <w:t>,247.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48,21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1,499</w:t>
            </w: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-40, 000.</w:t>
            </w:r>
          </w:p>
          <w:p>
            <w:pPr>
              <w:pStyle w:val="Style2"/>
              <w:keepNext w:val="0"/>
              <w:keepLines w:val="0"/>
              <w:widowControl w:val="0"/>
              <w:shd w:val="clear" w:color="auto" w:fill="auto"/>
              <w:bidi w:val="0"/>
              <w:spacing w:before="0" w:after="0" w:line="346"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-40, 000.</w:t>
            </w:r>
          </w:p>
          <w:p>
            <w:pPr>
              <w:pStyle w:val="Style2"/>
              <w:keepNext w:val="0"/>
              <w:keepLines w:val="0"/>
              <w:widowControl w:val="0"/>
              <w:shd w:val="clear" w:color="auto" w:fill="auto"/>
              <w:bidi w:val="0"/>
              <w:spacing w:before="0" w:after="0" w:line="346"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46"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 4,0 </w:t>
            </w: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34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1,038 ,667, </w:t>
            </w:r>
            <w:r>
              <w:rPr>
                <w:rFonts w:ascii="Times New Roman" w:eastAsia="Times New Roman" w:hAnsi="Times New Roman" w:cs="Times New Roman"/>
                <w:color w:val="000000"/>
                <w:spacing w:val="0"/>
                <w:w w:val="100"/>
                <w:position w:val="0"/>
                <w:sz w:val="18"/>
                <w:szCs w:val="18"/>
              </w:rPr>
              <w:t>763.5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、母公司所有者权益变动表</w:t>
      </w:r>
      <w:bookmarkEnd w:id="747"/>
      <w:bookmarkEnd w:id="748"/>
      <w:bookmarkEnd w:id="75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8,707.</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45,886 </w:t>
            </w:r>
            <w:r>
              <w:rPr>
                <w:rFonts w:ascii="Times New Roman" w:eastAsia="Times New Roman" w:hAnsi="Times New Roman" w:cs="Times New Roman"/>
                <w:color w:val="000000"/>
                <w:spacing w:val="0"/>
                <w:w w:val="100"/>
                <w:position w:val="0"/>
                <w:sz w:val="18"/>
                <w:szCs w:val="18"/>
              </w:rPr>
              <w:t>,409.1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8,707.</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45,886 </w:t>
            </w:r>
            <w:r>
              <w:rPr>
                <w:rFonts w:ascii="Times New Roman" w:eastAsia="Times New Roman" w:hAnsi="Times New Roman" w:cs="Times New Roman"/>
                <w:color w:val="000000"/>
                <w:spacing w:val="0"/>
                <w:w w:val="100"/>
                <w:position w:val="0"/>
                <w:sz w:val="18"/>
                <w:szCs w:val="18"/>
              </w:rPr>
              <w:t>,409.1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7,972.15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,989.4</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55,051,4</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13,162,8</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60,098,9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89.49</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47,198 </w:t>
            </w:r>
            <w:r>
              <w:rPr>
                <w:rFonts w:ascii="Times New Roman" w:eastAsia="Times New Roman" w:hAnsi="Times New Roman" w:cs="Times New Roman"/>
                <w:color w:val="000000"/>
                <w:spacing w:val="0"/>
                <w:w w:val="100"/>
                <w:position w:val="0"/>
                <w:sz w:val="18"/>
                <w:szCs w:val="18"/>
              </w:rPr>
              <w:t xml:space="preserve">,149.2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9,388.50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both"/>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98,84</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268,27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84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98,84</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268,27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564,5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2,627</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83,373,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604,5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104,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08,70</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1,047,31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0,230.17</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r>
        <w:rPr>
          <w:color w:val="000000"/>
          <w:spacing w:val="0"/>
          <w:w w:val="100"/>
          <w:position w:val="0"/>
          <w:sz w:val="24"/>
          <w:szCs w:val="24"/>
        </w:rPr>
        <w:t>三、公司基本情况</w:t>
      </w:r>
      <w:bookmarkEnd w:id="751"/>
      <w:bookmarkEnd w:id="752"/>
      <w:bookmarkEnd w:id="753"/>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福建永福电力设计股份有限公司（以下简称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）系经中华人民共和国对外贸易经济合作部（以下简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外经贸部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外经贸资一函字第</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号《关于设立中外合资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福建永福工程顾问有限公司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的批复》 批准，由福建省电力勘测设计院、香港永沛工程管理顾问有限公司（下称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永沛公司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）共同发起设立的股份有限公司，并于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日，获取由国家工商行政管理局核发的注册号为工商企合闽字第</w:t>
      </w:r>
      <w:r>
        <w:rPr>
          <w:rFonts w:ascii="Times New Roman" w:eastAsia="Times New Roman" w:hAnsi="Times New Roman" w:cs="Times New Roman"/>
          <w:color w:val="000000"/>
          <w:spacing w:val="0"/>
          <w:w w:val="100"/>
          <w:position w:val="0"/>
          <w:sz w:val="18"/>
          <w:szCs w:val="18"/>
        </w:rPr>
        <w:t>02495</w:t>
      </w:r>
      <w:r>
        <w:rPr>
          <w:color w:val="000000"/>
          <w:spacing w:val="0"/>
          <w:w w:val="100"/>
          <w:position w:val="0"/>
        </w:rPr>
        <w:t>号《企业法人营业执照》。</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经过数次股权变动及增资，截至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日止，公司注册资本为人民币</w:t>
      </w:r>
      <w:r>
        <w:rPr>
          <w:rFonts w:ascii="Times New Roman" w:eastAsia="Times New Roman" w:hAnsi="Times New Roman" w:cs="Times New Roman"/>
          <w:color w:val="000000"/>
          <w:spacing w:val="0"/>
          <w:w w:val="100"/>
          <w:position w:val="0"/>
          <w:sz w:val="18"/>
          <w:szCs w:val="18"/>
        </w:rPr>
        <w:t>10,506</w:t>
      </w:r>
      <w:r>
        <w:rPr>
          <w:color w:val="000000"/>
          <w:spacing w:val="0"/>
          <w:w w:val="100"/>
          <w:position w:val="0"/>
        </w:rPr>
        <w:t xml:space="preserve">万元，公司的统一社会信用代码为 </w:t>
      </w:r>
      <w:r>
        <w:rPr>
          <w:rFonts w:ascii="Times New Roman" w:eastAsia="Times New Roman" w:hAnsi="Times New Roman" w:cs="Times New Roman"/>
          <w:color w:val="000000"/>
          <w:spacing w:val="0"/>
          <w:w w:val="100"/>
          <w:position w:val="0"/>
          <w:sz w:val="18"/>
          <w:szCs w:val="18"/>
        </w:rPr>
        <w:t>91350000611005994M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日，经中国证券监督管理委员会以证监许可</w:t>
      </w:r>
      <w:r>
        <w:rPr>
          <w:rFonts w:ascii="Times New Roman" w:eastAsia="Times New Roman" w:hAnsi="Times New Roman" w:cs="Times New Roman"/>
          <w:color w:val="000000"/>
          <w:spacing w:val="0"/>
          <w:w w:val="100"/>
          <w:position w:val="0"/>
          <w:sz w:val="18"/>
          <w:szCs w:val="18"/>
        </w:rPr>
        <w:t>［2017］1780</w:t>
      </w:r>
      <w:r>
        <w:rPr>
          <w:color w:val="000000"/>
          <w:spacing w:val="0"/>
          <w:w w:val="100"/>
          <w:position w:val="0"/>
        </w:rPr>
        <w:t>号《关于核准福建永福电力设 计股份有限公司首次公开发行股票的批复》核准，公司向社会公开发行人民币普通股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3,502</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 新增注册资本人民币</w:t>
      </w:r>
      <w:r>
        <w:rPr>
          <w:rFonts w:ascii="Times New Roman" w:eastAsia="Times New Roman" w:hAnsi="Times New Roman" w:cs="Times New Roman"/>
          <w:color w:val="000000"/>
          <w:spacing w:val="0"/>
          <w:w w:val="100"/>
          <w:position w:val="0"/>
          <w:sz w:val="18"/>
          <w:szCs w:val="18"/>
        </w:rPr>
        <w:t>3,502</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日在深圳证券交易所上市。</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18,210.4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18,210.4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万元，注册地：福建省福州市闽侯 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号。本公司主要经营活动为：许可项目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建设工程设计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建设工程勘察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电力设施承装、 承修、承试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房屋建筑和市政基础设施项目工程总承包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货物进出口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进出口代理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工程造价咨询业务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特种设备设计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建筑智能化系统设计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各类工程建设活动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建设工程监理。</w:t>
      </w:r>
      <w:r>
        <w:rPr>
          <w:color w:val="000000"/>
          <w:spacing w:val="0"/>
          <w:w w:val="100"/>
          <w:position w:val="0"/>
          <w:sz w:val="18"/>
          <w:szCs w:val="18"/>
        </w:rPr>
        <w:t>（</w:t>
      </w:r>
      <w:r>
        <w:rPr>
          <w:color w:val="000000"/>
          <w:spacing w:val="0"/>
          <w:w w:val="100"/>
          <w:position w:val="0"/>
        </w:rPr>
        <w:t>依法须经批准的项目</w:t>
      </w:r>
      <w:r>
        <w:rPr>
          <w:color w:val="000000"/>
          <w:spacing w:val="0"/>
          <w:w w:val="100"/>
          <w:position w:val="0"/>
          <w:sz w:val="18"/>
          <w:szCs w:val="18"/>
        </w:rPr>
        <w:t>，</w:t>
      </w:r>
      <w:r>
        <w:rPr>
          <w:color w:val="000000"/>
          <w:spacing w:val="0"/>
          <w:w w:val="100"/>
          <w:position w:val="0"/>
        </w:rPr>
        <w:t>经相关部门批准后方可开展经营活动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具体经 营项目以相关部门批准文件或许可证件为准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地质勘查技术服务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基础地质勘查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水污染治理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大气污 染治理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固体废物治理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工程和技术研究和试验发展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海上风电相关系统研发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风电场相关系统研发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新兴能源技术研发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在线能 源监测技术研发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合同能源管理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以自有资金从事投资活动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电子产品销售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机械设备销售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电工器材销售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建筑材料销售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仪器仪 表销售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建筑装饰材料销售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通讯设备销售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计算机软硬件及辅助设备批发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光伏设备及元器件销售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风力发电机组及 零部件销售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智能输配电及控制设备销售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对外承包工程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节能管理服务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社会经济咨询服务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网络与信息安全软件开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计算机系统服务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不含许可类信息咨询服务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不含出版物出租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生物质能技术服务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太阳能发电技术服务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风力发电技术服务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技术推广服务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科技推广和应用服务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 务、技术开发、技术咨询、技术交流、技术转让、技术推广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地理遥感信息服务。</w:t>
      </w:r>
      <w:r>
        <w:rPr>
          <w:color w:val="000000"/>
          <w:spacing w:val="0"/>
          <w:w w:val="100"/>
          <w:position w:val="0"/>
          <w:sz w:val="18"/>
          <w:szCs w:val="18"/>
        </w:rPr>
        <w:t>（</w:t>
      </w:r>
      <w:r>
        <w:rPr>
          <w:color w:val="000000"/>
          <w:spacing w:val="0"/>
          <w:w w:val="100"/>
          <w:position w:val="0"/>
        </w:rPr>
        <w:t>除依法须经批准的项目外</w:t>
      </w:r>
      <w:r>
        <w:rPr>
          <w:color w:val="000000"/>
          <w:spacing w:val="0"/>
          <w:w w:val="100"/>
          <w:position w:val="0"/>
          <w:sz w:val="18"/>
          <w:szCs w:val="18"/>
        </w:rPr>
        <w:t>，</w:t>
      </w:r>
      <w:r>
        <w:rPr>
          <w:color w:val="000000"/>
          <w:spacing w:val="0"/>
          <w:w w:val="100"/>
          <w:position w:val="0"/>
        </w:rPr>
        <w:t>凭营业执照依法 自主开展经营活动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。本公司控股股东为福建省永福博发投资股份有限公司、福州永福恒诚投资管理股份有限公司、福州博 宏投资管理有限公司。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日起，本公司实际控制人由林一文先生、季征南先生、王劲军先生、宋发兴先生、钱 有武先生、卓秀者女士、陈强先生、卢庆议先生变更为林一文先生。</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line="312" w:lineRule="exact"/>
        <w:ind w:left="0" w:right="0" w:firstLine="380"/>
        <w:jc w:val="left"/>
        <w:sectPr>
          <w:footnotePr>
            <w:pos w:val="pageBottom"/>
            <w:numFmt w:val="decimal"/>
            <w:numRestart w:val="continuous"/>
          </w:footnotePr>
          <w:pgSz w:w="11900" w:h="16840"/>
          <w:pgMar w:top="1552" w:right="1095" w:bottom="1377" w:left="1027" w:header="0" w:footer="3" w:gutter="0"/>
          <w:cols w:space="720"/>
          <w:noEndnote/>
          <w:rtlGutter w:val="0"/>
          <w:docGrid w:linePitch="360"/>
        </w:sectPr>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55" w:lineRule="exact"/>
        <w:ind w:left="0" w:right="0" w:firstLine="0"/>
        <w:jc w:val="right"/>
      </w:pPr>
      <w:r>
        <w:rPr>
          <w:color w:val="000000"/>
          <w:spacing w:val="0"/>
          <w:w w:val="100"/>
          <w:position w:val="0"/>
          <w:u w:val="single"/>
          <w:shd w:val="clear" w:color="auto" w:fill="FFFFFF"/>
        </w:rPr>
        <w:t>福建永福电力设计股份有限公司</w:t>
      </w:r>
      <w:r>
        <w:rPr>
          <w:rFonts w:ascii="Times New Roman" w:eastAsia="Times New Roman" w:hAnsi="Times New Roman" w:cs="Times New Roman"/>
          <w:color w:val="000000"/>
          <w:spacing w:val="0"/>
          <w:w w:val="100"/>
          <w:position w:val="0"/>
          <w:sz w:val="18"/>
          <w:szCs w:val="18"/>
          <w:u w:val="single"/>
          <w:shd w:val="clear" w:color="auto" w:fill="FFFFFF"/>
        </w:rPr>
        <w:t>2021</w:t>
      </w:r>
      <w:r>
        <w:rPr>
          <w:color w:val="000000"/>
          <w:spacing w:val="0"/>
          <w:w w:val="100"/>
          <w:position w:val="0"/>
          <w:u w:val="single"/>
          <w:shd w:val="clear" w:color="auto" w:fill="FFFFFF"/>
        </w:rPr>
        <w:t>年年度报告</w:t>
      </w:r>
    </w:p>
    <w:p>
      <w:pPr>
        <w:pStyle w:val="Style22"/>
        <w:keepNext/>
        <w:keepLines/>
        <w:widowControl w:val="0"/>
        <w:shd w:val="clear" w:color="auto" w:fill="auto"/>
        <w:bidi w:val="0"/>
        <w:spacing w:before="0" w:after="380" w:line="355" w:lineRule="exact"/>
        <w:ind w:left="0" w:right="0" w:firstLine="0"/>
        <w:jc w:val="left"/>
      </w:pPr>
      <w:bookmarkStart w:id="754" w:name="bookmark754"/>
      <w:bookmarkStart w:id="755" w:name="bookmark755"/>
      <w:bookmarkStart w:id="756" w:name="bookmark756"/>
      <w:bookmarkStart w:id="757" w:name="bookmark757"/>
      <w:r>
        <w:rPr>
          <w:color w:val="000000"/>
          <w:spacing w:val="0"/>
          <w:w w:val="100"/>
          <w:position w:val="0"/>
          <w:sz w:val="24"/>
          <w:szCs w:val="24"/>
        </w:rPr>
        <w:t>四</w:t>
      </w:r>
      <w:bookmarkEnd w:id="756"/>
      <w:r>
        <w:rPr>
          <w:color w:val="000000"/>
          <w:spacing w:val="0"/>
          <w:w w:val="100"/>
          <w:position w:val="0"/>
          <w:sz w:val="24"/>
          <w:szCs w:val="24"/>
        </w:rPr>
        <w:t>、财务报表的编制基础</w:t>
      </w:r>
      <w:bookmarkEnd w:id="754"/>
      <w:bookmarkEnd w:id="755"/>
      <w:bookmarkEnd w:id="757"/>
    </w:p>
    <w:p>
      <w:pPr>
        <w:pStyle w:val="Style32"/>
        <w:keepNext/>
        <w:keepLines/>
        <w:widowControl w:val="0"/>
        <w:shd w:val="clear" w:color="auto" w:fill="auto"/>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、编制基础</w:t>
      </w:r>
      <w:bookmarkEnd w:id="758"/>
      <w:bookmarkEnd w:id="759"/>
      <w:bookmarkEnd w:id="761"/>
    </w:p>
    <w:p>
      <w:pPr>
        <w:pStyle w:val="Style18"/>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2"/>
        <w:keepNext/>
        <w:keepLines/>
        <w:widowControl w:val="0"/>
        <w:shd w:val="clear" w:color="auto" w:fill="auto"/>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、持续经营</w:t>
      </w:r>
      <w:bookmarkEnd w:id="762"/>
      <w:bookmarkEnd w:id="763"/>
      <w:bookmarkEnd w:id="765"/>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本财务报表以持续经营为基础编制。</w:t>
      </w:r>
    </w:p>
    <w:p>
      <w:pPr>
        <w:pStyle w:val="Style22"/>
        <w:keepNext/>
        <w:keepLines/>
        <w:widowControl w:val="0"/>
        <w:shd w:val="clear" w:color="auto" w:fill="auto"/>
        <w:bidi w:val="0"/>
        <w:spacing w:before="0" w:after="26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sz w:val="24"/>
          <w:szCs w:val="24"/>
        </w:rPr>
        <w:t>五</w:t>
      </w:r>
      <w:bookmarkEnd w:id="768"/>
      <w:r>
        <w:rPr>
          <w:color w:val="000000"/>
          <w:spacing w:val="0"/>
          <w:w w:val="100"/>
          <w:position w:val="0"/>
          <w:sz w:val="24"/>
          <w:szCs w:val="24"/>
        </w:rPr>
        <w:t>、重要会计政策及会计估计</w:t>
      </w:r>
      <w:bookmarkEnd w:id="766"/>
      <w:bookmarkEnd w:id="767"/>
      <w:bookmarkEnd w:id="769"/>
    </w:p>
    <w:p>
      <w:pPr>
        <w:pStyle w:val="Style18"/>
        <w:keepNext w:val="0"/>
        <w:keepLines w:val="0"/>
        <w:widowControl w:val="0"/>
        <w:shd w:val="clear" w:color="auto" w:fill="auto"/>
        <w:bidi w:val="0"/>
        <w:spacing w:before="0" w:after="40"/>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32"/>
        <w:keepNext/>
        <w:keepLines/>
        <w:widowControl w:val="0"/>
        <w:shd w:val="clear" w:color="auto" w:fill="auto"/>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color w:val="000000"/>
          <w:spacing w:val="0"/>
          <w:w w:val="100"/>
          <w:position w:val="0"/>
        </w:rPr>
        <w:t>、遵循企业会计准则的声明</w:t>
      </w:r>
      <w:bookmarkEnd w:id="770"/>
      <w:bookmarkEnd w:id="771"/>
      <w:bookmarkEnd w:id="773"/>
    </w:p>
    <w:p>
      <w:pPr>
        <w:pStyle w:val="Style18"/>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32"/>
        <w:keepNext/>
        <w:keepLines/>
        <w:widowControl w:val="0"/>
        <w:shd w:val="clear" w:color="auto" w:fill="auto"/>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bookmarkEnd w:id="776"/>
      <w:r>
        <w:rPr>
          <w:color w:val="000000"/>
          <w:spacing w:val="0"/>
          <w:w w:val="100"/>
          <w:position w:val="0"/>
        </w:rPr>
        <w:t>、会计期间</w:t>
      </w:r>
      <w:bookmarkEnd w:id="774"/>
      <w:bookmarkEnd w:id="775"/>
      <w:bookmarkEnd w:id="777"/>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3</w:t>
      </w:r>
      <w:bookmarkEnd w:id="780"/>
      <w:r>
        <w:rPr>
          <w:color w:val="000000"/>
          <w:spacing w:val="0"/>
          <w:w w:val="100"/>
          <w:position w:val="0"/>
        </w:rPr>
        <w:t>、营业周期</w:t>
      </w:r>
      <w:bookmarkEnd w:id="778"/>
      <w:bookmarkEnd w:id="779"/>
      <w:bookmarkEnd w:id="781"/>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4</w:t>
      </w:r>
      <w:bookmarkEnd w:id="784"/>
      <w:r>
        <w:rPr>
          <w:color w:val="000000"/>
          <w:spacing w:val="0"/>
          <w:w w:val="100"/>
          <w:position w:val="0"/>
        </w:rPr>
        <w:t>、记账本位币</w:t>
      </w:r>
      <w:bookmarkEnd w:id="782"/>
      <w:bookmarkEnd w:id="783"/>
      <w:bookmarkEnd w:id="785"/>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rPr>
        <w:t>本公司采用人民币为记账本位币。</w:t>
      </w:r>
    </w:p>
    <w:p>
      <w:pPr>
        <w:pStyle w:val="Style32"/>
        <w:keepNext/>
        <w:keepLines/>
        <w:widowControl w:val="0"/>
        <w:shd w:val="clear" w:color="auto" w:fill="auto"/>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5</w:t>
      </w:r>
      <w:bookmarkEnd w:id="788"/>
      <w:r>
        <w:rPr>
          <w:color w:val="000000"/>
          <w:spacing w:val="0"/>
          <w:w w:val="100"/>
          <w:position w:val="0"/>
        </w:rPr>
        <w:t>、同一控制下和非同一控制下企业合并的会计处理方法</w:t>
      </w:r>
      <w:bookmarkEnd w:id="786"/>
      <w:bookmarkEnd w:id="787"/>
      <w:bookmarkEnd w:id="789"/>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18"/>
        <w:keepNext w:val="0"/>
        <w:keepLines w:val="0"/>
        <w:widowControl w:val="0"/>
        <w:shd w:val="clear" w:color="auto" w:fill="auto"/>
        <w:bidi w:val="0"/>
        <w:spacing w:before="0" w:after="320"/>
        <w:ind w:left="0" w:right="0" w:firstLine="420"/>
        <w:jc w:val="both"/>
      </w:pPr>
      <w:r>
        <w:rPr>
          <w:color w:val="000000"/>
          <w:spacing w:val="0"/>
          <w:w w:val="100"/>
          <w:position w:val="0"/>
        </w:rPr>
        <w:t>为企业合并发生的直接相关费用于发生时计入当期损益；为企业合并而发行权益性证券或债务性证券的交易费用，计入</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80" w:line="322"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权益性证券或债务性证券的初始确认金额。</w:t>
      </w:r>
    </w:p>
    <w:p>
      <w:pPr>
        <w:pStyle w:val="Style32"/>
        <w:keepNext/>
        <w:keepLines/>
        <w:widowControl w:val="0"/>
        <w:shd w:val="clear" w:color="auto" w:fill="auto"/>
        <w:bidi w:val="0"/>
        <w:spacing w:before="0" w:after="28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6</w:t>
      </w:r>
      <w:bookmarkEnd w:id="792"/>
      <w:r>
        <w:rPr>
          <w:color w:val="000000"/>
          <w:spacing w:val="0"/>
          <w:w w:val="100"/>
          <w:position w:val="0"/>
        </w:rPr>
        <w:t>、合并财务报表的编制方法</w:t>
      </w:r>
      <w:bookmarkEnd w:id="790"/>
      <w:bookmarkEnd w:id="791"/>
      <w:bookmarkEnd w:id="793"/>
    </w:p>
    <w:p>
      <w:pPr>
        <w:pStyle w:val="Style18"/>
        <w:keepNext w:val="0"/>
        <w:keepLines w:val="0"/>
        <w:widowControl w:val="0"/>
        <w:shd w:val="clear" w:color="auto" w:fill="auto"/>
        <w:bidi w:val="0"/>
        <w:spacing w:before="0" w:after="0" w:line="313" w:lineRule="exact"/>
        <w:ind w:left="0" w:right="0" w:firstLine="480"/>
        <w:jc w:val="both"/>
      </w:pPr>
      <w:bookmarkStart w:id="794" w:name="bookmark794"/>
      <w:r>
        <w:rPr>
          <w:b/>
          <w:bCs/>
          <w:color w:val="000000"/>
          <w:spacing w:val="0"/>
          <w:w w:val="100"/>
          <w:position w:val="0"/>
        </w:rPr>
        <w:t>（</w:t>
      </w:r>
      <w:bookmarkEnd w:id="79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）合并范围</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合并财务报表的合并范围以控制为基础确定，合并范围包括本公司及全部子公司。控制，是指公司拥有对被投资方的 权力，通过参与被投资方的相关活动而享有可变回报，并且有能力运用对被投资方的权力影响其回报金额。</w:t>
      </w:r>
    </w:p>
    <w:p>
      <w:pPr>
        <w:pStyle w:val="Style18"/>
        <w:keepNext w:val="0"/>
        <w:keepLines w:val="0"/>
        <w:widowControl w:val="0"/>
        <w:shd w:val="clear" w:color="auto" w:fill="auto"/>
        <w:bidi w:val="0"/>
        <w:spacing w:before="0" w:after="0" w:line="313" w:lineRule="exact"/>
        <w:ind w:left="0" w:right="0" w:firstLine="480"/>
        <w:jc w:val="both"/>
      </w:pPr>
      <w:bookmarkStart w:id="795" w:name="bookmark795"/>
      <w:r>
        <w:rPr>
          <w:b/>
          <w:bCs/>
          <w:color w:val="000000"/>
          <w:spacing w:val="0"/>
          <w:w w:val="100"/>
          <w:position w:val="0"/>
        </w:rPr>
        <w:t>（</w:t>
      </w:r>
      <w:bookmarkEnd w:id="79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）合并程序</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本公司将整个企业集团视为一个会计主体，按照统一的会计政策编制合并财务报表，反映本企业集团整体财务状况、 经营成果和现金流量。本公司与子公司、子公司相互之间发生的内部交易的影响予以抵销。内部交易表明相关资产发生减值 损失的，全额确认该部分损失。如子公司采用的会计政策、会计期间与本公司不一致的，在编制合并财务报表时，按本公司 的会计政策、会计期间进行必要的调整。</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18"/>
        <w:keepNext w:val="0"/>
        <w:keepLines w:val="0"/>
        <w:widowControl w:val="0"/>
        <w:numPr>
          <w:ilvl w:val="0"/>
          <w:numId w:val="51"/>
        </w:numPr>
        <w:shd w:val="clear" w:color="auto" w:fill="auto"/>
        <w:bidi w:val="0"/>
        <w:spacing w:before="0" w:after="0" w:line="313" w:lineRule="exact"/>
        <w:ind w:left="0" w:right="0" w:firstLine="480"/>
        <w:jc w:val="both"/>
      </w:pPr>
      <w:bookmarkStart w:id="796" w:name="bookmark796"/>
      <w:bookmarkEnd w:id="796"/>
      <w:r>
        <w:rPr>
          <w:color w:val="000000"/>
          <w:spacing w:val="0"/>
          <w:w w:val="100"/>
          <w:position w:val="0"/>
        </w:rPr>
        <w:t>增加子公司或业务</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在报告期内，因同一控制下企业合并增加子公司或业务的，将子公司或业务合并当期期初至报告期末的经营成果和现 金流量纳入合并财务报表，同时对合并财务报表的期初数和比较报表的相关项目进行调整，视同合并后的报告主体自最终控 制方开始控制时点起一直存在。</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在报告期内，因非同一控制下企业合并增加子公司或业务的，以购买日确定的各项可辨认资产、负债及或有负债的公 允价值为基础自购买日起纳入合并财务报表。</w:t>
      </w:r>
    </w:p>
    <w:p>
      <w:pPr>
        <w:pStyle w:val="Style18"/>
        <w:keepNext w:val="0"/>
        <w:keepLines w:val="0"/>
        <w:widowControl w:val="0"/>
        <w:numPr>
          <w:ilvl w:val="0"/>
          <w:numId w:val="51"/>
        </w:numPr>
        <w:shd w:val="clear" w:color="auto" w:fill="auto"/>
        <w:bidi w:val="0"/>
        <w:spacing w:before="0" w:after="0" w:line="313" w:lineRule="exact"/>
        <w:ind w:left="0" w:right="0" w:firstLine="480"/>
        <w:jc w:val="both"/>
      </w:pPr>
      <w:bookmarkStart w:id="797" w:name="bookmark797"/>
      <w:bookmarkEnd w:id="797"/>
      <w:r>
        <w:rPr>
          <w:color w:val="000000"/>
          <w:spacing w:val="0"/>
          <w:w w:val="100"/>
          <w:position w:val="0"/>
        </w:rPr>
        <w:t>处置子公司</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因处置部分股权投资或其他原因丧失了对被投资方控制权时，对于处置后的剩余股权投资，按照其在丧失控制权日的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以后可重分类进损益的其他综合收益、权益法核算下的其他所有者权益变动，在丧失控制权时转为当期投资收益。</w:t>
      </w:r>
    </w:p>
    <w:p>
      <w:pPr>
        <w:pStyle w:val="Style18"/>
        <w:keepNext w:val="0"/>
        <w:keepLines w:val="0"/>
        <w:widowControl w:val="0"/>
        <w:numPr>
          <w:ilvl w:val="0"/>
          <w:numId w:val="51"/>
        </w:numPr>
        <w:shd w:val="clear" w:color="auto" w:fill="auto"/>
        <w:bidi w:val="0"/>
        <w:spacing w:before="0" w:after="0" w:line="313" w:lineRule="exact"/>
        <w:ind w:left="0" w:right="0" w:firstLine="480"/>
        <w:jc w:val="both"/>
      </w:pPr>
      <w:bookmarkStart w:id="798" w:name="bookmark798"/>
      <w:bookmarkEnd w:id="798"/>
      <w:r>
        <w:rPr>
          <w:color w:val="000000"/>
          <w:spacing w:val="0"/>
          <w:w w:val="100"/>
          <w:position w:val="0"/>
        </w:rPr>
        <w:t>购买子公司少数股权</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18"/>
        <w:keepNext w:val="0"/>
        <w:keepLines w:val="0"/>
        <w:widowControl w:val="0"/>
        <w:numPr>
          <w:ilvl w:val="0"/>
          <w:numId w:val="51"/>
        </w:numPr>
        <w:shd w:val="clear" w:color="auto" w:fill="auto"/>
        <w:bidi w:val="0"/>
        <w:spacing w:before="0" w:after="0" w:line="313" w:lineRule="exact"/>
        <w:ind w:left="0" w:right="0" w:firstLine="480"/>
        <w:jc w:val="both"/>
      </w:pPr>
      <w:bookmarkStart w:id="799" w:name="bookmark799"/>
      <w:bookmarkEnd w:id="799"/>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处置价款与处置长期股权投资相对应享有子公司自购买日或合并日开始持续计算的净资产份额之间的差额，调整合并 资产负债表中的资本公积中的股本溢价，资本公积中的股本溢价不足冲减的，调整留存收益。</w:t>
      </w:r>
    </w:p>
    <w:p>
      <w:pPr>
        <w:pStyle w:val="Style32"/>
        <w:keepNext/>
        <w:keepLines/>
        <w:widowControl w:val="0"/>
        <w:shd w:val="clear" w:color="auto" w:fill="auto"/>
        <w:bidi w:val="0"/>
        <w:spacing w:before="0" w:after="38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7</w:t>
      </w:r>
      <w:bookmarkEnd w:id="802"/>
      <w:r>
        <w:rPr>
          <w:color w:val="000000"/>
          <w:spacing w:val="0"/>
          <w:w w:val="100"/>
          <w:position w:val="0"/>
        </w:rPr>
        <w:t>、合营安排分类及共同经营会计处理方法</w:t>
      </w:r>
      <w:bookmarkEnd w:id="800"/>
      <w:bookmarkEnd w:id="801"/>
      <w:bookmarkEnd w:id="803"/>
    </w:p>
    <w:p>
      <w:pPr>
        <w:pStyle w:val="Style32"/>
        <w:keepNext/>
        <w:keepLines/>
        <w:widowControl w:val="0"/>
        <w:shd w:val="clear" w:color="auto" w:fill="auto"/>
        <w:bidi w:val="0"/>
        <w:spacing w:before="0" w:after="2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、现金及现金等价物的确定标准</w:t>
      </w:r>
      <w:bookmarkEnd w:id="804"/>
      <w:bookmarkEnd w:id="805"/>
      <w:bookmarkEnd w:id="807"/>
    </w:p>
    <w:p>
      <w:pPr>
        <w:pStyle w:val="Style18"/>
        <w:keepNext w:val="0"/>
        <w:keepLines w:val="0"/>
        <w:widowControl w:val="0"/>
        <w:shd w:val="clear" w:color="auto" w:fill="auto"/>
        <w:bidi w:val="0"/>
        <w:spacing w:before="0" w:after="380"/>
        <w:ind w:left="0" w:right="0" w:firstLine="42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2"/>
        <w:keepNext/>
        <w:keepLines/>
        <w:widowControl w:val="0"/>
        <w:shd w:val="clear" w:color="auto" w:fill="auto"/>
        <w:bidi w:val="0"/>
        <w:spacing w:before="0" w:after="28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9</w:t>
      </w:r>
      <w:bookmarkEnd w:id="810"/>
      <w:r>
        <w:rPr>
          <w:color w:val="000000"/>
          <w:spacing w:val="0"/>
          <w:w w:val="100"/>
          <w:position w:val="0"/>
        </w:rPr>
        <w:t>、外币业务和外币报表折算</w:t>
      </w:r>
      <w:bookmarkEnd w:id="808"/>
      <w:bookmarkEnd w:id="809"/>
      <w:bookmarkEnd w:id="811"/>
    </w:p>
    <w:p>
      <w:pPr>
        <w:pStyle w:val="Style18"/>
        <w:keepNext w:val="0"/>
        <w:keepLines w:val="0"/>
        <w:widowControl w:val="0"/>
        <w:shd w:val="clear" w:color="auto" w:fill="auto"/>
        <w:bidi w:val="0"/>
        <w:spacing w:before="0" w:after="0" w:line="313" w:lineRule="exact"/>
        <w:ind w:left="0" w:right="0" w:firstLine="420"/>
        <w:jc w:val="both"/>
      </w:pPr>
      <w:bookmarkStart w:id="812" w:name="bookmark812"/>
      <w:r>
        <w:rPr>
          <w:b/>
          <w:bCs/>
          <w:color w:val="000000"/>
          <w:spacing w:val="0"/>
          <w:w w:val="100"/>
          <w:position w:val="0"/>
        </w:rPr>
        <w:t>（</w:t>
      </w:r>
      <w:bookmarkEnd w:id="81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）外币业务</w:t>
      </w:r>
    </w:p>
    <w:p>
      <w:pPr>
        <w:pStyle w:val="Style18"/>
        <w:keepNext w:val="0"/>
        <w:keepLines w:val="0"/>
        <w:widowControl w:val="0"/>
        <w:shd w:val="clear" w:color="auto" w:fill="auto"/>
        <w:bidi w:val="0"/>
        <w:spacing w:before="0" w:after="320" w:line="313" w:lineRule="exact"/>
        <w:ind w:left="0" w:right="0" w:firstLine="420"/>
        <w:jc w:val="both"/>
      </w:pPr>
      <w:r>
        <w:rPr>
          <w:color w:val="000000"/>
          <w:spacing w:val="0"/>
          <w:w w:val="100"/>
          <w:position w:val="0"/>
        </w:rPr>
        <w:t>外币业务采用交易发生日的即期汇率作为折算汇率将外币金额折合成人民币记账。</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4"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18"/>
        <w:keepNext w:val="0"/>
        <w:keepLines w:val="0"/>
        <w:widowControl w:val="0"/>
        <w:shd w:val="clear" w:color="auto" w:fill="auto"/>
        <w:bidi w:val="0"/>
        <w:spacing w:before="0" w:after="0" w:line="314" w:lineRule="exact"/>
        <w:ind w:left="0" w:right="0" w:firstLine="42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）外币财务报表的折算</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目采用发生时的即期汇率折算。利润表中的收入和费用项目，采用按照系统合理的方法确定的、与交易发生日即期汇率近似 的汇率折算。</w:t>
      </w:r>
    </w:p>
    <w:p>
      <w:pPr>
        <w:pStyle w:val="Style18"/>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置境外经营时，将与该境外经营相关的外币财务报表折算差额，自所有者权益项目转入处置当期损益。</w:t>
      </w:r>
    </w:p>
    <w:p>
      <w:pPr>
        <w:pStyle w:val="Style32"/>
        <w:keepNext/>
        <w:keepLines/>
        <w:widowControl w:val="0"/>
        <w:shd w:val="clear" w:color="auto" w:fill="auto"/>
        <w:bidi w:val="0"/>
        <w:spacing w:before="0" w:after="28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4"/>
      <w:bookmarkEnd w:id="815"/>
      <w:bookmarkEnd w:id="817"/>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本公司在成为金融工具合同的一方时，确认一项金融资产、金融负债或权益工具。</w:t>
      </w:r>
    </w:p>
    <w:p>
      <w:pPr>
        <w:pStyle w:val="Style18"/>
        <w:keepNext w:val="0"/>
        <w:keepLines w:val="0"/>
        <w:widowControl w:val="0"/>
        <w:shd w:val="clear" w:color="auto" w:fill="auto"/>
        <w:bidi w:val="0"/>
        <w:spacing w:before="0" w:after="0" w:line="313" w:lineRule="exact"/>
        <w:ind w:left="0" w:right="0" w:firstLine="42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）金融工具的分类</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一业务模式是以收取合同现金流量为目标；</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一业务模式既以收取合同现金流量又以出售该金融资产为目标；</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280" w:line="313" w:lineRule="exact"/>
        <w:ind w:left="0" w:right="0" w:firstLine="42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金融负债于初始确认时分类为：以公允价值计量且其变动计入当期损益的金融负债和以摊余成本计量的金融负债。</w:t>
      </w:r>
    </w:p>
    <w:p>
      <w:pPr>
        <w:pStyle w:val="Style18"/>
        <w:keepNext w:val="0"/>
        <w:keepLines w:val="0"/>
        <w:widowControl w:val="0"/>
        <w:shd w:val="clear" w:color="auto" w:fill="auto"/>
        <w:bidi w:val="0"/>
        <w:spacing w:before="0" w:after="0"/>
        <w:ind w:left="0" w:right="0" w:firstLine="420"/>
        <w:jc w:val="both"/>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）金融工具的确认依据和计量方法</w:t>
      </w:r>
    </w:p>
    <w:p>
      <w:pPr>
        <w:pStyle w:val="Style18"/>
        <w:keepNext w:val="0"/>
        <w:keepLines w:val="0"/>
        <w:widowControl w:val="0"/>
        <w:numPr>
          <w:ilvl w:val="0"/>
          <w:numId w:val="53"/>
        </w:numPr>
        <w:shd w:val="clear" w:color="auto" w:fill="auto"/>
        <w:bidi w:val="0"/>
        <w:spacing w:before="0" w:after="0"/>
        <w:ind w:left="0" w:right="0" w:firstLine="420"/>
        <w:jc w:val="both"/>
      </w:pPr>
      <w:bookmarkStart w:id="820" w:name="bookmark820"/>
      <w:bookmarkEnd w:id="820"/>
      <w:r>
        <w:rPr>
          <w:color w:val="000000"/>
          <w:spacing w:val="0"/>
          <w:w w:val="100"/>
          <w:position w:val="0"/>
        </w:rPr>
        <w:t>以摊余成本计量的金融资产</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收回或处置时，将取得的价款与该金融资产账面价值之间的差额计入当期损益。</w:t>
      </w:r>
    </w:p>
    <w:p>
      <w:pPr>
        <w:pStyle w:val="Style18"/>
        <w:keepNext w:val="0"/>
        <w:keepLines w:val="0"/>
        <w:widowControl w:val="0"/>
        <w:numPr>
          <w:ilvl w:val="0"/>
          <w:numId w:val="53"/>
        </w:numPr>
        <w:shd w:val="clear" w:color="auto" w:fill="auto"/>
        <w:bidi w:val="0"/>
        <w:spacing w:before="0" w:after="0"/>
        <w:ind w:left="0" w:right="0" w:firstLine="420"/>
        <w:jc w:val="both"/>
      </w:pPr>
      <w:bookmarkStart w:id="821" w:name="bookmark821"/>
      <w:bookmarkEnd w:id="821"/>
      <w:r>
        <w:rPr>
          <w:color w:val="000000"/>
          <w:spacing w:val="0"/>
          <w:w w:val="100"/>
          <w:position w:val="0"/>
        </w:rPr>
        <w:t>以公允价值计量且其变动计入其他综合收益的金融资产（债务工具）</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终止确认时，之前计入其他综合收益的累计利得或损失从其他综合收益中转出，计入当期损益。</w:t>
      </w:r>
    </w:p>
    <w:p>
      <w:pPr>
        <w:pStyle w:val="Style18"/>
        <w:keepNext w:val="0"/>
        <w:keepLines w:val="0"/>
        <w:widowControl w:val="0"/>
        <w:numPr>
          <w:ilvl w:val="0"/>
          <w:numId w:val="53"/>
        </w:numPr>
        <w:shd w:val="clear" w:color="auto" w:fill="auto"/>
        <w:bidi w:val="0"/>
        <w:spacing w:before="0" w:after="0"/>
        <w:ind w:left="0" w:right="0" w:firstLine="420"/>
        <w:jc w:val="both"/>
      </w:pPr>
      <w:bookmarkStart w:id="822" w:name="bookmark822"/>
      <w:bookmarkEnd w:id="822"/>
      <w:r>
        <w:rPr>
          <w:color w:val="000000"/>
          <w:spacing w:val="0"/>
          <w:w w:val="100"/>
          <w:position w:val="0"/>
        </w:rPr>
        <w:t>以公允价值计量且其变动计入其他综合收益的金融资产（权益工具）</w:t>
      </w:r>
    </w:p>
    <w:p>
      <w:pPr>
        <w:pStyle w:val="Style18"/>
        <w:keepNext w:val="0"/>
        <w:keepLines w:val="0"/>
        <w:widowControl w:val="0"/>
        <w:shd w:val="clear" w:color="auto" w:fill="auto"/>
        <w:bidi w:val="0"/>
        <w:spacing w:before="0"/>
        <w:ind w:left="0" w:right="0" w:firstLine="420"/>
        <w:jc w:val="both"/>
      </w:pPr>
      <w:r>
        <w:rPr>
          <w:color w:val="000000"/>
          <w:spacing w:val="0"/>
          <w:w w:val="100"/>
          <w:position w:val="0"/>
        </w:rPr>
        <w:t>以公允价值计量且其变动计入其他综合收益的金融资产（权益工具）包括其他权益工具投资等，按公允价值进行初始计</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3"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量，相关交易费用计入初始确认金额。该金融资产按公允价值进行后续计量，公允价值变动计入其他综合收益。取得的股利 计入当期损益。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终止确认时，之前计入其他综合收益的累计利得或损失从其他综合收益中转出，计入留存收益。</w:t>
      </w:r>
    </w:p>
    <w:p>
      <w:pPr>
        <w:pStyle w:val="Style18"/>
        <w:keepNext w:val="0"/>
        <w:keepLines w:val="0"/>
        <w:widowControl w:val="0"/>
        <w:numPr>
          <w:ilvl w:val="0"/>
          <w:numId w:val="53"/>
        </w:numPr>
        <w:shd w:val="clear" w:color="auto" w:fill="auto"/>
        <w:bidi w:val="0"/>
        <w:spacing w:before="0" w:after="0" w:line="313" w:lineRule="exact"/>
        <w:ind w:left="0" w:right="0" w:firstLine="420"/>
        <w:jc w:val="both"/>
      </w:pPr>
      <w:bookmarkStart w:id="823" w:name="bookmark823"/>
      <w:bookmarkEnd w:id="823"/>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18"/>
        <w:keepNext w:val="0"/>
        <w:keepLines w:val="0"/>
        <w:widowControl w:val="0"/>
        <w:numPr>
          <w:ilvl w:val="0"/>
          <w:numId w:val="53"/>
        </w:numPr>
        <w:shd w:val="clear" w:color="auto" w:fill="auto"/>
        <w:bidi w:val="0"/>
        <w:spacing w:before="0" w:after="0" w:line="313" w:lineRule="exact"/>
        <w:ind w:left="0" w:right="0" w:firstLine="420"/>
        <w:jc w:val="both"/>
      </w:pPr>
      <w:bookmarkStart w:id="824" w:name="bookmark824"/>
      <w:bookmarkEnd w:id="824"/>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终止确认时，其账面价值与支付的对价之间的差额计入当期损益。</w:t>
      </w:r>
    </w:p>
    <w:p>
      <w:pPr>
        <w:pStyle w:val="Style18"/>
        <w:keepNext w:val="0"/>
        <w:keepLines w:val="0"/>
        <w:widowControl w:val="0"/>
        <w:numPr>
          <w:ilvl w:val="0"/>
          <w:numId w:val="53"/>
        </w:numPr>
        <w:shd w:val="clear" w:color="auto" w:fill="auto"/>
        <w:bidi w:val="0"/>
        <w:spacing w:before="0" w:after="0" w:line="313" w:lineRule="exact"/>
        <w:ind w:left="0" w:right="0" w:firstLine="420"/>
        <w:jc w:val="both"/>
      </w:pPr>
      <w:bookmarkStart w:id="825" w:name="bookmark825"/>
      <w:bookmarkEnd w:id="825"/>
      <w:r>
        <w:rPr>
          <w:color w:val="000000"/>
          <w:spacing w:val="0"/>
          <w:w w:val="100"/>
          <w:position w:val="0"/>
        </w:rPr>
        <w:t>以摊余成本计量的金融负债</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终止确认时，将支付的对价与该金融负债账面价值之间的差额计入当期损益。</w:t>
      </w:r>
    </w:p>
    <w:p>
      <w:pPr>
        <w:pStyle w:val="Style18"/>
        <w:keepNext w:val="0"/>
        <w:keepLines w:val="0"/>
        <w:widowControl w:val="0"/>
        <w:shd w:val="clear" w:color="auto" w:fill="auto"/>
        <w:bidi w:val="0"/>
        <w:spacing w:before="0" w:after="0" w:line="313" w:lineRule="exact"/>
        <w:ind w:left="0" w:right="0" w:firstLine="420"/>
        <w:jc w:val="both"/>
      </w:pPr>
      <w:bookmarkStart w:id="826" w:name="bookmark826"/>
      <w:r>
        <w:rPr>
          <w:b/>
          <w:bCs/>
          <w:color w:val="000000"/>
          <w:spacing w:val="0"/>
          <w:w w:val="100"/>
          <w:position w:val="0"/>
        </w:rPr>
        <w:t>（</w:t>
      </w:r>
      <w:bookmarkEnd w:id="82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）金融资产终止确认和金融资产转移</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满足下列条件之一时，本公司终止确认金融资产：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一收取金融资产现金流量的合同权利终止；</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一金融资产已转移，且已将金融资产所有权上几乎所有的风险和报酬转移给转入方；</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发生金融资产转移时，如保留了金融资产所有权上几乎所有的风险和报酬的，则不终止确认该金融资产。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在判断金融资产转移是否满足上述金融资产终止确认条件时，采用实质重于形式的原则。</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8"/>
        <w:keepNext w:val="0"/>
        <w:keepLines w:val="0"/>
        <w:widowControl w:val="0"/>
        <w:numPr>
          <w:ilvl w:val="0"/>
          <w:numId w:val="55"/>
        </w:numPr>
        <w:shd w:val="clear" w:color="auto" w:fill="auto"/>
        <w:bidi w:val="0"/>
        <w:spacing w:before="0" w:after="0" w:line="313" w:lineRule="exact"/>
        <w:ind w:left="0" w:right="0" w:firstLine="420"/>
        <w:jc w:val="both"/>
      </w:pPr>
      <w:bookmarkStart w:id="827" w:name="bookmark827"/>
      <w:bookmarkEnd w:id="827"/>
      <w:r>
        <w:rPr>
          <w:color w:val="000000"/>
          <w:spacing w:val="0"/>
          <w:w w:val="100"/>
          <w:position w:val="0"/>
        </w:rPr>
        <w:t>所转移金融资产的账面价值；</w:t>
      </w:r>
    </w:p>
    <w:p>
      <w:pPr>
        <w:pStyle w:val="Style18"/>
        <w:keepNext w:val="0"/>
        <w:keepLines w:val="0"/>
        <w:widowControl w:val="0"/>
        <w:numPr>
          <w:ilvl w:val="0"/>
          <w:numId w:val="55"/>
        </w:numPr>
        <w:shd w:val="clear" w:color="auto" w:fill="auto"/>
        <w:bidi w:val="0"/>
        <w:spacing w:before="0" w:after="0" w:line="313" w:lineRule="exact"/>
        <w:ind w:left="0" w:right="0" w:firstLine="420"/>
        <w:jc w:val="both"/>
      </w:pPr>
      <w:bookmarkStart w:id="828" w:name="bookmark828"/>
      <w:bookmarkEnd w:id="828"/>
      <w:r>
        <w:rPr>
          <w:color w:val="000000"/>
          <w:spacing w:val="0"/>
          <w:w w:val="100"/>
          <w:position w:val="0"/>
        </w:rPr>
        <w:t>因转移而收到的对价，与原直接计入所有者权益的公允价值变动累计额（涉及转移的金融资产为以公允价值计量且其 变动计入其他综合收益的金融资产（债务工具）的情形）之和。</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①终止确认部分的账面价值；</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②终止确认部分的对价，与原直接计入所有者权益的公允价值变动累计额中对应终止确认部分的金额（涉及转移的金融 资产为以公允价值计量且其变动计入其他综合收益的金融资产（债务工具）的情形）之和。</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shd w:val="clear" w:color="auto" w:fill="auto"/>
        <w:bidi w:val="0"/>
        <w:spacing w:before="0" w:after="0" w:line="313" w:lineRule="exact"/>
        <w:ind w:left="0" w:right="0" w:firstLine="420"/>
        <w:jc w:val="both"/>
      </w:pPr>
      <w:bookmarkStart w:id="829" w:name="bookmark829"/>
      <w:r>
        <w:rPr>
          <w:b/>
          <w:bCs/>
          <w:color w:val="000000"/>
          <w:spacing w:val="0"/>
          <w:w w:val="100"/>
          <w:position w:val="0"/>
        </w:rPr>
        <w:t>（</w:t>
      </w:r>
      <w:bookmarkEnd w:id="82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）金融负债终止确认</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7"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计入当期损益。</w:t>
      </w:r>
    </w:p>
    <w:p>
      <w:pPr>
        <w:pStyle w:val="Style18"/>
        <w:keepNext w:val="0"/>
        <w:keepLines w:val="0"/>
        <w:widowControl w:val="0"/>
        <w:shd w:val="clear" w:color="auto" w:fill="auto"/>
        <w:bidi w:val="0"/>
        <w:spacing w:before="0" w:after="0" w:line="317" w:lineRule="exact"/>
        <w:ind w:left="0" w:right="0" w:firstLine="420"/>
        <w:jc w:val="both"/>
      </w:pPr>
      <w:bookmarkStart w:id="830" w:name="bookmark830"/>
      <w:r>
        <w:rPr>
          <w:b/>
          <w:bCs/>
          <w:color w:val="000000"/>
          <w:spacing w:val="0"/>
          <w:w w:val="100"/>
          <w:position w:val="0"/>
        </w:rPr>
        <w:t>（</w:t>
      </w:r>
      <w:bookmarkEnd w:id="830"/>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）金融资产和金融负债的公允价值的确定方法</w:t>
      </w:r>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8"/>
        <w:keepNext w:val="0"/>
        <w:keepLines w:val="0"/>
        <w:widowControl w:val="0"/>
        <w:shd w:val="clear" w:color="auto" w:fill="auto"/>
        <w:bidi w:val="0"/>
        <w:spacing w:before="0" w:after="0" w:line="317" w:lineRule="exact"/>
        <w:ind w:left="0" w:right="0" w:firstLine="420"/>
        <w:jc w:val="both"/>
      </w:pPr>
      <w:bookmarkStart w:id="831" w:name="bookmark831"/>
      <w:r>
        <w:rPr>
          <w:b/>
          <w:bCs/>
          <w:color w:val="000000"/>
          <w:spacing w:val="0"/>
          <w:w w:val="100"/>
          <w:position w:val="0"/>
        </w:rPr>
        <w:t>（</w:t>
      </w:r>
      <w:bookmarkEnd w:id="831"/>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）金融资产减值的测试方法及会计处理方法</w:t>
      </w:r>
    </w:p>
    <w:p>
      <w:pPr>
        <w:pStyle w:val="Style18"/>
        <w:keepNext w:val="0"/>
        <w:keepLines w:val="0"/>
        <w:widowControl w:val="0"/>
        <w:shd w:val="clear" w:color="auto" w:fill="auto"/>
        <w:bidi w:val="0"/>
        <w:spacing w:before="0" w:after="0" w:line="336" w:lineRule="exact"/>
        <w:ind w:left="0" w:right="0" w:firstLine="42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如果金融工具于资产负债表日的信用风险较低，本公司即认为该金融工具的信用风险自初始确认后并未显著增加。</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如果有客观证据表明某项金融资产已经发生信用减值，则本公司在单项基础上对该金融资产计提减值准备。</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对于租赁应收款，本公司选择始终按照相当于整个存续期内预期信用损失的金额计量其损失准备。</w:t>
      </w:r>
    </w:p>
    <w:p>
      <w:pPr>
        <w:pStyle w:val="Style18"/>
        <w:keepNext w:val="0"/>
        <w:keepLines w:val="0"/>
        <w:widowControl w:val="0"/>
        <w:shd w:val="clear" w:color="auto" w:fill="auto"/>
        <w:bidi w:val="0"/>
        <w:spacing w:before="0" w:after="360" w:line="315" w:lineRule="exact"/>
        <w:ind w:left="0" w:right="0" w:firstLine="420"/>
        <w:jc w:val="both"/>
      </w:pPr>
      <w:r>
        <w:rPr>
          <w:color w:val="000000"/>
          <w:spacing w:val="0"/>
          <w:w w:val="100"/>
          <w:position w:val="0"/>
        </w:rPr>
        <w:t>本公司不再合理预期金融资产合同现金流量能够全部或部分收回的，直接减记该金融资产的账面余额。</w:t>
      </w:r>
    </w:p>
    <w:p>
      <w:pPr>
        <w:pStyle w:val="Style32"/>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32"/>
      <w:bookmarkEnd w:id="833"/>
      <w:bookmarkEnd w:id="835"/>
    </w:p>
    <w:p>
      <w:pPr>
        <w:pStyle w:val="Style32"/>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6"/>
      <w:bookmarkEnd w:id="837"/>
      <w:bookmarkEnd w:id="839"/>
    </w:p>
    <w:p>
      <w:pPr>
        <w:pStyle w:val="Style32"/>
        <w:keepNext/>
        <w:keepLines/>
        <w:widowControl w:val="0"/>
        <w:shd w:val="clear" w:color="auto" w:fill="auto"/>
        <w:bidi w:val="0"/>
        <w:spacing w:before="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40"/>
      <w:bookmarkEnd w:id="841"/>
      <w:bookmarkEnd w:id="843"/>
    </w:p>
    <w:p>
      <w:pPr>
        <w:pStyle w:val="Style32"/>
        <w:keepNext/>
        <w:keepLines/>
        <w:widowControl w:val="0"/>
        <w:shd w:val="clear" w:color="auto" w:fill="auto"/>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44"/>
      <w:bookmarkEnd w:id="845"/>
      <w:bookmarkEnd w:id="847"/>
    </w:p>
    <w:p>
      <w:pPr>
        <w:pStyle w:val="Style1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其他应收款的预期信用损失的确定方法及会计处理方法</w:t>
      </w:r>
    </w:p>
    <w:p>
      <w:pPr>
        <w:pStyle w:val="Style32"/>
        <w:keepNext/>
        <w:keepLines/>
        <w:widowControl w:val="0"/>
        <w:shd w:val="clear" w:color="auto" w:fill="auto"/>
        <w:bidi w:val="0"/>
        <w:spacing w:before="0" w:after="280" w:line="240" w:lineRule="auto"/>
        <w:ind w:left="0" w:right="0" w:firstLine="0"/>
        <w:jc w:val="left"/>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48"/>
      <w:bookmarkEnd w:id="849"/>
      <w:bookmarkEnd w:id="850"/>
    </w:p>
    <w:p>
      <w:pPr>
        <w:pStyle w:val="Style18"/>
        <w:keepNext w:val="0"/>
        <w:keepLines w:val="0"/>
        <w:widowControl w:val="0"/>
        <w:shd w:val="clear" w:color="auto" w:fill="auto"/>
        <w:bidi w:val="0"/>
        <w:spacing w:before="0" w:after="0" w:line="307" w:lineRule="exact"/>
        <w:ind w:left="0" w:right="0" w:firstLine="420"/>
        <w:jc w:val="both"/>
      </w:pPr>
      <w:bookmarkStart w:id="851" w:name="bookmark851"/>
      <w:r>
        <w:rPr>
          <w:b/>
          <w:bCs/>
          <w:color w:val="000000"/>
          <w:spacing w:val="0"/>
          <w:w w:val="100"/>
          <w:position w:val="0"/>
        </w:rPr>
        <w:t>（</w:t>
      </w:r>
      <w:bookmarkEnd w:id="85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）存货的分类和成本</w:t>
      </w:r>
    </w:p>
    <w:p>
      <w:pPr>
        <w:pStyle w:val="Style1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存货分类为：原材料、库存商品、发出商品、合同履约成本等。</w:t>
      </w:r>
    </w:p>
    <w:p>
      <w:pPr>
        <w:pStyle w:val="Style1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存货按成本进行初始计量，存货成本包括采购成本、加工成本和其他使存货达到目前场所和状态所发生的支出。</w:t>
      </w:r>
    </w:p>
    <w:p>
      <w:pPr>
        <w:pStyle w:val="Style18"/>
        <w:keepNext w:val="0"/>
        <w:keepLines w:val="0"/>
        <w:widowControl w:val="0"/>
        <w:shd w:val="clear" w:color="auto" w:fill="auto"/>
        <w:bidi w:val="0"/>
        <w:spacing w:before="0" w:after="0" w:line="307" w:lineRule="exact"/>
        <w:ind w:left="0" w:right="0" w:firstLine="420"/>
        <w:jc w:val="both"/>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）发出存货的计价方法</w:t>
      </w:r>
    </w:p>
    <w:p>
      <w:pPr>
        <w:pStyle w:val="Style1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存货发出时按个别认定法计价。</w:t>
      </w:r>
    </w:p>
    <w:p>
      <w:pPr>
        <w:pStyle w:val="Style18"/>
        <w:keepNext w:val="0"/>
        <w:keepLines w:val="0"/>
        <w:widowControl w:val="0"/>
        <w:shd w:val="clear" w:color="auto" w:fill="auto"/>
        <w:bidi w:val="0"/>
        <w:spacing w:before="0" w:after="0" w:line="307" w:lineRule="exact"/>
        <w:ind w:left="0" w:right="0" w:firstLine="420"/>
        <w:jc w:val="both"/>
      </w:pPr>
      <w:bookmarkStart w:id="853" w:name="bookmark853"/>
      <w:r>
        <w:rPr>
          <w:b/>
          <w:bCs/>
          <w:color w:val="000000"/>
          <w:spacing w:val="0"/>
          <w:w w:val="100"/>
          <w:position w:val="0"/>
        </w:rPr>
        <w:t>（</w:t>
      </w:r>
      <w:bookmarkEnd w:id="85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）不同类别存货可变现净值的确定依据</w:t>
      </w:r>
    </w:p>
    <w:p>
      <w:pPr>
        <w:pStyle w:val="Style18"/>
        <w:keepNext w:val="0"/>
        <w:keepLines w:val="0"/>
        <w:widowControl w:val="0"/>
        <w:shd w:val="clear" w:color="auto" w:fill="auto"/>
        <w:bidi w:val="0"/>
        <w:spacing w:before="0" w:after="320" w:line="307" w:lineRule="exact"/>
        <w:ind w:left="0" w:right="0" w:firstLine="42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5"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额。</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bidi w:val="0"/>
        <w:spacing w:before="0" w:after="0" w:line="315" w:lineRule="exact"/>
        <w:ind w:left="0" w:right="0" w:firstLine="420"/>
        <w:jc w:val="both"/>
      </w:pPr>
      <w:bookmarkStart w:id="854" w:name="bookmark854"/>
      <w:r>
        <w:rPr>
          <w:b/>
          <w:bCs/>
          <w:color w:val="000000"/>
          <w:spacing w:val="0"/>
          <w:w w:val="100"/>
          <w:position w:val="0"/>
        </w:rPr>
        <w:t>（</w:t>
      </w:r>
      <w:bookmarkEnd w:id="85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）存货的盘存制度</w:t>
      </w:r>
    </w:p>
    <w:p>
      <w:pPr>
        <w:pStyle w:val="Style18"/>
        <w:keepNext w:val="0"/>
        <w:keepLines w:val="0"/>
        <w:widowControl w:val="0"/>
        <w:shd w:val="clear" w:color="auto" w:fill="auto"/>
        <w:bidi w:val="0"/>
        <w:spacing w:before="0" w:after="380" w:line="315" w:lineRule="exact"/>
        <w:ind w:left="0" w:right="0" w:firstLine="420"/>
        <w:jc w:val="both"/>
      </w:pPr>
      <w:r>
        <w:rPr>
          <w:color w:val="000000"/>
          <w:spacing w:val="0"/>
          <w:w w:val="100"/>
          <w:position w:val="0"/>
        </w:rPr>
        <w:t>采用永续盘存制。</w:t>
      </w:r>
    </w:p>
    <w:p>
      <w:pPr>
        <w:pStyle w:val="Style32"/>
        <w:keepNext/>
        <w:keepLines/>
        <w:widowControl w:val="0"/>
        <w:shd w:val="clear" w:color="auto" w:fill="auto"/>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55"/>
      <w:bookmarkEnd w:id="856"/>
      <w:bookmarkEnd w:id="858"/>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18"/>
        <w:keepNext w:val="0"/>
        <w:keepLines w:val="0"/>
        <w:widowControl w:val="0"/>
        <w:shd w:val="clear" w:color="auto" w:fill="auto"/>
        <w:bidi w:val="0"/>
        <w:spacing w:before="0" w:after="380"/>
        <w:ind w:left="0" w:right="0" w:firstLine="42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59"/>
      <w:bookmarkEnd w:id="860"/>
      <w:bookmarkEnd w:id="862"/>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合同成本包括合同履约成本与合同取得成本。</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18"/>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与合同成本有关的资产，其账面价值高于下列两项的差额的，本公司对超出部分计提减值准备，并确认为资产减值损失：</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、因转让与该资产相关的商品或服务预期能够取得的剩余对价；</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after="380"/>
        <w:ind w:left="0" w:right="0" w:firstLine="42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2"/>
        <w:keepNext/>
        <w:keepLines/>
        <w:widowControl w:val="0"/>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63"/>
      <w:bookmarkEnd w:id="864"/>
      <w:bookmarkEnd w:id="866"/>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本公司将同时满足下列条件的非流动资产或处置组划分为持有待售类别：</w:t>
      </w:r>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）根据类似交易中出售此类资产或处置组的惯例，在当前状况下即可立即出售；</w:t>
      </w:r>
    </w:p>
    <w:p>
      <w:pPr>
        <w:pStyle w:val="Style18"/>
        <w:keepNext w:val="0"/>
        <w:keepLines w:val="0"/>
        <w:widowControl w:val="0"/>
        <w:shd w:val="clear" w:color="auto" w:fill="auto"/>
        <w:bidi w:val="0"/>
        <w:spacing w:before="0" w:after="0" w:line="322"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18"/>
        <w:keepNext w:val="0"/>
        <w:keepLines w:val="0"/>
        <w:widowControl w:val="0"/>
        <w:shd w:val="clear" w:color="auto" w:fill="auto"/>
        <w:bidi w:val="0"/>
        <w:spacing w:before="0" w:after="260" w:line="322" w:lineRule="exact"/>
        <w:ind w:left="0" w:right="0" w:firstLine="420"/>
        <w:jc w:val="both"/>
      </w:pPr>
      <w:r>
        <w:rPr>
          <w:color w:val="000000"/>
          <w:spacing w:val="0"/>
          <w:w w:val="100"/>
          <w:position w:val="0"/>
        </w:rPr>
        <w:t>划分为持有待售的非流动资产（不包括金融资产、递延所得税资产、职工薪酬形成的资产）或处置组，其账面价值高于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360" w:line="319"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公允价值减去出售费用后的净额的，账面价值减记至公允价值减去出售费用后的净额，减记的金额确认为资产减值损失，计 入当期损益，同时计提持有待售资产减值准备。</w:t>
      </w:r>
    </w:p>
    <w:p>
      <w:pPr>
        <w:pStyle w:val="Style32"/>
        <w:keepNext/>
        <w:keepLines/>
        <w:widowControl w:val="0"/>
        <w:shd w:val="clear" w:color="auto" w:fill="auto"/>
        <w:bidi w:val="0"/>
        <w:spacing w:before="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67"/>
      <w:bookmarkEnd w:id="868"/>
      <w:bookmarkEnd w:id="870"/>
    </w:p>
    <w:p>
      <w:pPr>
        <w:pStyle w:val="Style32"/>
        <w:keepNext/>
        <w:keepLines/>
        <w:widowControl w:val="0"/>
        <w:shd w:val="clear" w:color="auto" w:fill="auto"/>
        <w:bidi w:val="0"/>
        <w:spacing w:before="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871"/>
      <w:bookmarkEnd w:id="872"/>
      <w:bookmarkEnd w:id="874"/>
    </w:p>
    <w:p>
      <w:pPr>
        <w:pStyle w:val="Style32"/>
        <w:keepNext/>
        <w:keepLines/>
        <w:widowControl w:val="0"/>
        <w:shd w:val="clear" w:color="auto" w:fill="auto"/>
        <w:bidi w:val="0"/>
        <w:spacing w:before="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75"/>
      <w:bookmarkEnd w:id="876"/>
      <w:bookmarkEnd w:id="878"/>
    </w:p>
    <w:p>
      <w:pPr>
        <w:pStyle w:val="Style32"/>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79"/>
      <w:bookmarkEnd w:id="880"/>
      <w:bookmarkEnd w:id="882"/>
    </w:p>
    <w:p>
      <w:pPr>
        <w:pStyle w:val="Style18"/>
        <w:keepNext w:val="0"/>
        <w:keepLines w:val="0"/>
        <w:widowControl w:val="0"/>
        <w:shd w:val="clear" w:color="auto" w:fill="auto"/>
        <w:bidi w:val="0"/>
        <w:spacing w:before="0" w:after="0" w:line="311" w:lineRule="exact"/>
        <w:ind w:left="0" w:right="0" w:firstLine="420"/>
        <w:jc w:val="both"/>
      </w:pPr>
      <w:bookmarkStart w:id="883" w:name="bookmark883"/>
      <w:r>
        <w:rPr>
          <w:b/>
          <w:bCs/>
          <w:color w:val="000000"/>
          <w:spacing w:val="0"/>
          <w:w w:val="100"/>
          <w:position w:val="0"/>
        </w:rPr>
        <w:t>（</w:t>
      </w:r>
      <w:bookmarkEnd w:id="88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）共同控制、重大影响的判断标准</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18"/>
        <w:keepNext w:val="0"/>
        <w:keepLines w:val="0"/>
        <w:widowControl w:val="0"/>
        <w:shd w:val="clear" w:color="auto" w:fill="auto"/>
        <w:bidi w:val="0"/>
        <w:spacing w:before="0" w:after="0" w:line="311" w:lineRule="exact"/>
        <w:ind w:left="0" w:right="0" w:firstLine="420"/>
        <w:jc w:val="both"/>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）初始投资成本的确定</w:t>
      </w:r>
    </w:p>
    <w:p>
      <w:pPr>
        <w:pStyle w:val="Style18"/>
        <w:keepNext w:val="0"/>
        <w:keepLines w:val="0"/>
        <w:widowControl w:val="0"/>
        <w:numPr>
          <w:ilvl w:val="0"/>
          <w:numId w:val="57"/>
        </w:numPr>
        <w:shd w:val="clear" w:color="auto" w:fill="auto"/>
        <w:bidi w:val="0"/>
        <w:spacing w:before="0" w:after="0" w:line="311" w:lineRule="exact"/>
        <w:ind w:left="0" w:right="0" w:firstLine="420"/>
        <w:jc w:val="both"/>
      </w:pPr>
      <w:bookmarkStart w:id="885" w:name="bookmark885"/>
      <w:bookmarkEnd w:id="885"/>
      <w:r>
        <w:rPr>
          <w:color w:val="000000"/>
          <w:spacing w:val="0"/>
          <w:w w:val="100"/>
          <w:position w:val="0"/>
        </w:rPr>
        <w:t>企业合并形成的长期股权投资</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18"/>
        <w:keepNext w:val="0"/>
        <w:keepLines w:val="0"/>
        <w:widowControl w:val="0"/>
        <w:numPr>
          <w:ilvl w:val="0"/>
          <w:numId w:val="57"/>
        </w:numPr>
        <w:shd w:val="clear" w:color="auto" w:fill="auto"/>
        <w:bidi w:val="0"/>
        <w:spacing w:before="0" w:after="0" w:line="311" w:lineRule="exact"/>
        <w:ind w:left="0" w:right="0" w:firstLine="420"/>
        <w:jc w:val="both"/>
      </w:pPr>
      <w:bookmarkStart w:id="886" w:name="bookmark886"/>
      <w:bookmarkEnd w:id="886"/>
      <w:r>
        <w:rPr>
          <w:color w:val="000000"/>
          <w:spacing w:val="0"/>
          <w:w w:val="100"/>
          <w:position w:val="0"/>
        </w:rPr>
        <w:t>通过企业合并以外的其他方式取得的长期股权投资</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shd w:val="clear" w:color="auto" w:fill="auto"/>
        <w:bidi w:val="0"/>
        <w:spacing w:before="0" w:after="0" w:line="311" w:lineRule="exact"/>
        <w:ind w:left="0" w:right="0" w:firstLine="420"/>
        <w:jc w:val="both"/>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）后续计量及损益确认方法</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①成本法核算的长期股权投资</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②权益法核算的长期股权投资</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18"/>
        <w:keepNext w:val="0"/>
        <w:keepLines w:val="0"/>
        <w:widowControl w:val="0"/>
        <w:shd w:val="clear" w:color="auto" w:fill="auto"/>
        <w:bidi w:val="0"/>
        <w:spacing w:before="0" w:line="311" w:lineRule="exact"/>
        <w:ind w:left="0" w:right="0" w:firstLine="42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的，全额确认。</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18"/>
        <w:keepNext w:val="0"/>
        <w:keepLines w:val="0"/>
        <w:widowControl w:val="0"/>
        <w:numPr>
          <w:ilvl w:val="0"/>
          <w:numId w:val="57"/>
        </w:numPr>
        <w:shd w:val="clear" w:color="auto" w:fill="auto"/>
        <w:bidi w:val="0"/>
        <w:spacing w:before="0" w:after="0" w:line="312" w:lineRule="exact"/>
        <w:ind w:left="0" w:right="0" w:firstLine="420"/>
        <w:jc w:val="both"/>
      </w:pPr>
      <w:bookmarkStart w:id="888" w:name="bookmark888"/>
      <w:bookmarkEnd w:id="888"/>
      <w:r>
        <w:rPr>
          <w:color w:val="000000"/>
          <w:spacing w:val="0"/>
          <w:w w:val="100"/>
          <w:position w:val="0"/>
        </w:rPr>
        <w:t>长期股权投资的处置</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处置长期股权投资，其账面价值与实际取得价款的差额，计入当期损益。</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1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2"/>
        <w:keepNext/>
        <w:keepLines/>
        <w:widowControl w:val="0"/>
        <w:shd w:val="clear" w:color="auto" w:fill="auto"/>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89"/>
      <w:bookmarkEnd w:id="890"/>
      <w:bookmarkEnd w:id="892"/>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18"/>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32"/>
        <w:keepNext/>
        <w:keepLines/>
        <w:widowControl w:val="0"/>
        <w:shd w:val="clear" w:color="auto" w:fill="auto"/>
        <w:bidi w:val="0"/>
        <w:spacing w:before="0" w:after="3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93"/>
      <w:bookmarkEnd w:id="894"/>
      <w:bookmarkEnd w:id="896"/>
    </w:p>
    <w:p>
      <w:pPr>
        <w:pStyle w:val="Style50"/>
        <w:keepNext/>
        <w:keepLines/>
        <w:widowControl w:val="0"/>
        <w:numPr>
          <w:ilvl w:val="0"/>
          <w:numId w:val="59"/>
        </w:numPr>
        <w:shd w:val="clear" w:color="auto" w:fill="auto"/>
        <w:bidi w:val="0"/>
        <w:spacing w:before="0" w:after="260" w:line="240" w:lineRule="auto"/>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确认条件</w:t>
      </w:r>
      <w:bookmarkEnd w:id="897"/>
      <w:bookmarkEnd w:id="898"/>
      <w:bookmarkEnd w:id="900"/>
    </w:p>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26"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固定资产按成本（并考虑预计弃置费用因素的影响）进行初始计量。</w:t>
      </w:r>
    </w:p>
    <w:p>
      <w:pPr>
        <w:pStyle w:val="Style18"/>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50"/>
        <w:keepNext/>
        <w:keepLines/>
        <w:widowControl w:val="0"/>
        <w:shd w:val="clear" w:color="auto" w:fill="auto"/>
        <w:bidi w:val="0"/>
        <w:spacing w:before="0" w:after="360" w:line="240" w:lineRule="auto"/>
        <w:ind w:left="0" w:right="0" w:firstLine="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1"/>
      <w:bookmarkEnd w:id="902"/>
      <w:bookmarkEnd w:id="90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20.00%-10.00%</w:t>
            </w:r>
          </w:p>
        </w:tc>
      </w:tr>
    </w:tbl>
    <w:p>
      <w:pPr>
        <w:pStyle w:val="Style24"/>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279" w:line="1" w:lineRule="exact"/>
      </w:pPr>
    </w:p>
    <w:p>
      <w:pPr>
        <w:pStyle w:val="Style50"/>
        <w:keepNext/>
        <w:keepLines/>
        <w:widowControl w:val="0"/>
        <w:shd w:val="clear" w:color="auto" w:fill="auto"/>
        <w:bidi w:val="0"/>
        <w:spacing w:before="0" w:after="360" w:line="240" w:lineRule="auto"/>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5"/>
      <w:bookmarkEnd w:id="906"/>
      <w:bookmarkEnd w:id="908"/>
    </w:p>
    <w:p>
      <w:pPr>
        <w:pStyle w:val="Style32"/>
        <w:keepNext/>
        <w:keepLines/>
        <w:widowControl w:val="0"/>
        <w:shd w:val="clear" w:color="auto" w:fill="auto"/>
        <w:tabs>
          <w:tab w:pos="519" w:val="left"/>
        </w:tabs>
        <w:bidi w:val="0"/>
        <w:spacing w:before="0" w:after="2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9"/>
      <w:bookmarkEnd w:id="910"/>
      <w:bookmarkEnd w:id="912"/>
    </w:p>
    <w:p>
      <w:pPr>
        <w:pStyle w:val="Style18"/>
        <w:keepNext w:val="0"/>
        <w:keepLines w:val="0"/>
        <w:widowControl w:val="0"/>
        <w:shd w:val="clear" w:color="auto" w:fill="auto"/>
        <w:bidi w:val="0"/>
        <w:spacing w:before="0" w:after="360" w:line="307" w:lineRule="exact"/>
        <w:ind w:left="0" w:right="0" w:firstLine="42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2"/>
        <w:keepNext/>
        <w:keepLines/>
        <w:widowControl w:val="0"/>
        <w:shd w:val="clear" w:color="auto" w:fill="auto"/>
        <w:tabs>
          <w:tab w:pos="519"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3"/>
      <w:bookmarkEnd w:id="914"/>
      <w:bookmarkEnd w:id="916"/>
    </w:p>
    <w:p>
      <w:pPr>
        <w:pStyle w:val="Style18"/>
        <w:keepNext w:val="0"/>
        <w:keepLines w:val="0"/>
        <w:widowControl w:val="0"/>
        <w:shd w:val="clear" w:color="auto" w:fill="auto"/>
        <w:tabs>
          <w:tab w:pos="874" w:val="left"/>
        </w:tabs>
        <w:bidi w:val="0"/>
        <w:spacing w:before="0" w:after="0" w:line="314" w:lineRule="exact"/>
        <w:ind w:left="0" w:right="0" w:firstLine="420"/>
        <w:jc w:val="both"/>
      </w:pPr>
      <w:bookmarkStart w:id="917" w:name="bookmark917"/>
      <w:r>
        <w:rPr>
          <w:b/>
          <w:bCs/>
          <w:color w:val="000000"/>
          <w:spacing w:val="0"/>
          <w:w w:val="100"/>
          <w:position w:val="0"/>
        </w:rPr>
        <w:t>（</w:t>
      </w:r>
      <w:bookmarkEnd w:id="9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8"/>
        <w:keepNext w:val="0"/>
        <w:keepLines w:val="0"/>
        <w:widowControl w:val="0"/>
        <w:shd w:val="clear" w:color="auto" w:fill="auto"/>
        <w:tabs>
          <w:tab w:pos="874" w:val="left"/>
        </w:tabs>
        <w:bidi w:val="0"/>
        <w:spacing w:before="0" w:after="0" w:line="314" w:lineRule="exact"/>
        <w:ind w:left="0" w:right="0" w:firstLine="420"/>
        <w:jc w:val="both"/>
      </w:pPr>
      <w:bookmarkStart w:id="918" w:name="bookmark918"/>
      <w:r>
        <w:rPr>
          <w:b/>
          <w:bCs/>
          <w:color w:val="000000"/>
          <w:spacing w:val="0"/>
          <w:w w:val="100"/>
          <w:position w:val="0"/>
        </w:rPr>
        <w:t>（</w:t>
      </w:r>
      <w:bookmarkEnd w:id="9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借款费用同时满足下列条件时开始资本化：</w:t>
      </w:r>
    </w:p>
    <w:p>
      <w:pPr>
        <w:pStyle w:val="Style18"/>
        <w:keepNext w:val="0"/>
        <w:keepLines w:val="0"/>
        <w:widowControl w:val="0"/>
        <w:numPr>
          <w:ilvl w:val="0"/>
          <w:numId w:val="61"/>
        </w:numPr>
        <w:shd w:val="clear" w:color="auto" w:fill="auto"/>
        <w:tabs>
          <w:tab w:pos="723" w:val="left"/>
        </w:tabs>
        <w:bidi w:val="0"/>
        <w:spacing w:before="0" w:after="0" w:line="314" w:lineRule="exact"/>
        <w:ind w:left="0" w:right="0" w:firstLine="420"/>
        <w:jc w:val="both"/>
      </w:pPr>
      <w:bookmarkStart w:id="919" w:name="bookmark919"/>
      <w:bookmarkEnd w:id="91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18"/>
        <w:keepNext w:val="0"/>
        <w:keepLines w:val="0"/>
        <w:widowControl w:val="0"/>
        <w:numPr>
          <w:ilvl w:val="0"/>
          <w:numId w:val="61"/>
        </w:numPr>
        <w:shd w:val="clear" w:color="auto" w:fill="auto"/>
        <w:tabs>
          <w:tab w:pos="793" w:val="left"/>
        </w:tabs>
        <w:bidi w:val="0"/>
        <w:spacing w:before="0" w:after="0" w:line="314" w:lineRule="exact"/>
        <w:ind w:left="0" w:right="0" w:firstLine="420"/>
        <w:jc w:val="both"/>
      </w:pPr>
      <w:bookmarkStart w:id="920" w:name="bookmark920"/>
      <w:bookmarkEnd w:id="920"/>
      <w:r>
        <w:rPr>
          <w:color w:val="000000"/>
          <w:spacing w:val="0"/>
          <w:w w:val="100"/>
          <w:position w:val="0"/>
        </w:rPr>
        <w:t>借款费用已经发生；</w:t>
      </w:r>
    </w:p>
    <w:p>
      <w:pPr>
        <w:pStyle w:val="Style18"/>
        <w:keepNext w:val="0"/>
        <w:keepLines w:val="0"/>
        <w:widowControl w:val="0"/>
        <w:numPr>
          <w:ilvl w:val="0"/>
          <w:numId w:val="61"/>
        </w:numPr>
        <w:shd w:val="clear" w:color="auto" w:fill="auto"/>
        <w:tabs>
          <w:tab w:pos="793" w:val="left"/>
        </w:tabs>
        <w:bidi w:val="0"/>
        <w:spacing w:before="0" w:after="0" w:line="314" w:lineRule="exact"/>
        <w:ind w:left="0" w:right="0" w:firstLine="420"/>
        <w:jc w:val="both"/>
      </w:pPr>
      <w:bookmarkStart w:id="921" w:name="bookmark921"/>
      <w:bookmarkEnd w:id="921"/>
      <w:r>
        <w:rPr>
          <w:color w:val="000000"/>
          <w:spacing w:val="0"/>
          <w:w w:val="100"/>
          <w:position w:val="0"/>
        </w:rPr>
        <w:t>为使资产达到预定可使用或者可销售状态所必要的购建或者生产活动已经开始。</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tabs>
          <w:tab w:pos="874" w:val="left"/>
        </w:tabs>
        <w:bidi w:val="0"/>
        <w:spacing w:before="0" w:after="0" w:line="314" w:lineRule="exact"/>
        <w:ind w:left="0" w:right="0" w:firstLine="420"/>
        <w:jc w:val="both"/>
      </w:pPr>
      <w:bookmarkStart w:id="922" w:name="bookmark922"/>
      <w:r>
        <w:rPr>
          <w:b/>
          <w:bCs/>
          <w:color w:val="000000"/>
          <w:spacing w:val="0"/>
          <w:w w:val="100"/>
          <w:position w:val="0"/>
        </w:rPr>
        <w:t>（</w:t>
      </w:r>
      <w:bookmarkEnd w:id="92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暂停资本化期间</w:t>
      </w:r>
    </w:p>
    <w:p>
      <w:pPr>
        <w:pStyle w:val="Style18"/>
        <w:keepNext w:val="0"/>
        <w:keepLines w:val="0"/>
        <w:widowControl w:val="0"/>
        <w:shd w:val="clear" w:color="auto" w:fill="auto"/>
        <w:bidi w:val="0"/>
        <w:spacing w:before="0" w:after="280" w:line="314"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6"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化。在中断期间发生的借款费用确认为当期损益，直至资产的购建或者生产活动重新开始后借款费用继续资本化。</w:t>
      </w:r>
    </w:p>
    <w:p>
      <w:pPr>
        <w:pStyle w:val="Style18"/>
        <w:keepNext w:val="0"/>
        <w:keepLines w:val="0"/>
        <w:widowControl w:val="0"/>
        <w:numPr>
          <w:ilvl w:val="0"/>
          <w:numId w:val="63"/>
        </w:numPr>
        <w:shd w:val="clear" w:color="auto" w:fill="auto"/>
        <w:bidi w:val="0"/>
        <w:spacing w:before="0" w:after="0" w:line="316" w:lineRule="exact"/>
        <w:ind w:left="0" w:right="0" w:firstLine="420"/>
        <w:jc w:val="both"/>
      </w:pPr>
      <w:bookmarkStart w:id="923" w:name="bookmark923"/>
      <w:bookmarkEnd w:id="923"/>
      <w:r>
        <w:rPr>
          <w:b/>
          <w:bCs/>
          <w:color w:val="000000"/>
          <w:spacing w:val="0"/>
          <w:w w:val="100"/>
          <w:position w:val="0"/>
        </w:rPr>
        <w:t>借款费用资本化率、资本化金额的计算方法</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18"/>
        <w:keepNext w:val="0"/>
        <w:keepLines w:val="0"/>
        <w:widowControl w:val="0"/>
        <w:shd w:val="clear" w:color="auto" w:fill="auto"/>
        <w:bidi w:val="0"/>
        <w:spacing w:before="0" w:after="360" w:line="316" w:lineRule="exact"/>
        <w:ind w:left="0" w:right="0" w:firstLine="42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32"/>
        <w:keepNext/>
        <w:keepLines/>
        <w:widowControl w:val="0"/>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24"/>
      <w:bookmarkEnd w:id="925"/>
      <w:bookmarkEnd w:id="927"/>
    </w:p>
    <w:p>
      <w:pPr>
        <w:pStyle w:val="Style32"/>
        <w:keepNext/>
        <w:keepLines/>
        <w:widowControl w:val="0"/>
        <w:shd w:val="clear" w:color="auto" w:fill="auto"/>
        <w:bidi w:val="0"/>
        <w:spacing w:before="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8</w:t>
      </w:r>
      <w:r>
        <w:rPr>
          <w:color w:val="000000"/>
          <w:spacing w:val="0"/>
          <w:w w:val="100"/>
          <w:position w:val="0"/>
        </w:rPr>
        <w:t>、油气资产</w:t>
      </w:r>
      <w:bookmarkEnd w:id="928"/>
      <w:bookmarkEnd w:id="929"/>
      <w:bookmarkEnd w:id="931"/>
    </w:p>
    <w:p>
      <w:pPr>
        <w:pStyle w:val="Style32"/>
        <w:keepNext/>
        <w:keepLines/>
        <w:widowControl w:val="0"/>
        <w:shd w:val="clear" w:color="auto" w:fill="auto"/>
        <w:bidi w:val="0"/>
        <w:spacing w:before="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932"/>
      <w:bookmarkEnd w:id="933"/>
      <w:bookmarkEnd w:id="935"/>
    </w:p>
    <w:p>
      <w:pPr>
        <w:pStyle w:val="Style32"/>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36"/>
      <w:bookmarkEnd w:id="937"/>
      <w:bookmarkEnd w:id="939"/>
    </w:p>
    <w:p>
      <w:pPr>
        <w:pStyle w:val="Style50"/>
        <w:keepNext/>
        <w:keepLines/>
        <w:widowControl w:val="0"/>
        <w:numPr>
          <w:ilvl w:val="0"/>
          <w:numId w:val="65"/>
        </w:numPr>
        <w:shd w:val="clear" w:color="auto" w:fill="auto"/>
        <w:bidi w:val="0"/>
        <w:spacing w:before="0" w:after="26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计价方法、使用寿命、减值测试</w:t>
      </w:r>
      <w:bookmarkEnd w:id="940"/>
      <w:bookmarkEnd w:id="941"/>
      <w:bookmarkEnd w:id="943"/>
    </w:p>
    <w:p>
      <w:pPr>
        <w:pStyle w:val="Style18"/>
        <w:keepNext w:val="0"/>
        <w:keepLines w:val="0"/>
        <w:widowControl w:val="0"/>
        <w:shd w:val="clear" w:color="auto" w:fill="auto"/>
        <w:bidi w:val="0"/>
        <w:spacing w:before="0" w:after="0"/>
        <w:ind w:left="0" w:right="0" w:firstLine="420"/>
        <w:jc w:val="both"/>
      </w:pPr>
      <w:r>
        <w:rPr>
          <w:b/>
          <w:bCs/>
          <w:color w:val="000000"/>
          <w:spacing w:val="0"/>
          <w:w w:val="100"/>
          <w:position w:val="0"/>
        </w:rPr>
        <w:t>①无形资产的计价方法</w:t>
      </w:r>
    </w:p>
    <w:p>
      <w:pPr>
        <w:pStyle w:val="Style18"/>
        <w:keepNext w:val="0"/>
        <w:keepLines w:val="0"/>
        <w:widowControl w:val="0"/>
        <w:numPr>
          <w:ilvl w:val="0"/>
          <w:numId w:val="67"/>
        </w:numPr>
        <w:shd w:val="clear" w:color="auto" w:fill="auto"/>
        <w:bidi w:val="0"/>
        <w:spacing w:before="0" w:after="0"/>
        <w:ind w:left="0" w:right="0" w:firstLine="420"/>
        <w:jc w:val="both"/>
      </w:pPr>
      <w:bookmarkStart w:id="944" w:name="bookmark944"/>
      <w:bookmarkEnd w:id="944"/>
      <w:r>
        <w:rPr>
          <w:color w:val="000000"/>
          <w:spacing w:val="0"/>
          <w:w w:val="100"/>
          <w:position w:val="0"/>
        </w:rPr>
        <w:t>公司取得无形资产时按成本进行初始计量；</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外购无形资产的成本，包括购买价款、相关税费以及直接归属于使该项资产达到预定用途所发生的其他支出。</w:t>
      </w:r>
    </w:p>
    <w:p>
      <w:pPr>
        <w:pStyle w:val="Style18"/>
        <w:keepNext w:val="0"/>
        <w:keepLines w:val="0"/>
        <w:widowControl w:val="0"/>
        <w:numPr>
          <w:ilvl w:val="0"/>
          <w:numId w:val="67"/>
        </w:numPr>
        <w:shd w:val="clear" w:color="auto" w:fill="auto"/>
        <w:bidi w:val="0"/>
        <w:spacing w:before="0" w:after="0"/>
        <w:ind w:left="0" w:right="0" w:firstLine="420"/>
        <w:jc w:val="both"/>
      </w:pPr>
      <w:bookmarkStart w:id="945" w:name="bookmark945"/>
      <w:bookmarkEnd w:id="945"/>
      <w:r>
        <w:rPr>
          <w:color w:val="000000"/>
          <w:spacing w:val="0"/>
          <w:w w:val="100"/>
          <w:position w:val="0"/>
        </w:rPr>
        <w:t>后续计量</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在取得无形资产时分析判断其使用寿命。</w:t>
      </w:r>
    </w:p>
    <w:p>
      <w:pPr>
        <w:pStyle w:val="Style18"/>
        <w:keepNext w:val="0"/>
        <w:keepLines w:val="0"/>
        <w:widowControl w:val="0"/>
        <w:shd w:val="clear" w:color="auto" w:fill="auto"/>
        <w:bidi w:val="0"/>
        <w:spacing w:before="0" w:after="100"/>
        <w:ind w:left="0" w:right="0" w:firstLine="420"/>
        <w:jc w:val="both"/>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使用寿命有限的无形资产的使用寿命估计情况</w:t>
      </w:r>
    </w:p>
    <w:tbl>
      <w:tblPr>
        <w:tblOverlap w:val="never"/>
        <w:jc w:val="center"/>
        <w:tblLayout w:type="fixed"/>
      </w:tblPr>
      <w:tblGrid>
        <w:gridCol w:w="3787"/>
        <w:gridCol w:w="2362"/>
        <w:gridCol w:w="352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土地出让合同约定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特许权使用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预计可使用年限</w:t>
            </w:r>
          </w:p>
        </w:tc>
      </w:tr>
    </w:tbl>
    <w:p>
      <w:pPr>
        <w:widowControl w:val="0"/>
        <w:spacing w:after="639" w:line="1" w:lineRule="exact"/>
      </w:pPr>
    </w:p>
    <w:p>
      <w:pPr>
        <w:pStyle w:val="Style50"/>
        <w:keepNext/>
        <w:keepLines/>
        <w:widowControl w:val="0"/>
        <w:numPr>
          <w:ilvl w:val="0"/>
          <w:numId w:val="65"/>
        </w:numPr>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内部研究开发支出会计政策</w:t>
      </w:r>
      <w:bookmarkEnd w:id="946"/>
      <w:bookmarkEnd w:id="947"/>
      <w:bookmarkEnd w:id="949"/>
    </w:p>
    <w:p>
      <w:pPr>
        <w:pStyle w:val="Style18"/>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①划分研究阶段和开发阶段的具体标准</w:t>
      </w:r>
    </w:p>
    <w:p>
      <w:pPr>
        <w:pStyle w:val="Style18"/>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公司内部研究开发项目的支出分为研究阶段支出和开发阶段支出。</w:t>
      </w:r>
    </w:p>
    <w:p>
      <w:pPr>
        <w:pStyle w:val="Style18"/>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研究阶段：为获取并理解新的科学或技术知识等而进行的独创性的有计划调查、研究活动的阶段。</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7"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8"/>
        <w:keepNext w:val="0"/>
        <w:keepLines w:val="0"/>
        <w:widowControl w:val="0"/>
        <w:shd w:val="clear" w:color="auto" w:fill="auto"/>
        <w:bidi w:val="0"/>
        <w:spacing w:before="0" w:after="0" w:line="317" w:lineRule="exact"/>
        <w:ind w:left="0" w:right="0" w:firstLine="420"/>
        <w:jc w:val="both"/>
      </w:pPr>
      <w:r>
        <w:rPr>
          <w:b/>
          <w:bCs/>
          <w:color w:val="000000"/>
          <w:spacing w:val="0"/>
          <w:w w:val="100"/>
          <w:position w:val="0"/>
        </w:rPr>
        <w:t>②开发阶段支出资本化的具体条件</w:t>
      </w:r>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18"/>
        <w:keepNext w:val="0"/>
        <w:keepLines w:val="0"/>
        <w:widowControl w:val="0"/>
        <w:shd w:val="clear" w:color="auto" w:fill="auto"/>
        <w:bidi w:val="0"/>
        <w:spacing w:before="0" w:after="0" w:line="317" w:lineRule="exact"/>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p>
    <w:p>
      <w:pPr>
        <w:pStyle w:val="Style18"/>
        <w:keepNext w:val="0"/>
        <w:keepLines w:val="0"/>
        <w:widowControl w:val="0"/>
        <w:shd w:val="clear" w:color="auto" w:fill="auto"/>
        <w:bidi w:val="0"/>
        <w:spacing w:before="0" w:after="0" w:line="317" w:lineRule="exact"/>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具有完成该无形资产并使用或出售的意图；</w:t>
      </w:r>
    </w:p>
    <w:p>
      <w:pPr>
        <w:pStyle w:val="Style18"/>
        <w:keepNext w:val="0"/>
        <w:keepLines w:val="0"/>
        <w:widowControl w:val="0"/>
        <w:shd w:val="clear" w:color="auto" w:fill="auto"/>
        <w:bidi w:val="0"/>
        <w:spacing w:before="0" w:after="0" w:line="317" w:lineRule="exact"/>
        <w:ind w:left="0" w:right="0" w:firstLine="420"/>
        <w:jc w:val="both"/>
      </w:pPr>
      <w:bookmarkStart w:id="950" w:name="bookmark950"/>
      <w:r>
        <w:rPr>
          <w:rFonts w:ascii="Times New Roman" w:eastAsia="Times New Roman" w:hAnsi="Times New Roman" w:cs="Times New Roman"/>
          <w:color w:val="000000"/>
          <w:spacing w:val="0"/>
          <w:w w:val="100"/>
          <w:position w:val="0"/>
          <w:sz w:val="18"/>
          <w:szCs w:val="18"/>
        </w:rPr>
        <w:t>3</w:t>
      </w:r>
      <w:bookmarkEnd w:id="950"/>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8"/>
        <w:keepNext w:val="0"/>
        <w:keepLines w:val="0"/>
        <w:widowControl w:val="0"/>
        <w:shd w:val="clear" w:color="auto" w:fill="auto"/>
        <w:bidi w:val="0"/>
        <w:spacing w:before="0" w:after="0" w:line="317" w:lineRule="exact"/>
        <w:ind w:left="0" w:right="0" w:firstLine="420"/>
        <w:jc w:val="left"/>
      </w:pPr>
      <w:bookmarkStart w:id="951" w:name="bookmark951"/>
      <w:r>
        <w:rPr>
          <w:rFonts w:ascii="Times New Roman" w:eastAsia="Times New Roman" w:hAnsi="Times New Roman" w:cs="Times New Roman"/>
          <w:color w:val="000000"/>
          <w:spacing w:val="0"/>
          <w:w w:val="100"/>
          <w:position w:val="0"/>
          <w:sz w:val="18"/>
          <w:szCs w:val="18"/>
        </w:rPr>
        <w:t>4</w:t>
      </w:r>
      <w:bookmarkEnd w:id="951"/>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shd w:val="clear" w:color="auto" w:fill="auto"/>
        <w:bidi w:val="0"/>
        <w:spacing w:before="0" w:after="0" w:line="317" w:lineRule="exact"/>
        <w:ind w:left="0" w:right="0" w:firstLine="420"/>
        <w:jc w:val="left"/>
      </w:pPr>
      <w:bookmarkStart w:id="952" w:name="bookmark952"/>
      <w:r>
        <w:rPr>
          <w:rFonts w:ascii="Times New Roman" w:eastAsia="Times New Roman" w:hAnsi="Times New Roman" w:cs="Times New Roman"/>
          <w:color w:val="000000"/>
          <w:spacing w:val="0"/>
          <w:w w:val="100"/>
          <w:position w:val="0"/>
          <w:sz w:val="18"/>
          <w:szCs w:val="18"/>
        </w:rPr>
        <w:t>5</w:t>
      </w:r>
      <w:bookmarkEnd w:id="952"/>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380" w:line="317" w:lineRule="exact"/>
        <w:ind w:left="0" w:right="0" w:firstLine="420"/>
        <w:jc w:val="left"/>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3"/>
      <w:bookmarkEnd w:id="954"/>
      <w:bookmarkEnd w:id="956"/>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18"/>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上述资产减值损失一经确认，在以后会计期间不予转回。</w:t>
      </w:r>
    </w:p>
    <w:p>
      <w:pPr>
        <w:pStyle w:val="Style32"/>
        <w:keepNext/>
        <w:keepLines/>
        <w:widowControl w:val="0"/>
        <w:shd w:val="clear" w:color="auto" w:fill="auto"/>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57"/>
      <w:bookmarkEnd w:id="958"/>
      <w:bookmarkEnd w:id="960"/>
    </w:p>
    <w:p>
      <w:pPr>
        <w:pStyle w:val="Style24"/>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长期待摊费用为已经发生但应由本期和以后各期负担的分摊期限在一年以上的各项费用。 各项费用的摊销期限及摊销方法为：</w:t>
      </w:r>
    </w:p>
    <w:tbl>
      <w:tblPr>
        <w:tblOverlap w:val="never"/>
        <w:jc w:val="center"/>
        <w:tblLayout w:type="fixed"/>
      </w:tblPr>
      <w:tblGrid>
        <w:gridCol w:w="3230"/>
        <w:gridCol w:w="3221"/>
        <w:gridCol w:w="322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租入固定资产装修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预计使用年限</w:t>
            </w:r>
          </w:p>
        </w:tc>
      </w:tr>
    </w:tbl>
    <w:p>
      <w:pPr>
        <w:widowControl w:val="0"/>
        <w:spacing w:after="619" w:line="1" w:lineRule="exact"/>
      </w:pPr>
    </w:p>
    <w:p>
      <w:pPr>
        <w:pStyle w:val="Style32"/>
        <w:keepNext/>
        <w:keepLines/>
        <w:widowControl w:val="0"/>
        <w:shd w:val="clear" w:color="auto" w:fill="auto"/>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61"/>
      <w:bookmarkEnd w:id="962"/>
      <w:bookmarkEnd w:id="964"/>
    </w:p>
    <w:p>
      <w:pPr>
        <w:pStyle w:val="Style18"/>
        <w:keepNext w:val="0"/>
        <w:keepLines w:val="0"/>
        <w:widowControl w:val="0"/>
        <w:shd w:val="clear" w:color="auto" w:fill="auto"/>
        <w:bidi w:val="0"/>
        <w:spacing w:before="0" w:after="280"/>
        <w:ind w:left="0" w:right="0" w:firstLine="42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32"/>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65"/>
      <w:bookmarkEnd w:id="966"/>
      <w:bookmarkEnd w:id="968"/>
    </w:p>
    <w:p>
      <w:pPr>
        <w:pStyle w:val="Style50"/>
        <w:keepNext/>
        <w:keepLines/>
        <w:widowControl w:val="0"/>
        <w:shd w:val="clear" w:color="auto" w:fill="auto"/>
        <w:bidi w:val="0"/>
        <w:spacing w:before="0" w:after="26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69"/>
      <w:bookmarkEnd w:id="970"/>
      <w:bookmarkEnd w:id="972"/>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本公司在职工为本公司提供服务的会计期间，将实际发生的短期薪酬确认为负债，并计入当期损益或相关资产成本。</w:t>
      </w:r>
    </w:p>
    <w:p>
      <w:pPr>
        <w:pStyle w:val="Style18"/>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18"/>
        <w:keepNext w:val="0"/>
        <w:keepLines w:val="0"/>
        <w:widowControl w:val="0"/>
        <w:shd w:val="clear" w:color="auto" w:fill="auto"/>
        <w:bidi w:val="0"/>
        <w:spacing w:before="0" w:after="360" w:line="317" w:lineRule="exact"/>
        <w:ind w:left="0" w:right="0" w:firstLine="42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50"/>
        <w:keepNext/>
        <w:keepLines/>
        <w:widowControl w:val="0"/>
        <w:shd w:val="clear" w:color="auto" w:fill="auto"/>
        <w:bidi w:val="0"/>
        <w:spacing w:before="0" w:after="26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73"/>
      <w:bookmarkEnd w:id="974"/>
      <w:bookmarkEnd w:id="976"/>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设定提存计划</w:t>
      </w:r>
    </w:p>
    <w:p>
      <w:pPr>
        <w:pStyle w:val="Style18"/>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50"/>
        <w:keepNext/>
        <w:keepLines/>
        <w:widowControl w:val="0"/>
        <w:shd w:val="clear" w:color="auto" w:fill="auto"/>
        <w:bidi w:val="0"/>
        <w:spacing w:before="0" w:after="2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77"/>
      <w:bookmarkEnd w:id="978"/>
      <w:bookmarkEnd w:id="980"/>
    </w:p>
    <w:p>
      <w:pPr>
        <w:pStyle w:val="Style18"/>
        <w:keepNext w:val="0"/>
        <w:keepLines w:val="0"/>
        <w:widowControl w:val="0"/>
        <w:shd w:val="clear" w:color="auto" w:fill="auto"/>
        <w:bidi w:val="0"/>
        <w:spacing w:before="0" w:after="360"/>
        <w:ind w:left="0" w:right="0" w:firstLine="42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50"/>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81"/>
      <w:bookmarkEnd w:id="982"/>
      <w:bookmarkEnd w:id="984"/>
    </w:p>
    <w:p>
      <w:pPr>
        <w:pStyle w:val="Style32"/>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85"/>
      <w:bookmarkEnd w:id="986"/>
      <w:bookmarkEnd w:id="988"/>
    </w:p>
    <w:p>
      <w:pPr>
        <w:pStyle w:val="Style32"/>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89"/>
      <w:bookmarkEnd w:id="990"/>
      <w:bookmarkEnd w:id="992"/>
    </w:p>
    <w:p>
      <w:pPr>
        <w:pStyle w:val="Style32"/>
        <w:keepNext/>
        <w:keepLines/>
        <w:widowControl w:val="0"/>
        <w:shd w:val="clear" w:color="auto" w:fill="auto"/>
        <w:bidi w:val="0"/>
        <w:spacing w:before="0" w:after="2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93"/>
      <w:bookmarkEnd w:id="994"/>
      <w:bookmarkEnd w:id="996"/>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18"/>
        <w:keepNext w:val="0"/>
        <w:keepLines w:val="0"/>
        <w:widowControl w:val="0"/>
        <w:shd w:val="clear" w:color="auto" w:fill="auto"/>
        <w:bidi w:val="0"/>
        <w:spacing w:before="0" w:after="360" w:line="313" w:lineRule="exact"/>
        <w:ind w:left="0" w:right="0" w:firstLine="42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26" w:lineRule="exact"/>
        <w:ind w:left="0" w:right="0" w:firstLine="0"/>
        <w:jc w:val="right"/>
      </w:pPr>
      <w:r>
        <w:rPr>
          <w:color w:val="000000"/>
          <w:spacing w:val="0"/>
          <w:w w:val="100"/>
          <w:position w:val="0"/>
          <w:shd w:val="clear" w:color="auto" w:fill="FFFFFF"/>
        </w:rPr>
        <w:t>福建永福电力设计股份有限公司</w:t>
      </w:r>
      <w:r>
        <w:rPr>
          <w:rFonts w:ascii="Times New Roman" w:eastAsia="Times New Roman" w:hAnsi="Times New Roman" w:cs="Times New Roman"/>
          <w:color w:val="000000"/>
          <w:spacing w:val="0"/>
          <w:w w:val="100"/>
          <w:position w:val="0"/>
          <w:sz w:val="18"/>
          <w:szCs w:val="18"/>
          <w:shd w:val="clear" w:color="auto" w:fill="FFFFFF"/>
        </w:rPr>
        <w:t>2021</w:t>
      </w:r>
      <w:r>
        <w:rPr>
          <w:color w:val="000000"/>
          <w:spacing w:val="0"/>
          <w:w w:val="100"/>
          <w:position w:val="0"/>
          <w:shd w:val="clear" w:color="auto" w:fill="FFFFFF"/>
        </w:rPr>
        <w:t>年年度报告</w:t>
      </w:r>
    </w:p>
    <w:p>
      <w:pPr>
        <w:pStyle w:val="Style32"/>
        <w:keepNext/>
        <w:keepLines/>
        <w:widowControl w:val="0"/>
        <w:shd w:val="clear" w:color="auto" w:fill="auto"/>
        <w:bidi w:val="0"/>
        <w:spacing w:before="0" w:line="326"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000"/>
      <w:bookmarkEnd w:id="997"/>
      <w:bookmarkEnd w:id="998"/>
    </w:p>
    <w:p>
      <w:pPr>
        <w:pStyle w:val="Style32"/>
        <w:keepNext/>
        <w:keepLines/>
        <w:widowControl w:val="0"/>
        <w:shd w:val="clear" w:color="auto" w:fill="auto"/>
        <w:bidi w:val="0"/>
        <w:spacing w:before="0" w:after="28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01"/>
      <w:bookmarkEnd w:id="1002"/>
      <w:bookmarkEnd w:id="1003"/>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shd w:val="clear" w:color="auto" w:fill="auto"/>
        <w:tabs>
          <w:tab w:pos="886"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客户在本公司履约的同时即取得并消耗本公司履约所带来的经济利益。</w:t>
      </w:r>
    </w:p>
    <w:p>
      <w:pPr>
        <w:pStyle w:val="Style18"/>
        <w:keepNext w:val="0"/>
        <w:keepLines w:val="0"/>
        <w:widowControl w:val="0"/>
        <w:shd w:val="clear" w:color="auto" w:fill="auto"/>
        <w:tabs>
          <w:tab w:pos="886"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客户能够控制本公司履约过程中在建的商品。</w:t>
      </w:r>
    </w:p>
    <w:p>
      <w:pPr>
        <w:pStyle w:val="Style18"/>
        <w:keepNext w:val="0"/>
        <w:keepLines w:val="0"/>
        <w:widowControl w:val="0"/>
        <w:shd w:val="clear" w:color="auto" w:fill="auto"/>
        <w:tabs>
          <w:tab w:pos="886" w:val="left"/>
        </w:tabs>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本公司履约过程中所产出的商品具有不可替代用途，且本公司在整个合同期内有权就累计至今已完成的履约部分</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收取款项。</w:t>
      </w:r>
    </w:p>
    <w:p>
      <w:pPr>
        <w:pStyle w:val="Style1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8"/>
        <w:keepNext w:val="0"/>
        <w:keepLines w:val="0"/>
        <w:widowControl w:val="0"/>
        <w:shd w:val="clear" w:color="auto" w:fill="auto"/>
        <w:tabs>
          <w:tab w:pos="886"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本公司就该商品或服务享有现时收款权利，即客户就该商品或服务负有现时付款义务。</w:t>
      </w:r>
    </w:p>
    <w:p>
      <w:pPr>
        <w:pStyle w:val="Style18"/>
        <w:keepNext w:val="0"/>
        <w:keepLines w:val="0"/>
        <w:widowControl w:val="0"/>
        <w:shd w:val="clear" w:color="auto" w:fill="auto"/>
        <w:tabs>
          <w:tab w:pos="886"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本公司已将该商品的法定所有权转移给客户，即客户已拥有该商品的法定所有权。</w:t>
      </w:r>
    </w:p>
    <w:p>
      <w:pPr>
        <w:pStyle w:val="Style18"/>
        <w:keepNext w:val="0"/>
        <w:keepLines w:val="0"/>
        <w:widowControl w:val="0"/>
        <w:shd w:val="clear" w:color="auto" w:fill="auto"/>
        <w:tabs>
          <w:tab w:pos="886"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本公司已将该商品实物转移给客户，即客户已实物占有该商品。</w:t>
      </w:r>
    </w:p>
    <w:p>
      <w:pPr>
        <w:pStyle w:val="Style18"/>
        <w:keepNext w:val="0"/>
        <w:keepLines w:val="0"/>
        <w:widowControl w:val="0"/>
        <w:shd w:val="clear" w:color="auto" w:fill="auto"/>
        <w:tabs>
          <w:tab w:pos="886"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shd w:val="clear" w:color="auto" w:fill="auto"/>
        <w:tabs>
          <w:tab w:pos="886" w:val="left"/>
        </w:tabs>
        <w:bidi w:val="0"/>
        <w:spacing w:before="0" w:after="0" w:line="312" w:lineRule="exact"/>
        <w:ind w:left="0" w:right="0" w:firstLine="42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客户已接受该商品或服务等。</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）专业技术服务</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公司专业技术服务包括为电力（发电、输变电）领域建设工程提供勘察设计、规划和咨询、信息技术、运维等技术服务。 相关技术服务区分以下不同情况进行收入确认：</w:t>
      </w:r>
    </w:p>
    <w:p>
      <w:pPr>
        <w:pStyle w:val="Style18"/>
        <w:keepNext w:val="0"/>
        <w:keepLines w:val="0"/>
        <w:widowControl w:val="0"/>
        <w:shd w:val="clear" w:color="auto" w:fill="auto"/>
        <w:bidi w:val="0"/>
        <w:spacing w:before="0" w:after="0" w:line="313" w:lineRule="exact"/>
        <w:ind w:left="0" w:right="0" w:firstLine="420"/>
        <w:jc w:val="both"/>
      </w:pPr>
      <w:bookmarkStart w:id="1004" w:name="bookmark1004"/>
      <w:r>
        <w:rPr>
          <w:rFonts w:ascii="Times New Roman" w:eastAsia="Times New Roman" w:hAnsi="Times New Roman" w:cs="Times New Roman"/>
          <w:color w:val="000000"/>
          <w:spacing w:val="0"/>
          <w:w w:val="100"/>
          <w:position w:val="0"/>
          <w:sz w:val="18"/>
          <w:szCs w:val="18"/>
        </w:rPr>
        <w:t>A</w:t>
      </w:r>
      <w:bookmarkEnd w:id="1004"/>
      <w:r>
        <w:rPr>
          <w:color w:val="000000"/>
          <w:spacing w:val="0"/>
          <w:w w:val="100"/>
          <w:position w:val="0"/>
        </w:rPr>
        <w:t>、</w:t>
      </w:r>
      <w:r>
        <w:rPr>
          <w:color w:val="000000"/>
          <w:spacing w:val="0"/>
          <w:w w:val="100"/>
          <w:position w:val="0"/>
        </w:rPr>
        <w:t>勘察设计服务</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公司向客户提供勘察设计服务，在履约过程中所提供的服务具有不可替代用途，且公司在整个合同期间内有权就累计至 今已完成的履约部分收取款项。因此公司将其作为在某一时段内履行的履约义务，按产出法确定设计服务的履约进度，在向 客户交付阶段工作成果并获取委托方出具的确认证明时确认收入；对于履约进度不能合理确定时，公司已经发生的成本预计 能够得到补偿的，按照已经发生的成本金额确认收入，直到履约进度能够合理确定为止。</w:t>
      </w:r>
    </w:p>
    <w:p>
      <w:pPr>
        <w:pStyle w:val="Style18"/>
        <w:keepNext w:val="0"/>
        <w:keepLines w:val="0"/>
        <w:widowControl w:val="0"/>
        <w:shd w:val="clear" w:color="auto" w:fill="auto"/>
        <w:bidi w:val="0"/>
        <w:spacing w:before="0" w:after="0" w:line="313" w:lineRule="exact"/>
        <w:ind w:left="0" w:right="0" w:firstLine="420"/>
        <w:jc w:val="both"/>
      </w:pPr>
      <w:bookmarkStart w:id="1005" w:name="bookmark1005"/>
      <w:r>
        <w:rPr>
          <w:rFonts w:ascii="Times New Roman" w:eastAsia="Times New Roman" w:hAnsi="Times New Roman" w:cs="Times New Roman"/>
          <w:color w:val="000000"/>
          <w:spacing w:val="0"/>
          <w:w w:val="100"/>
          <w:position w:val="0"/>
          <w:sz w:val="18"/>
          <w:szCs w:val="18"/>
        </w:rPr>
        <w:t>B</w:t>
      </w:r>
      <w:bookmarkEnd w:id="1005"/>
      <w:r>
        <w:rPr>
          <w:color w:val="000000"/>
          <w:spacing w:val="0"/>
          <w:w w:val="100"/>
          <w:position w:val="0"/>
        </w:rPr>
        <w:t>、</w:t>
      </w:r>
      <w:r>
        <w:rPr>
          <w:color w:val="000000"/>
          <w:spacing w:val="0"/>
          <w:w w:val="100"/>
          <w:position w:val="0"/>
        </w:rPr>
        <w:t>规划和咨询服务</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公司向客户提供规划和咨询服务，不满足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，属于在某一时点履行履约义务，公司在完成服 务并将相关资料及报告提交委托方后取得相关确认证明时按合同金额确认收入。</w:t>
      </w:r>
    </w:p>
    <w:p>
      <w:pPr>
        <w:pStyle w:val="Style18"/>
        <w:keepNext w:val="0"/>
        <w:keepLines w:val="0"/>
        <w:widowControl w:val="0"/>
        <w:shd w:val="clear" w:color="auto" w:fill="auto"/>
        <w:bidi w:val="0"/>
        <w:spacing w:before="0" w:after="0" w:line="313" w:lineRule="exact"/>
        <w:ind w:left="0" w:right="0" w:firstLine="420"/>
        <w:jc w:val="both"/>
      </w:pPr>
      <w:bookmarkStart w:id="1006" w:name="bookmark1006"/>
      <w:r>
        <w:rPr>
          <w:rFonts w:ascii="Times New Roman" w:eastAsia="Times New Roman" w:hAnsi="Times New Roman" w:cs="Times New Roman"/>
          <w:color w:val="000000"/>
          <w:spacing w:val="0"/>
          <w:w w:val="100"/>
          <w:position w:val="0"/>
          <w:sz w:val="18"/>
          <w:szCs w:val="18"/>
        </w:rPr>
        <w:t>C</w:t>
      </w:r>
      <w:bookmarkEnd w:id="1006"/>
      <w:r>
        <w:rPr>
          <w:color w:val="000000"/>
          <w:spacing w:val="0"/>
          <w:w w:val="100"/>
          <w:position w:val="0"/>
        </w:rPr>
        <w:t>、</w:t>
      </w:r>
      <w:r>
        <w:rPr>
          <w:color w:val="000000"/>
          <w:spacing w:val="0"/>
          <w:w w:val="100"/>
          <w:position w:val="0"/>
        </w:rPr>
        <w:t>信息技术服务</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公司向客户提供信息技术服务包括软件开发、信息系统集成服务和信息系统运行维护。其中，软件开发和信息系统集成</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4"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服务不满足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，属于在某一时点履行履约义务，公司在完成服务并取得相关确认的验收证明时按 合同金额确认收入；信息系统运行维护由于客户在公司履约的同时即取得并消耗公司履约所带来的经济利益，因此公司将其 作为在某一时段内履行的履约义务，根据服务期限分期确认收入。</w:t>
      </w:r>
    </w:p>
    <w:p>
      <w:pPr>
        <w:pStyle w:val="Style18"/>
        <w:keepNext w:val="0"/>
        <w:keepLines w:val="0"/>
        <w:widowControl w:val="0"/>
        <w:shd w:val="clear" w:color="auto" w:fill="auto"/>
        <w:bidi w:val="0"/>
        <w:spacing w:before="0" w:after="0" w:line="314" w:lineRule="exact"/>
        <w:ind w:left="0" w:right="0" w:firstLine="420"/>
        <w:jc w:val="both"/>
      </w:pPr>
      <w:bookmarkStart w:id="1007" w:name="bookmark1007"/>
      <w:r>
        <w:rPr>
          <w:rFonts w:ascii="Times New Roman" w:eastAsia="Times New Roman" w:hAnsi="Times New Roman" w:cs="Times New Roman"/>
          <w:color w:val="000000"/>
          <w:spacing w:val="0"/>
          <w:w w:val="100"/>
          <w:position w:val="0"/>
          <w:sz w:val="18"/>
          <w:szCs w:val="18"/>
        </w:rPr>
        <w:t>D</w:t>
      </w:r>
      <w:bookmarkEnd w:id="1007"/>
      <w:r>
        <w:rPr>
          <w:color w:val="000000"/>
          <w:spacing w:val="0"/>
          <w:w w:val="100"/>
          <w:position w:val="0"/>
        </w:rPr>
        <w:t>、</w:t>
      </w:r>
      <w:r>
        <w:rPr>
          <w:color w:val="000000"/>
          <w:spacing w:val="0"/>
          <w:w w:val="100"/>
          <w:position w:val="0"/>
        </w:rPr>
        <w:t>电力运维服务</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公司向客户提供电力运维服务，由于客户在公司履约的同时即取得并消耗公司履约所带来的经济利益，因此公司将其作 为在某一时段内履行的履约义务，根据服务期限分期确认收入。</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）总承包业务</w:t>
      </w:r>
    </w:p>
    <w:p>
      <w:pPr>
        <w:pStyle w:val="Style18"/>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工程总承包业务</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工程总承包业务，由于客户能够控制本公司履约过程中在建的商品，公司将其作为在某一时段内履行的履约 义务，按照履约进度确认收入，履约进度不能合理确定的除外。本公司按照投入法确定提供服务的履约进度。对于履约进度 不能合理确定时，本公司已经发生的成本预计能够得到补偿的，按照已经发生的成本金额确认收入，直到履约进度能够合理 确定为止。</w:t>
      </w:r>
    </w:p>
    <w:p>
      <w:pPr>
        <w:pStyle w:val="Style18"/>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海上安装承包业务</w:t>
      </w:r>
    </w:p>
    <w:p>
      <w:pPr>
        <w:pStyle w:val="Style18"/>
        <w:keepNext w:val="0"/>
        <w:keepLines w:val="0"/>
        <w:widowControl w:val="0"/>
        <w:shd w:val="clear" w:color="auto" w:fill="auto"/>
        <w:bidi w:val="0"/>
        <w:spacing w:before="0" w:after="380" w:line="314" w:lineRule="exact"/>
        <w:ind w:left="0" w:right="0" w:firstLine="420"/>
        <w:jc w:val="both"/>
      </w:pPr>
      <w:r>
        <w:rPr>
          <w:color w:val="000000"/>
          <w:spacing w:val="0"/>
          <w:w w:val="100"/>
          <w:position w:val="0"/>
        </w:rPr>
        <w:t>公司海上安装承包业务，由于客户能够控制本公司履约过程中在建的商品，公司将其作为在某一时段内履行的履约义务， 按照履约进度确认收入，履约进度不能合理确定的除外。本公司按照产出法确定提供服务的履约进度，在向客户交付阶段工 作成果并获取委托方出具的确认证明时确认收入；对于履约进度不能合理确定时，本公司已经发生的成本预计能够得到补偿 的，按照已经发生的成本金额确认收入，直到履约进度能够合理确定为止。</w:t>
      </w:r>
    </w:p>
    <w:p>
      <w:pPr>
        <w:pStyle w:val="Style32"/>
        <w:keepNext/>
        <w:keepLines/>
        <w:widowControl w:val="0"/>
        <w:shd w:val="clear" w:color="auto" w:fill="auto"/>
        <w:bidi w:val="0"/>
        <w:spacing w:before="0" w:after="28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008"/>
      <w:bookmarkEnd w:id="1009"/>
      <w:bookmarkEnd w:id="1010"/>
    </w:p>
    <w:p>
      <w:pPr>
        <w:pStyle w:val="Style18"/>
        <w:keepNext w:val="0"/>
        <w:keepLines w:val="0"/>
        <w:widowControl w:val="0"/>
        <w:shd w:val="clear" w:color="auto" w:fill="auto"/>
        <w:bidi w:val="0"/>
        <w:spacing w:before="0" w:after="0" w:line="312" w:lineRule="exact"/>
        <w:ind w:left="0" w:right="0" w:firstLine="420"/>
        <w:jc w:val="both"/>
      </w:pPr>
      <w:bookmarkStart w:id="1011" w:name="bookmark1011"/>
      <w:r>
        <w:rPr>
          <w:b/>
          <w:bCs/>
          <w:color w:val="000000"/>
          <w:spacing w:val="0"/>
          <w:w w:val="100"/>
          <w:position w:val="0"/>
        </w:rPr>
        <w:t>（</w:t>
      </w:r>
      <w:bookmarkEnd w:id="101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）类型</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本公司将政府补助划分为与资产相关的具体标准为：用于购建长期资产获取的政府补助。</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本公司将政府补助划分为与收益相关的具体标准为：补偿企业相关费用或损失；</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对于政府文件未明确规定补助对象的，本公司将该政府补助划分为与资产相关或与收益相关的判断依据为：将政府补助 整体归类为与收益相关的政府补助。</w:t>
      </w:r>
    </w:p>
    <w:p>
      <w:pPr>
        <w:pStyle w:val="Style18"/>
        <w:keepNext w:val="0"/>
        <w:keepLines w:val="0"/>
        <w:widowControl w:val="0"/>
        <w:shd w:val="clear" w:color="auto" w:fill="auto"/>
        <w:bidi w:val="0"/>
        <w:spacing w:before="0" w:after="0" w:line="312" w:lineRule="exact"/>
        <w:ind w:left="0" w:right="0" w:firstLine="420"/>
        <w:jc w:val="both"/>
      </w:pPr>
      <w:bookmarkStart w:id="1012" w:name="bookmark1012"/>
      <w:r>
        <w:rPr>
          <w:b/>
          <w:bCs/>
          <w:color w:val="000000"/>
          <w:spacing w:val="0"/>
          <w:w w:val="100"/>
          <w:position w:val="0"/>
        </w:rPr>
        <w:t>（</w:t>
      </w:r>
      <w:bookmarkEnd w:id="101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）确认时点</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政府补助在本公司能够满足其所附的条件并且能够收到时，予以确认。</w:t>
      </w:r>
    </w:p>
    <w:p>
      <w:pPr>
        <w:pStyle w:val="Style18"/>
        <w:keepNext w:val="0"/>
        <w:keepLines w:val="0"/>
        <w:widowControl w:val="0"/>
        <w:shd w:val="clear" w:color="auto" w:fill="auto"/>
        <w:bidi w:val="0"/>
        <w:spacing w:before="0" w:after="0" w:line="312" w:lineRule="exact"/>
        <w:ind w:left="0" w:right="0" w:firstLine="420"/>
        <w:jc w:val="both"/>
      </w:pPr>
      <w:bookmarkStart w:id="1013" w:name="bookmark1013"/>
      <w:r>
        <w:rPr>
          <w:b/>
          <w:bCs/>
          <w:color w:val="000000"/>
          <w:spacing w:val="0"/>
          <w:w w:val="100"/>
          <w:position w:val="0"/>
        </w:rPr>
        <w:t>（</w:t>
      </w:r>
      <w:bookmarkEnd w:id="101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）会计处理</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本公司取得的政策性优惠贷款贴息，区分以下两种情况，分别进行会计处理：</w:t>
      </w:r>
    </w:p>
    <w:p>
      <w:pPr>
        <w:pStyle w:val="Style1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①财政将贴息资金拨付给贷款银行，由贷款银行以政策性优惠利率向本公司提供贷款的，本公司以实际收到的借款金额 作为借款的入账价值，按照借款本金和该政策性优惠利率计算相关借款费用。</w:t>
      </w:r>
    </w:p>
    <w:p>
      <w:pPr>
        <w:pStyle w:val="Style18"/>
        <w:keepNext w:val="0"/>
        <w:keepLines w:val="0"/>
        <w:widowControl w:val="0"/>
        <w:shd w:val="clear" w:color="auto" w:fill="auto"/>
        <w:bidi w:val="0"/>
        <w:spacing w:before="0" w:line="312" w:lineRule="exact"/>
        <w:ind w:left="0" w:right="0" w:firstLine="420"/>
        <w:jc w:val="both"/>
      </w:pPr>
      <w:r>
        <w:rPr>
          <w:color w:val="000000"/>
          <w:spacing w:val="0"/>
          <w:w w:val="100"/>
          <w:position w:val="0"/>
        </w:rPr>
        <w:t>②财政将贴息资金直接拨付给本公司的，本公司将对应的贴息冲减相关借款费用。</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260" w:line="326" w:lineRule="exact"/>
        <w:ind w:left="0" w:right="0" w:firstLine="5820"/>
        <w:jc w:val="both"/>
        <w:rPr>
          <w:sz w:val="20"/>
          <w:szCs w:val="20"/>
        </w:rPr>
      </w:pPr>
      <w:bookmarkStart w:id="1014" w:name="bookmark1014"/>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r>
        <w:rPr>
          <w:color w:val="000000"/>
          <w:spacing w:val="0"/>
          <w:w w:val="100"/>
          <w:position w:val="0"/>
          <w:sz w:val="17"/>
          <w:szCs w:val="17"/>
          <w:u w:val="single"/>
        </w:rPr>
        <w:t xml:space="preserve"> </w:t>
      </w:r>
      <w:r>
        <w:rPr>
          <w:rFonts w:ascii="Times New Roman" w:eastAsia="Times New Roman" w:hAnsi="Times New Roman" w:cs="Times New Roman"/>
          <w:b/>
          <w:bCs/>
          <w:color w:val="000000"/>
          <w:spacing w:val="0"/>
          <w:w w:val="100"/>
          <w:position w:val="0"/>
          <w:sz w:val="20"/>
          <w:szCs w:val="20"/>
        </w:rPr>
        <w:t>41</w:t>
      </w:r>
      <w:r>
        <w:rPr>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递延所得税负债</w:t>
      </w:r>
      <w:bookmarkEnd w:id="1014"/>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对于应纳税暂时性差异，除特殊情况外，确认递延所得税负债。</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不确认递延所得税资产或递延所得税负债的特殊情况包括：</w:t>
      </w:r>
    </w:p>
    <w:p>
      <w:pPr>
        <w:pStyle w:val="Style18"/>
        <w:keepNext w:val="0"/>
        <w:keepLines w:val="0"/>
        <w:widowControl w:val="0"/>
        <w:shd w:val="clear" w:color="auto" w:fill="auto"/>
        <w:tabs>
          <w:tab w:pos="984" w:val="left"/>
        </w:tabs>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商誉的初始确认；</w:t>
      </w:r>
    </w:p>
    <w:p>
      <w:pPr>
        <w:pStyle w:val="Style18"/>
        <w:keepNext w:val="0"/>
        <w:keepLines w:val="0"/>
        <w:widowControl w:val="0"/>
        <w:shd w:val="clear" w:color="auto" w:fill="auto"/>
        <w:tabs>
          <w:tab w:pos="984" w:val="left"/>
        </w:tabs>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8"/>
        <w:keepNext w:val="0"/>
        <w:keepLines w:val="0"/>
        <w:widowControl w:val="0"/>
        <w:shd w:val="clear" w:color="auto" w:fill="auto"/>
        <w:bidi w:val="0"/>
        <w:spacing w:before="0" w:after="0"/>
        <w:ind w:left="0" w:right="0" w:firstLine="420"/>
        <w:jc w:val="both"/>
      </w:pPr>
      <w:r>
        <w:rPr>
          <w:color w:val="000000"/>
          <w:spacing w:val="0"/>
          <w:w w:val="100"/>
          <w:position w:val="0"/>
        </w:rPr>
        <w:t>资产负债表日，递延所得税资产及递延所得税负债在同时满足以下条件时以抵销后的净额列示：</w:t>
      </w:r>
    </w:p>
    <w:p>
      <w:pPr>
        <w:pStyle w:val="Style18"/>
        <w:keepNext w:val="0"/>
        <w:keepLines w:val="0"/>
        <w:widowControl w:val="0"/>
        <w:shd w:val="clear" w:color="auto" w:fill="auto"/>
        <w:tabs>
          <w:tab w:pos="984" w:val="left"/>
        </w:tabs>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纳税主体拥有以净额结算当期所得税资产及当期所得税负债的法定权利；</w:t>
      </w:r>
    </w:p>
    <w:p>
      <w:pPr>
        <w:pStyle w:val="Style18"/>
        <w:keepNext w:val="0"/>
        <w:keepLines w:val="0"/>
        <w:widowControl w:val="0"/>
        <w:shd w:val="clear" w:color="auto" w:fill="auto"/>
        <w:tabs>
          <w:tab w:pos="984" w:val="left"/>
        </w:tabs>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递延所得税资产及递延所得税负债是与同一税收征管部门对同一纳税主体征收的所得税相关或者是对不同的纳</w:t>
      </w:r>
    </w:p>
    <w:p>
      <w:pPr>
        <w:pStyle w:val="Style18"/>
        <w:keepNext w:val="0"/>
        <w:keepLines w:val="0"/>
        <w:widowControl w:val="0"/>
        <w:shd w:val="clear" w:color="auto" w:fill="auto"/>
        <w:bidi w:val="0"/>
        <w:spacing w:before="0" w:after="380"/>
        <w:ind w:left="0" w:right="0" w:firstLine="0"/>
        <w:jc w:val="both"/>
      </w:pPr>
      <w:r>
        <w:rPr>
          <w:color w:val="000000"/>
          <w:spacing w:val="0"/>
          <w:w w:val="100"/>
          <w:position w:val="0"/>
        </w:rPr>
        <w:t>税主体相关，但在未来每一具有重要性的递延所得税资产及负债转回的期间内，涉及的纳税主体意图以净额结算当期所得税 资产和负债或是同时取得资产、清偿负债。</w:t>
      </w:r>
    </w:p>
    <w:p>
      <w:pPr>
        <w:pStyle w:val="Style32"/>
        <w:keepNext/>
        <w:keepLines/>
        <w:widowControl w:val="0"/>
        <w:shd w:val="clear" w:color="auto" w:fill="auto"/>
        <w:bidi w:val="0"/>
        <w:spacing w:before="0" w:after="380" w:line="240" w:lineRule="auto"/>
        <w:ind w:left="0" w:right="0" w:firstLine="0"/>
        <w:jc w:val="both"/>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15"/>
      <w:bookmarkEnd w:id="1016"/>
      <w:bookmarkEnd w:id="1017"/>
    </w:p>
    <w:p>
      <w:pPr>
        <w:pStyle w:val="Style50"/>
        <w:keepNext/>
        <w:keepLines/>
        <w:widowControl w:val="0"/>
        <w:shd w:val="clear" w:color="auto" w:fill="auto"/>
        <w:bidi w:val="0"/>
        <w:spacing w:before="0" w:after="26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8"/>
      <w:bookmarkEnd w:id="1019"/>
      <w:bookmarkEnd w:id="1021"/>
    </w:p>
    <w:p>
      <w:pPr>
        <w:pStyle w:val="Style18"/>
        <w:keepNext w:val="0"/>
        <w:keepLines w:val="0"/>
        <w:widowControl w:val="0"/>
        <w:shd w:val="clear" w:color="auto" w:fill="auto"/>
        <w:bidi w:val="0"/>
        <w:spacing w:before="0" w:after="0" w:line="316" w:lineRule="exact"/>
        <w:ind w:left="0" w:right="0" w:firstLine="4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合同中同时包含多项单独租赁的，本公司将合同予以分拆，并分别各项单独租赁进行会计处理。合同中同时包含租赁和 非租赁部分的，承租人和出租人将租赁和非租赁部分进行分拆。</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18"/>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shd w:val="clear" w:color="auto" w:fill="auto"/>
        <w:bidi w:val="0"/>
        <w:spacing w:before="0" w:after="100" w:line="316" w:lineRule="exact"/>
        <w:ind w:left="0" w:right="0" w:firstLine="420"/>
        <w:jc w:val="both"/>
      </w:pP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日后应付租赁付款额减少不满足该条件;</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2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80" w:line="240" w:lineRule="auto"/>
        <w:ind w:left="0" w:right="0" w:firstLine="420"/>
        <w:jc w:val="left"/>
      </w:pPr>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①本公司作为承租人</w:t>
      </w:r>
    </w:p>
    <w:p>
      <w:pPr>
        <w:pStyle w:val="Style18"/>
        <w:keepNext w:val="0"/>
        <w:keepLines w:val="0"/>
        <w:widowControl w:val="0"/>
        <w:shd w:val="clear" w:color="auto" w:fill="auto"/>
        <w:bidi w:val="0"/>
        <w:spacing w:before="0" w:after="0" w:line="313" w:lineRule="exact"/>
        <w:ind w:left="0" w:right="0" w:firstLine="420"/>
        <w:jc w:val="both"/>
      </w:pPr>
      <w:bookmarkStart w:id="1022" w:name="bookmark1022"/>
      <w:r>
        <w:rPr>
          <w:rFonts w:ascii="Times New Roman" w:eastAsia="Times New Roman" w:hAnsi="Times New Roman" w:cs="Times New Roman"/>
          <w:color w:val="000000"/>
          <w:spacing w:val="0"/>
          <w:w w:val="100"/>
          <w:position w:val="0"/>
          <w:sz w:val="18"/>
          <w:szCs w:val="18"/>
        </w:rPr>
        <w:t>1</w:t>
      </w:r>
      <w:bookmarkEnd w:id="1022"/>
      <w:r>
        <w:rPr>
          <w:color w:val="000000"/>
          <w:spacing w:val="0"/>
          <w:w w:val="100"/>
          <w:position w:val="0"/>
        </w:rPr>
        <w:t>）使用权资产</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租赁负债的初始计量金额；</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本公司发生的初始直接费用；</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本公司为拆卸及移除租赁资产、复原租赁资产所在场地或将租赁资产恢复至租赁条款约定状态预计将发生的成本，但不 包括属于为生产存货而发生的成本。</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三、（十九）长期资产减值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 行会计处理。</w:t>
      </w:r>
    </w:p>
    <w:p>
      <w:pPr>
        <w:pStyle w:val="Style18"/>
        <w:keepNext w:val="0"/>
        <w:keepLines w:val="0"/>
        <w:widowControl w:val="0"/>
        <w:shd w:val="clear" w:color="auto" w:fill="auto"/>
        <w:bidi w:val="0"/>
        <w:spacing w:before="0" w:after="0" w:line="313" w:lineRule="exact"/>
        <w:ind w:left="0" w:right="0" w:firstLine="420"/>
        <w:jc w:val="left"/>
      </w:pPr>
      <w:bookmarkStart w:id="1023" w:name="bookmark1023"/>
      <w:r>
        <w:rPr>
          <w:rFonts w:ascii="Times New Roman" w:eastAsia="Times New Roman" w:hAnsi="Times New Roman" w:cs="Times New Roman"/>
          <w:color w:val="000000"/>
          <w:spacing w:val="0"/>
          <w:w w:val="100"/>
          <w:position w:val="0"/>
          <w:sz w:val="18"/>
          <w:szCs w:val="18"/>
        </w:rPr>
        <w:t>2</w:t>
      </w:r>
      <w:bookmarkEnd w:id="1023"/>
      <w:r>
        <w:rPr>
          <w:color w:val="000000"/>
          <w:spacing w:val="0"/>
          <w:w w:val="100"/>
          <w:position w:val="0"/>
        </w:rPr>
        <w:t>）租赁负债</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固定付款额（包括实质固定付款额），存在租赁激励的，扣除租赁激励相关金额；</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根据公司提供的担保余值预计应支付的款项；</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购买选择权的行权价格，前提是公司合理确定将行使该选择权；</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行使终止租赁选择权需支付的款项，前提是租赁期反映出公司将行使终止租赁选择权。</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本公司采用租赁内含利率作为折现率，但如果无法合理确定租赁内含利率的，则采用本公司的增量借款利率作为折现率。</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本公司按照固定的周期性利率计算租赁负债在租赁期内各期间的利息费用，并计入当期损益或相关资产成本。</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未纳入租赁负债计量的可变租赁付款额在实际发生时计入当期损益或相关资产成本。</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当实质固定付款额发生变动、担保余值预计的应付金额发生变动或用于确定租赁付款额的指数或比率发生变动，本公司 按照变动后的租赁付款额和原折现率计算的现值重新计量租赁负债。但是，租赁付款额的变动源自浮动利率变动的，使用修 订后的折现率计算现值。</w:t>
      </w:r>
    </w:p>
    <w:p>
      <w:pPr>
        <w:pStyle w:val="Style18"/>
        <w:keepNext w:val="0"/>
        <w:keepLines w:val="0"/>
        <w:widowControl w:val="0"/>
        <w:shd w:val="clear" w:color="auto" w:fill="auto"/>
        <w:bidi w:val="0"/>
        <w:spacing w:before="0" w:after="0" w:line="313" w:lineRule="exact"/>
        <w:ind w:left="0" w:right="0" w:firstLine="420"/>
        <w:jc w:val="left"/>
      </w:pPr>
      <w:bookmarkStart w:id="1024" w:name="bookmark1024"/>
      <w:r>
        <w:rPr>
          <w:rFonts w:ascii="Times New Roman" w:eastAsia="Times New Roman" w:hAnsi="Times New Roman" w:cs="Times New Roman"/>
          <w:color w:val="000000"/>
          <w:spacing w:val="0"/>
          <w:w w:val="100"/>
          <w:position w:val="0"/>
          <w:sz w:val="18"/>
          <w:szCs w:val="18"/>
        </w:rPr>
        <w:t>3</w:t>
      </w:r>
      <w:bookmarkEnd w:id="1024"/>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本公司选择对短期租赁和低价值资产租赁不确认使用权资产和租赁负债，并将相关的租赁付款额在租赁期内各个期间按 照直线法计入当期损益或相关资产成本。短期租赁，是指在租赁期开始日，租赁期不超过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 低价值资产租赁，是指单项租赁资产为全新资产时价值较低的租赁。公司转租或预期转租租赁资产的，原租赁不属于低价值 资产租赁。</w:t>
      </w:r>
    </w:p>
    <w:p>
      <w:pPr>
        <w:pStyle w:val="Style18"/>
        <w:keepNext w:val="0"/>
        <w:keepLines w:val="0"/>
        <w:widowControl w:val="0"/>
        <w:shd w:val="clear" w:color="auto" w:fill="auto"/>
        <w:bidi w:val="0"/>
        <w:spacing w:before="0" w:after="0" w:line="313" w:lineRule="exact"/>
        <w:ind w:left="0" w:right="0" w:firstLine="420"/>
        <w:jc w:val="left"/>
      </w:pPr>
      <w:bookmarkStart w:id="1025" w:name="bookmark1025"/>
      <w:r>
        <w:rPr>
          <w:rFonts w:ascii="Times New Roman" w:eastAsia="Times New Roman" w:hAnsi="Times New Roman" w:cs="Times New Roman"/>
          <w:color w:val="000000"/>
          <w:spacing w:val="0"/>
          <w:w w:val="100"/>
          <w:position w:val="0"/>
          <w:sz w:val="18"/>
          <w:szCs w:val="18"/>
        </w:rPr>
        <w:t>4</w:t>
      </w:r>
      <w:bookmarkEnd w:id="1025"/>
      <w:r>
        <w:rPr>
          <w:color w:val="000000"/>
          <w:spacing w:val="0"/>
          <w:w w:val="100"/>
          <w:position w:val="0"/>
        </w:rPr>
        <w:t>）租赁变更</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租赁发生变更且同时符合下列条件的，公司将该租赁变更作为一项单独租赁进行会计处理：</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该租赁变更通过增加一项或多项租赁资产的使用权而扩大了租赁范围；</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租赁变更未作为一项单独租赁进行会计处理的，在租赁变更生效日，公司重新分摊变更后合同的对价，重新确定租赁期， 并按照变更后租赁付款额和修订后的折现率计算的现值重新计量租赁负债。</w:t>
      </w:r>
    </w:p>
    <w:p>
      <w:pPr>
        <w:pStyle w:val="Style18"/>
        <w:keepNext w:val="0"/>
        <w:keepLines w:val="0"/>
        <w:widowControl w:val="0"/>
        <w:shd w:val="clear" w:color="auto" w:fill="auto"/>
        <w:bidi w:val="0"/>
        <w:spacing w:before="0" w:after="0" w:line="313" w:lineRule="exact"/>
        <w:ind w:left="0" w:right="0" w:firstLine="420"/>
        <w:jc w:val="left"/>
      </w:pPr>
      <w:r>
        <w:rPr>
          <w:color w:val="000000"/>
          <w:spacing w:val="0"/>
          <w:w w:val="100"/>
          <w:position w:val="0"/>
        </w:rPr>
        <w:t>租赁变更导致租赁范围缩小或租赁期缩短的，本公司相应调减使用权资产的账面价值，并将部分终止或完全终止租赁的</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15"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相关利得或损失计入当期损益。其他租赁变更导致租赁负债重新计量的，本公司相应调整使用权资产的账面价值。</w:t>
      </w:r>
    </w:p>
    <w:p>
      <w:pPr>
        <w:pStyle w:val="Style18"/>
        <w:keepNext w:val="0"/>
        <w:keepLines w:val="0"/>
        <w:widowControl w:val="0"/>
        <w:shd w:val="clear" w:color="auto" w:fill="auto"/>
        <w:bidi w:val="0"/>
        <w:spacing w:before="0" w:after="0" w:line="315" w:lineRule="exact"/>
        <w:ind w:left="0" w:right="0" w:firstLine="420"/>
        <w:jc w:val="both"/>
      </w:pPr>
      <w:bookmarkStart w:id="1026" w:name="bookmark1026"/>
      <w:r>
        <w:rPr>
          <w:rFonts w:ascii="Times New Roman" w:eastAsia="Times New Roman" w:hAnsi="Times New Roman" w:cs="Times New Roman"/>
          <w:color w:val="000000"/>
          <w:spacing w:val="0"/>
          <w:w w:val="100"/>
          <w:position w:val="0"/>
          <w:sz w:val="18"/>
          <w:szCs w:val="18"/>
        </w:rPr>
        <w:t>5</w:t>
      </w:r>
      <w:bookmarkEnd w:id="1026"/>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对于采用新冠肺炎疫情相关租金减让简化方法的，本公司不评估是否发生租赁变更，继续按照与减让前一致的折现率计 算租赁负债的利息费用并计入当期损益，继续按照与减让前一致的方法对使用权资产进行计提折旧。发生租金减免的，本公 司将减免的租金作为可变租赁付款额，在达成减让协议等解除原租金支付义务时，按未折现或减让前折现率折现金额冲减相 关资产成本或费用，同时相应调整租赁负债；延期支付租金的，本公司在实际支付时冲减前期确认的租赁负债。</w:t>
      </w:r>
    </w:p>
    <w:p>
      <w:pPr>
        <w:pStyle w:val="Style18"/>
        <w:keepNext w:val="0"/>
        <w:keepLines w:val="0"/>
        <w:widowControl w:val="0"/>
        <w:shd w:val="clear" w:color="auto" w:fill="auto"/>
        <w:bidi w:val="0"/>
        <w:spacing w:before="0" w:after="80" w:line="315" w:lineRule="exact"/>
        <w:ind w:left="0" w:right="0" w:firstLine="420"/>
        <w:jc w:val="both"/>
      </w:pPr>
      <w:r>
        <w:rPr>
          <w:color w:val="000000"/>
          <w:spacing w:val="0"/>
          <w:w w:val="100"/>
          <w:position w:val="0"/>
        </w:rPr>
        <w:t>对于短期租赁和低价值资产租赁，本公司继续按照与减让前一致的方法将原合同租金计入相关资产成本或费用。发生租 金减免的，本公司将减免的租金作为可变租赁付款额，在减免期间冲减相关资产成本或费用；延期支付租金的，本公司在原 支付期间将应支付的租金确认为应付款项，在实际支付时冲减前期确认的应付款项。</w:t>
      </w:r>
    </w:p>
    <w:p>
      <w:pPr>
        <w:pStyle w:val="Style18"/>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②本公司作为出租人</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在租赁开始日，本公司将租赁分为融资租赁和经营租赁。融资租赁，是指无论所有权最终是否转移，但实质上转移了与 租赁资产所有权有关的几乎全部风险和报酬的租赁。经营租赁，是指除融资租赁以外的其他租赁。本公司作为转租出租人时， 基于原租赁产生的使用权资产对转租赁进行分类。</w:t>
      </w:r>
    </w:p>
    <w:p>
      <w:pPr>
        <w:pStyle w:val="Style18"/>
        <w:keepNext w:val="0"/>
        <w:keepLines w:val="0"/>
        <w:widowControl w:val="0"/>
        <w:shd w:val="clear" w:color="auto" w:fill="auto"/>
        <w:bidi w:val="0"/>
        <w:spacing w:before="0" w:after="0" w:line="314" w:lineRule="exact"/>
        <w:ind w:left="0" w:right="0" w:firstLine="420"/>
        <w:jc w:val="both"/>
      </w:pPr>
      <w:bookmarkStart w:id="1027" w:name="bookmark1027"/>
      <w:r>
        <w:rPr>
          <w:rFonts w:ascii="Times New Roman" w:eastAsia="Times New Roman" w:hAnsi="Times New Roman" w:cs="Times New Roman"/>
          <w:color w:val="000000"/>
          <w:spacing w:val="0"/>
          <w:w w:val="100"/>
          <w:position w:val="0"/>
          <w:sz w:val="18"/>
          <w:szCs w:val="18"/>
        </w:rPr>
        <w:t>1</w:t>
      </w:r>
      <w:bookmarkEnd w:id="1027"/>
      <w:r>
        <w:rPr>
          <w:color w:val="000000"/>
          <w:spacing w:val="0"/>
          <w:w w:val="100"/>
          <w:position w:val="0"/>
        </w:rPr>
        <w:t>）经营租赁会计处理</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发生时计入当期损益。经营租赁发生变更的，公司自变更生效日起将其作为一项新租赁进行会计处理，与变更前租赁有关的 预收或应收租赁收款额视为新租赁的收款额。</w:t>
      </w:r>
    </w:p>
    <w:p>
      <w:pPr>
        <w:pStyle w:val="Style18"/>
        <w:keepNext w:val="0"/>
        <w:keepLines w:val="0"/>
        <w:widowControl w:val="0"/>
        <w:shd w:val="clear" w:color="auto" w:fill="auto"/>
        <w:bidi w:val="0"/>
        <w:spacing w:before="0" w:after="0" w:line="314" w:lineRule="exact"/>
        <w:ind w:left="0" w:right="0" w:firstLine="42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）融资租赁会计处理</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本公司按照固定的周期性利率计算并确认租赁期内各个期间的利息收入。应收融资租赁款的终止确认和减值按照本附注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三、（九）金融工具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未纳入租赁投资净额计量的可变租赁付款额在实际发生时计入当期损益。</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融资租赁发生变更且同时符合下列条件的，本公司将该变更作为一项单独租赁进行会计处理：</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该变更通过增加一项或多项租赁资产的使用权而扩大了租赁范围；</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融资租赁的变更未作为一项单独租赁进行会计处理的，本公司分别下列情形对变更后的租赁进行处理：</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假如变更在租赁开始日生效，该租赁会被分类为经营租赁的，本公司自租赁变更生效日开始将其作为一项新租赁进行会 计处理，并以租赁变更生效日前的租赁投资净额作为租赁资产的账面价值；</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假如变更在租赁开始日生效，该租赁会被分类为融资租赁的，本公司按照本附注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三、（九）金融工具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关于修改或重新 议定合同的政策进行会计处理。</w:t>
      </w:r>
    </w:p>
    <w:p>
      <w:pPr>
        <w:pStyle w:val="Style18"/>
        <w:keepNext w:val="0"/>
        <w:keepLines w:val="0"/>
        <w:widowControl w:val="0"/>
        <w:shd w:val="clear" w:color="auto" w:fill="auto"/>
        <w:bidi w:val="0"/>
        <w:spacing w:before="0" w:after="0" w:line="314" w:lineRule="exact"/>
        <w:ind w:left="0" w:right="0" w:firstLine="420"/>
        <w:jc w:val="both"/>
      </w:pPr>
      <w:bookmarkStart w:id="1029" w:name="bookmark1029"/>
      <w:r>
        <w:rPr>
          <w:rFonts w:ascii="Times New Roman" w:eastAsia="Times New Roman" w:hAnsi="Times New Roman" w:cs="Times New Roman"/>
          <w:color w:val="000000"/>
          <w:spacing w:val="0"/>
          <w:w w:val="100"/>
          <w:position w:val="0"/>
          <w:sz w:val="18"/>
          <w:szCs w:val="18"/>
        </w:rPr>
        <w:t>3</w:t>
      </w:r>
      <w:bookmarkEnd w:id="1029"/>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赁收入；发生租金减免的，本公司将减免的租金作为可变租赁付款额，在减免期间冲减租赁收入；延期收取租金的，本公司 在原收取期间将应收取的租金确认为应收款项，并在实际收到时冲减前期确认的应收款项。</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对于采用新冠肺炎疫情相关租金减让简化方法的融资租赁，本公司继续按照与减让前一致的折现率计算利息并确认为租 赁收入。发生租金减免的，本公司将减免的租金作为可变租赁付款额，在达成减让协议等放弃原租金收取权利时，按未折现 或减让前折现率折现金额冲减原确认的租赁收入，不足冲减的部分计入投资收益，同时相应调整应收融资租赁款；延期收取 租金的，本公司在实际收到时冲减前期确认的应收融资租赁款。</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50"/>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0"/>
      <w:bookmarkEnd w:id="1031"/>
      <w:bookmarkEnd w:id="1033"/>
    </w:p>
    <w:p>
      <w:pPr>
        <w:pStyle w:val="Style32"/>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34"/>
      <w:bookmarkEnd w:id="1035"/>
      <w:bookmarkEnd w:id="1036"/>
    </w:p>
    <w:p>
      <w:pPr>
        <w:pStyle w:val="Style32"/>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37"/>
      <w:bookmarkEnd w:id="1038"/>
      <w:bookmarkEnd w:id="1039"/>
    </w:p>
    <w:p>
      <w:pPr>
        <w:pStyle w:val="Style50"/>
        <w:keepNext/>
        <w:keepLines/>
        <w:widowControl w:val="0"/>
        <w:shd w:val="clear" w:color="auto" w:fill="auto"/>
        <w:bidi w:val="0"/>
        <w:spacing w:before="0" w:after="36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0"/>
      <w:bookmarkEnd w:id="1041"/>
      <w:bookmarkEnd w:id="1043"/>
    </w:p>
    <w:p>
      <w:pPr>
        <w:pStyle w:val="Style18"/>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18"/>
        <w:keepNext w:val="0"/>
        <w:keepLines w:val="0"/>
        <w:widowControl w:val="0"/>
        <w:shd w:val="clear" w:color="auto" w:fill="auto"/>
        <w:bidi w:val="0"/>
        <w:spacing w:before="0" w:after="0"/>
        <w:ind w:left="0" w:right="0" w:firstLine="0"/>
        <w:jc w:val="left"/>
      </w:pPr>
      <w:r>
        <w:rPr>
          <w:color w:val="000000"/>
          <w:spacing w:val="0"/>
          <w:w w:val="100"/>
          <w:position w:val="0"/>
        </w:rPr>
        <w:t>①执行《企业会计准则第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1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 准则。根据修订后的准则，对于首次执行日前已存在的合同，公司选择在首次执行日不重新评估其是否为租赁或者包含租赁。</w:t>
      </w:r>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公司作为承租人</w:t>
      </w:r>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对于首次执行日前已存在的经营租赁，本公司在首次执行日根据剩余租赁付款额按首次执行日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公司的增量借款利率 折现的现值计量租赁负债，并根据每项租赁选择以下方法计量使用权资产：</w:t>
      </w:r>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与租赁负债相等的金额，并根据预付租金进行必要调整。</w:t>
      </w:r>
    </w:p>
    <w:p>
      <w:pPr>
        <w:pStyle w:val="Style18"/>
        <w:keepNext w:val="0"/>
        <w:keepLines w:val="0"/>
        <w:widowControl w:val="0"/>
        <w:shd w:val="clear" w:color="auto" w:fill="auto"/>
        <w:bidi w:val="0"/>
        <w:spacing w:before="0" w:after="0"/>
        <w:ind w:left="0" w:right="0" w:firstLine="420"/>
        <w:jc w:val="left"/>
      </w:pPr>
      <w:r>
        <w:rPr>
          <w:color w:val="000000"/>
          <w:spacing w:val="0"/>
          <w:w w:val="100"/>
          <w:position w:val="0"/>
        </w:rPr>
        <w:t>对于首次执行日前的经营租赁，本公司在应用上述方法的同时根据每项租赁选择采用下列一项或多项简化处理：</w:t>
      </w:r>
    </w:p>
    <w:p>
      <w:pPr>
        <w:pStyle w:val="Style18"/>
        <w:keepNext w:val="0"/>
        <w:keepLines w:val="0"/>
        <w:widowControl w:val="0"/>
        <w:shd w:val="clear" w:color="auto" w:fill="auto"/>
        <w:tabs>
          <w:tab w:pos="769" w:val="left"/>
        </w:tabs>
        <w:bidi w:val="0"/>
        <w:spacing w:before="0" w:after="0"/>
        <w:ind w:left="0" w:right="0" w:firstLine="420"/>
        <w:jc w:val="left"/>
      </w:pPr>
      <w:bookmarkStart w:id="1044" w:name="bookmark1044"/>
      <w:r>
        <w:rPr>
          <w:rFonts w:ascii="Times New Roman" w:eastAsia="Times New Roman" w:hAnsi="Times New Roman" w:cs="Times New Roman"/>
          <w:color w:val="000000"/>
          <w:spacing w:val="0"/>
          <w:w w:val="100"/>
          <w:position w:val="0"/>
          <w:sz w:val="18"/>
          <w:szCs w:val="18"/>
        </w:rPr>
        <w:t>1</w:t>
      </w:r>
      <w:bookmarkEnd w:id="1044"/>
      <w:r>
        <w:rPr>
          <w:color w:val="000000"/>
          <w:spacing w:val="0"/>
          <w:w w:val="100"/>
          <w:position w:val="0"/>
        </w:rPr>
        <w:t>）</w:t>
        <w:tab/>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8"/>
        <w:keepNext w:val="0"/>
        <w:keepLines w:val="0"/>
        <w:widowControl w:val="0"/>
        <w:shd w:val="clear" w:color="auto" w:fill="auto"/>
        <w:tabs>
          <w:tab w:pos="788" w:val="left"/>
        </w:tabs>
        <w:bidi w:val="0"/>
        <w:spacing w:before="0" w:after="0"/>
        <w:ind w:left="0" w:right="0" w:firstLine="420"/>
        <w:jc w:val="left"/>
      </w:pPr>
      <w:bookmarkStart w:id="1045" w:name="bookmark1045"/>
      <w:r>
        <w:rPr>
          <w:rFonts w:ascii="Times New Roman" w:eastAsia="Times New Roman" w:hAnsi="Times New Roman" w:cs="Times New Roman"/>
          <w:color w:val="000000"/>
          <w:spacing w:val="0"/>
          <w:w w:val="100"/>
          <w:position w:val="0"/>
          <w:sz w:val="18"/>
          <w:szCs w:val="18"/>
        </w:rPr>
        <w:t>2</w:t>
      </w:r>
      <w:bookmarkEnd w:id="1045"/>
      <w:r>
        <w:rPr>
          <w:color w:val="000000"/>
          <w:spacing w:val="0"/>
          <w:w w:val="100"/>
          <w:position w:val="0"/>
        </w:rPr>
        <w:t>）</w:t>
        <w:tab/>
        <w:t>计量租赁负债时，具有相似特征的租赁采用同一折现率；</w:t>
      </w:r>
    </w:p>
    <w:p>
      <w:pPr>
        <w:pStyle w:val="Style18"/>
        <w:keepNext w:val="0"/>
        <w:keepLines w:val="0"/>
        <w:widowControl w:val="0"/>
        <w:shd w:val="clear" w:color="auto" w:fill="auto"/>
        <w:tabs>
          <w:tab w:pos="788" w:val="left"/>
        </w:tabs>
        <w:bidi w:val="0"/>
        <w:spacing w:before="0" w:after="0"/>
        <w:ind w:left="0" w:right="0" w:firstLine="420"/>
        <w:jc w:val="left"/>
      </w:pPr>
      <w:bookmarkStart w:id="1046" w:name="bookmark1046"/>
      <w:r>
        <w:rPr>
          <w:rFonts w:ascii="Times New Roman" w:eastAsia="Times New Roman" w:hAnsi="Times New Roman" w:cs="Times New Roman"/>
          <w:color w:val="000000"/>
          <w:spacing w:val="0"/>
          <w:w w:val="100"/>
          <w:position w:val="0"/>
          <w:sz w:val="18"/>
          <w:szCs w:val="18"/>
        </w:rPr>
        <w:t>3</w:t>
      </w:r>
      <w:bookmarkEnd w:id="1046"/>
      <w:r>
        <w:rPr>
          <w:color w:val="000000"/>
          <w:spacing w:val="0"/>
          <w:w w:val="100"/>
          <w:position w:val="0"/>
        </w:rPr>
        <w:t>）</w:t>
        <w:tab/>
        <w:t>使用权资产的计量不包含初始直接费用；</w:t>
      </w:r>
    </w:p>
    <w:p>
      <w:pPr>
        <w:pStyle w:val="Style18"/>
        <w:keepNext w:val="0"/>
        <w:keepLines w:val="0"/>
        <w:widowControl w:val="0"/>
        <w:shd w:val="clear" w:color="auto" w:fill="auto"/>
        <w:tabs>
          <w:tab w:pos="788" w:val="left"/>
        </w:tabs>
        <w:bidi w:val="0"/>
        <w:spacing w:before="0" w:after="0"/>
        <w:ind w:left="0" w:right="0" w:firstLine="420"/>
        <w:jc w:val="left"/>
      </w:pPr>
      <w:bookmarkStart w:id="1047" w:name="bookmark1047"/>
      <w:r>
        <w:rPr>
          <w:rFonts w:ascii="Times New Roman" w:eastAsia="Times New Roman" w:hAnsi="Times New Roman" w:cs="Times New Roman"/>
          <w:color w:val="000000"/>
          <w:spacing w:val="0"/>
          <w:w w:val="100"/>
          <w:position w:val="0"/>
          <w:sz w:val="18"/>
          <w:szCs w:val="18"/>
        </w:rPr>
        <w:t>4</w:t>
      </w:r>
      <w:bookmarkEnd w:id="1047"/>
      <w:r>
        <w:rPr>
          <w:color w:val="000000"/>
          <w:spacing w:val="0"/>
          <w:w w:val="100"/>
          <w:position w:val="0"/>
        </w:rPr>
        <w:t>）</w:t>
        <w:tab/>
        <w:t>存在续租选择权或终止租赁选择权的，根据首次执行日前选择权的实际行使及其他最新情况确定租赁期；</w:t>
      </w:r>
    </w:p>
    <w:p>
      <w:pPr>
        <w:pStyle w:val="Style18"/>
        <w:keepNext w:val="0"/>
        <w:keepLines w:val="0"/>
        <w:widowControl w:val="0"/>
        <w:shd w:val="clear" w:color="auto" w:fill="auto"/>
        <w:tabs>
          <w:tab w:pos="788" w:val="left"/>
        </w:tabs>
        <w:bidi w:val="0"/>
        <w:spacing w:before="0" w:after="0"/>
        <w:ind w:left="0" w:right="0" w:firstLine="420"/>
        <w:jc w:val="left"/>
      </w:pPr>
      <w:bookmarkStart w:id="1048" w:name="bookmark1048"/>
      <w:r>
        <w:rPr>
          <w:rFonts w:ascii="Times New Roman" w:eastAsia="Times New Roman" w:hAnsi="Times New Roman" w:cs="Times New Roman"/>
          <w:color w:val="000000"/>
          <w:spacing w:val="0"/>
          <w:w w:val="100"/>
          <w:position w:val="0"/>
          <w:sz w:val="18"/>
          <w:szCs w:val="18"/>
        </w:rPr>
        <w:t>5</w:t>
      </w:r>
      <w:bookmarkEnd w:id="1048"/>
      <w:r>
        <w:rPr>
          <w:color w:val="000000"/>
          <w:spacing w:val="0"/>
          <w:w w:val="100"/>
          <w:position w:val="0"/>
        </w:rPr>
        <w:t>）</w:t>
        <w:tab/>
        <w:t>首次执行日之前发生的租赁变更，不进行追溯调整，根据租赁变更的最终安排，按照新租赁准则进行会计处理。</w:t>
      </w:r>
    </w:p>
    <w:p>
      <w:pPr>
        <w:pStyle w:val="Style18"/>
        <w:keepNext w:val="0"/>
        <w:keepLines w:val="0"/>
        <w:widowControl w:val="0"/>
        <w:shd w:val="clear" w:color="auto" w:fill="auto"/>
        <w:bidi w:val="0"/>
        <w:spacing w:before="0" w:after="80"/>
        <w:ind w:left="0" w:right="0" w:firstLine="420"/>
        <w:jc w:val="left"/>
      </w:pPr>
      <w:r>
        <w:rPr>
          <w:color w:val="000000"/>
          <w:spacing w:val="0"/>
          <w:w w:val="100"/>
          <w:position w:val="0"/>
        </w:rPr>
        <w:t>在计量租赁负债时，公司使用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）来对租赁付款额进行折现。</w:t>
      </w:r>
    </w:p>
    <w:tbl>
      <w:tblPr>
        <w:tblOverlap w:val="never"/>
        <w:jc w:val="center"/>
        <w:tblLayout w:type="fixed"/>
      </w:tblPr>
      <w:tblGrid>
        <w:gridCol w:w="7498"/>
        <w:gridCol w:w="217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对于首次执行日前已存在的融资租赁，公司在首次执行日按照融资租入资产和应付融资租赁款的原账面价值，分别计量</w:t>
      </w:r>
    </w:p>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使用权资产和租赁负债。</w:t>
      </w:r>
    </w:p>
    <w:p>
      <w:pPr>
        <w:pStyle w:val="Style18"/>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公司执行新租赁准则对财务报表的主要影响如下:</w:t>
      </w:r>
    </w:p>
    <w:tbl>
      <w:tblPr>
        <w:tblOverlap w:val="never"/>
        <w:jc w:val="center"/>
        <w:tblLayout w:type="fixed"/>
      </w:tblPr>
      <w:tblGrid>
        <w:gridCol w:w="2290"/>
        <w:gridCol w:w="1138"/>
        <w:gridCol w:w="1958"/>
        <w:gridCol w:w="2131"/>
        <w:gridCol w:w="2150"/>
      </w:tblGrid>
      <w:tr>
        <w:trPr>
          <w:trHeight w:val="43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公司作为承租人对于首次执 行日前已存在的经营租赁的 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经董事会审批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324,051.24</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3,925,306.19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110,213.58</w:t>
            </w:r>
          </w:p>
        </w:tc>
      </w:tr>
      <w:tr>
        <w:trPr>
          <w:trHeight w:val="4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一年到期的非流动负债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1,035,164.66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213,837.66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②执行《企业会计准则解释第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tabs>
          <w:tab w:pos="6348" w:val="left"/>
        </w:tabs>
        <w:bidi w:val="0"/>
        <w:spacing w:before="0" w:after="0" w:line="324"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），自公布之日</w:t>
      </w:r>
    </w:p>
    <w:p>
      <w:pPr>
        <w:pStyle w:val="Style18"/>
        <w:keepNext w:val="0"/>
        <w:keepLines w:val="0"/>
        <w:widowControl w:val="0"/>
        <w:shd w:val="clear" w:color="auto" w:fill="auto"/>
        <w:bidi w:val="0"/>
        <w:spacing w:before="0" w:after="0" w:line="324" w:lineRule="exact"/>
        <w:ind w:left="0" w:right="0" w:firstLine="0"/>
        <w:jc w:val="left"/>
      </w:pPr>
      <w:r>
        <w:rPr>
          <w:color w:val="000000"/>
          <w:spacing w:val="0"/>
          <w:w w:val="100"/>
          <w:position w:val="0"/>
        </w:rPr>
        <w:t>起施行。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18"/>
        <w:keepNext w:val="0"/>
        <w:keepLines w:val="0"/>
        <w:widowControl w:val="0"/>
        <w:shd w:val="clear" w:color="auto" w:fill="auto"/>
        <w:bidi w:val="0"/>
        <w:spacing w:before="0" w:after="0" w:line="324" w:lineRule="exact"/>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）政府和社会资本合作（</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）项目合同</w:t>
      </w:r>
    </w:p>
    <w:p>
      <w:pPr>
        <w:pStyle w:val="Style18"/>
        <w:keepNext w:val="0"/>
        <w:keepLines w:val="0"/>
        <w:widowControl w:val="0"/>
        <w:shd w:val="clear" w:color="auto" w:fill="auto"/>
        <w:bidi w:val="0"/>
        <w:spacing w:before="0" w:after="0" w:line="315" w:lineRule="exact"/>
        <w:ind w:left="0" w:right="0" w:firstLine="42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双特征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日前开始实施且至施行 日尚未完成的有关</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项目合同应进行追溯调整，追溯调整不切实可行的，从可追溯调整的最早期间期初开始应用，累计影 响数调整施行日当年年年初留存收益以及财务报表其他相关项目，对可比期间信息不予调整。执行该规定未对本公司财务状 况和经营成果产生重大影响。</w:t>
      </w:r>
    </w:p>
    <w:p>
      <w:pPr>
        <w:pStyle w:val="Style18"/>
        <w:keepNext w:val="0"/>
        <w:keepLines w:val="0"/>
        <w:widowControl w:val="0"/>
        <w:shd w:val="clear" w:color="auto" w:fill="auto"/>
        <w:bidi w:val="0"/>
        <w:spacing w:before="0" w:after="0" w:line="324" w:lineRule="exact"/>
        <w:ind w:left="0" w:right="0" w:firstLine="4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）基准利率改革</w:t>
      </w:r>
    </w:p>
    <w:p>
      <w:pPr>
        <w:pStyle w:val="Style18"/>
        <w:keepNext w:val="0"/>
        <w:keepLines w:val="0"/>
        <w:widowControl w:val="0"/>
        <w:shd w:val="clear" w:color="auto" w:fill="auto"/>
        <w:bidi w:val="0"/>
        <w:spacing w:before="0" w:after="0" w:line="324" w:lineRule="exact"/>
        <w:ind w:left="0" w:right="0" w:firstLine="42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18"/>
        <w:keepNext w:val="0"/>
        <w:keepLines w:val="0"/>
        <w:widowControl w:val="0"/>
        <w:shd w:val="clear" w:color="auto" w:fill="auto"/>
        <w:bidi w:val="0"/>
        <w:spacing w:before="0" w:after="0" w:line="324" w:lineRule="exact"/>
        <w:ind w:left="0" w:right="0" w:firstLine="420"/>
        <w:jc w:val="both"/>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 ③执行《关于调整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w:t>
      </w:r>
    </w:p>
    <w:p>
      <w:pPr>
        <w:pStyle w:val="Style18"/>
        <w:keepNext w:val="0"/>
        <w:keepLines w:val="0"/>
        <w:widowControl w:val="0"/>
        <w:shd w:val="clear" w:color="auto" w:fill="auto"/>
        <w:bidi w:val="0"/>
        <w:spacing w:before="0" w:after="0" w:line="324"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号），对于满足条件的由 新冠肺炎疫情直接引发的租金减免、延期支付租金等租金减让，企业可以选择采用简化方法进行会计处理。</w:t>
      </w:r>
    </w:p>
    <w:p>
      <w:pPr>
        <w:pStyle w:val="Style18"/>
        <w:keepNext w:val="0"/>
        <w:keepLines w:val="0"/>
        <w:widowControl w:val="0"/>
        <w:shd w:val="clear" w:color="auto" w:fill="auto"/>
        <w:bidi w:val="0"/>
        <w:spacing w:before="0" w:after="0" w:line="324"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日发布了《关于调整</w:t>
      </w:r>
      <w:r>
        <w:rPr>
          <w:color w:val="000000"/>
          <w:spacing w:val="0"/>
          <w:w w:val="100"/>
          <w:position w:val="0"/>
          <w:sz w:val="18"/>
          <w:szCs w:val="18"/>
        </w:rPr>
        <w:t>〈</w:t>
      </w:r>
      <w:r>
        <w:rPr>
          <w:color w:val="000000"/>
          <w:spacing w:val="0"/>
          <w:w w:val="100"/>
          <w:position w:val="0"/>
        </w:rPr>
        <w:t>新冠肺炎疫情相关租金减让会计处理规定</w:t>
      </w:r>
      <w:r>
        <w:rPr>
          <w:color w:val="000000"/>
          <w:spacing w:val="0"/>
          <w:w w:val="100"/>
          <w:position w:val="0"/>
          <w:sz w:val="18"/>
          <w:szCs w:val="18"/>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日起施行，将《新冠肺炎疫情相关租金减让会计处理规定》允许采用简化方法的新冠肺炎疫情相关租 金减让的适用范围由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，其他适用条件不变。</w:t>
      </w:r>
    </w:p>
    <w:p>
      <w:pPr>
        <w:pStyle w:val="Style1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执行该规定未对本公司财务状况和经营成果产生重大影响。</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④执行《企业会计准则解释第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18"/>
        <w:keepNext w:val="0"/>
        <w:keepLines w:val="0"/>
        <w:widowControl w:val="0"/>
        <w:shd w:val="clear" w:color="auto" w:fill="auto"/>
        <w:bidi w:val="0"/>
        <w:spacing w:before="0" w:after="0" w:line="326"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 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18"/>
        <w:keepNext w:val="0"/>
        <w:keepLines w:val="0"/>
        <w:widowControl w:val="0"/>
        <w:shd w:val="clear" w:color="auto" w:fill="auto"/>
        <w:bidi w:val="0"/>
        <w:spacing w:before="0" w:after="720" w:line="326"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号就企业通过内部结算中心、财务公司等对母公司及成员单位资金实行集中统一管理涉及的余额应如何在资产负债 表中进行列报与披露作出了明确规定。执行该规定未对本公司财务状况和经营成果产生重大影响。</w:t>
      </w:r>
    </w:p>
    <w:p>
      <w:pPr>
        <w:pStyle w:val="Style50"/>
        <w:keepNext/>
        <w:keepLines/>
        <w:widowControl w:val="0"/>
        <w:shd w:val="clear" w:color="auto" w:fill="auto"/>
        <w:bidi w:val="0"/>
        <w:spacing w:before="0" w:after="360" w:line="240" w:lineRule="auto"/>
        <w:ind w:left="0" w:right="0" w:firstLine="0"/>
        <w:jc w:val="both"/>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49"/>
      <w:bookmarkEnd w:id="1050"/>
      <w:bookmarkEnd w:id="1052"/>
    </w:p>
    <w:p>
      <w:pPr>
        <w:pStyle w:val="Style24"/>
        <w:keepNext w:val="0"/>
        <w:keepLines w:val="0"/>
        <w:widowControl w:val="0"/>
        <w:shd w:val="clear" w:color="auto" w:fill="auto"/>
        <w:bidi w:val="0"/>
        <w:spacing w:before="0" w:after="0" w:line="240" w:lineRule="auto"/>
        <w:ind w:left="1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5"/>
        <w:gridCol w:w="2386"/>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号</w:t>
            </w:r>
            <w:r>
              <w:rPr>
                <w:color w:val="000000"/>
                <w:spacing w:val="0"/>
                <w:w w:val="100"/>
                <w:position w:val="0"/>
                <w:sz w:val="17"/>
                <w:szCs w:val="17"/>
              </w:rPr>
              <w:t>一一</w:t>
            </w:r>
            <w:r>
              <w:rPr>
                <w:color w:val="000000"/>
                <w:spacing w:val="0"/>
                <w:w w:val="100"/>
                <w:position w:val="0"/>
                <w:sz w:val="17"/>
                <w:szCs w:val="17"/>
              </w:rPr>
              <w:t>金融工具确认和计 量》的相关规定，考虑公司 自身的实际情况，为了更加 合理反映合同资产预期信用 损失情况，公司对</w:t>
            </w:r>
            <w:r>
              <w:rPr>
                <w:rFonts w:ascii="Times New Roman" w:eastAsia="Times New Roman" w:hAnsi="Times New Roman" w:cs="Times New Roman"/>
                <w:color w:val="000000"/>
                <w:spacing w:val="0"/>
                <w:w w:val="100"/>
                <w:position w:val="0"/>
                <w:sz w:val="18"/>
                <w:szCs w:val="18"/>
              </w:rPr>
              <w:t>EPC</w:t>
            </w:r>
            <w:r>
              <w:rPr>
                <w:color w:val="000000"/>
                <w:spacing w:val="0"/>
                <w:w w:val="100"/>
                <w:position w:val="0"/>
                <w:sz w:val="17"/>
                <w:szCs w:val="17"/>
              </w:rPr>
              <w:t>业 务中与收入相关、不满足无 条件收款权的已完工未结算 资产的预计损失率进行变 更。由原来该部分预期信用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日决议批准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年度合并利润表资产 减值损失增加</w:t>
            </w:r>
            <w:r>
              <w:rPr>
                <w:rFonts w:ascii="Times New Roman" w:eastAsia="Times New Roman" w:hAnsi="Times New Roman" w:cs="Times New Roman"/>
                <w:color w:val="000000"/>
                <w:spacing w:val="0"/>
                <w:w w:val="100"/>
                <w:position w:val="0"/>
                <w:sz w:val="18"/>
                <w:szCs w:val="18"/>
              </w:rPr>
              <w:t xml:space="preserve">6,908,087.45 </w:t>
            </w:r>
            <w:r>
              <w:rPr>
                <w:color w:val="000000"/>
                <w:spacing w:val="0"/>
                <w:w w:val="100"/>
                <w:position w:val="0"/>
                <w:sz w:val="17"/>
                <w:szCs w:val="17"/>
              </w:rPr>
              <w:t xml:space="preserve">元，归属母公司股东的净利 润减少 </w:t>
            </w:r>
            <w:r>
              <w:rPr>
                <w:rFonts w:ascii="Times New Roman" w:eastAsia="Times New Roman" w:hAnsi="Times New Roman" w:cs="Times New Roman"/>
                <w:color w:val="000000"/>
                <w:spacing w:val="0"/>
                <w:w w:val="100"/>
                <w:position w:val="0"/>
                <w:sz w:val="18"/>
                <w:szCs w:val="18"/>
              </w:rPr>
              <w:t xml:space="preserve">6,908,087.45 </w:t>
            </w:r>
            <w:r>
              <w:rPr>
                <w:color w:val="000000"/>
                <w:spacing w:val="0"/>
                <w:w w:val="100"/>
                <w:position w:val="0"/>
                <w:sz w:val="17"/>
                <w:szCs w:val="17"/>
              </w:rPr>
              <w:t>元。</w:t>
            </w:r>
          </w:p>
        </w:tc>
      </w:tr>
    </w:tbl>
    <w:p>
      <w:pPr>
        <w:sectPr>
          <w:footnotePr>
            <w:pos w:val="pageBottom"/>
            <w:numFmt w:val="decimal"/>
            <w:numRestart w:val="continuous"/>
          </w:footnotePr>
          <w:pgSz w:w="11900" w:h="16840"/>
          <w:pgMar w:top="933" w:right="1028" w:bottom="1298" w:left="1061" w:header="0" w:footer="3" w:gutter="0"/>
          <w:cols w:space="720"/>
          <w:noEndnote/>
          <w:rtlGutter w:val="0"/>
          <w:docGrid w:linePitch="360"/>
        </w:sectPr>
      </w:pPr>
    </w:p>
    <w:tbl>
      <w:tblPr>
        <w:tblOverlap w:val="never"/>
        <w:jc w:val="center"/>
        <w:tblLayout w:type="fixed"/>
      </w:tblPr>
      <w:tblGrid>
        <w:gridCol w:w="2405"/>
        <w:gridCol w:w="2386"/>
        <w:gridCol w:w="2395"/>
        <w:gridCol w:w="2400"/>
      </w:tblGrid>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损失风险较低，未计提资产 减值准备，变更为按照该部 分合同资产余额的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 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keepLines/>
        <w:widowControl w:val="0"/>
        <w:shd w:val="clear" w:color="auto" w:fill="auto"/>
        <w:tabs>
          <w:tab w:pos="493" w:val="left"/>
        </w:tabs>
        <w:bidi w:val="0"/>
        <w:spacing w:before="0" w:after="34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shd w:val="clear" w:color="auto" w:fill="FFFFFF"/>
        </w:rPr>
        <w:t>（</w:t>
      </w:r>
      <w:bookmarkEnd w:id="1055"/>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53"/>
      <w:bookmarkEnd w:id="1054"/>
      <w:bookmarkEnd w:id="1056"/>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354,828,525.01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354,828,525.01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647,202,706.96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647,202,706.96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83,894,494.30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83,894,494.30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12,997,339.63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580,086,759.23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580,086,759.23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1,844,848,452.17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1,844,848,452.17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34,477,005.20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34,477,005.20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230,615,655.03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34,862,563.37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11,970,760.66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11,970,760.66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343,551,656.22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348,512,127.07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2,193,360,579.24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590,579,784.89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590,579,784.89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175,238,848.84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175,238,848.84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239,781,080.50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239,781,080.50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16,732,690.80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16,732,690.80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14,485,279.88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14,485,279.88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1,035,164.66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1,035,164.66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1,145,445,046.31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1,146,480,210.97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1,035,164.66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3,925,306.19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3,925,306.19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8,212,604.73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3,925,306.19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1,149,732,344.85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1,154,692,815.70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466,398,210.37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466,398,210.37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1,023,464,925.38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1,023,464,925.38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15,202,838.16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15,202,838.16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1,038,667,763.54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1,038,667,763.54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2,193,360,579.24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4,960,470.85</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298,297,533.64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298,297,533.64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487,553,564.28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487,553,564.28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39,982,072.80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39,982,072.80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127,966,007.81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127,966,007.81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398,911,693.01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398,911,693.01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696,570.51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696,570.51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1,809,772,929.24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1,809,772,929.24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117,376,621.56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117,376,621.56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7,219,073.48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7,219,073.48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223,724,899.57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223,724,899.57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324,051.24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21,297,923.70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21,297,923.70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119,267.65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9,784,402.69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9,784,402.69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390,854,007.27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391,178,058.51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2,200,626,936.51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2,200,950,987.75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434,327,644.79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434,327,644.79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228,521,869.77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228,521,869.77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251,571,694.40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251,571,694.40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58,261,801.97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58,261,801.97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8,277,051.70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9,207,782.20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9,207,782.20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160,053,349.77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160,053,349.77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110,213.58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1,150,257,783.28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1,150,367,996.86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213,837.66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3,058,923.06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3,058,923.06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3,058,923.06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3,272,760.72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1,153,316,706.34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1,153,640,757.58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467,508,707.24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467,508,707.24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351,651,892.95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351,651,892.95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1,047,310,230.17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1,047,310,230.17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2,200,626,936.51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2,200,950,987.75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324,051.24</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43" w:right="1192" w:bottom="1439" w:left="1112" w:header="0" w:footer="3" w:gutter="0"/>
          <w:cols w:space="720"/>
          <w:noEndnote/>
          <w:rtlGutter w:val="0"/>
          <w:docGrid w:linePitch="360"/>
        </w:sectPr>
      </w:pPr>
      <w:r>
        <w:rPr>
          <w:color w:val="000000"/>
          <w:spacing w:val="0"/>
          <w:w w:val="100"/>
          <w:position w:val="0"/>
        </w:rPr>
        <w:t>调整情况说明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50"/>
        <w:keepNext/>
        <w:keepLines/>
        <w:widowControl w:val="0"/>
        <w:numPr>
          <w:ilvl w:val="0"/>
          <w:numId w:val="69"/>
        </w:numPr>
        <w:shd w:val="clear" w:color="auto" w:fill="auto"/>
        <w:tabs>
          <w:tab w:pos="493" w:val="left"/>
        </w:tabs>
        <w:bidi w:val="0"/>
        <w:spacing w:before="0" w:line="240" w:lineRule="auto"/>
        <w:ind w:left="0" w:right="0" w:firstLine="0"/>
        <w:jc w:val="left"/>
      </w:pPr>
      <w:bookmarkStart w:id="1057" w:name="bookmark1057"/>
      <w:bookmarkStart w:id="1058" w:name="bookmark1058"/>
      <w:bookmarkStart w:id="1059" w:name="bookmark1059"/>
      <w:bookmarkStart w:id="1060" w:name="bookmark1060"/>
      <w:bookmarkEnd w:id="105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7"/>
      <w:bookmarkEnd w:id="1058"/>
      <w:bookmarkEnd w:id="106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40" w:line="240" w:lineRule="auto"/>
        <w:ind w:left="0" w:right="0" w:firstLine="0"/>
        <w:jc w:val="left"/>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61"/>
      <w:bookmarkEnd w:id="1062"/>
      <w:bookmarkEnd w:id="1063"/>
    </w:p>
    <w:p>
      <w:pPr>
        <w:pStyle w:val="Style22"/>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sz w:val="24"/>
          <w:szCs w:val="24"/>
        </w:rPr>
        <w:t>六</w:t>
      </w:r>
      <w:bookmarkEnd w:id="1066"/>
      <w:r>
        <w:rPr>
          <w:color w:val="000000"/>
          <w:spacing w:val="0"/>
          <w:w w:val="100"/>
          <w:position w:val="0"/>
          <w:sz w:val="24"/>
          <w:szCs w:val="24"/>
        </w:rPr>
        <w:t>、税项</w:t>
      </w:r>
      <w:bookmarkEnd w:id="1064"/>
      <w:bookmarkEnd w:id="1065"/>
      <w:bookmarkEnd w:id="1067"/>
    </w:p>
    <w:p>
      <w:pPr>
        <w:pStyle w:val="Style32"/>
        <w:keepNext/>
        <w:keepLines/>
        <w:widowControl w:val="0"/>
        <w:shd w:val="clear" w:color="auto" w:fill="auto"/>
        <w:bidi w:val="0"/>
        <w:spacing w:before="0" w:after="34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color w:val="000000"/>
          <w:spacing w:val="0"/>
          <w:w w:val="100"/>
          <w:position w:val="0"/>
        </w:rPr>
        <w:t>、主要税种及税率</w:t>
      </w:r>
      <w:bookmarkEnd w:id="1068"/>
      <w:bookmarkEnd w:id="1069"/>
      <w:bookmarkEnd w:id="107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福建永福电力设计股份有限公司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福建永福铁塔技术开发有限公司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福州新创机电设备有限公司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福思威特(福建)电力工程有限公司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福建永福新能电力投资有限公司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福建永福创智能源管理有限公司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福建华超信息科技有限公司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SINGAPORE NEW ENERGY DEVELOPMENT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ONE SINGAPORE NEW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DEVELOPMENT COMPANY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TWO VITNAM NEW ENERGY DEVELOPMENT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VIETNAM YONGFU OPERATION AND MAINTENANCE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THREE SINGAPORE NEW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DEVELOPMENT COMPANY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PHILIPPINE NEW ENERGY MANAGEMENT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LTD.INC.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4790"/>
        <w:gridCol w:w="4795"/>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福建永福运维科技有限公司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上海毅昊自动化有限公司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福建永福工程科技有限公司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福建永帆风电科技有限公司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福建帆顺新能源有限公司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福建百帆新能源有限公司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福建亿帆新能源有限公司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BANGLADESH YONGFU OPERATION AND</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MAINTENANCE 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福建长帆新能源有限公司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福建众帆新能源有限公司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福建兆帆新能源有限公司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福建沧海新能源有限公司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福建旭帆新能源有限公司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福建三帆新能源有限公司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福建灿帆新能源有限公司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福建昌帆新能源有限公司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赣州亿帆新能源有限公司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威海百帆新能源有限公司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德庆丰帆新能源有限公司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吴忠市三帆新能源有限公司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宜阳县昌帆新能源有限公司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北京慧创新能源有限公司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石嘴山福捷新能源有限公司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河北卓晖新能源有限公司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石嘴山隆惠昌光伏发电有限公司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石嘴山珠友旭能源发展有限公司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德庆旭帆新能源有限公司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海南昌江福帆新能源有限公司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保定福骏新能源科技有限公司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18"/>
        <w:keepNext w:val="0"/>
        <w:keepLines w:val="0"/>
        <w:widowControl w:val="0"/>
        <w:shd w:val="clear" w:color="auto" w:fill="auto"/>
        <w:tabs>
          <w:tab w:pos="4781" w:val="left"/>
        </w:tabs>
        <w:bidi w:val="0"/>
        <w:spacing w:before="0" w:after="360" w:line="240" w:lineRule="auto"/>
        <w:ind w:left="0" w:right="0" w:firstLine="0"/>
        <w:jc w:val="left"/>
        <w:rPr>
          <w:sz w:val="18"/>
          <w:szCs w:val="18"/>
        </w:rPr>
      </w:pPr>
      <w:r>
        <w:rPr>
          <w:color w:val="000000"/>
          <w:spacing w:val="0"/>
          <w:w w:val="100"/>
          <w:position w:val="0"/>
          <w:sz w:val="17"/>
          <w:szCs w:val="17"/>
        </w:rPr>
        <w:t>|攀枝花三能新能源有限公司</w:t>
        <w:tab/>
      </w:r>
      <w:r>
        <w:rPr>
          <w:rFonts w:ascii="Times New Roman" w:eastAsia="Times New Roman" w:hAnsi="Times New Roman" w:cs="Times New Roman"/>
          <w:color w:val="000000"/>
          <w:spacing w:val="0"/>
          <w:w w:val="100"/>
          <w:position w:val="0"/>
          <w:sz w:val="18"/>
          <w:szCs w:val="18"/>
        </w:rPr>
        <w:t>| 15%</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color w:val="000000"/>
          <w:spacing w:val="0"/>
          <w:w w:val="100"/>
          <w:position w:val="0"/>
        </w:rPr>
        <w:t>、</w:t>
        <w:tab/>
        <w:t>税收优惠</w:t>
      </w:r>
      <w:bookmarkEnd w:id="1072"/>
      <w:bookmarkEnd w:id="1073"/>
      <w:bookmarkEnd w:id="1075"/>
    </w:p>
    <w:p>
      <w:pPr>
        <w:pStyle w:val="Style18"/>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、母公司所得税优惠政策</w:t>
      </w:r>
    </w:p>
    <w:p>
      <w:pPr>
        <w:pStyle w:val="Style18"/>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永福股份于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sz w:val="18"/>
          <w:szCs w:val="18"/>
        </w:rPr>
        <w:t>GR202035000577</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年。根据国家对高新技 术企业的相关税收政策，公司自获得高新技术企业认定后三年内(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年)，所得税税率减按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1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、子公司所得税优惠政策</w:t>
      </w:r>
    </w:p>
    <w:p>
      <w:pPr>
        <w:pStyle w:val="Style18"/>
        <w:keepNext w:val="0"/>
        <w:keepLines w:val="0"/>
        <w:widowControl w:val="0"/>
        <w:numPr>
          <w:ilvl w:val="0"/>
          <w:numId w:val="71"/>
        </w:numPr>
        <w:shd w:val="clear" w:color="auto" w:fill="auto"/>
        <w:tabs>
          <w:tab w:pos="906" w:val="left"/>
        </w:tabs>
        <w:bidi w:val="0"/>
        <w:spacing w:before="0" w:after="0" w:line="314" w:lineRule="exact"/>
        <w:ind w:left="0" w:right="0" w:firstLine="420"/>
        <w:jc w:val="left"/>
      </w:pPr>
      <w:bookmarkStart w:id="1076" w:name="bookmark1076"/>
      <w:bookmarkEnd w:id="1076"/>
      <w:r>
        <w:rPr>
          <w:color w:val="000000"/>
          <w:spacing w:val="0"/>
          <w:w w:val="100"/>
          <w:position w:val="0"/>
        </w:rPr>
        <w:t>子公司上海毅昊自动化有限公司于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sz w:val="18"/>
          <w:szCs w:val="18"/>
        </w:rPr>
        <w:t>GR202031003752</w:t>
      </w:r>
      <w:r>
        <w:rPr>
          <w:color w:val="000000"/>
          <w:spacing w:val="0"/>
          <w:w w:val="100"/>
          <w:position w:val="0"/>
        </w:rPr>
        <w:t>),</w:t>
      </w:r>
      <w:r>
        <w:rPr>
          <w:color w:val="000000"/>
          <w:spacing w:val="0"/>
          <w:w w:val="100"/>
          <w:position w:val="0"/>
        </w:rPr>
        <w:t>认定有 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年。根据国家对高新技术企业的相关税收政策，公司自获得高新技术企业认定后三年内(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年)，所得税 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77" w:name="bookmark1077"/>
      <w:bookmarkEnd w:id="1077"/>
      <w:r>
        <w:rPr>
          <w:color w:val="000000"/>
          <w:spacing w:val="0"/>
          <w:w w:val="100"/>
          <w:position w:val="0"/>
        </w:rPr>
        <w:t>子公司福思威特(福建)电力工程有限公司根据国家税务总局公告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 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78" w:name="bookmark1078"/>
      <w:bookmarkEnd w:id="1078"/>
      <w:r>
        <w:rPr>
          <w:color w:val="000000"/>
          <w:spacing w:val="0"/>
          <w:w w:val="100"/>
          <w:position w:val="0"/>
        </w:rPr>
        <w:t>子公司福建华超信息科技有限公司根据国家税务总局公告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79" w:name="bookmark1079"/>
      <w:bookmarkEnd w:id="1079"/>
      <w:r>
        <w:rPr>
          <w:color w:val="000000"/>
          <w:spacing w:val="0"/>
          <w:w w:val="100"/>
          <w:position w:val="0"/>
        </w:rPr>
        <w:t>子公司四川云能水利电力工程咨询有限公司根据国家税务总局公告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 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80" w:name="bookmark1080"/>
      <w:bookmarkEnd w:id="1080"/>
      <w:r>
        <w:rPr>
          <w:color w:val="000000"/>
          <w:spacing w:val="0"/>
          <w:w w:val="100"/>
          <w:position w:val="0"/>
        </w:rPr>
        <w:t>子公司福建永福工程科技有限公司根据国家税务总局公告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81" w:name="bookmark1081"/>
      <w:bookmarkEnd w:id="1081"/>
      <w:r>
        <w:rPr>
          <w:color w:val="000000"/>
          <w:spacing w:val="0"/>
          <w:w w:val="100"/>
          <w:position w:val="0"/>
        </w:rPr>
        <w:t>子公司福建永福信息科技有限公司根据国家税务总局公告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1" w:val="left"/>
        </w:tabs>
        <w:bidi w:val="0"/>
        <w:spacing w:before="0" w:after="0" w:line="314" w:lineRule="exact"/>
        <w:ind w:left="0" w:right="0" w:firstLine="420"/>
        <w:jc w:val="left"/>
      </w:pPr>
      <w:bookmarkStart w:id="1082" w:name="bookmark1082"/>
      <w:bookmarkEnd w:id="1082"/>
      <w:r>
        <w:rPr>
          <w:color w:val="000000"/>
          <w:spacing w:val="0"/>
          <w:w w:val="100"/>
          <w:position w:val="0"/>
        </w:rPr>
        <w:t>子公司福建永福运维科技有限公司根据国家税务总局公告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18"/>
        <w:keepNext w:val="0"/>
        <w:keepLines w:val="0"/>
        <w:widowControl w:val="0"/>
        <w:numPr>
          <w:ilvl w:val="0"/>
          <w:numId w:val="71"/>
        </w:numPr>
        <w:shd w:val="clear" w:color="auto" w:fill="auto"/>
        <w:tabs>
          <w:tab w:pos="906" w:val="left"/>
        </w:tabs>
        <w:bidi w:val="0"/>
        <w:spacing w:before="0" w:after="400" w:line="314" w:lineRule="exact"/>
        <w:ind w:left="0" w:right="0" w:firstLine="420"/>
        <w:jc w:val="left"/>
      </w:pPr>
      <w:bookmarkStart w:id="1083" w:name="bookmark1083"/>
      <w:bookmarkEnd w:id="1083"/>
      <w:r>
        <w:rPr>
          <w:color w:val="000000"/>
          <w:spacing w:val="0"/>
          <w:w w:val="100"/>
          <w:position w:val="0"/>
        </w:rPr>
        <w:t>子公司攀枝花三能新能源有限公司于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sz w:val="18"/>
          <w:szCs w:val="18"/>
        </w:rPr>
        <w:t>GR202051002027</w:t>
      </w:r>
      <w:r>
        <w:rPr>
          <w:color w:val="000000"/>
          <w:spacing w:val="0"/>
          <w:w w:val="100"/>
          <w:position w:val="0"/>
        </w:rPr>
        <w:t>)，</w:t>
      </w:r>
      <w:r>
        <w:rPr>
          <w:color w:val="000000"/>
          <w:spacing w:val="0"/>
          <w:w w:val="100"/>
          <w:position w:val="0"/>
        </w:rPr>
        <w:t>认定有 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年。根据国家对高新技术企业的相关税收政策，公司自获得高新技术企业认定后三年内(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年)，所得税 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32"/>
        <w:keepNext/>
        <w:keepLines/>
        <w:widowControl w:val="0"/>
        <w:shd w:val="clear" w:color="auto" w:fill="auto"/>
        <w:tabs>
          <w:tab w:pos="378" w:val="left"/>
        </w:tabs>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color w:val="000000"/>
          <w:spacing w:val="0"/>
          <w:w w:val="100"/>
          <w:position w:val="0"/>
        </w:rPr>
        <w:t>、</w:t>
        <w:tab/>
        <w:t>其他</w:t>
      </w:r>
      <w:bookmarkEnd w:id="1084"/>
      <w:bookmarkEnd w:id="1085"/>
      <w:bookmarkEnd w:id="1087"/>
    </w:p>
    <w:p>
      <w:pPr>
        <w:pStyle w:val="Style22"/>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sz w:val="24"/>
          <w:szCs w:val="24"/>
        </w:rPr>
        <w:t>七</w:t>
      </w:r>
      <w:bookmarkEnd w:id="1090"/>
      <w:r>
        <w:rPr>
          <w:color w:val="000000"/>
          <w:spacing w:val="0"/>
          <w:w w:val="100"/>
          <w:position w:val="0"/>
          <w:sz w:val="24"/>
          <w:szCs w:val="24"/>
        </w:rPr>
        <w:t>、合并财务报表项目注释</w:t>
      </w:r>
      <w:bookmarkEnd w:id="1088"/>
      <w:bookmarkEnd w:id="1089"/>
      <w:bookmarkEnd w:id="1091"/>
    </w:p>
    <w:p>
      <w:pPr>
        <w:pStyle w:val="Style32"/>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color w:val="000000"/>
          <w:spacing w:val="0"/>
          <w:w w:val="100"/>
          <w:position w:val="0"/>
        </w:rPr>
        <w:t>、货币资金</w:t>
      </w:r>
      <w:bookmarkEnd w:id="1092"/>
      <w:bookmarkEnd w:id="1093"/>
      <w:bookmarkEnd w:id="109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361,679,970.50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210,038,615.44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165,648,495.94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144,704,777.30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528,088,026.21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354,828,525.01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14,859,250.06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98,486,496.42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因抵押、质押或冻结等对使用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171,090,365.54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150,146,646.90</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|有限制的款项总额 </w:t>
      </w:r>
      <w:r>
        <w:rPr>
          <w:color w:val="000000"/>
          <w:spacing w:val="0"/>
          <w:w w:val="100"/>
          <w:position w:val="0"/>
        </w:rPr>
        <w:t>其他说明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其中因抵押、质押或冻结等对使用有限制，因资金集中管理支取受限，以及放在境外且资金汇回受到限制的货币资金明 细如下：</w:t>
      </w:r>
    </w:p>
    <w:tbl>
      <w:tblPr>
        <w:tblOverlap w:val="never"/>
        <w:jc w:val="center"/>
        <w:tblLayout w:type="fixed"/>
      </w:tblPr>
      <w:tblGrid>
        <w:gridCol w:w="4133"/>
        <w:gridCol w:w="2770"/>
        <w:gridCol w:w="2774"/>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82,059,758.21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47,836,547.92</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83,588,737.73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96,868,229.38</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171,090,365.54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150,146,646.90</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18"/>
          <w:szCs w:val="18"/>
        </w:rPr>
        <w:t>83,588,737.73</w:t>
      </w:r>
      <w:r>
        <w:rPr>
          <w:color w:val="000000"/>
          <w:spacing w:val="0"/>
          <w:w w:val="100"/>
          <w:position w:val="0"/>
        </w:rPr>
        <w:t>元为本公司向银行申请开具的应付票据的保证金；其他货币 资金中人民币</w:t>
      </w:r>
      <w:r>
        <w:rPr>
          <w:rFonts w:ascii="Times New Roman" w:eastAsia="Times New Roman" w:hAnsi="Times New Roman" w:cs="Times New Roman"/>
          <w:color w:val="000000"/>
          <w:spacing w:val="0"/>
          <w:w w:val="100"/>
          <w:position w:val="0"/>
          <w:sz w:val="18"/>
          <w:szCs w:val="18"/>
        </w:rPr>
        <w:t>82,059,758.21</w:t>
      </w:r>
      <w:r>
        <w:rPr>
          <w:color w:val="000000"/>
          <w:spacing w:val="0"/>
          <w:w w:val="100"/>
          <w:position w:val="0"/>
        </w:rPr>
        <w:t>元为本公司向银行申请开具无条件、不可撤销的担保函所存入的保证金存款。</w:t>
      </w:r>
    </w:p>
    <w:p>
      <w:pPr>
        <w:pStyle w:val="Style18"/>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公司由于涉及诉讼事项，中石化工建设有限公司昆明分公司于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日向法院申请资产保全，法院冻结永福股份 </w:t>
      </w:r>
      <w:r>
        <w:rPr>
          <w:rFonts w:ascii="Times New Roman" w:eastAsia="Times New Roman" w:hAnsi="Times New Roman" w:cs="Times New Roman"/>
          <w:color w:val="000000"/>
          <w:spacing w:val="0"/>
          <w:w w:val="100"/>
          <w:position w:val="0"/>
          <w:sz w:val="18"/>
          <w:szCs w:val="18"/>
        </w:rPr>
        <w:t>5,441,869.6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元银行存款，截至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日，冻结尚未解除。</w:t>
      </w:r>
    </w:p>
    <w:p>
      <w:pPr>
        <w:pStyle w:val="Style32"/>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color w:val="000000"/>
          <w:spacing w:val="0"/>
          <w:w w:val="100"/>
          <w:position w:val="0"/>
        </w:rPr>
        <w:t>、交易性金融资产</w:t>
      </w:r>
      <w:bookmarkEnd w:id="1096"/>
      <w:bookmarkEnd w:id="1097"/>
      <w:bookmarkEnd w:id="1099"/>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337,640.81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914,018.75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、衍生金融资产</w:t>
      </w:r>
      <w:bookmarkEnd w:id="1100"/>
      <w:bookmarkEnd w:id="1101"/>
      <w:bookmarkEnd w:id="1103"/>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color w:val="000000"/>
          <w:spacing w:val="0"/>
          <w:w w:val="100"/>
          <w:position w:val="0"/>
        </w:rPr>
        <w:t>、应收票据</w:t>
      </w:r>
      <w:bookmarkEnd w:id="1104"/>
      <w:bookmarkEnd w:id="1105"/>
      <w:bookmarkEnd w:id="1107"/>
    </w:p>
    <w:p>
      <w:pPr>
        <w:pStyle w:val="Style50"/>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8"/>
      <w:bookmarkEnd w:id="1109"/>
      <w:bookmarkEnd w:id="1111"/>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bl>
    <w:p>
      <w:pPr>
        <w:spacing w:lineRule="exact" w:line="1"/>
        <w:rPr>
          <w:sz w:val="2"/>
          <w:szCs w:val="2"/>
        </w:rPr>
      </w:pPr>
      <w:r>
        <w:br w:type="page"/>
      </w:r>
    </w:p>
    <w:p>
      <w:pPr>
        <w:pStyle w:val="Style84"/>
        <w:keepNext w:val="0"/>
        <w:keepLines w:val="0"/>
        <w:widowControl w:val="0"/>
        <w:shd w:val="clear" w:color="auto" w:fill="auto"/>
        <w:tabs>
          <w:tab w:pos="5342" w:val="left"/>
          <w:tab w:pos="8405" w:val="left"/>
        </w:tabs>
        <w:bidi w:val="0"/>
        <w:spacing w:before="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495,000.00</w:t>
        <w:tab/>
        <w:t>8,100,000.00</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after="40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2"/>
      <w:bookmarkEnd w:id="1113"/>
      <w:bookmarkEnd w:id="111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495,000.00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numPr>
          <w:ilvl w:val="0"/>
          <w:numId w:val="73"/>
        </w:numPr>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期末公司已质押的应收票据</w:t>
      </w:r>
      <w:bookmarkEnd w:id="1116"/>
      <w:bookmarkEnd w:id="1117"/>
      <w:bookmarkEnd w:id="111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50"/>
        <w:keepNext/>
        <w:keepLines/>
        <w:widowControl w:val="0"/>
        <w:numPr>
          <w:ilvl w:val="0"/>
          <w:numId w:val="73"/>
        </w:numPr>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期末公司已背书或贴现且在资产负债表日尚未到期的应收票据</w:t>
      </w:r>
      <w:bookmarkEnd w:id="1120"/>
      <w:bookmarkEnd w:id="1121"/>
      <w:bookmarkEnd w:id="112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r>
    </w:tbl>
    <w:p>
      <w:pPr>
        <w:widowControl w:val="0"/>
        <w:spacing w:after="319" w:line="1" w:lineRule="exact"/>
      </w:pPr>
    </w:p>
    <w:p>
      <w:pPr>
        <w:pStyle w:val="Style50"/>
        <w:keepNext/>
        <w:keepLines/>
        <w:widowControl w:val="0"/>
        <w:numPr>
          <w:ilvl w:val="0"/>
          <w:numId w:val="73"/>
        </w:numPr>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期末公司因出票人未履约而将其转应收账款的票据</w:t>
      </w:r>
      <w:bookmarkEnd w:id="1124"/>
      <w:bookmarkEnd w:id="1125"/>
      <w:bookmarkEnd w:id="112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73"/>
        </w:numPr>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本期实际核销的应收票据情况</w:t>
      </w:r>
      <w:bookmarkEnd w:id="1128"/>
      <w:bookmarkEnd w:id="1129"/>
      <w:bookmarkEnd w:id="1131"/>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402" w:val="left"/>
                <w:tab w:pos="3168"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60" w:val="left"/>
                <w:tab w:pos="3622"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2"/>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5</w:t>
      </w:r>
      <w:bookmarkEnd w:id="1134"/>
      <w:r>
        <w:rPr>
          <w:color w:val="000000"/>
          <w:spacing w:val="0"/>
          <w:w w:val="100"/>
          <w:position w:val="0"/>
        </w:rPr>
        <w:t>、应收账款</w:t>
      </w:r>
      <w:bookmarkEnd w:id="1132"/>
      <w:bookmarkEnd w:id="1133"/>
      <w:bookmarkEnd w:id="1135"/>
    </w:p>
    <w:p>
      <w:pPr>
        <w:pStyle w:val="Style50"/>
        <w:keepNext/>
        <w:keepLines/>
        <w:widowControl w:val="0"/>
        <w:numPr>
          <w:ilvl w:val="0"/>
          <w:numId w:val="75"/>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应收账款分类披露</w:t>
      </w:r>
      <w:bookmarkEnd w:id="1136"/>
      <w:bookmarkEnd w:id="1137"/>
      <w:bookmarkEnd w:id="1139"/>
    </w:p>
    <w:p>
      <w:pPr>
        <w:pStyle w:val="Style18"/>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751,30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4,946.8</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88,730,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751,30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4,946.8</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6,073.4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88,730,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529,504,537.13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26,475,226.85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95,517,419.30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9,551,741.93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37,949,483.22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11,384,844.97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52,592,819.12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26,296,409.57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24,214,189.64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19,371,351.71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11,526,498.43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11,526,498.43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751,304,946.84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104,606,073.46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r>
        <w:br w:type="page"/>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529,504,537.13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95,517,419.30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37,949,483.22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88,333,507.19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52,592,819.12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24,214,189.64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11,526,498.43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751,304,946.84</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0"/>
      <w:bookmarkEnd w:id="1141"/>
      <w:bookmarkEnd w:id="114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88,730,509.48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16,124,720.76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-249,156.78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104,606,073.46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88,730,509.48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16,124,720.76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-249,156.78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104,606,073.46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4"/>
      <w:bookmarkEnd w:id="1145"/>
      <w:bookmarkEnd w:id="114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46" w:val="left"/>
                <w:tab w:pos="3622" w:val="left"/>
              </w:tabs>
              <w:bidi w:val="0"/>
              <w:spacing w:before="0" w:after="0" w:line="240" w:lineRule="auto"/>
              <w:ind w:left="0" w:right="0" w:firstLine="440"/>
              <w:jc w:val="left"/>
              <w:rPr>
                <w:sz w:val="17"/>
                <w:szCs w:val="17"/>
              </w:rPr>
            </w:pPr>
            <w:r>
              <w:rPr>
                <w:color w:val="000000"/>
                <w:spacing w:val="0"/>
                <w:w w:val="100"/>
                <w:position w:val="0"/>
                <w:sz w:val="17"/>
                <w:szCs w:val="17"/>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0"/>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8"/>
      <w:bookmarkEnd w:id="1149"/>
      <w:bookmarkEnd w:id="115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福建润峡新能源有限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87,508,338.31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4,375,416.92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 SINPOWER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59,670,152.87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2,983,507.64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华电重工股份有限公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40,983,603.21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2,049,180.16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国网福建省电力有限 公司福州供电公司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27,861,405.22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2,095,769.30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ECOPARK ENERGY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OF VALENZUELA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26,822,528.19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13,913,358.43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242,846,027.80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50"/>
        <w:keepNext/>
        <w:keepLines/>
        <w:widowControl w:val="0"/>
        <w:numPr>
          <w:ilvl w:val="0"/>
          <w:numId w:val="69"/>
        </w:numPr>
        <w:shd w:val="clear" w:color="auto" w:fill="auto"/>
        <w:tabs>
          <w:tab w:pos="493" w:val="left"/>
        </w:tabs>
        <w:bidi w:val="0"/>
        <w:spacing w:before="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因金融资产转移而终止确认的应收账款</w:t>
      </w:r>
      <w:bookmarkEnd w:id="1152"/>
      <w:bookmarkEnd w:id="1153"/>
      <w:bookmarkEnd w:id="1155"/>
    </w:p>
    <w:p>
      <w:pPr>
        <w:pStyle w:val="Style50"/>
        <w:keepNext/>
        <w:keepLines/>
        <w:widowControl w:val="0"/>
        <w:numPr>
          <w:ilvl w:val="0"/>
          <w:numId w:val="69"/>
        </w:numPr>
        <w:shd w:val="clear" w:color="auto" w:fill="auto"/>
        <w:tabs>
          <w:tab w:pos="493" w:val="left"/>
        </w:tabs>
        <w:bidi w:val="0"/>
        <w:spacing w:before="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转移应收账款且继续涉入形成的资产、负债金额</w:t>
      </w:r>
      <w:bookmarkEnd w:id="1156"/>
      <w:bookmarkEnd w:id="1157"/>
      <w:bookmarkEnd w:id="115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6</w:t>
      </w:r>
      <w:bookmarkEnd w:id="1162"/>
      <w:r>
        <w:rPr>
          <w:color w:val="000000"/>
          <w:spacing w:val="0"/>
          <w:w w:val="100"/>
          <w:position w:val="0"/>
        </w:rPr>
        <w:t>、应收款项融资</w:t>
      </w:r>
      <w:bookmarkEnd w:id="1160"/>
      <w:bookmarkEnd w:id="1161"/>
      <w:bookmarkEnd w:id="116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14,404,830.78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14,404,830.78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1435"/>
        <w:gridCol w:w="1546"/>
        <w:gridCol w:w="1546"/>
        <w:gridCol w:w="1195"/>
        <w:gridCol w:w="1546"/>
        <w:gridCol w:w="1205"/>
      </w:tblGrid>
      <w:tr>
        <w:trPr>
          <w:trHeight w:val="97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上年年末余额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本期新增</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本期终止确认</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累计在其他综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合收益中确认</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的损失准备</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24,154,964.50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15,281,838.48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14,404,830.78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7</w:t>
      </w:r>
      <w:bookmarkEnd w:id="1166"/>
      <w:r>
        <w:rPr>
          <w:color w:val="000000"/>
          <w:spacing w:val="0"/>
          <w:w w:val="100"/>
          <w:position w:val="0"/>
        </w:rPr>
        <w:t>、预付款项</w:t>
      </w:r>
      <w:bookmarkEnd w:id="1164"/>
      <w:bookmarkEnd w:id="1165"/>
      <w:bookmarkEnd w:id="1167"/>
    </w:p>
    <w:p>
      <w:pPr>
        <w:pStyle w:val="Style50"/>
        <w:keepNext/>
        <w:keepLines/>
        <w:widowControl w:val="0"/>
        <w:numPr>
          <w:ilvl w:val="0"/>
          <w:numId w:val="77"/>
        </w:numPr>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预付款项按账龄列示</w:t>
      </w:r>
      <w:bookmarkEnd w:id="1168"/>
      <w:bookmarkEnd w:id="1169"/>
      <w:bookmarkEnd w:id="1171"/>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235,088,025.25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83,806,969.85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37,754,938.20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272,842,963.45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83,894,494.30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账龄超过一年且金额重要的预付款项为</w:t>
      </w:r>
      <w:r>
        <w:rPr>
          <w:rFonts w:ascii="Times New Roman" w:eastAsia="Times New Roman" w:hAnsi="Times New Roman" w:cs="Times New Roman"/>
          <w:color w:val="000000"/>
          <w:spacing w:val="0"/>
          <w:w w:val="100"/>
          <w:position w:val="0"/>
          <w:sz w:val="18"/>
          <w:szCs w:val="18"/>
        </w:rPr>
        <w:t>37,180,000.00</w:t>
      </w:r>
      <w:r>
        <w:rPr>
          <w:color w:val="000000"/>
          <w:spacing w:val="0"/>
          <w:w w:val="100"/>
          <w:position w:val="0"/>
        </w:rPr>
        <w:t>元，主要为预付福建华景海洋科技有限公司的海上风电安装船相关 租赁费款项。截至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日，因为福建华景海洋科技有限公司其中一艘船系福景</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正在办理船检证书、船籍证书等 手续原因，该船尚未下海作业，导致该款项尚未结算。</w:t>
      </w:r>
    </w:p>
    <w:p>
      <w:pPr>
        <w:pStyle w:val="Style50"/>
        <w:keepNext/>
        <w:keepLines/>
        <w:widowControl w:val="0"/>
        <w:shd w:val="clear" w:color="auto" w:fill="auto"/>
        <w:bidi w:val="0"/>
        <w:spacing w:before="0" w:after="34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2"/>
      <w:bookmarkEnd w:id="1173"/>
      <w:bookmarkEnd w:id="1175"/>
    </w:p>
    <w:tbl>
      <w:tblPr>
        <w:tblOverlap w:val="never"/>
        <w:jc w:val="center"/>
        <w:tblLayout w:type="fixed"/>
      </w:tblPr>
      <w:tblGrid>
        <w:gridCol w:w="3226"/>
        <w:gridCol w:w="3043"/>
        <w:gridCol w:w="3403"/>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7"/>
                <w:szCs w:val="17"/>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福建华景海洋科技有限公司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177,707,010.20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江苏华景智云工程技术有限公司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47,816,513.73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西门子变压器（武汉）有限公司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杭州杭锅工业锅炉有限公司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6,545,000.44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济南黄台煤气炉有限公司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256,230,827.37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w:t>
            </w:r>
          </w:p>
        </w:tc>
      </w:tr>
    </w:tbl>
    <w:p>
      <w:pPr>
        <w:widowControl w:val="0"/>
        <w:spacing w:after="43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8</w:t>
      </w:r>
      <w:bookmarkEnd w:id="1178"/>
      <w:r>
        <w:rPr>
          <w:color w:val="000000"/>
          <w:spacing w:val="0"/>
          <w:w w:val="100"/>
          <w:position w:val="0"/>
        </w:rPr>
        <w:t>、其他应收款</w:t>
      </w:r>
      <w:bookmarkEnd w:id="1176"/>
      <w:bookmarkEnd w:id="1177"/>
      <w:bookmarkEnd w:id="11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15,389,293.53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15,389,293.53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r>
    </w:tbl>
    <w:p>
      <w:pPr>
        <w:widowControl w:val="0"/>
        <w:spacing w:after="339" w:line="1" w:lineRule="exact"/>
      </w:pPr>
    </w:p>
    <w:p>
      <w:pPr>
        <w:pStyle w:val="Style50"/>
        <w:keepNext/>
        <w:keepLines/>
        <w:widowControl w:val="0"/>
        <w:shd w:val="clear" w:color="auto" w:fill="auto"/>
        <w:bidi w:val="0"/>
        <w:spacing w:before="0" w:after="34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0"/>
      <w:bookmarkEnd w:id="1181"/>
      <w:bookmarkEnd w:id="1183"/>
    </w:p>
    <w:p>
      <w:pPr>
        <w:pStyle w:val="Style87"/>
        <w:keepNext/>
        <w:keepLines/>
        <w:widowControl w:val="0"/>
        <w:shd w:val="clear" w:color="auto" w:fill="auto"/>
        <w:bidi w:val="0"/>
        <w:spacing w:before="0" w:after="34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color w:val="000000"/>
          <w:spacing w:val="0"/>
          <w:w w:val="100"/>
          <w:position w:val="0"/>
        </w:rPr>
        <w:t>）应收利息分类</w:t>
      </w:r>
      <w:bookmarkEnd w:id="1184"/>
      <w:bookmarkEnd w:id="1185"/>
      <w:bookmarkEnd w:id="118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188" w:name="bookmark1188"/>
            <w:r>
              <w:rPr>
                <w:rFonts w:ascii="Times New Roman" w:eastAsia="Times New Roman" w:hAnsi="Times New Roman" w:cs="Times New Roman"/>
                <w:b/>
                <w:bCs/>
                <w:color w:val="000000"/>
                <w:spacing w:val="0"/>
                <w:w w:val="100"/>
                <w:position w:val="0"/>
              </w:rPr>
              <w:t>2</w:t>
            </w:r>
            <w:r>
              <w:rPr>
                <w:b/>
                <w:bCs/>
                <w:color w:val="000000"/>
                <w:spacing w:val="0"/>
                <w:w w:val="100"/>
                <w:position w:val="0"/>
              </w:rPr>
              <w:t>）重要逾期利息</w:t>
            </w:r>
            <w:bookmarkEnd w:id="118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是否发生减值及其判</w:t>
            </w:r>
          </w:p>
        </w:tc>
      </w:tr>
    </w:tbl>
    <w:tbl>
      <w:tblPr>
        <w:tblOverlap w:val="never"/>
        <w:jc w:val="center"/>
        <w:tblLayout w:type="fixed"/>
      </w:tblPr>
      <w:tblGrid>
        <w:gridCol w:w="1925"/>
        <w:gridCol w:w="1910"/>
        <w:gridCol w:w="1915"/>
        <w:gridCol w:w="1915"/>
        <w:gridCol w:w="1925"/>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断依据</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bookmarkStart w:id="1189" w:name="bookmark1189"/>
      <w:r>
        <w:rPr>
          <w:color w:val="000000"/>
          <w:spacing w:val="0"/>
          <w:w w:val="100"/>
          <w:position w:val="0"/>
        </w:rPr>
        <w:t>其</w:t>
      </w:r>
      <w:bookmarkEnd w:id="1189"/>
      <w:r>
        <w:rPr>
          <w:color w:val="000000"/>
          <w:spacing w:val="0"/>
          <w:w w:val="100"/>
          <w:position w:val="0"/>
        </w:rPr>
        <w:t>他说明：</w:t>
      </w:r>
    </w:p>
    <w:p>
      <w:pPr>
        <w:pStyle w:val="Style87"/>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）坏账准备计提情况</w:t>
      </w:r>
      <w:bookmarkEnd w:id="1190"/>
      <w:bookmarkEnd w:id="1191"/>
      <w:bookmarkEnd w:id="11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4"/>
      <w:bookmarkEnd w:id="1195"/>
      <w:bookmarkEnd w:id="1197"/>
    </w:p>
    <w:p>
      <w:pPr>
        <w:pStyle w:val="Style87"/>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）应收股利分类</w:t>
      </w:r>
      <w:bookmarkEnd w:id="1198"/>
      <w:bookmarkEnd w:id="1199"/>
      <w:bookmarkEnd w:id="120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2"/>
      <w:bookmarkEnd w:id="1203"/>
      <w:bookmarkEnd w:id="120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）坏账准备计提情况</w:t>
      </w:r>
      <w:bookmarkEnd w:id="1206"/>
      <w:bookmarkEnd w:id="1207"/>
      <w:bookmarkEnd w:id="1209"/>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0"/>
      <w:bookmarkEnd w:id="1211"/>
      <w:bookmarkEnd w:id="1213"/>
    </w:p>
    <w:p>
      <w:pPr>
        <w:pStyle w:val="Style87"/>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color w:val="000000"/>
          <w:spacing w:val="0"/>
          <w:w w:val="100"/>
          <w:position w:val="0"/>
        </w:rPr>
        <w:t>）其他应收款按款项性质分类情况</w:t>
      </w:r>
      <w:bookmarkEnd w:id="1214"/>
      <w:bookmarkEnd w:id="1215"/>
      <w:bookmarkEnd w:id="121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9,635,986.61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10,498,418.70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2,281,555.65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3,064,015.19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4,647,993.15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567,540.08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38,240.71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17,542,177.02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14,369,161.05</w:t>
            </w:r>
          </w:p>
        </w:tc>
      </w:tr>
    </w:tbl>
    <w:p>
      <w:pPr>
        <w:spacing w:lineRule="exact" w:line="1"/>
        <w:rPr>
          <w:sz w:val="2"/>
          <w:szCs w:val="2"/>
        </w:rPr>
      </w:pPr>
      <w:r>
        <w:br w:type="page"/>
      </w:r>
    </w:p>
    <w:p>
      <w:pPr>
        <w:pStyle w:val="Style87"/>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color w:val="000000"/>
          <w:spacing w:val="0"/>
          <w:w w:val="100"/>
          <w:position w:val="0"/>
        </w:rPr>
        <w:t>）坏账准备计提情况</w:t>
      </w:r>
      <w:bookmarkEnd w:id="1218"/>
      <w:bookmarkEnd w:id="1219"/>
      <w:bookmarkEnd w:id="1221"/>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1,371,821.42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1,371,821.42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-60,503.96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841,566.03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841,566.03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2,152,883.49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2,152,883.49</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12,589,390.12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2,782,148.73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1,029,013.33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1,141,624.84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795,742.51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17,542,177.02</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color w:val="000000"/>
          <w:spacing w:val="0"/>
          <w:w w:val="100"/>
          <w:position w:val="0"/>
        </w:rPr>
        <w:t>）本期计提、收回或转回的坏账准备情况</w:t>
      </w:r>
      <w:bookmarkEnd w:id="1222"/>
      <w:bookmarkEnd w:id="1223"/>
      <w:bookmarkEnd w:id="122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1,371,821.4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-60,503.96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2,152,883.49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1,371,821.4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-60,503.96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841,566.03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2,152,883.49</w:t>
            </w:r>
          </w:p>
        </w:tc>
      </w:tr>
    </w:tbl>
    <w:p>
      <w:pPr>
        <w:sectPr>
          <w:footnotePr>
            <w:pos w:val="pageBottom"/>
            <w:numFmt w:val="decimal"/>
            <w:numRestart w:val="continuous"/>
          </w:footnotePr>
          <w:pgSz w:w="11900" w:h="16840"/>
          <w:pgMar w:top="1536" w:right="1073" w:bottom="1389" w:left="1064"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color w:val="000000"/>
          <w:spacing w:val="0"/>
          <w:w w:val="100"/>
          <w:position w:val="0"/>
        </w:rPr>
        <w:t>）本期实际核销的其他应收款情况</w:t>
      </w:r>
      <w:bookmarkEnd w:id="1226"/>
      <w:bookmarkEnd w:id="1227"/>
      <w:bookmarkEnd w:id="12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315" w:val="left"/>
                <w:tab w:pos="3182"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5</w:t>
      </w:r>
      <w:bookmarkEnd w:id="1232"/>
      <w:r>
        <w:rPr>
          <w:color w:val="000000"/>
          <w:spacing w:val="0"/>
          <w:w w:val="100"/>
          <w:position w:val="0"/>
        </w:rPr>
        <w:t>）按欠款方归集的期末余额前五名的其他应收款情况</w:t>
      </w:r>
      <w:bookmarkEnd w:id="1230"/>
      <w:bookmarkEnd w:id="1231"/>
      <w:bookmarkEnd w:id="123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福州高新区投资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乳山市夏村镇财 政经管统计服务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中华人民共和国 福州海关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国网福建招标有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中机国能电力工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475,000.00</w:t>
            </w:r>
          </w:p>
        </w:tc>
      </w:tr>
    </w:tbl>
    <w:p>
      <w:pPr>
        <w:widowControl w:val="0"/>
        <w:spacing w:after="359" w:line="1" w:lineRule="exact"/>
      </w:pPr>
    </w:p>
    <w:p>
      <w:pPr>
        <w:pStyle w:val="Style87"/>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6</w:t>
      </w:r>
      <w:bookmarkEnd w:id="1236"/>
      <w:r>
        <w:rPr>
          <w:color w:val="000000"/>
          <w:spacing w:val="0"/>
          <w:w w:val="100"/>
          <w:position w:val="0"/>
        </w:rPr>
        <w:t>）涉及政府补助的应收款项</w:t>
      </w:r>
      <w:bookmarkEnd w:id="1234"/>
      <w:bookmarkEnd w:id="1235"/>
      <w:bookmarkEnd w:id="123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 额及依据</w:t>
            </w:r>
          </w:p>
        </w:tc>
      </w:tr>
    </w:tbl>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87"/>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7</w:t>
      </w:r>
      <w:bookmarkEnd w:id="1240"/>
      <w:r>
        <w:rPr>
          <w:color w:val="000000"/>
          <w:spacing w:val="0"/>
          <w:w w:val="100"/>
          <w:position w:val="0"/>
        </w:rPr>
        <w:t>）因金融资产转移而终止确认的其他应收款</w:t>
      </w:r>
      <w:bookmarkEnd w:id="1238"/>
      <w:bookmarkEnd w:id="1239"/>
      <w:bookmarkEnd w:id="1241"/>
    </w:p>
    <w:p>
      <w:pPr>
        <w:pStyle w:val="Style87"/>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8</w:t>
      </w:r>
      <w:bookmarkEnd w:id="1244"/>
      <w:r>
        <w:rPr>
          <w:color w:val="000000"/>
          <w:spacing w:val="0"/>
          <w:w w:val="100"/>
          <w:position w:val="0"/>
        </w:rPr>
        <w:t>）转移其他应收款且继续涉入形成的资产、负债金额</w:t>
      </w:r>
      <w:bookmarkEnd w:id="1242"/>
      <w:bookmarkEnd w:id="1243"/>
      <w:bookmarkEnd w:id="124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9</w:t>
      </w:r>
      <w:bookmarkEnd w:id="1248"/>
      <w:r>
        <w:rPr>
          <w:color w:val="000000"/>
          <w:spacing w:val="0"/>
          <w:w w:val="100"/>
          <w:position w:val="0"/>
        </w:rPr>
        <w:t>、存货</w:t>
      </w:r>
      <w:bookmarkEnd w:id="1246"/>
      <w:bookmarkEnd w:id="1247"/>
      <w:bookmarkEnd w:id="1249"/>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0"/>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0"/>
      <w:bookmarkEnd w:id="1251"/>
      <w:bookmarkEnd w:id="12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156,599,373.71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156,599,373.71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147,757,097.07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147,757,097.07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156,614,174.98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156,614,174.98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4"/>
      <w:bookmarkEnd w:id="1255"/>
      <w:bookmarkEnd w:id="125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50"/>
        <w:keepNext/>
        <w:keepLines/>
        <w:widowControl w:val="0"/>
        <w:shd w:val="clear" w:color="auto" w:fill="auto"/>
        <w:tabs>
          <w:tab w:pos="493" w:val="left"/>
        </w:tabs>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8"/>
      <w:bookmarkEnd w:id="1259"/>
      <w:bookmarkEnd w:id="1261"/>
    </w:p>
    <w:p>
      <w:pPr>
        <w:pStyle w:val="Style50"/>
        <w:keepNext/>
        <w:keepLines/>
        <w:widowControl w:val="0"/>
        <w:shd w:val="clear" w:color="auto" w:fill="auto"/>
        <w:tabs>
          <w:tab w:pos="493" w:val="left"/>
        </w:tabs>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62"/>
      <w:bookmarkEnd w:id="1263"/>
      <w:bookmarkEnd w:id="1265"/>
    </w:p>
    <w:p>
      <w:pPr>
        <w:pStyle w:val="Style32"/>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6"/>
      <w:bookmarkEnd w:id="1267"/>
      <w:bookmarkEnd w:id="126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建造合同形成的已完工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689,074,781.</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6,890,747.82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682,184,033.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576,362,222.1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5,272,600.44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263,683.85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5,008,916.59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4,035,932.77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311,395.64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3,724,537.13</w:t>
            </w:r>
          </w:p>
        </w:tc>
      </w:tr>
    </w:tbl>
    <w:p>
      <w:pPr>
        <w:sectPr>
          <w:footnotePr>
            <w:pos w:val="pageBottom"/>
            <w:numFmt w:val="decimal"/>
            <w:numRestart w:val="continuous"/>
          </w:footnotePr>
          <w:pgSz w:w="11900" w:h="16840"/>
          <w:pgMar w:top="985" w:right="1071" w:bottom="1572" w:left="1066" w:header="0" w:footer="3" w:gutter="0"/>
          <w:cols w:space="720"/>
          <w:noEndnote/>
          <w:rtlGutter w:val="0"/>
          <w:docGrid w:linePitch="360"/>
        </w:sectPr>
      </w:pPr>
    </w:p>
    <w:tbl>
      <w:tblPr>
        <w:tblOverlap w:val="never"/>
        <w:jc w:val="center"/>
        <w:tblLayout w:type="fixed"/>
      </w:tblPr>
      <w:tblGrid>
        <w:gridCol w:w="2141"/>
        <w:gridCol w:w="1195"/>
        <w:gridCol w:w="1330"/>
        <w:gridCol w:w="1195"/>
        <w:gridCol w:w="1195"/>
        <w:gridCol w:w="1195"/>
        <w:gridCol w:w="13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694,347,382.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7,154,431.67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687,192,950.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580,398,154.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311,395.64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580,086,759.2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合同资产的账面价值在本期内发生的重大变动金额和原因：</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建造合同形成的已完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6,890,747.82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6,843,036.03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0"/>
      <w:bookmarkEnd w:id="1271"/>
      <w:bookmarkEnd w:id="1273"/>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4"/>
      <w:bookmarkEnd w:id="1275"/>
      <w:bookmarkEnd w:id="127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8"/>
      <w:bookmarkEnd w:id="1279"/>
      <w:bookmarkEnd w:id="128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待认证进项税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2,848,807.03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2,621,627.58</w:t>
            </w:r>
          </w:p>
        </w:tc>
      </w:tr>
    </w:tbl>
    <w:p>
      <w:pPr>
        <w:sectPr>
          <w:footnotePr>
            <w:pos w:val="pageBottom"/>
            <w:numFmt w:val="decimal"/>
            <w:numRestart w:val="continuous"/>
          </w:footnotePr>
          <w:pgSz w:w="11900" w:h="16840"/>
          <w:pgMar w:top="1537" w:right="1109" w:bottom="1537" w:left="1109" w:header="0" w:footer="3" w:gutter="0"/>
          <w:cols w:space="720"/>
          <w:noEndnote/>
          <w:rtlGutter w:val="0"/>
          <w:docGrid w:linePitch="360"/>
        </w:sectPr>
      </w:pPr>
    </w:p>
    <w:tbl>
      <w:tblPr>
        <w:tblOverlap w:val="never"/>
        <w:jc w:val="center"/>
        <w:tblLayout w:type="fixed"/>
      </w:tblPr>
      <w:tblGrid>
        <w:gridCol w:w="3221"/>
        <w:gridCol w:w="3192"/>
        <w:gridCol w:w="3293"/>
      </w:tblGrid>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永福</w:t>
            </w:r>
          </w:p>
          <w:p>
            <w:pPr>
              <w:pStyle w:val="Style2"/>
              <w:keepNext w:val="0"/>
              <w:keepLines w:val="0"/>
              <w:widowControl w:val="0"/>
              <w:shd w:val="clear" w:color="auto" w:fill="auto"/>
              <w:bidi w:val="0"/>
              <w:spacing w:before="0" w:after="0" w:line="209" w:lineRule="auto"/>
              <w:ind w:left="0" w:right="0" w:firstLine="720"/>
              <w:jc w:val="left"/>
              <w:rPr>
                <w:sz w:val="11"/>
                <w:szCs w:val="11"/>
              </w:rPr>
            </w:pPr>
            <w:r>
              <w:rPr>
                <w:rFonts w:ascii="Arial" w:eastAsia="Arial" w:hAnsi="Arial" w:cs="Arial"/>
                <w:b/>
                <w:bCs/>
                <w:color w:val="1C1C1C"/>
                <w:spacing w:val="0"/>
                <w:w w:val="100"/>
                <w:position w:val="0"/>
                <w:sz w:val="11"/>
                <w:szCs w:val="11"/>
              </w:rPr>
              <w:t>YongFu</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31,103,550.27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845,775.03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预付发行费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875,471.70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35,159,838.26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3,521,005.19</w:t>
            </w:r>
          </w:p>
        </w:tc>
      </w:tr>
      <w:tr>
        <w:trPr>
          <w:trHeight w:val="31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tc>
      </w:tr>
    </w:tbl>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2"/>
      <w:bookmarkEnd w:id="1283"/>
      <w:bookmarkEnd w:id="1285"/>
    </w:p>
    <w:tbl>
      <w:tblPr>
        <w:tblOverlap w:val="never"/>
        <w:jc w:val="center"/>
        <w:tblLayout w:type="fixed"/>
      </w:tblPr>
      <w:tblGrid>
        <w:gridCol w:w="1378"/>
        <w:gridCol w:w="547"/>
        <w:gridCol w:w="1651"/>
        <w:gridCol w:w="1901"/>
        <w:gridCol w:w="221"/>
        <w:gridCol w:w="2054"/>
        <w:gridCol w:w="1891"/>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339" w:val="left"/>
                <w:tab w:pos="2722" w:val="left"/>
              </w:tabs>
              <w:bidi w:val="0"/>
              <w:spacing w:before="0" w:after="0" w:line="240" w:lineRule="auto"/>
              <w:ind w:left="0" w:right="0" w:firstLine="0"/>
              <w:jc w:val="center"/>
              <w:rPr>
                <w:sz w:val="17"/>
                <w:szCs w:val="17"/>
              </w:rPr>
            </w:pPr>
            <w:r>
              <w:rPr>
                <w:color w:val="000000"/>
                <w:spacing w:val="0"/>
                <w:w w:val="100"/>
                <w:position w:val="0"/>
                <w:sz w:val="17"/>
                <w:szCs w:val="17"/>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39" w:val="left"/>
                <w:tab w:pos="2702" w:val="left"/>
              </w:tabs>
              <w:bidi w:val="0"/>
              <w:spacing w:before="0" w:after="0" w:line="240" w:lineRule="auto"/>
              <w:ind w:left="0" w:right="0" w:firstLine="0"/>
              <w:jc w:val="center"/>
              <w:rPr>
                <w:sz w:val="17"/>
                <w:szCs w:val="17"/>
              </w:rPr>
            </w:pPr>
            <w:r>
              <w:rPr>
                <w:color w:val="000000"/>
                <w:spacing w:val="0"/>
                <w:w w:val="100"/>
                <w:position w:val="0"/>
                <w:sz w:val="17"/>
                <w:szCs w:val="17"/>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重要的债权投资</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073" w:val="left"/>
                <w:tab w:pos="3079" w:val="left"/>
              </w:tabs>
              <w:bidi w:val="0"/>
              <w:spacing w:before="0" w:after="0" w:line="240" w:lineRule="auto"/>
              <w:ind w:left="0" w:right="0" w:firstLine="300"/>
              <w:jc w:val="left"/>
              <w:rPr>
                <w:sz w:val="17"/>
                <w:szCs w:val="17"/>
              </w:rPr>
            </w:pPr>
            <w:r>
              <w:rPr>
                <w:color w:val="000000"/>
                <w:spacing w:val="0"/>
                <w:w w:val="100"/>
                <w:position w:val="0"/>
                <w:sz w:val="17"/>
                <w:szCs w:val="17"/>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center"/>
              <w:rPr>
                <w:sz w:val="17"/>
                <w:szCs w:val="17"/>
              </w:rPr>
            </w:pPr>
            <w:r>
              <w:rPr>
                <w:color w:val="000000"/>
                <w:spacing w:val="0"/>
                <w:w w:val="100"/>
                <w:position w:val="0"/>
                <w:sz w:val="17"/>
                <w:szCs w:val="17"/>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tabs>
                <w:tab w:pos="1042" w:val="left"/>
              </w:tabs>
              <w:bidi w:val="0"/>
              <w:spacing w:before="0" w:after="0" w:line="240" w:lineRule="auto"/>
              <w:ind w:left="0" w:right="0" w:firstLine="0"/>
              <w:jc w:val="left"/>
              <w:rPr>
                <w:sz w:val="17"/>
                <w:szCs w:val="17"/>
              </w:rPr>
            </w:pPr>
            <w:r>
              <w:rPr>
                <w:color w:val="000000"/>
                <w:spacing w:val="0"/>
                <w:w w:val="100"/>
                <w:position w:val="0"/>
                <w:sz w:val="17"/>
                <w:szCs w:val="17"/>
              </w:rPr>
              <w:t>实际利率</w:t>
              <w:tab/>
              <w:t>到期日</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减值准备计提情况</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6"/>
      <w:bookmarkEnd w:id="1287"/>
      <w:bookmarkEnd w:id="12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619"/>
        <w:gridCol w:w="413"/>
        <w:gridCol w:w="1037"/>
        <w:gridCol w:w="1032"/>
        <w:gridCol w:w="1037"/>
        <w:gridCol w:w="307"/>
        <w:gridCol w:w="725"/>
        <w:gridCol w:w="1032"/>
        <w:gridCol w:w="1051"/>
        <w:gridCol w:w="108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重要的其他债权投资</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 w:pos="2779" w:val="left"/>
              </w:tabs>
              <w:bidi w:val="0"/>
              <w:spacing w:before="0" w:after="0" w:line="240" w:lineRule="auto"/>
              <w:ind w:left="0" w:right="0" w:firstLine="0"/>
              <w:jc w:val="center"/>
              <w:rPr>
                <w:sz w:val="17"/>
                <w:szCs w:val="17"/>
              </w:rPr>
            </w:pPr>
            <w:r>
              <w:rPr>
                <w:color w:val="000000"/>
                <w:spacing w:val="0"/>
                <w:w w:val="100"/>
                <w:position w:val="0"/>
                <w:sz w:val="17"/>
                <w:szCs w:val="17"/>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right"/>
              <w:rPr>
                <w:sz w:val="17"/>
                <w:szCs w:val="17"/>
              </w:rPr>
            </w:pPr>
            <w:r>
              <w:rPr>
                <w:color w:val="000000"/>
                <w:spacing w:val="0"/>
                <w:w w:val="100"/>
                <w:position w:val="0"/>
                <w:sz w:val="17"/>
                <w:szCs w:val="17"/>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到期日</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28" w:right="1100" w:bottom="1201" w:left="1095" w:header="0" w:footer="3" w:gutter="0"/>
          <w:cols w:space="720"/>
          <w:noEndnote/>
          <w:rtlGutter w:val="0"/>
          <w:docGrid w:linePitch="360"/>
        </w:sectPr>
      </w:pPr>
      <w:r>
        <w:rPr>
          <w:color w:val="000000"/>
          <w:spacing w:val="0"/>
          <w:w w:val="100"/>
          <w:position w:val="0"/>
        </w:rPr>
        <w:t>减值准备计提情况</w:t>
      </w:r>
    </w:p>
    <w:p>
      <w:pPr>
        <w:pStyle w:val="Style18"/>
        <w:keepNext w:val="0"/>
        <w:keepLines w:val="0"/>
        <w:widowControl w:val="0"/>
        <w:shd w:val="clear" w:color="auto" w:fill="auto"/>
        <w:bidi w:val="0"/>
        <w:spacing w:before="10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0"/>
      <w:bookmarkEnd w:id="1291"/>
      <w:bookmarkEnd w:id="1293"/>
    </w:p>
    <w:p>
      <w:pPr>
        <w:pStyle w:val="Style50"/>
        <w:keepNext/>
        <w:keepLines/>
        <w:widowControl w:val="0"/>
        <w:shd w:val="clear" w:color="auto" w:fill="auto"/>
        <w:bidi w:val="0"/>
        <w:spacing w:before="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4"/>
      <w:bookmarkEnd w:id="1295"/>
      <w:bookmarkEnd w:id="129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tabs>
          <w:tab w:pos="493" w:val="left"/>
        </w:tabs>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8"/>
      <w:bookmarkEnd w:id="1299"/>
      <w:bookmarkEnd w:id="1301"/>
    </w:p>
    <w:p>
      <w:pPr>
        <w:pStyle w:val="Style50"/>
        <w:keepNext/>
        <w:keepLines/>
        <w:widowControl w:val="0"/>
        <w:shd w:val="clear" w:color="auto" w:fill="auto"/>
        <w:tabs>
          <w:tab w:pos="493" w:val="left"/>
        </w:tabs>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2"/>
      <w:bookmarkEnd w:id="1303"/>
      <w:bookmarkEnd w:id="130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6"/>
      <w:bookmarkEnd w:id="1307"/>
      <w:bookmarkEnd w:id="130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下确认</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甘肃电 通电力 工程设 计咨询</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5,006,6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福建海 电运维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28,368,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56,286,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HYDR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1,102,1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945,44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时代永 福科技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42,974,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 xml:space="preserve">42,633, </w:t>
            </w:r>
            <w:r>
              <w:rPr>
                <w:rFonts w:ascii="Times New Roman" w:eastAsia="Times New Roman" w:hAnsi="Times New Roman" w:cs="Times New Roman"/>
                <w:color w:val="000000"/>
                <w:spacing w:val="0"/>
                <w:w w:val="100"/>
                <w:position w:val="0"/>
                <w:sz w:val="18"/>
                <w:szCs w:val="18"/>
              </w:rPr>
              <w:t>063.92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永福汇 能科技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545,32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34,477, </w:t>
            </w:r>
            <w:r>
              <w:rPr>
                <w:rFonts w:ascii="Times New Roman" w:eastAsia="Times New Roman" w:hAnsi="Times New Roman" w:cs="Times New Roman"/>
                <w:color w:val="000000"/>
                <w:spacing w:val="0"/>
                <w:w w:val="100"/>
                <w:position w:val="0"/>
                <w:sz w:val="18"/>
                <w:szCs w:val="18"/>
              </w:rPr>
              <w:t>005.20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44,670, </w:t>
            </w:r>
            <w:r>
              <w:rPr>
                <w:rFonts w:ascii="Times New Roman" w:eastAsia="Times New Roman" w:hAnsi="Times New Roman" w:cs="Times New Roman"/>
                <w:color w:val="000000"/>
                <w:spacing w:val="0"/>
                <w:w w:val="100"/>
                <w:position w:val="0"/>
                <w:sz w:val="18"/>
                <w:szCs w:val="18"/>
              </w:rPr>
              <w:t>097.86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19,433, </w:t>
            </w:r>
            <w:r>
              <w:rPr>
                <w:rFonts w:ascii="Times New Roman" w:eastAsia="Times New Roman" w:hAnsi="Times New Roman" w:cs="Times New Roman"/>
                <w:color w:val="000000"/>
                <w:spacing w:val="0"/>
                <w:w w:val="100"/>
                <w:position w:val="0"/>
                <w:sz w:val="18"/>
                <w:szCs w:val="18"/>
              </w:rPr>
              <w:t>056.15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34,477, </w:t>
            </w:r>
            <w:r>
              <w:rPr>
                <w:rFonts w:ascii="Times New Roman" w:eastAsia="Times New Roman" w:hAnsi="Times New Roman" w:cs="Times New Roman"/>
                <w:color w:val="000000"/>
                <w:spacing w:val="0"/>
                <w:w w:val="100"/>
                <w:position w:val="0"/>
                <w:sz w:val="18"/>
                <w:szCs w:val="18"/>
              </w:rPr>
              <w:t>005.20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44,670, </w:t>
            </w:r>
            <w:r>
              <w:rPr>
                <w:rFonts w:ascii="Times New Roman" w:eastAsia="Times New Roman" w:hAnsi="Times New Roman" w:cs="Times New Roman"/>
                <w:color w:val="000000"/>
                <w:spacing w:val="0"/>
                <w:w w:val="100"/>
                <w:position w:val="0"/>
                <w:sz w:val="18"/>
                <w:szCs w:val="18"/>
              </w:rPr>
              <w:t>097.86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19,433, </w:t>
            </w:r>
            <w:r>
              <w:rPr>
                <w:rFonts w:ascii="Times New Roman" w:eastAsia="Times New Roman" w:hAnsi="Times New Roman" w:cs="Times New Roman"/>
                <w:color w:val="000000"/>
                <w:spacing w:val="0"/>
                <w:w w:val="100"/>
                <w:position w:val="0"/>
                <w:sz w:val="18"/>
                <w:szCs w:val="18"/>
              </w:rPr>
              <w:t>056.15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0"/>
      <w:bookmarkEnd w:id="1311"/>
      <w:bookmarkEnd w:id="131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福建省新能海上风电研发中心有限公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2,589,149.00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2,881,017.25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福建中青集团有限公司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6,706,301.38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6,106,301.37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北京丝路国合规划咨询有限责任公司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一道新能源科技（衢州）有限公司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北京索英电气技术有限公司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上海快卜新能源科技有限公司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福建金润福电力有限公司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61,050,260.33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10,987,318.62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941"/>
        <w:gridCol w:w="1200"/>
        <w:gridCol w:w="1728"/>
        <w:gridCol w:w="1003"/>
        <w:gridCol w:w="1637"/>
        <w:gridCol w:w="110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确认的股 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收益转入 留存收益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收益转入 留存收益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福建省新能海上风电 研发中心有限公司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-1,210,851.00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福建中青集团有限公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1,706,301.38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北京丝路国合规划咨 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一道新能源科技（衢 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北京索英电气技术有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上海快卜新能源科技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公司战略计划长 期持有该项资产</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福建金润福电力有限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4"/>
      <w:bookmarkEnd w:id="1315"/>
      <w:bookmarkEnd w:id="131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8"/>
      <w:bookmarkEnd w:id="1319"/>
      <w:bookmarkEnd w:id="1321"/>
    </w:p>
    <w:p>
      <w:pPr>
        <w:pStyle w:val="Style50"/>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2"/>
      <w:bookmarkEnd w:id="1323"/>
      <w:bookmarkEnd w:id="1325"/>
    </w:p>
    <w:p>
      <w:pPr>
        <w:pStyle w:val="Style18"/>
        <w:keepNext w:val="0"/>
        <w:keepLines w:val="0"/>
        <w:widowControl w:val="0"/>
        <w:shd w:val="clear" w:color="auto" w:fill="auto"/>
        <w:bidi w:val="0"/>
        <w:spacing w:before="0" w:after="38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5,361,034.50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5,361,034.50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1,443,355.44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1,443,355.44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1,443,355.44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1,443,355.44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6,804,389.94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6,804,389.94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986,765.40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986,765.40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221,341.41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221,341.41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93,712.69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）固定资产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127,628.72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127,628.72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1,208,106.81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1,208,106.81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5,596,283.13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5,596,283.13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4,374,269.10</w:t>
            </w:r>
          </w:p>
        </w:tc>
      </w:tr>
    </w:tbl>
    <w:p>
      <w:pPr>
        <w:widowControl w:val="0"/>
        <w:spacing w:after="359" w:line="1" w:lineRule="exact"/>
      </w:pPr>
    </w:p>
    <w:p>
      <w:pPr>
        <w:pStyle w:val="Style50"/>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采用公允价值计量模式的投资性房地产</w:t>
      </w:r>
      <w:bookmarkEnd w:id="1326"/>
      <w:bookmarkEnd w:id="1327"/>
      <w:bookmarkEnd w:id="132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未办妥产权证书的投资性房地产情况</w:t>
      </w:r>
      <w:bookmarkEnd w:id="1330"/>
      <w:bookmarkEnd w:id="1331"/>
      <w:bookmarkEnd w:id="133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4"/>
      <w:bookmarkEnd w:id="1335"/>
      <w:bookmarkEnd w:id="133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229,974,364.13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229,974,364.13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r>
    </w:tbl>
    <w:p>
      <w:pPr>
        <w:widowControl w:val="0"/>
        <w:spacing w:after="359" w:line="1" w:lineRule="exact"/>
      </w:pPr>
    </w:p>
    <w:p>
      <w:pPr>
        <w:pStyle w:val="Style50"/>
        <w:keepNext/>
        <w:keepLines/>
        <w:widowControl w:val="0"/>
        <w:numPr>
          <w:ilvl w:val="0"/>
          <w:numId w:val="81"/>
        </w:numPr>
        <w:shd w:val="clear" w:color="auto" w:fill="auto"/>
        <w:bidi w:val="0"/>
        <w:spacing w:before="0" w:after="360" w:line="240" w:lineRule="auto"/>
        <w:ind w:left="0" w:right="0" w:firstLine="0"/>
        <w:jc w:val="both"/>
      </w:pPr>
      <w:bookmarkStart w:id="1338" w:name="bookmark1338"/>
      <w:bookmarkStart w:id="1339" w:name="bookmark1339"/>
      <w:bookmarkStart w:id="1340" w:name="bookmark1340"/>
      <w:bookmarkStart w:id="1341" w:name="bookmark1341"/>
      <w:bookmarkEnd w:id="1340"/>
      <w:r>
        <w:rPr>
          <w:color w:val="000000"/>
          <w:spacing w:val="0"/>
          <w:w w:val="100"/>
          <w:position w:val="0"/>
        </w:rPr>
        <w:t>固定资产情况</w:t>
      </w:r>
      <w:bookmarkEnd w:id="1338"/>
      <w:bookmarkEnd w:id="1339"/>
      <w:bookmarkEnd w:id="134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房屋及建筑 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固定资产装 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一、账面原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233,237,164.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9,904,079.27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11,302,415.0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27,755,024.3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15,066,871.6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27,877,915.0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325,143,470.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1,118,893.85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1,687,239.75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10,906,567.0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1,390,906.42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15,743,641.1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1,118,893.85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1,653,765.48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10,879,069.9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14,278,567.1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 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1,390,906.42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1,390,906.42</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74,167.53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）投资性 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1,443,355.44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536,945.63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2,643,719.41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18,623.22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4,677,130.88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2,263,099.80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2,422,721.43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 房地产转出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1,443,355.44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1,443,355.44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394,025.00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380,619.61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811,054.01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231,793,809.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10,988,485.9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12,452,709.1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36,017,871.9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15,688,282.4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29,268,821.4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336,209,980.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二、累计折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44,993,835.1</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4,045,275.29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7,409,912.81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19,425,699.9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12,343,313.3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6,309,778.45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94,527,814.9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5,830,643.15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938,637.96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951,763.39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2,536,281.31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3,803,834.76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14,775,212.1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5,830,643.15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938,637.96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951,763.39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2,536,281.31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3,803,834.76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14,775,212.1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 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127,628.72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412,701.06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2,477,028.38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17,289.97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3,067,411.04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38,377.31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2,146,574.31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2,200,817.57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 房地产转出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127,628.72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127,628.72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374,323.75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330,454.07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738,964.75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50,696,849.5</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4,951,150.34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7,948,975.14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19,484,952.8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13,040,074.9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10,113,613.2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106,235,616.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四、账面价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181,096,959.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6,037,335.60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4,503,733.99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16,532,919.0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2,648,207.55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19,155,208.2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229,974,364.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188,243,329.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5,858,803.98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3,892,502.20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8,329,324.36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2,723,558.34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21,568,136.6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230,615,655.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2"/>
      <w:bookmarkEnd w:id="1343"/>
      <w:bookmarkEnd w:id="134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46"/>
      <w:bookmarkEnd w:id="1347"/>
      <w:bookmarkEnd w:id="134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50"/>
      <w:bookmarkEnd w:id="1351"/>
      <w:bookmarkEnd w:id="135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54"/>
      <w:bookmarkEnd w:id="1355"/>
      <w:bookmarkEnd w:id="135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ectPr>
          <w:footnotePr>
            <w:pos w:val="pageBottom"/>
            <w:numFmt w:val="decimal"/>
            <w:numRestart w:val="continuous"/>
          </w:footnotePr>
          <w:pgSz w:w="11900" w:h="16840"/>
          <w:pgMar w:top="1545" w:right="1102" w:bottom="1471" w:left="1087"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2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8"/>
      <w:bookmarkEnd w:id="1359"/>
      <w:bookmarkEnd w:id="136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171,399,554.51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1,375,244.55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172,774,799.06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2"/>
      <w:bookmarkEnd w:id="1363"/>
      <w:bookmarkEnd w:id="13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永福研发中心 综合智慧能源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259,933.63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259,933.63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攀枝花三能新 能源有限公司 钒钛高新区综 合节能减排项 目一期工程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171,139,620.88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171,139,620.88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171,399,554.51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171,399,554.51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6"/>
      <w:bookmarkEnd w:id="1367"/>
      <w:bookmarkEnd w:id="1369"/>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099"/>
        <w:gridCol w:w="826"/>
        <w:gridCol w:w="662"/>
        <w:gridCol w:w="686"/>
        <w:gridCol w:w="691"/>
        <w:gridCol w:w="629"/>
        <w:gridCol w:w="562"/>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增加</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末</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余</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工程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攀枝花三 能新能源 有限公司 钒钛高新 区综合节</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能减排项 目一期工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39,62</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1099"/>
        <w:gridCol w:w="826"/>
        <w:gridCol w:w="662"/>
        <w:gridCol w:w="686"/>
        <w:gridCol w:w="691"/>
        <w:gridCol w:w="629"/>
        <w:gridCol w:w="562"/>
        <w:gridCol w:w="739"/>
        <w:gridCol w:w="734"/>
        <w:gridCol w:w="734"/>
        <w:gridCol w:w="739"/>
        <w:gridCol w:w="734"/>
        <w:gridCol w:w="744"/>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39,62</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0"/>
        <w:keepNext/>
        <w:keepLines/>
        <w:widowControl w:val="0"/>
        <w:numPr>
          <w:ilvl w:val="0"/>
          <w:numId w:val="83"/>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本期计提在建工程减值准备情况</w:t>
      </w:r>
      <w:bookmarkEnd w:id="1370"/>
      <w:bookmarkEnd w:id="1371"/>
      <w:bookmarkEnd w:id="13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83"/>
        </w:numPr>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工程物资</w:t>
      </w:r>
      <w:bookmarkEnd w:id="1374"/>
      <w:bookmarkEnd w:id="1375"/>
      <w:bookmarkEnd w:id="137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1,375,244.55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1,375,244.55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1,375,244.55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1,375,244.55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8"/>
      <w:bookmarkEnd w:id="1379"/>
      <w:bookmarkEnd w:id="1381"/>
    </w:p>
    <w:p>
      <w:pPr>
        <w:pStyle w:val="Style50"/>
        <w:keepNext/>
        <w:keepLines/>
        <w:widowControl w:val="0"/>
        <w:numPr>
          <w:ilvl w:val="0"/>
          <w:numId w:val="85"/>
        </w:numPr>
        <w:shd w:val="clear" w:color="auto" w:fill="auto"/>
        <w:tabs>
          <w:tab w:pos="493"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采用成本计量模式的生产性生物资产</w:t>
      </w:r>
      <w:bookmarkEnd w:id="1382"/>
      <w:bookmarkEnd w:id="1383"/>
      <w:bookmarkEnd w:id="138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numPr>
          <w:ilvl w:val="0"/>
          <w:numId w:val="85"/>
        </w:numPr>
        <w:shd w:val="clear" w:color="auto" w:fill="auto"/>
        <w:tabs>
          <w:tab w:pos="493"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采用公允价值计量模式的生产性生物资产</w:t>
      </w:r>
      <w:bookmarkEnd w:id="1386"/>
      <w:bookmarkEnd w:id="1387"/>
      <w:bookmarkEnd w:id="138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0"/>
      <w:bookmarkEnd w:id="1391"/>
      <w:bookmarkEnd w:id="13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4"/>
      <w:bookmarkEnd w:id="1395"/>
      <w:bookmarkEnd w:id="139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4,960,470.85</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1,161,752.35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3,798,718.50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3,798,718.50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4,960,470.85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8"/>
      <w:bookmarkEnd w:id="1399"/>
      <w:bookmarkEnd w:id="1401"/>
    </w:p>
    <w:p>
      <w:pPr>
        <w:pStyle w:val="Style50"/>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2"/>
      <w:bookmarkEnd w:id="1403"/>
      <w:bookmarkEnd w:id="14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土地使用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特许权使 用费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设计软件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9,962,188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2,648,400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10,088,70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28,467,39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65,995,70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期增加金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5,488,131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3,277,226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4,407,817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13,183,48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3,277,226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4,407,817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7,695,358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5,488,131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64,686.02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 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15,450,31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2,648,400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10,088,70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2,510,905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16,720,15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79,114,51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二、累计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2,042,248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169,612.5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173,927.9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31,133,14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期增加金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217,102.2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169,049.8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217,102.2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169,049.8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期减少金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64,686.02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64,686.02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64,686.02</w:t>
            </w:r>
          </w:p>
        </w:tc>
      </w:tr>
    </w:tbl>
    <w:p>
      <w:pPr>
        <w:sectPr>
          <w:footnotePr>
            <w:pos w:val="pageBottom"/>
            <w:numFmt w:val="decimal"/>
            <w:numRestart w:val="continuous"/>
          </w:footnotePr>
          <w:pgSz w:w="11900" w:h="16840"/>
          <w:pgMar w:top="1532" w:right="1119" w:bottom="1403" w:left="1094" w:header="0" w:footer="3" w:gutter="0"/>
          <w:cols w:space="720"/>
          <w:noEndnote/>
          <w:rtlGutter w:val="0"/>
          <w:docGrid w:linePitch="360"/>
        </w:sectPr>
      </w:pPr>
    </w:p>
    <w:tbl>
      <w:tblPr>
        <w:tblOverlap w:val="never"/>
        <w:jc w:val="center"/>
        <w:tblLayout w:type="fixed"/>
      </w:tblPr>
      <w:tblGrid>
        <w:gridCol w:w="965"/>
        <w:gridCol w:w="960"/>
        <w:gridCol w:w="955"/>
        <w:gridCol w:w="955"/>
        <w:gridCol w:w="960"/>
        <w:gridCol w:w="955"/>
        <w:gridCol w:w="955"/>
        <w:gridCol w:w="960"/>
        <w:gridCol w:w="955"/>
        <w:gridCol w:w="97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2,259,351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338,662.3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7,775,458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37,515,72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 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期增加金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553,019.6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553,019.6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 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553,019.6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末账面价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13,190,96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1,756,717</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8,944,694</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初账面价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7,919,939</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2,478,787</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8,860,139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6,727,787</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6"/>
      <w:bookmarkEnd w:id="1407"/>
      <w:bookmarkEnd w:id="140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0"/>
      <w:bookmarkEnd w:id="1411"/>
      <w:bookmarkEnd w:id="1413"/>
      <w:r>
        <w:br w:type="page"/>
      </w:r>
    </w:p>
    <w:tbl>
      <w:tblPr>
        <w:tblOverlap w:val="never"/>
        <w:jc w:val="center"/>
        <w:tblLayout w:type="fixed"/>
      </w:tblPr>
      <w:tblGrid>
        <w:gridCol w:w="1094"/>
        <w:gridCol w:w="1066"/>
        <w:gridCol w:w="1061"/>
        <w:gridCol w:w="1066"/>
        <w:gridCol w:w="1061"/>
        <w:gridCol w:w="1066"/>
        <w:gridCol w:w="1061"/>
        <w:gridCol w:w="1061"/>
        <w:gridCol w:w="1171"/>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转入当期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4"/>
      <w:bookmarkEnd w:id="1415"/>
      <w:bookmarkEnd w:id="1416"/>
    </w:p>
    <w:p>
      <w:pPr>
        <w:pStyle w:val="Style50"/>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7"/>
      <w:bookmarkEnd w:id="1418"/>
      <w:bookmarkEnd w:id="1420"/>
    </w:p>
    <w:p>
      <w:pPr>
        <w:pStyle w:val="Style18"/>
        <w:keepNext w:val="0"/>
        <w:keepLines w:val="0"/>
        <w:widowControl w:val="0"/>
        <w:shd w:val="clear" w:color="auto" w:fill="auto"/>
        <w:bidi w:val="0"/>
        <w:spacing w:before="0" w:after="80" w:line="240" w:lineRule="auto"/>
        <w:ind w:left="8940" w:right="0" w:firstLine="0"/>
        <w:jc w:val="left"/>
      </w:pPr>
      <w:bookmarkStart w:id="1421" w:name="bookmark1421"/>
      <w:r>
        <w:rPr>
          <w:color w:val="000000"/>
          <w:spacing w:val="0"/>
          <w:w w:val="100"/>
          <w:position w:val="0"/>
        </w:rPr>
        <w:t>单</w:t>
      </w:r>
      <w:bookmarkEnd w:id="1421"/>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福建华超信息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405,039.01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405,039.01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福建永福运维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1,851,364.37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1,851,364.37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四川云能水利 电力工程咨询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9,949,268.59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9,949,268.59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2,288,425.05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2,288,425.05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14,494,097.02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14,494,097.02</w:t>
            </w:r>
          </w:p>
        </w:tc>
      </w:tr>
    </w:tbl>
    <w:p>
      <w:pPr>
        <w:widowControl w:val="0"/>
        <w:spacing w:after="339" w:line="1" w:lineRule="exact"/>
      </w:pPr>
    </w:p>
    <w:p>
      <w:pPr>
        <w:pStyle w:val="Style50"/>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2"/>
      <w:bookmarkEnd w:id="1423"/>
      <w:bookmarkEnd w:id="14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福建华超信息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福建永福运维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四川云能水利 电力工程咨询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r>
    </w:tbl>
    <w:p>
      <w:pPr>
        <w:sectPr>
          <w:footnotePr>
            <w:pos w:val="pageBottom"/>
            <w:numFmt w:val="decimal"/>
            <w:numRestart w:val="continuous"/>
          </w:footnotePr>
          <w:pgSz w:w="11900" w:h="16840"/>
          <w:pgMar w:top="1484" w:right="1119" w:bottom="1690" w:left="1076"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8"/>
        <w:gridCol w:w="137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2,523,336.36</w:t>
            </w:r>
          </w:p>
        </w:tc>
      </w:tr>
    </w:tbl>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日对商誉执行减值测试，具体情况如下：</w:t>
      </w:r>
    </w:p>
    <w:p>
      <w:pPr>
        <w:pStyle w:val="Style18"/>
        <w:keepNext w:val="0"/>
        <w:keepLines w:val="0"/>
        <w:widowControl w:val="0"/>
        <w:shd w:val="clear" w:color="auto" w:fill="auto"/>
        <w:tabs>
          <w:tab w:pos="825" w:val="left"/>
        </w:tabs>
        <w:bidi w:val="0"/>
        <w:spacing w:before="0" w:after="0" w:line="314" w:lineRule="exact"/>
        <w:ind w:left="0" w:right="0" w:firstLine="380"/>
        <w:jc w:val="both"/>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福建华超信息科技有限公司</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。资产组现金流量预 测所用的税前折现率是</w:t>
      </w:r>
      <w:r>
        <w:rPr>
          <w:rFonts w:ascii="Times New Roman" w:eastAsia="Times New Roman" w:hAnsi="Times New Roman" w:cs="Times New Roman"/>
          <w:color w:val="000000"/>
          <w:spacing w:val="0"/>
          <w:w w:val="100"/>
          <w:position w:val="0"/>
          <w:sz w:val="18"/>
          <w:szCs w:val="18"/>
        </w:rPr>
        <w:t>14.65%</w:t>
      </w:r>
      <w:r>
        <w:rPr>
          <w:color w:val="000000"/>
          <w:spacing w:val="0"/>
          <w:w w:val="100"/>
          <w:position w:val="0"/>
        </w:rPr>
        <w:t>。经减值测试，未发现商誉存在减值。</w:t>
      </w:r>
    </w:p>
    <w:p>
      <w:pPr>
        <w:pStyle w:val="Style18"/>
        <w:keepNext w:val="0"/>
        <w:keepLines w:val="0"/>
        <w:widowControl w:val="0"/>
        <w:shd w:val="clear" w:color="auto" w:fill="auto"/>
        <w:tabs>
          <w:tab w:pos="825" w:val="left"/>
        </w:tabs>
        <w:bidi w:val="0"/>
        <w:spacing w:before="0" w:after="0" w:line="314" w:lineRule="exact"/>
        <w:ind w:left="0" w:right="0" w:firstLine="380"/>
        <w:jc w:val="both"/>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福建永福运维科技有限公司</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15.13%</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 预测所用的税前折现率是</w:t>
      </w:r>
      <w:r>
        <w:rPr>
          <w:rFonts w:ascii="Times New Roman" w:eastAsia="Times New Roman" w:hAnsi="Times New Roman" w:cs="Times New Roman"/>
          <w:color w:val="000000"/>
          <w:spacing w:val="0"/>
          <w:w w:val="100"/>
          <w:position w:val="0"/>
          <w:sz w:val="18"/>
          <w:szCs w:val="18"/>
        </w:rPr>
        <w:t>12.49%</w:t>
      </w:r>
      <w:r>
        <w:rPr>
          <w:color w:val="000000"/>
          <w:spacing w:val="0"/>
          <w:w w:val="100"/>
          <w:position w:val="0"/>
        </w:rPr>
        <w:t>。经减值测试，未发现商誉存在减值。</w:t>
      </w:r>
    </w:p>
    <w:p>
      <w:pPr>
        <w:pStyle w:val="Style18"/>
        <w:keepNext w:val="0"/>
        <w:keepLines w:val="0"/>
        <w:widowControl w:val="0"/>
        <w:shd w:val="clear" w:color="auto" w:fill="auto"/>
        <w:tabs>
          <w:tab w:pos="825" w:val="left"/>
        </w:tabs>
        <w:bidi w:val="0"/>
        <w:spacing w:before="0" w:after="0" w:line="314" w:lineRule="exact"/>
        <w:ind w:left="0" w:right="0" w:firstLine="380"/>
        <w:jc w:val="both"/>
      </w:pPr>
      <w:bookmarkStart w:id="1428" w:name="bookmark1428"/>
      <w:r>
        <w:rPr>
          <w:color w:val="000000"/>
          <w:spacing w:val="0"/>
          <w:w w:val="100"/>
          <w:position w:val="0"/>
        </w:rPr>
        <w:t>（</w:t>
      </w:r>
      <w:bookmarkEnd w:id="14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四川云能水利电力工程咨询有限公司</w:t>
      </w: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14.15%</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 预测所用的税前折现率是</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。经减值测试，未发现商誉存在减值。</w:t>
      </w:r>
    </w:p>
    <w:p>
      <w:pPr>
        <w:pStyle w:val="Style18"/>
        <w:keepNext w:val="0"/>
        <w:keepLines w:val="0"/>
        <w:widowControl w:val="0"/>
        <w:shd w:val="clear" w:color="auto" w:fill="auto"/>
        <w:tabs>
          <w:tab w:pos="825" w:val="left"/>
        </w:tabs>
        <w:bidi w:val="0"/>
        <w:spacing w:before="0" w:after="0" w:line="314" w:lineRule="exact"/>
        <w:ind w:left="0" w:right="0" w:firstLine="380"/>
        <w:jc w:val="both"/>
      </w:pPr>
      <w:bookmarkStart w:id="1429" w:name="bookmark1429"/>
      <w:r>
        <w:rPr>
          <w:color w:val="000000"/>
          <w:spacing w:val="0"/>
          <w:w w:val="100"/>
          <w:position w:val="0"/>
        </w:rPr>
        <w:t>（</w:t>
      </w:r>
      <w:bookmarkEnd w:id="14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福建永福工程科技有限公司</w:t>
      </w:r>
    </w:p>
    <w:p>
      <w:pPr>
        <w:pStyle w:val="Style1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。资产组现金流量预 测所用的税前折现率是</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。经减值测试，未发现商誉存在减值。</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30"/>
      <w:bookmarkEnd w:id="1431"/>
      <w:bookmarkEnd w:id="14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租入固定资产装 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321,138.74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283,562.89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321,138.74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283,562.89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4"/>
      <w:bookmarkEnd w:id="1435"/>
      <w:bookmarkEnd w:id="1437"/>
    </w:p>
    <w:p>
      <w:pPr>
        <w:pStyle w:val="Style50"/>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84" w:right="1109" w:bottom="2060" w:left="1104" w:header="0" w:footer="3" w:gutter="0"/>
          <w:cols w:space="720"/>
          <w:noEndnote/>
          <w:rtlGutter w:val="0"/>
          <w:docGrid w:linePitch="360"/>
        </w:sectPr>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8"/>
      <w:bookmarkEnd w:id="1439"/>
      <w:bookmarkEnd w:id="1441"/>
    </w:p>
    <w:tbl>
      <w:tblPr>
        <w:tblOverlap w:val="never"/>
        <w:jc w:val="center"/>
        <w:tblLayout w:type="fixed"/>
      </w:tblPr>
      <w:tblGrid>
        <w:gridCol w:w="1920"/>
        <w:gridCol w:w="1915"/>
        <w:gridCol w:w="1915"/>
        <w:gridCol w:w="1915"/>
        <w:gridCol w:w="1925"/>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109,052,217.58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18,363,005.81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116,013,180.65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15,314,882.61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60,098,989.49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9,014,848.42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169,151,207.07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27,377,854.23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116,013,180.65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15,314,882.61</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42"/>
      <w:bookmarkEnd w:id="1443"/>
      <w:bookmarkEnd w:id="14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非同一控制企业合并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19,680,587.75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2,487,302.24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11,350,404.64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1,207,370.78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18,315,071.55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2,747,260.73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20,205,501.79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3,030,825.27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交易性金融资产公允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932,289.81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其他权益工具投资计 算的递延所得税负债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240,760.33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28,097.80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39,168,709.44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5,414,284.56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31,827,243.80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4,287,298.54</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46"/>
      <w:bookmarkEnd w:id="1447"/>
      <w:bookmarkEnd w:id="14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27,377,854.23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15,314,882.61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5,414,284.56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4,287,298.54</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50"/>
      <w:bookmarkEnd w:id="1451"/>
      <w:bookmarkEnd w:id="145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54"/>
      <w:bookmarkEnd w:id="1455"/>
      <w:bookmarkEnd w:id="145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8"/>
      <w:bookmarkEnd w:id="1459"/>
      <w:bookmarkEnd w:id="146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5,139,678.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5,139,678.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62"/>
      <w:bookmarkEnd w:id="1463"/>
      <w:bookmarkEnd w:id="1465"/>
    </w:p>
    <w:p>
      <w:pPr>
        <w:pStyle w:val="Style50"/>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6"/>
      <w:bookmarkEnd w:id="1467"/>
      <w:bookmarkEnd w:id="1469"/>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824,320.32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378,336,523.64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321,483,455.24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313,411,141.30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257,990,000.00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2,184,299.48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1,282,009.33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694,921,964.42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590,579,784.89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50"/>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70"/>
      <w:bookmarkEnd w:id="1471"/>
      <w:bookmarkEnd w:id="147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74"/>
      <w:bookmarkEnd w:id="1475"/>
      <w:bookmarkEnd w:id="1477"/>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tbl>
      <w:tblPr>
        <w:tblOverlap w:val="never"/>
        <w:jc w:val="center"/>
        <w:tblLayout w:type="fixed"/>
      </w:tblPr>
      <w:tblGrid>
        <w:gridCol w:w="3221"/>
        <w:gridCol w:w="3192"/>
        <w:gridCol w:w="3293"/>
      </w:tblGrid>
      <w:tr>
        <w:trPr>
          <w:trHeight w:val="102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bookmarkStart w:id="1478" w:name="bookmark1478"/>
            <w:r>
              <w:rPr>
                <w:rFonts w:ascii="Times New Roman" w:eastAsia="Times New Roman" w:hAnsi="Times New Roman" w:cs="Times New Roman"/>
                <w:b/>
                <w:bCs/>
                <w:color w:val="000000"/>
                <w:spacing w:val="0"/>
                <w:w w:val="100"/>
                <w:position w:val="0"/>
              </w:rPr>
              <w:t>34</w:t>
            </w:r>
            <w:r>
              <w:rPr>
                <w:b/>
                <w:bCs/>
                <w:color w:val="000000"/>
                <w:spacing w:val="0"/>
                <w:w w:val="100"/>
                <w:position w:val="0"/>
              </w:rPr>
              <w:t>、衍生金融负债</w:t>
            </w:r>
            <w:bookmarkEnd w:id="1478"/>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9"/>
      <w:bookmarkEnd w:id="1480"/>
      <w:bookmarkEnd w:id="148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240,703,752.32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175,238,848.84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240,703,752.32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175,238,848.84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83"/>
      <w:bookmarkEnd w:id="1484"/>
      <w:bookmarkEnd w:id="1486"/>
    </w:p>
    <w:p>
      <w:pPr>
        <w:pStyle w:val="Style50"/>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7"/>
      <w:bookmarkEnd w:id="1488"/>
      <w:bookmarkEnd w:id="149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447,843,409.87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168,922,122.43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97,035,289.95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70,858,958.07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544,878,699.82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239,781,080.50</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1"/>
      <w:bookmarkEnd w:id="1492"/>
      <w:bookmarkEnd w:id="1494"/>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中交第四航务工程勘察设计院有限公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7,324,063.64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上海电气电站设备有限公司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4,646,017.70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江苏金智科技股份有限公司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4,368,461.00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福建源联电力建设有限公司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2,815,437.16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中国长江动力集团有限公司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2,814,159.29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21,968,138.79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2" w:right="1068" w:bottom="1461" w:left="1068" w:header="0" w:footer="3" w:gutter="0"/>
          <w:cols w:space="720"/>
          <w:noEndnote/>
          <w:rtlGutter w:val="0"/>
          <w:docGrid w:linePitch="360"/>
        </w:sectPr>
      </w:pPr>
      <w:r>
        <w:rPr>
          <w:color w:val="000000"/>
          <w:spacing w:val="0"/>
          <w:w w:val="100"/>
          <w:position w:val="0"/>
        </w:rPr>
        <w:t>其他说明：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5820" w:right="0" w:firstLine="0"/>
        <w:jc w:val="lef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5"/>
      <w:bookmarkEnd w:id="1496"/>
      <w:bookmarkEnd w:id="1498"/>
    </w:p>
    <w:p>
      <w:pPr>
        <w:pStyle w:val="Style50"/>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9"/>
      <w:bookmarkEnd w:id="1500"/>
      <w:bookmarkEnd w:id="1502"/>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3"/>
      <w:bookmarkEnd w:id="1504"/>
      <w:bookmarkEnd w:id="1506"/>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7"/>
      <w:bookmarkEnd w:id="1508"/>
      <w:bookmarkEnd w:id="1510"/>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159,342,535.49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62,169,837.51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4,796,216.15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3,049,811.45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164,138,751.64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65,219,648.96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11"/>
      <w:bookmarkEnd w:id="1512"/>
      <w:bookmarkEnd w:id="1514"/>
    </w:p>
    <w:p>
      <w:pPr>
        <w:pStyle w:val="Style50"/>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5"/>
      <w:bookmarkEnd w:id="1516"/>
      <w:bookmarkEnd w:id="1518"/>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16,719,180.10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244,799,207.50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234,152,838.91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27,365,548.69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9,860,861.33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16,732,690.80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254,660,068.83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243,974,410.75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27,418,348.88</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9"/>
      <w:bookmarkEnd w:id="1520"/>
      <w:bookmarkEnd w:id="1522"/>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16,591,973.15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212,092,124.84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201,513,125.23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27,170,972.76</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11,413,467.41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11,325,909.12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87,558.29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71,169.21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7,540,889.88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7,576,098.99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35,960.10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70,081.59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6,721,871.16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6,757,511.83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34,440.92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7"/>
                <w:szCs w:val="17"/>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344,055.04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343,658.33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625.62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474,963.68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474,928.83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893.56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55,809.00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11,483,378.19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11,468,370.39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70,816.80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1,844,614.09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1,844,602.09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424,733.09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424,733.09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16,719,180.10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244,799,207.50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234,152,838.91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27,365,548.69</w:t>
            </w:r>
          </w:p>
        </w:tc>
      </w:tr>
    </w:tbl>
    <w:p>
      <w:pPr>
        <w:widowControl w:val="0"/>
        <w:spacing w:after="319" w:line="1" w:lineRule="exact"/>
      </w:pPr>
    </w:p>
    <w:p>
      <w:pPr>
        <w:pStyle w:val="Style50"/>
        <w:keepNext/>
        <w:keepLines/>
        <w:widowControl w:val="0"/>
        <w:numPr>
          <w:ilvl w:val="0"/>
          <w:numId w:val="87"/>
        </w:numPr>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设定提存计划列示</w:t>
      </w:r>
      <w:bookmarkEnd w:id="1523"/>
      <w:bookmarkEnd w:id="1524"/>
      <w:bookmarkEnd w:id="15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12,868.78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9,545,560.36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9,507,415.82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51,013.32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315,300.97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314,156.02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13,510.70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9,860,861.33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9,821,571.84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52,800.19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7"/>
      <w:bookmarkEnd w:id="1528"/>
      <w:bookmarkEnd w:id="15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2,681,713.33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2,923,281.35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6,765,825.40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9,617,432.82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734,966.94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512,165.12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80,380.71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478,315.34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36,893.25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447,349.65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325,471.34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316,331.78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304,790.94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137,979.79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江海堤防工程维护管理费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30,513.18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38,768.80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937,905.83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11,907,460.92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14,485,279.88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1"/>
      <w:bookmarkEnd w:id="1532"/>
      <w:bookmarkEnd w:id="153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82,547,056.69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82,547,056.69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5"/>
      <w:bookmarkEnd w:id="1536"/>
      <w:bookmarkEnd w:id="15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9"/>
      <w:bookmarkEnd w:id="1540"/>
      <w:bookmarkEnd w:id="154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0"/>
        <w:keepNext/>
        <w:keepLines/>
        <w:widowControl w:val="0"/>
        <w:shd w:val="clear" w:color="auto" w:fill="auto"/>
        <w:bidi w:val="0"/>
        <w:spacing w:before="0" w:after="360" w:line="240" w:lineRule="auto"/>
        <w:ind w:left="0" w:right="0" w:firstLine="0"/>
        <w:jc w:val="both"/>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43"/>
      <w:bookmarkEnd w:id="1544"/>
      <w:bookmarkEnd w:id="1546"/>
    </w:p>
    <w:p>
      <w:pPr>
        <w:pStyle w:val="Style87"/>
        <w:keepNext/>
        <w:keepLines/>
        <w:widowControl w:val="0"/>
        <w:shd w:val="clear" w:color="auto" w:fill="auto"/>
        <w:bidi w:val="0"/>
        <w:spacing w:before="0" w:after="36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bookmarkEnd w:id="1549"/>
      <w:r>
        <w:rPr>
          <w:color w:val="000000"/>
          <w:spacing w:val="0"/>
          <w:w w:val="100"/>
          <w:position w:val="0"/>
        </w:rPr>
        <w:t>）按款项性质列示其他应付款</w:t>
      </w:r>
      <w:bookmarkEnd w:id="1547"/>
      <w:bookmarkEnd w:id="1548"/>
      <w:bookmarkEnd w:id="155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24,097,843.62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24,864,300.00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11,634,959.45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6,509,195.59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814,037.06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5,912,967.47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42,904,086.35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4,346,109.96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待付股权投资款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1,008,800.00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579,818.98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82,547,056.69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43,366,086.02</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1"/>
      <w:bookmarkEnd w:id="1552"/>
      <w:bookmarkEnd w:id="155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费用款项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中国人民财产保险股份有限公司福建 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7,429,528.73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55"/>
      <w:bookmarkEnd w:id="1556"/>
      <w:bookmarkEnd w:id="155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9"/>
      <w:bookmarkEnd w:id="1560"/>
      <w:bookmarkEnd w:id="15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4,075,257.42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989,242.04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1,035,164.66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5,064,499.46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1,035,164.66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3"/>
      <w:bookmarkEnd w:id="1564"/>
      <w:bookmarkEnd w:id="15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67"/>
      <w:bookmarkEnd w:id="1568"/>
      <w:bookmarkEnd w:id="1570"/>
    </w:p>
    <w:p>
      <w:pPr>
        <w:pStyle w:val="Style50"/>
        <w:keepNext/>
        <w:keepLines/>
        <w:widowControl w:val="0"/>
        <w:shd w:val="clear" w:color="auto" w:fill="auto"/>
        <w:bidi w:val="0"/>
        <w:spacing w:before="0" w:after="360" w:line="240" w:lineRule="auto"/>
        <w:ind w:left="0" w:right="0" w:firstLine="0"/>
        <w:jc w:val="both"/>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1"/>
      <w:bookmarkEnd w:id="1572"/>
      <w:bookmarkEnd w:id="157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2"/>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5"/>
      <w:bookmarkEnd w:id="1576"/>
      <w:bookmarkEnd w:id="1578"/>
    </w:p>
    <w:p>
      <w:pPr>
        <w:pStyle w:val="Style50"/>
        <w:keepNext/>
        <w:keepLines/>
        <w:widowControl w:val="0"/>
        <w:shd w:val="clear" w:color="auto" w:fill="auto"/>
        <w:bidi w:val="0"/>
        <w:spacing w:before="0" w:after="360" w:line="240" w:lineRule="auto"/>
        <w:ind w:left="0" w:right="0" w:firstLine="0"/>
        <w:jc w:val="both"/>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9"/>
      <w:bookmarkEnd w:id="1580"/>
      <w:bookmarkEnd w:id="158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2"/>
      <w:bookmarkEnd w:id="1583"/>
      <w:bookmarkEnd w:id="1585"/>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0"/>
        <w:keepNext/>
        <w:keepLines/>
        <w:widowControl w:val="0"/>
        <w:shd w:val="clear" w:color="auto" w:fill="auto"/>
        <w:tabs>
          <w:tab w:pos="493" w:val="left"/>
        </w:tabs>
        <w:bidi w:val="0"/>
        <w:spacing w:before="0" w:after="36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86"/>
      <w:bookmarkEnd w:id="1587"/>
      <w:bookmarkEnd w:id="1589"/>
    </w:p>
    <w:p>
      <w:pPr>
        <w:pStyle w:val="Style50"/>
        <w:keepNext/>
        <w:keepLines/>
        <w:widowControl w:val="0"/>
        <w:shd w:val="clear" w:color="auto" w:fill="auto"/>
        <w:tabs>
          <w:tab w:pos="493" w:val="left"/>
        </w:tabs>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90"/>
      <w:bookmarkEnd w:id="1591"/>
      <w:bookmarkEnd w:id="159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94"/>
      <w:bookmarkEnd w:id="1595"/>
      <w:bookmarkEnd w:id="1597"/>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3,925,306.19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2,923,764.14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3,925,306.19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98"/>
      <w:bookmarkEnd w:id="1599"/>
      <w:bookmarkEnd w:id="160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79" w:line="1" w:lineRule="exact"/>
      </w:pPr>
    </w:p>
    <w:p>
      <w:pPr>
        <w:pStyle w:val="Style50"/>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2"/>
      <w:bookmarkEnd w:id="1603"/>
      <w:bookmarkEnd w:id="1604"/>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05"/>
      <w:bookmarkEnd w:id="1606"/>
      <w:bookmarkEnd w:id="1607"/>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08"/>
      <w:bookmarkEnd w:id="1609"/>
      <w:bookmarkEnd w:id="1611"/>
    </w:p>
    <w:p>
      <w:pPr>
        <w:pStyle w:val="Style50"/>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12"/>
      <w:bookmarkEnd w:id="1613"/>
      <w:bookmarkEnd w:id="1614"/>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spacing w:lineRule="exact" w:line="1"/>
        <w:rPr>
          <w:sz w:val="2"/>
          <w:szCs w:val="2"/>
        </w:rPr>
      </w:pPr>
      <w:r>
        <w:br w:type="page"/>
      </w:r>
    </w:p>
    <w:p>
      <w:pPr>
        <w:pStyle w:val="Style50"/>
        <w:keepNext/>
        <w:keepLines/>
        <w:widowControl w:val="0"/>
        <w:shd w:val="clear" w:color="auto" w:fill="auto"/>
        <w:bidi w:val="0"/>
        <w:spacing w:before="0" w:line="240" w:lineRule="auto"/>
        <w:ind w:left="0" w:right="0" w:firstLine="0"/>
        <w:jc w:val="both"/>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15"/>
      <w:bookmarkEnd w:id="1616"/>
      <w:bookmarkEnd w:id="1617"/>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18"/>
      <w:bookmarkEnd w:id="1619"/>
      <w:bookmarkEnd w:id="162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2"/>
      <w:bookmarkEnd w:id="1623"/>
      <w:bookmarkEnd w:id="162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本期新增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本期冲减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成本费用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140" w:right="0" w:firstLine="0"/>
              <w:jc w:val="left"/>
              <w:rPr>
                <w:sz w:val="17"/>
                <w:szCs w:val="17"/>
              </w:rPr>
            </w:pPr>
            <w:r>
              <w:rPr>
                <w:color w:val="000000"/>
                <w:spacing w:val="0"/>
                <w:w w:val="100"/>
                <w:position w:val="0"/>
                <w:sz w:val="17"/>
                <w:szCs w:val="17"/>
              </w:rPr>
              <w:t>生态文明 建设专项 资金（综 合节能减 排项目和 钛渣电炉 煤气回收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24,250,00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利用项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26"/>
      <w:bookmarkEnd w:id="1627"/>
      <w:bookmarkEnd w:id="16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30"/>
      <w:bookmarkEnd w:id="1631"/>
      <w:bookmarkEnd w:id="16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33"/>
      <w:bookmarkEnd w:id="1634"/>
      <w:bookmarkEnd w:id="1636"/>
    </w:p>
    <w:p>
      <w:pPr>
        <w:pStyle w:val="Style50"/>
        <w:keepNext/>
        <w:keepLines/>
        <w:widowControl w:val="0"/>
        <w:shd w:val="clear" w:color="auto" w:fill="auto"/>
        <w:tabs>
          <w:tab w:pos="493"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37"/>
      <w:bookmarkEnd w:id="1638"/>
      <w:bookmarkEnd w:id="1640"/>
    </w:p>
    <w:p>
      <w:pPr>
        <w:pStyle w:val="Style50"/>
        <w:keepNext/>
        <w:keepLines/>
        <w:widowControl w:val="0"/>
        <w:shd w:val="clear" w:color="auto" w:fill="auto"/>
        <w:tabs>
          <w:tab w:pos="493" w:val="left"/>
        </w:tabs>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41"/>
      <w:bookmarkEnd w:id="1642"/>
      <w:bookmarkEnd w:id="164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1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2"/>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45"/>
      <w:bookmarkEnd w:id="1646"/>
      <w:bookmarkEnd w:id="1648"/>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466,398,210.37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1,051,128.26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466,644,222.51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71,048,920.31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71,048,920.31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466,398,210.37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72,346,060.71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1,051,128.26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537,693,142.82</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45" w:right="1073" w:bottom="1471" w:left="1064" w:header="0" w:footer="3" w:gutter="0"/>
          <w:cols w:space="720"/>
          <w:noEndnote/>
          <w:rtlGutter w:val="0"/>
          <w:docGrid w:linePitch="360"/>
        </w:sectPr>
      </w:pPr>
      <w:r>
        <w:rPr>
          <w:color w:val="000000"/>
          <w:spacing w:val="0"/>
          <w:w w:val="100"/>
          <w:position w:val="0"/>
        </w:rPr>
        <w:t>其他说明，包括本期增减变动情况、变动原因说明: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3"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本期资本溢价（股本溢价）变动金额</w:t>
      </w:r>
      <w:r>
        <w:rPr>
          <w:rFonts w:ascii="Times New Roman" w:eastAsia="Times New Roman" w:hAnsi="Times New Roman" w:cs="Times New Roman"/>
          <w:color w:val="000000"/>
          <w:spacing w:val="0"/>
          <w:w w:val="100"/>
          <w:position w:val="0"/>
          <w:sz w:val="18"/>
          <w:szCs w:val="18"/>
        </w:rPr>
        <w:t>246,012.14</w:t>
      </w:r>
      <w:r>
        <w:rPr>
          <w:color w:val="000000"/>
          <w:spacing w:val="0"/>
          <w:w w:val="100"/>
          <w:position w:val="0"/>
        </w:rPr>
        <w:t>元，变动原因系：</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）由于子公司厦门福思威特工程有限公司的新股东对子公司进行增资，导致永福股份持有的该子公司股权稀释，永 福股份按照增资前的股权比例计算其在增资前子公司账面净资产中的份额，该份额与增资后永福股份持股比例计算的在增资 后子公司账面净资产份额之间的差额，调整增加合并资产负债表中的资本公积股本溢价金额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,297,140.4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）因永福股份购买子公司四川云能水利电力工程咨询有限公司少数股权新取得的长期股权投资与按照新增持股比例 计算应享有该子公司自购买日或合并日开始持续计算的净资产份额之间的差额，调整减少合并资产负债表中的资本公积中的 股本溢价金额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,051,128.26</w:t>
      </w:r>
      <w:r>
        <w:rPr>
          <w:color w:val="000000"/>
          <w:spacing w:val="0"/>
          <w:w w:val="100"/>
          <w:position w:val="0"/>
        </w:rPr>
        <w:t>元。</w:t>
      </w:r>
    </w:p>
    <w:p>
      <w:pPr>
        <w:pStyle w:val="Style18"/>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本期新增其他资本公积金额</w:t>
      </w:r>
      <w:r>
        <w:rPr>
          <w:rFonts w:ascii="Times New Roman" w:eastAsia="Times New Roman" w:hAnsi="Times New Roman" w:cs="Times New Roman"/>
          <w:color w:val="000000"/>
          <w:spacing w:val="0"/>
          <w:w w:val="100"/>
          <w:position w:val="0"/>
          <w:sz w:val="18"/>
          <w:szCs w:val="18"/>
        </w:rPr>
        <w:t>71,048,920.3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元，变动原因系：</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年第二次临时股东大会决议、第二届董事会第十八次会议决议以及第二届董事会第二十次会议决议， 公司本期授予</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834.5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万股第二类限制性股票。上述事项构成以权益结算的股份支付。以权益结算的股份支付， 以授予职工权益工具的公允价值计量。在等待期内每个资产负债表日，公司根据对可行权权益工具数量的最佳估计，按照授 予日公允价值，将当期取得的服务计入相关成本或费用，相应增加资本公积金额</w:t>
      </w:r>
      <w:r>
        <w:rPr>
          <w:rFonts w:ascii="Times New Roman" w:eastAsia="Times New Roman" w:hAnsi="Times New Roman" w:cs="Times New Roman"/>
          <w:color w:val="000000"/>
          <w:spacing w:val="0"/>
          <w:w w:val="100"/>
          <w:position w:val="0"/>
          <w:sz w:val="18"/>
          <w:szCs w:val="18"/>
        </w:rPr>
        <w:t>60,098,989.49</w:t>
      </w:r>
      <w:r>
        <w:rPr>
          <w:color w:val="000000"/>
          <w:spacing w:val="0"/>
          <w:w w:val="100"/>
          <w:position w:val="0"/>
        </w:rPr>
        <w:t>元；</w:t>
      </w:r>
    </w:p>
    <w:p>
      <w:pPr>
        <w:pStyle w:val="Style18"/>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）公司根据联营公司福建海电运维科技有限责任公司除净损益、其他综合收益和利润分配以外的所有者权益的其他 变动，按持股比例计算应享有的份额增加资本公积金额</w:t>
      </w:r>
      <w:r>
        <w:rPr>
          <w:rFonts w:ascii="Times New Roman" w:eastAsia="Times New Roman" w:hAnsi="Times New Roman" w:cs="Times New Roman"/>
          <w:color w:val="000000"/>
          <w:spacing w:val="0"/>
          <w:w w:val="100"/>
          <w:position w:val="0"/>
          <w:sz w:val="18"/>
          <w:szCs w:val="18"/>
        </w:rPr>
        <w:t>10,949,930.8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2"/>
        <w:keepNext/>
        <w:keepLines/>
        <w:widowControl w:val="0"/>
        <w:shd w:val="clear" w:color="auto" w:fill="auto"/>
        <w:bidi w:val="0"/>
        <w:spacing w:before="0" w:after="2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5</w:t>
      </w:r>
      <w:bookmarkEnd w:id="165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49"/>
      <w:bookmarkEnd w:id="1650"/>
      <w:bookmarkEnd w:id="1652"/>
    </w:p>
    <w:p>
      <w:pPr>
        <w:pStyle w:val="Style18"/>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3"/>
      <w:bookmarkEnd w:id="1654"/>
      <w:bookmarkEnd w:id="16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得税前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159,220.8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53,441.7</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159,220.8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53,441.7</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w:t>
            </w:r>
          </w:p>
        </w:tc>
      </w:tr>
    </w:tbl>
    <w:p>
      <w:pPr>
        <w:sectPr>
          <w:footnotePr>
            <w:pos w:val="pageBottom"/>
            <w:numFmt w:val="decimal"/>
            <w:numRestart w:val="continuous"/>
          </w:footnotePr>
          <w:pgSz w:w="11900" w:h="16840"/>
          <w:pgMar w:top="985" w:right="1023" w:bottom="1201" w:left="1066" w:header="0" w:footer="3" w:gutter="0"/>
          <w:cols w:space="720"/>
          <w:noEndnote/>
          <w:rtlGutter w:val="0"/>
          <w:docGrid w:linePitch="360"/>
        </w:sectPr>
      </w:pPr>
    </w:p>
    <w:tbl>
      <w:tblPr>
        <w:tblOverlap w:val="never"/>
        <w:jc w:val="center"/>
        <w:tblLayout w:type="fixed"/>
      </w:tblPr>
      <w:tblGrid>
        <w:gridCol w:w="2563"/>
        <w:gridCol w:w="974"/>
        <w:gridCol w:w="854"/>
        <w:gridCol w:w="1051"/>
        <w:gridCol w:w="850"/>
        <w:gridCol w:w="854"/>
        <w:gridCol w:w="850"/>
        <w:gridCol w:w="854"/>
        <w:gridCol w:w="734"/>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57"/>
      <w:bookmarkEnd w:id="1658"/>
      <w:bookmarkEnd w:id="16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1"/>
      <w:bookmarkEnd w:id="1662"/>
      <w:bookmarkEnd w:id="16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1,311,740.14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47,198,149.29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1,311,740.14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47,198,149.29</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w:t>
      </w:r>
      <w:bookmarkEnd w:id="166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5"/>
      <w:bookmarkEnd w:id="1666"/>
      <w:bookmarkEnd w:id="1668"/>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40,765,880.21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50,918,935.37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11,282,627.98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加：前期计入其他综合收益当期转入留存收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350,160,825.10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20" w:line="240" w:lineRule="auto"/>
        <w:ind w:left="0" w:right="0" w:firstLine="0"/>
        <w:jc w:val="left"/>
      </w:pPr>
      <w:bookmarkStart w:id="1669" w:name="bookmark1669"/>
      <w:r>
        <w:rPr>
          <w:rFonts w:ascii="Times New Roman" w:eastAsia="Times New Roman" w:hAnsi="Times New Roman" w:cs="Times New Roman"/>
          <w:color w:val="000000"/>
          <w:spacing w:val="0"/>
          <w:w w:val="100"/>
          <w:position w:val="0"/>
          <w:sz w:val="18"/>
          <w:szCs w:val="18"/>
        </w:rPr>
        <w:t>1</w:t>
      </w:r>
      <w:bookmarkEnd w:id="16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670" w:name="bookmark1670"/>
      <w:r>
        <w:rPr>
          <w:rFonts w:ascii="Times New Roman" w:eastAsia="Times New Roman" w:hAnsi="Times New Roman" w:cs="Times New Roman"/>
          <w:color w:val="000000"/>
          <w:spacing w:val="0"/>
          <w:w w:val="100"/>
          <w:position w:val="0"/>
          <w:sz w:val="18"/>
          <w:szCs w:val="18"/>
        </w:rPr>
        <w:t>2</w:t>
      </w:r>
      <w:bookmarkEnd w:id="16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671" w:name="bookmark1671"/>
      <w:r>
        <w:rPr>
          <w:rFonts w:ascii="Times New Roman" w:eastAsia="Times New Roman" w:hAnsi="Times New Roman" w:cs="Times New Roman"/>
          <w:color w:val="000000"/>
          <w:spacing w:val="0"/>
          <w:w w:val="100"/>
          <w:position w:val="0"/>
          <w:sz w:val="18"/>
          <w:szCs w:val="18"/>
        </w:rPr>
        <w:t>3</w:t>
      </w:r>
      <w:bookmarkEnd w:id="16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672" w:name="bookmark1672"/>
      <w:r>
        <w:rPr>
          <w:rFonts w:ascii="Times New Roman" w:eastAsia="Times New Roman" w:hAnsi="Times New Roman" w:cs="Times New Roman"/>
          <w:color w:val="000000"/>
          <w:spacing w:val="0"/>
          <w:w w:val="100"/>
          <w:position w:val="0"/>
          <w:sz w:val="18"/>
          <w:szCs w:val="18"/>
        </w:rPr>
        <w:t>4</w:t>
      </w:r>
      <w:bookmarkEnd w:id="16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673" w:name="bookmark1673"/>
      <w:r>
        <w:rPr>
          <w:rFonts w:ascii="Times New Roman" w:eastAsia="Times New Roman" w:hAnsi="Times New Roman" w:cs="Times New Roman"/>
          <w:color w:val="000000"/>
          <w:spacing w:val="0"/>
          <w:w w:val="100"/>
          <w:position w:val="0"/>
          <w:sz w:val="18"/>
          <w:szCs w:val="18"/>
        </w:rPr>
        <w:t>5</w:t>
      </w:r>
      <w:bookmarkEnd w:id="16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537" w:right="1110" w:bottom="1820" w:left="1100" w:header="0" w:footer="3" w:gutter="0"/>
          <w:cols w:space="720"/>
          <w:noEndnote/>
          <w:rtlGutter w:val="0"/>
          <w:docGrid w:linePitch="360"/>
        </w:sectPr>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74"/>
      <w:bookmarkEnd w:id="1675"/>
      <w:bookmarkEnd w:id="1677"/>
    </w:p>
    <w:tbl>
      <w:tblPr>
        <w:tblOverlap w:val="never"/>
        <w:jc w:val="center"/>
        <w:tblLayout w:type="fixed"/>
      </w:tblPr>
      <w:tblGrid>
        <w:gridCol w:w="1920"/>
        <w:gridCol w:w="1915"/>
        <w:gridCol w:w="1915"/>
        <w:gridCol w:w="1915"/>
        <w:gridCol w:w="1925"/>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1,567,167,016.89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1,223,066,994.01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979,349,464.57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712,100,916.24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751,012.09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170,710.89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1,567,918,028.98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1,223,160,706.70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712,271,627.13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84" w:right="1109" w:bottom="1484" w:left="1109" w:header="0" w:footer="3" w:gutter="0"/>
          <w:cols w:space="720"/>
          <w:noEndnote/>
          <w:rtlGutter w:val="0"/>
          <w:docGrid w:linePitch="360"/>
        </w:sectPr>
      </w:pPr>
      <w:r>
        <w:rPr>
          <w:color w:val="000000"/>
          <w:spacing w:val="0"/>
          <w:w w:val="100"/>
          <w:position w:val="0"/>
        </w:rPr>
        <w:t>无</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26"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2,810,017,200.00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1,930,516,300.00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573,645,200.00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311,622,500.00</w:t>
      </w:r>
      <w:r>
        <w:rPr>
          <w:color w:val="000000"/>
          <w:spacing w:val="0"/>
          <w:w w:val="100"/>
          <w:position w:val="0"/>
        </w:rPr>
        <w:t>元预计将 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18"/>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8"/>
      <w:bookmarkEnd w:id="1679"/>
      <w:bookmarkEnd w:id="168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1,823,422.47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1,810,343.24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1,758,513.72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1,766,419.50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1,282,974.14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1,261,761.41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831,581.59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686,949.40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江海堤防工程维护管理费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160,132.42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384,620.07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6,179,442.69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5,790,565.45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82"/>
      <w:bookmarkEnd w:id="1683"/>
      <w:bookmarkEnd w:id="16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26,661,349.25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13,044,328.03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5,517,737.23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2,414,599.36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5,915,477.14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5,056,850.11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9,707,525.28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4,951,416.82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1,066,899.10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1,079,782.70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7,578,164.94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4,193,822.13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1,288,208.71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488,835.17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551,736.21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155,143.32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2,523,307.94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1,049,440.96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516,950.57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750,992.88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303,770.98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425,694.77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3,898,634.03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5,766,293.40</w:t>
            </w:r>
          </w:p>
        </w:tc>
      </w:tr>
    </w:tbl>
    <w:p>
      <w:pPr>
        <w:spacing w:lineRule="exact" w:line="1"/>
        <w:rPr>
          <w:sz w:val="2"/>
          <w:szCs w:val="2"/>
        </w:rPr>
      </w:pP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tabs>
          <w:tab w:pos="5796" w:val="left"/>
        </w:tabs>
        <w:bidi w:val="0"/>
        <w:spacing w:before="0" w:line="240" w:lineRule="auto"/>
        <w:ind w:left="0" w:right="0" w:firstLine="780"/>
        <w:jc w:val="left"/>
      </w:pPr>
      <w:r>
        <w:rPr>
          <w:rFonts w:ascii="Times New Roman" w:eastAsia="Times New Roman" w:hAnsi="Times New Roman" w:cs="Times New Roman"/>
          <w:color w:val="000000"/>
          <w:spacing w:val="0"/>
          <w:w w:val="100"/>
          <w:position w:val="0"/>
          <w:sz w:val="18"/>
          <w:szCs w:val="18"/>
        </w:rPr>
        <w:t>"n</w:t>
      </w:r>
      <w:r>
        <w:rPr>
          <w:color w:val="000000"/>
          <w:spacing w:val="0"/>
          <w:w w:val="100"/>
          <w:position w:val="0"/>
        </w:rPr>
        <w:t>皿</w:t>
        <w:tab/>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84"/>
        <w:keepNext w:val="0"/>
        <w:keepLines w:val="0"/>
        <w:widowControl w:val="0"/>
        <w:shd w:val="clear" w:color="auto" w:fill="auto"/>
        <w:tabs>
          <w:tab w:pos="5122" w:val="left"/>
          <w:tab w:pos="8318" w:val="left"/>
        </w:tabs>
        <w:bidi w:val="0"/>
        <w:spacing w:before="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65,529,761.38</w:t>
        <w:tab/>
        <w:t>39,377,199.65</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6"/>
      <w:bookmarkEnd w:id="1687"/>
      <w:bookmarkEnd w:id="16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63,803,057.45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47,051,432.32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12,377,882.91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10,888,868.23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13,142,619.80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6,119,036.51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6,265,779.75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3,558,832.93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3,972,819.74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3,462,606.42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3,011,145.31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3,101,880.25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2,907,422.39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2,738,000.68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1,545,297.76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1,920,449.29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1,697,608.08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1,703,500.15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624,686.53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1,357,536.78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614,647.41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708,686.90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313,946.43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558,735.47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405,859.76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243,442.70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680,423.47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2,400,120.91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60,098,989.49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171,462,186.28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85,813,129.54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0"/>
      <w:bookmarkEnd w:id="1691"/>
      <w:bookmarkEnd w:id="16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32,978,184.89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34,586,936.57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2,791,494.19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2,742,541.69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19,419,644.01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971,515.71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328,973.13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165,249.39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55,518,296.22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38,466,243.36</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985" w:right="1071" w:bottom="1313" w:left="1066" w:header="0" w:footer="3" w:gutter="0"/>
          <w:cols w:space="720"/>
          <w:noEndnote/>
          <w:rtlGutter w:val="0"/>
          <w:docGrid w:linePitch="360"/>
        </w:sectPr>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94"/>
      <w:bookmarkEnd w:id="1695"/>
      <w:bookmarkEnd w:id="1697"/>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29,753,564.49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32,092,116.57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2,232,301.37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2,688,663.26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7,843,056.59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23,882,145.62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9,965,498.65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1,757,869.01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45,329,818.36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55,043,467.94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8"/>
      <w:bookmarkEnd w:id="1699"/>
      <w:bookmarkEnd w:id="170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18,659,418.24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8,606,647.14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8,689,785.87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6,751,633.75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418,615.35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2"/>
      <w:bookmarkEnd w:id="1703"/>
      <w:bookmarkEnd w:id="1705"/>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18,541,671.51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4,976,404.62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-2,167,775.83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2,308,939.91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10,996,531.71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20,868,921.10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13,805,160.50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06"/>
      <w:bookmarkEnd w:id="1707"/>
      <w:bookmarkEnd w:id="1709"/>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0"/>
      <w:bookmarkEnd w:id="1711"/>
      <w:bookmarkEnd w:id="1713"/>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29,824.43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848,271.06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29,824.43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14"/>
      <w:bookmarkEnd w:id="1715"/>
      <w:bookmarkEnd w:id="1717"/>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-256,655.90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-16,124,720.76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-10,442,998.66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-15,659,216.80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-11,599,654.56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8"/>
      <w:bookmarkEnd w:id="1719"/>
      <w:bookmarkEnd w:id="172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-1,062,047.36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-2,523,336.36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-6,843,036.03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85,171.28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-7,905,083.39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-2,438,165.08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22"/>
      <w:bookmarkEnd w:id="1723"/>
      <w:bookmarkEnd w:id="1725"/>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r>
    </w:tbl>
    <w:p>
      <w:pPr>
        <w:widowControl w:val="0"/>
        <w:spacing w:after="319" w:line="1" w:lineRule="exact"/>
      </w:pPr>
    </w:p>
    <w:p>
      <w:pPr>
        <w:pStyle w:val="Style32"/>
        <w:keepNext/>
        <w:keepLines/>
        <w:widowControl w:val="0"/>
        <w:shd w:val="clear" w:color="auto" w:fill="auto"/>
        <w:bidi w:val="0"/>
        <w:spacing w:before="0" w:after="34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26"/>
      <w:bookmarkEnd w:id="1727"/>
      <w:bookmarkEnd w:id="1729"/>
      <w:r>
        <w:br w:type="page"/>
      </w:r>
    </w:p>
    <w:tbl>
      <w:tblPr>
        <w:tblOverlap w:val="never"/>
        <w:jc w:val="center"/>
        <w:tblLayout w:type="fixed"/>
      </w:tblPr>
      <w:tblGrid>
        <w:gridCol w:w="2395"/>
        <w:gridCol w:w="2395"/>
        <w:gridCol w:w="2395"/>
        <w:gridCol w:w="240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非同一控制合并贷差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306,988.39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306,988.39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307,008.39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425,920.04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307,008.39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影响当年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0"/>
      <w:bookmarkEnd w:id="1731"/>
      <w:bookmarkEnd w:id="173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104,749.02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53,806.95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53,806.95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883,325.99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53,806.95</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34"/>
      <w:bookmarkEnd w:id="1735"/>
      <w:bookmarkEnd w:id="1737"/>
    </w:p>
    <w:p>
      <w:pPr>
        <w:pStyle w:val="Style50"/>
        <w:keepNext/>
        <w:keepLines/>
        <w:widowControl w:val="0"/>
        <w:shd w:val="clear" w:color="auto" w:fill="auto"/>
        <w:bidi w:val="0"/>
        <w:spacing w:before="0" w:after="360" w:line="240" w:lineRule="auto"/>
        <w:ind w:left="0" w:right="0" w:firstLine="0"/>
        <w:jc w:val="both"/>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38"/>
      <w:bookmarkEnd w:id="1739"/>
      <w:bookmarkEnd w:id="1740"/>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9,705,685.37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12,076,506.18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-12,581,771.79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-903,420.94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-2,876,086.42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11,173,085.24</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1"/>
      <w:bookmarkEnd w:id="1742"/>
      <w:bookmarkEnd w:id="174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26,582,705.78</w:t>
            </w:r>
          </w:p>
        </w:tc>
      </w:tr>
    </w:tbl>
    <w:p>
      <w:pPr>
        <w:spacing w:lineRule="exact" w:line="1"/>
        <w:rPr>
          <w:sz w:val="2"/>
          <w:szCs w:val="2"/>
        </w:rPr>
      </w:pPr>
      <w:r>
        <w:br w:type="page"/>
      </w:r>
    </w:p>
    <w:tbl>
      <w:tblPr>
        <w:tblOverlap w:val="never"/>
        <w:jc w:val="center"/>
        <w:tblLayout w:type="fixed"/>
      </w:tblPr>
      <w:tblGrid>
        <w:gridCol w:w="4786"/>
        <w:gridCol w:w="4800"/>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3,987,405.87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10,580,613.19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-359,612.75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4,384,132.49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-7,666,627.34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子公司亏损影响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3,580,626.83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境外缴纳所得税费用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税法规定的额外可扣除费用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-4,929,264.13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-12,076,632.50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-505,139.29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-2,876,086.42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7</w:t>
      </w:r>
      <w:bookmarkEnd w:id="174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44"/>
      <w:bookmarkEnd w:id="1745"/>
      <w:bookmarkEnd w:id="174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7</w:t>
      </w:r>
      <w:bookmarkEnd w:id="175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48"/>
      <w:bookmarkEnd w:id="1749"/>
      <w:bookmarkEnd w:id="1751"/>
    </w:p>
    <w:p>
      <w:pPr>
        <w:pStyle w:val="Style50"/>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52"/>
      <w:bookmarkEnd w:id="1753"/>
      <w:bookmarkEnd w:id="175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1,239,384.45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2,688,663.26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18,659,418.24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8,563,928.39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28,375,159.85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50,010,015.47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12,535,190.85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0"/>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55"/>
      <w:bookmarkEnd w:id="1756"/>
      <w:bookmarkEnd w:id="175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29,944,153.03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18,414,931.73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36,128,276.53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29,135,556.47</w:t>
            </w:r>
          </w:p>
        </w:tc>
      </w:tr>
    </w:tbl>
    <w:p>
      <w:pPr>
        <w:sectPr>
          <w:footnotePr>
            <w:pos w:val="pageBottom"/>
            <w:numFmt w:val="decimal"/>
            <w:numRestart w:val="continuous"/>
          </w:footnotePr>
          <w:pgSz w:w="11900" w:h="16840"/>
          <w:pgMar w:top="1515" w:right="1091" w:bottom="1683" w:left="1046"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18,576,805.50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1,136,765.10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9,965,498.65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1,755,499.94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17,855,889.03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诉讼冻结资金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5,441,869.60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94,668,540.66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74,520,183.87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0"/>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58"/>
      <w:bookmarkEnd w:id="1759"/>
      <w:bookmarkEnd w:id="176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5,637,293.08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5,637,293.08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62"/>
      <w:bookmarkEnd w:id="1763"/>
      <w:bookmarkEnd w:id="176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处置子公司及其他营业单位减少的现 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9,496,732.29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9,496,732.29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50"/>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66"/>
      <w:bookmarkEnd w:id="1767"/>
      <w:bookmarkEnd w:id="176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取得少数股东借款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146,683,760.00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0"/>
        <w:keepNext/>
        <w:keepLines/>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84" w:right="1195" w:bottom="1930" w:left="1109" w:header="0" w:footer="3" w:gutter="0"/>
          <w:cols w:space="720"/>
          <w:noEndnote/>
          <w:rtlGutter w:val="0"/>
          <w:docGrid w:linePitch="360"/>
        </w:sectPr>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0"/>
      <w:bookmarkEnd w:id="1771"/>
      <w:bookmarkEnd w:id="1773"/>
    </w:p>
    <w:tbl>
      <w:tblPr>
        <w:tblOverlap w:val="never"/>
        <w:jc w:val="center"/>
        <w:tblLayout w:type="fixed"/>
      </w:tblPr>
      <w:tblGrid>
        <w:gridCol w:w="3197"/>
        <w:gridCol w:w="3192"/>
        <w:gridCol w:w="3197"/>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130,491,760.00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1,282,084.96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137,710,844.96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81,780,000.00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7</w:t>
      </w:r>
      <w:bookmarkEnd w:id="177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74"/>
      <w:bookmarkEnd w:id="1775"/>
      <w:bookmarkEnd w:id="1777"/>
    </w:p>
    <w:p>
      <w:pPr>
        <w:pStyle w:val="Style50"/>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78"/>
      <w:bookmarkEnd w:id="1779"/>
      <w:bookmarkEnd w:id="178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29,458,792.20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47,615,064.77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23,564,300.19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14,037,819.64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8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14,868,924.85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13,945,406.05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1,161,752.35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6,445,556.66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265,326.08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840"/>
              <w:jc w:val="both"/>
              <w:rPr>
                <w:sz w:val="17"/>
                <w:szCs w:val="17"/>
              </w:rPr>
            </w:pPr>
            <w:r>
              <w:rPr>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110,112.02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公允价值变动损失（收益以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33,388,468.26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36,946,882.99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-20,868,921.10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-13,805,160.50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-12,076,632.50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-2,267,078.08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color w:val="000000"/>
                <w:spacing w:val="0"/>
                <w:w w:val="100"/>
                <w:position w:val="0"/>
                <w:sz w:val="17"/>
                <w:szCs w:val="17"/>
              </w:rPr>
              <w:t>递延所得税负债增加（减少以 “一”号填列）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-505,139.29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1,363,657.14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-8,842,276.64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-203,387,351.40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rPr>
                <w:sz w:val="17"/>
                <w:szCs w:val="17"/>
              </w:rPr>
            </w:pPr>
            <w:r>
              <w:rPr>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-466,998,509.31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48,548,906.68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rPr>
                <w:sz w:val="17"/>
                <w:szCs w:val="17"/>
              </w:rPr>
            </w:pPr>
            <w:r>
              <w:rPr>
                <w:color w:val="000000"/>
                <w:spacing w:val="0"/>
                <w:w w:val="100"/>
                <w:position w:val="0"/>
                <w:sz w:val="17"/>
                <w:szCs w:val="17"/>
              </w:rPr>
              <w:t>经营性应付项目的增加（减少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522,045,532.56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134,875,520.04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60,067,252.44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181,196,848.44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82,988,060.44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356,997,660.67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83,887,337.74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152,315,782.56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120,794,540.37</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1"/>
      <w:bookmarkEnd w:id="1782"/>
      <w:bookmarkEnd w:id="178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40,800,000.00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40,800,000.00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9,161,384.16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9,161,384.16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31,638,615.84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0"/>
        <w:keepNext/>
        <w:keepLines/>
        <w:widowControl w:val="0"/>
        <w:numPr>
          <w:ilvl w:val="0"/>
          <w:numId w:val="89"/>
        </w:numPr>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本期收到的处置子公司的现金净额</w:t>
      </w:r>
      <w:bookmarkEnd w:id="1784"/>
      <w:bookmarkEnd w:id="1785"/>
      <w:bookmarkEnd w:id="178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福建永福电通技术开发有限公司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9,496,732.29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福建永福电通技术开发有限公司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9,496,732.29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福建永福电通技术开发有限公司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-9,496,732.29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numPr>
          <w:ilvl w:val="0"/>
          <w:numId w:val="89"/>
        </w:numPr>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现金和现金等价物的构成</w:t>
      </w:r>
      <w:bookmarkEnd w:id="1788"/>
      <w:bookmarkEnd w:id="1789"/>
      <w:bookmarkEnd w:id="17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356,997,660.67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356,238,100.90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204,596,745.84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356,997,660.67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8</w:t>
      </w:r>
      <w:bookmarkEnd w:id="179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92"/>
      <w:bookmarkEnd w:id="1793"/>
      <w:bookmarkEnd w:id="179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96"/>
      <w:bookmarkEnd w:id="1797"/>
      <w:bookmarkEnd w:id="179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165,648,495.94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涉及诉讼冻结</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171,090,365.54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2" w:right="1109" w:bottom="1451" w:left="1066" w:header="0" w:footer="3" w:gutter="0"/>
          <w:cols w:space="720"/>
          <w:noEndnote/>
          <w:rtlGutter w:val="0"/>
          <w:docGrid w:linePitch="360"/>
        </w:sectPr>
      </w:pPr>
      <w:r>
        <w:rPr>
          <w:color w:val="000000"/>
          <w:spacing w:val="0"/>
          <w:w w:val="100"/>
          <w:position w:val="0"/>
        </w:rPr>
        <w:t>其他说明：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8</w:t>
      </w:r>
      <w:bookmarkEnd w:id="180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00"/>
      <w:bookmarkEnd w:id="1801"/>
      <w:bookmarkEnd w:id="1803"/>
    </w:p>
    <w:p>
      <w:pPr>
        <w:pStyle w:val="Style50"/>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04"/>
      <w:bookmarkEnd w:id="1805"/>
      <w:bookmarkEnd w:id="180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26,428,155.29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2,672,293.45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17,037,741.34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12,099,720,429.00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3,433,499.04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3,679,180.84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459,931.91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孟加拉塔卡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74,193,533.35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5,495,195.01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90,195,254.08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12,855,631.97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81,963,652.73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9,589,947,240.70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2,694,775.18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孟加拉塔卡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74,529,898.64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5,536,826.17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453,883.75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3,626,574.00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453,321.75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5,618,573.64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5,618,573.64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16,017,128.51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1,188,600.00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8,581,335.41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139,578,574.00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39,221.58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3,596,722.17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123,009.14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孟加拉塔卡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97,907,691.06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7,273,562.38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164,503.83</w:t>
            </w: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2506"/>
        <w:gridCol w:w="2290"/>
        <w:gridCol w:w="2390"/>
        <w:gridCol w:w="2400"/>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478,299,399.00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菲律宾比索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11,145.76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39" w:line="1" w:lineRule="exact"/>
      </w:pPr>
    </w:p>
    <w:p>
      <w:pPr>
        <w:pStyle w:val="Style50"/>
        <w:keepNext/>
        <w:keepLines/>
        <w:widowControl w:val="0"/>
        <w:shd w:val="clear" w:color="auto" w:fill="auto"/>
        <w:bidi w:val="0"/>
        <w:spacing w:before="0" w:after="280" w:line="331" w:lineRule="exact"/>
        <w:ind w:left="0" w:right="0" w:firstLine="0"/>
        <w:jc w:val="both"/>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07"/>
      <w:bookmarkEnd w:id="1808"/>
      <w:bookmarkEnd w:id="1809"/>
    </w:p>
    <w:p>
      <w:pPr>
        <w:pStyle w:val="Style18"/>
        <w:keepNext w:val="0"/>
        <w:keepLines w:val="0"/>
        <w:widowControl w:val="0"/>
        <w:shd w:val="clear" w:color="auto" w:fill="auto"/>
        <w:bidi w:val="0"/>
        <w:spacing w:before="0" w:after="0" w:line="316"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84"/>
        <w:keepNext w:val="0"/>
        <w:keepLines w:val="0"/>
        <w:widowControl w:val="0"/>
        <w:shd w:val="clear" w:color="auto" w:fill="auto"/>
        <w:bidi w:val="0"/>
        <w:spacing w:before="0" w:after="0" w:line="316" w:lineRule="exact"/>
        <w:ind w:left="0" w:right="0" w:firstLine="380"/>
        <w:jc w:val="both"/>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YONGFU SINGAPORE NEW ENERGY DEVELOPMENT COMPANY PTE.LTD.</w:t>
      </w:r>
      <w:r>
        <w:rPr>
          <w:rFonts w:ascii="SimSun" w:eastAsia="SimSun" w:hAnsi="SimSun" w:cs="SimSun"/>
          <w:color w:val="000000"/>
          <w:spacing w:val="0"/>
          <w:w w:val="100"/>
          <w:position w:val="0"/>
          <w:sz w:val="17"/>
          <w:szCs w:val="17"/>
        </w:rPr>
        <w:t>、</w:t>
      </w:r>
      <w:r>
        <w:rPr>
          <w:color w:val="000000"/>
          <w:spacing w:val="0"/>
          <w:w w:val="100"/>
          <w:position w:val="0"/>
          <w:sz w:val="18"/>
          <w:szCs w:val="18"/>
        </w:rPr>
        <w:t>YONGFU ONE SINGAPORE NEW ENERGY DEVELOPMENT COMPANY PTE.LTD.</w:t>
      </w:r>
      <w:r>
        <w:rPr>
          <w:rFonts w:ascii="SimSun" w:eastAsia="SimSun" w:hAnsi="SimSun" w:cs="SimSun"/>
          <w:color w:val="000000"/>
          <w:spacing w:val="0"/>
          <w:w w:val="100"/>
          <w:position w:val="0"/>
          <w:sz w:val="17"/>
          <w:szCs w:val="17"/>
        </w:rPr>
        <w:t>、</w:t>
      </w:r>
      <w:r>
        <w:rPr>
          <w:color w:val="000000"/>
          <w:spacing w:val="0"/>
          <w:w w:val="100"/>
          <w:position w:val="0"/>
          <w:sz w:val="18"/>
          <w:szCs w:val="18"/>
        </w:rPr>
        <w:t>YONGFU THREE SINGAPORE NEW ENERGY DEVELOPMENT COMPANY PTE.LTD.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其境外主要经营地为新加坡，依据当地货币，选择新加坡元为记账本位币。</w:t>
      </w:r>
    </w:p>
    <w:p>
      <w:pPr>
        <w:pStyle w:val="Style84"/>
        <w:keepNext w:val="0"/>
        <w:keepLines w:val="0"/>
        <w:widowControl w:val="0"/>
        <w:shd w:val="clear" w:color="auto" w:fill="auto"/>
        <w:bidi w:val="0"/>
        <w:spacing w:before="0" w:after="0" w:line="316" w:lineRule="exact"/>
        <w:ind w:left="0" w:right="0" w:firstLine="380"/>
        <w:jc w:val="both"/>
        <w:rPr>
          <w:sz w:val="17"/>
          <w:szCs w:val="17"/>
        </w:rPr>
      </w:pPr>
      <w:r>
        <w:rPr>
          <w:rFonts w:ascii="SimSun" w:eastAsia="SimSun" w:hAnsi="SimSun" w:cs="SimSun"/>
          <w:color w:val="000000"/>
          <w:spacing w:val="0"/>
          <w:w w:val="100"/>
          <w:position w:val="0"/>
          <w:sz w:val="17"/>
          <w:szCs w:val="17"/>
        </w:rPr>
        <w:t xml:space="preserve">子公司 </w:t>
      </w:r>
      <w:r>
        <w:rPr>
          <w:color w:val="000000"/>
          <w:spacing w:val="0"/>
          <w:w w:val="100"/>
          <w:position w:val="0"/>
          <w:sz w:val="18"/>
          <w:szCs w:val="18"/>
        </w:rPr>
        <w:t>YONGFU TWO VITNAM NEW ENERGY DEVELOPMENT COMPANY LIMITED</w:t>
      </w:r>
      <w:r>
        <w:rPr>
          <w:rFonts w:ascii="SimSun" w:eastAsia="SimSun" w:hAnsi="SimSun" w:cs="SimSun"/>
          <w:color w:val="000000"/>
          <w:spacing w:val="0"/>
          <w:w w:val="100"/>
          <w:position w:val="0"/>
          <w:sz w:val="17"/>
          <w:szCs w:val="17"/>
        </w:rPr>
        <w:t>、</w:t>
      </w:r>
      <w:r>
        <w:rPr>
          <w:color w:val="000000"/>
          <w:spacing w:val="0"/>
          <w:w w:val="100"/>
          <w:position w:val="0"/>
          <w:sz w:val="18"/>
          <w:szCs w:val="18"/>
        </w:rPr>
        <w:t>VIETNAM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其境外主要经营地为越南，依据当地货币，选择越南盾为记账本 位币。</w:t>
      </w:r>
    </w:p>
    <w:p>
      <w:pPr>
        <w:pStyle w:val="Style84"/>
        <w:keepNext w:val="0"/>
        <w:keepLines w:val="0"/>
        <w:widowControl w:val="0"/>
        <w:shd w:val="clear" w:color="auto" w:fill="auto"/>
        <w:tabs>
          <w:tab w:pos="1866" w:val="left"/>
        </w:tabs>
        <w:bidi w:val="0"/>
        <w:spacing w:before="0" w:after="0" w:line="316" w:lineRule="exact"/>
        <w:ind w:left="0" w:right="0" w:firstLine="380"/>
        <w:jc w:val="both"/>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YONGFU</w:t>
        <w:tab/>
        <w:t>PHILIPPINE NEW ENERGY MANAGEMENT LTD.INC.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其境外主要经营地为菲律宾，依据当地货</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币，选择菲律宾比索为记账本位币。</w:t>
      </w:r>
    </w:p>
    <w:p>
      <w:pPr>
        <w:pStyle w:val="Style84"/>
        <w:keepNext w:val="0"/>
        <w:keepLines w:val="0"/>
        <w:widowControl w:val="0"/>
        <w:shd w:val="clear" w:color="auto" w:fill="auto"/>
        <w:bidi w:val="0"/>
        <w:spacing w:before="0" w:after="280" w:line="316" w:lineRule="exact"/>
        <w:ind w:left="0" w:right="0" w:firstLine="380"/>
        <w:jc w:val="both"/>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BANGLADESH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其境外主要经营地为孟加 拉，依据当地货币，选择孟加拉塔卡为记账本位币。</w:t>
      </w:r>
    </w:p>
    <w:p>
      <w:pPr>
        <w:pStyle w:val="Style32"/>
        <w:keepNext/>
        <w:keepLines/>
        <w:widowControl w:val="0"/>
        <w:shd w:val="clear" w:color="auto" w:fill="auto"/>
        <w:tabs>
          <w:tab w:pos="483" w:val="left"/>
        </w:tabs>
        <w:bidi w:val="0"/>
        <w:spacing w:before="0" w:after="280" w:line="331" w:lineRule="exact"/>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8</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10"/>
      <w:bookmarkEnd w:id="1811"/>
      <w:bookmarkEnd w:id="1813"/>
    </w:p>
    <w:p>
      <w:pPr>
        <w:pStyle w:val="Style18"/>
        <w:keepNext w:val="0"/>
        <w:keepLines w:val="0"/>
        <w:widowControl w:val="0"/>
        <w:shd w:val="clear" w:color="auto" w:fill="auto"/>
        <w:bidi w:val="0"/>
        <w:spacing w:before="0" w:after="280" w:line="316" w:lineRule="exact"/>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280" w:line="331" w:lineRule="exact"/>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14"/>
      <w:bookmarkEnd w:id="1815"/>
      <w:bookmarkEnd w:id="1817"/>
    </w:p>
    <w:p>
      <w:pPr>
        <w:pStyle w:val="Style50"/>
        <w:keepNext/>
        <w:keepLines/>
        <w:widowControl w:val="0"/>
        <w:shd w:val="clear" w:color="auto" w:fill="auto"/>
        <w:bidi w:val="0"/>
        <w:spacing w:before="0" w:line="331" w:lineRule="exact"/>
        <w:ind w:left="0" w:right="0" w:firstLine="0"/>
        <w:jc w:val="left"/>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18"/>
      <w:bookmarkEnd w:id="1819"/>
      <w:bookmarkEnd w:id="18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27,266,065.38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18,659,418.24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after="280" w:line="240" w:lineRule="auto"/>
        <w:ind w:left="0" w:right="0" w:firstLine="0"/>
        <w:jc w:val="both"/>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21"/>
      <w:bookmarkEnd w:id="1822"/>
      <w:bookmarkEnd w:id="1823"/>
    </w:p>
    <w:p>
      <w:pPr>
        <w:pStyle w:val="Style18"/>
        <w:keepNext w:val="0"/>
        <w:keepLines w:val="0"/>
        <w:widowControl w:val="0"/>
        <w:shd w:val="clear" w:color="auto" w:fill="auto"/>
        <w:bidi w:val="0"/>
        <w:spacing w:before="0" w:after="280" w:line="341" w:lineRule="exact"/>
        <w:ind w:left="0" w:right="0" w:firstLine="0"/>
        <w:jc w:val="both"/>
        <w:sectPr>
          <w:footnotePr>
            <w:pos w:val="pageBottom"/>
            <w:numFmt w:val="decimal"/>
            <w:numRestart w:val="continuous"/>
          </w:footnotePr>
          <w:pgSz w:w="11900" w:h="16840"/>
          <w:pgMar w:top="1484" w:right="1105" w:bottom="1484" w:left="109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 其他说明：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24"/>
      <w:bookmarkEnd w:id="1825"/>
      <w:bookmarkEnd w:id="1826"/>
    </w:p>
    <w:p>
      <w:pPr>
        <w:pStyle w:val="Style22"/>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sz w:val="24"/>
          <w:szCs w:val="24"/>
        </w:rPr>
        <w:t>八</w:t>
      </w:r>
      <w:bookmarkEnd w:id="1829"/>
      <w:r>
        <w:rPr>
          <w:color w:val="000000"/>
          <w:spacing w:val="0"/>
          <w:w w:val="100"/>
          <w:position w:val="0"/>
          <w:sz w:val="24"/>
          <w:szCs w:val="24"/>
        </w:rPr>
        <w:t>、合并范围的变更</w:t>
      </w:r>
      <w:bookmarkEnd w:id="1827"/>
      <w:bookmarkEnd w:id="1828"/>
      <w:bookmarkEnd w:id="1830"/>
    </w:p>
    <w:p>
      <w:pPr>
        <w:pStyle w:val="Style32"/>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bookmarkEnd w:id="1833"/>
      <w:r>
        <w:rPr>
          <w:color w:val="000000"/>
          <w:spacing w:val="0"/>
          <w:w w:val="100"/>
          <w:position w:val="0"/>
        </w:rPr>
        <w:t>、非同一控制下企业合并</w:t>
      </w:r>
      <w:bookmarkEnd w:id="1831"/>
      <w:bookmarkEnd w:id="1832"/>
      <w:bookmarkEnd w:id="1834"/>
    </w:p>
    <w:p>
      <w:pPr>
        <w:pStyle w:val="Style50"/>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5"/>
      <w:bookmarkEnd w:id="1836"/>
      <w:bookmarkEnd w:id="18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 期末被购 买方的净 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攀枝花三 能新能源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554,205.86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14"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月，公司与福建三能节能科技有限责任公司、湖南和康企业管理股份有限公司、广州福攀新能源科技有限公司、 叶学翔、攀枝花三能新能源有限公司签订了《关于对攀枝花三能新能源有限公司的投资协议》，协议约定公司以人民币</w:t>
      </w:r>
      <w:r>
        <w:rPr>
          <w:rFonts w:ascii="Times New Roman" w:eastAsia="Times New Roman" w:hAnsi="Times New Roman" w:cs="Times New Roman"/>
          <w:color w:val="000000"/>
          <w:spacing w:val="0"/>
          <w:w w:val="100"/>
          <w:position w:val="0"/>
          <w:sz w:val="18"/>
          <w:szCs w:val="18"/>
        </w:rPr>
        <w:t xml:space="preserve">4080 </w:t>
      </w:r>
      <w:r>
        <w:rPr>
          <w:color w:val="000000"/>
          <w:spacing w:val="0"/>
          <w:w w:val="100"/>
          <w:position w:val="0"/>
        </w:rPr>
        <w:t>万元的价格受让福建三能节能科技有限责任公司、湖南和康企业管理股份有限公司、广州福攀新能源科技有限公司、叶学翔 原持有的攀枝花三能新能源有限公司共计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股权。受让后公司成为攀枝花三能新能源有限公司新股东，并持有其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50"/>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38"/>
      <w:bookmarkEnd w:id="1839"/>
      <w:bookmarkEnd w:id="184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40,800,000.00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40,800,000.00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41,106,988.39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-306,988.39</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985" w:right="1023" w:bottom="1201" w:left="1066" w:header="0" w:footer="3" w:gutter="0"/>
          <w:cols w:space="720"/>
          <w:noEndnote/>
          <w:rtlGutter w:val="0"/>
          <w:docGrid w:linePitch="360"/>
        </w:sectPr>
      </w:pPr>
      <w:r>
        <w:rPr>
          <w:color w:val="000000"/>
          <w:spacing w:val="0"/>
          <w:w w:val="100"/>
          <w:position w:val="0"/>
        </w:rPr>
        <w:t>其他说明：</w:t>
      </w:r>
    </w:p>
    <w:p>
      <w:pPr>
        <w:pStyle w:val="Style50"/>
        <w:keepNext/>
        <w:keepLines/>
        <w:widowControl w:val="0"/>
        <w:numPr>
          <w:ilvl w:val="0"/>
          <w:numId w:val="91"/>
        </w:numPr>
        <w:shd w:val="clear" w:color="auto" w:fill="auto"/>
        <w:bidi w:val="0"/>
        <w:spacing w:before="0" w:after="400" w:line="240" w:lineRule="auto"/>
        <w:ind w:left="0" w:right="0" w:firstLine="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被购买方于购买日可辨认资产、负债</w:t>
      </w:r>
      <w:bookmarkEnd w:id="1841"/>
      <w:bookmarkEnd w:id="1842"/>
      <w:bookmarkEnd w:id="18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199,402,965.89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188,575,572.14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9,161,384.16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9,161,384.16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11,712,009.21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11,712,009.21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5,488,131.00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4,959,874.52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5,432,773.50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5,432,773.50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163,260,111.60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152,960,974.33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4,274,388.89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4,274,388.89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118,801,027.86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117,176,918.80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92,926,918.80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92,926,918.80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1,624,109.06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24,250,000.00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80,601,938.03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71,398,653.34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80,601,938.03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71,398,653.34</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0"/>
        <w:keepNext/>
        <w:keepLines/>
        <w:widowControl w:val="0"/>
        <w:numPr>
          <w:ilvl w:val="0"/>
          <w:numId w:val="91"/>
        </w:numPr>
        <w:shd w:val="clear" w:color="auto" w:fill="auto"/>
        <w:bidi w:val="0"/>
        <w:spacing w:before="0" w:after="40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购买日之前持有的股权按照公允价值重新计量产生的利得或损失</w:t>
      </w:r>
      <w:bookmarkEnd w:id="1845"/>
      <w:bookmarkEnd w:id="1846"/>
      <w:bookmarkEnd w:id="1848"/>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590" w:right="1071" w:bottom="1590" w:left="1109" w:header="0" w:footer="3" w:gutter="0"/>
          <w:cols w:space="720"/>
          <w:noEndnote/>
          <w:rtlGutter w:val="0"/>
          <w:docGrid w:linePitch="360"/>
        </w:sectPr>
      </w:pPr>
      <w:r>
        <w:rPr>
          <w:color w:val="000000"/>
          <w:spacing w:val="0"/>
          <w:w w:val="100"/>
          <w:position w:val="0"/>
        </w:rPr>
        <w:t>□</w:t>
      </w:r>
      <w:r>
        <w:rPr>
          <w:color w:val="000000"/>
          <w:spacing w:val="0"/>
          <w:w w:val="100"/>
          <w:position w:val="0"/>
        </w:rPr>
        <w:t>是"否</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50"/>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5</w:t>
      </w:r>
      <w:r>
        <w:rPr>
          <w:color w:val="000000"/>
          <w:spacing w:val="0"/>
          <w:w w:val="100"/>
          <w:position w:val="0"/>
        </w:rPr>
        <w:t>）购买日或合并当期期末无法合理确定合并对价或被购买方可辨认资产、负债公允价值的相关说明</w:t>
      </w:r>
      <w:bookmarkEnd w:id="1849"/>
      <w:bookmarkEnd w:id="1850"/>
      <w:bookmarkEnd w:id="1852"/>
    </w:p>
    <w:p>
      <w:pPr>
        <w:pStyle w:val="Style50"/>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853"/>
      <w:bookmarkEnd w:id="1854"/>
      <w:bookmarkEnd w:id="1856"/>
    </w:p>
    <w:p>
      <w:pPr>
        <w:pStyle w:val="Style32"/>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bookmarkEnd w:id="1859"/>
      <w:r>
        <w:rPr>
          <w:color w:val="000000"/>
          <w:spacing w:val="0"/>
          <w:w w:val="100"/>
          <w:position w:val="0"/>
        </w:rPr>
        <w:t>、同一控制下企业合并</w:t>
      </w:r>
      <w:bookmarkEnd w:id="1857"/>
      <w:bookmarkEnd w:id="1858"/>
      <w:bookmarkEnd w:id="1860"/>
    </w:p>
    <w:p>
      <w:pPr>
        <w:pStyle w:val="Style50"/>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61"/>
      <w:bookmarkEnd w:id="1862"/>
      <w:bookmarkEnd w:id="186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60" w:right="0" w:firstLine="0"/>
              <w:jc w:val="left"/>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构成同一</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控制下企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业合并的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合并日的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合并当期</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期初至合</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并日被合</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并方的净</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比较期间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被合并方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rPr>
                <w:sz w:val="17"/>
                <w:szCs w:val="17"/>
              </w:rPr>
            </w:pPr>
            <w:r>
              <w:rPr>
                <w:color w:val="000000"/>
                <w:spacing w:val="0"/>
                <w:w w:val="100"/>
                <w:position w:val="0"/>
                <w:sz w:val="17"/>
                <w:szCs w:val="17"/>
              </w:rPr>
              <w:t>比较期间 被合并方 的净利润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64"/>
      <w:bookmarkEnd w:id="1865"/>
      <w:bookmarkEnd w:id="186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67"/>
      <w:bookmarkEnd w:id="1868"/>
      <w:bookmarkEnd w:id="1870"/>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3197"/>
        <w:gridCol w:w="3192"/>
        <w:gridCol w:w="3202"/>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3</w:t>
      </w:r>
      <w:bookmarkEnd w:id="1873"/>
      <w:r>
        <w:rPr>
          <w:color w:val="000000"/>
          <w:spacing w:val="0"/>
          <w:w w:val="100"/>
          <w:position w:val="0"/>
        </w:rPr>
        <w:t>、</w:t>
        <w:tab/>
        <w:t>反向购买</w:t>
      </w:r>
      <w:bookmarkEnd w:id="1871"/>
      <w:bookmarkEnd w:id="1872"/>
      <w:bookmarkEnd w:id="1874"/>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4</w:t>
      </w:r>
      <w:bookmarkEnd w:id="1877"/>
      <w:r>
        <w:rPr>
          <w:color w:val="000000"/>
          <w:spacing w:val="0"/>
          <w:w w:val="100"/>
          <w:position w:val="0"/>
        </w:rPr>
        <w:t>、</w:t>
        <w:tab/>
        <w:t>处置子公司</w:t>
      </w:r>
      <w:bookmarkEnd w:id="1875"/>
      <w:bookmarkEnd w:id="1876"/>
      <w:bookmarkEnd w:id="1878"/>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60" w:line="317"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62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控制</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权时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both"/>
              <w:rPr>
                <w:sz w:val="17"/>
                <w:szCs w:val="17"/>
              </w:rPr>
            </w:pPr>
            <w:r>
              <w:rPr>
                <w:color w:val="000000"/>
                <w:spacing w:val="0"/>
                <w:w w:val="100"/>
                <w:position w:val="0"/>
                <w:sz w:val="17"/>
                <w:szCs w:val="17"/>
              </w:rPr>
              <w:t>处置 价款 与处 置投 资对 应的 合并 财务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控制</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权之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180"/>
              <w:jc w:val="left"/>
              <w:rPr>
                <w:sz w:val="17"/>
                <w:szCs w:val="17"/>
              </w:rPr>
            </w:pPr>
            <w:r>
              <w:rPr>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180"/>
              <w:jc w:val="both"/>
              <w:rPr>
                <w:sz w:val="17"/>
                <w:szCs w:val="17"/>
              </w:rPr>
            </w:pPr>
            <w:r>
              <w:rPr>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1" w:lineRule="exact"/>
              <w:ind w:left="160" w:right="0" w:firstLine="20"/>
              <w:jc w:val="left"/>
              <w:rPr>
                <w:sz w:val="17"/>
                <w:szCs w:val="17"/>
              </w:rPr>
            </w:pPr>
            <w:r>
              <w:rPr>
                <w:color w:val="000000"/>
                <w:spacing w:val="0"/>
                <w:w w:val="100"/>
                <w:position w:val="0"/>
                <w:sz w:val="17"/>
                <w:szCs w:val="17"/>
              </w:rPr>
              <w:t>按照 公允 价值 重新 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丧失 控制 权之 日剩 余股 权公</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与原 子公 司股 权投 资相 关的 其他</w:t>
            </w:r>
          </w:p>
        </w:tc>
      </w:tr>
      <w:tr>
        <w:trPr>
          <w:trHeight w:val="312"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司名 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方式</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权的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点的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日剩</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允价</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综合</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时点</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确定</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层面</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余股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股权</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产生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值的</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收益</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依据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享有</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权的</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确定</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方法</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转入</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的利</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该子</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投资</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得或</w:t>
            </w: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35"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及主</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要假</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损益</w:t>
            </w: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损失</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的金</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设</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-80,50</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东对</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东对</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东增</w:t>
            </w: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注册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资价</w:t>
            </w: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开发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26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月，公司与宁德时代新能源科技股份有限公司（以下简称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宁德时代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）签订《关于福建永福电通技术开发有限公司 之合资协议》，协议约定双方共同认缴福建永福电通技术开发有限公司（以下简称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永福电通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）新增注册资本</w:t>
      </w:r>
      <w:r>
        <w:rPr>
          <w:rFonts w:ascii="Times New Roman" w:eastAsia="Times New Roman" w:hAnsi="Times New Roman" w:cs="Times New Roman"/>
          <w:color w:val="000000"/>
          <w:spacing w:val="0"/>
          <w:w w:val="100"/>
          <w:position w:val="0"/>
          <w:sz w:val="18"/>
          <w:szCs w:val="18"/>
        </w:rPr>
        <w:t>9,500.00</w:t>
      </w:r>
      <w:r>
        <w:rPr>
          <w:color w:val="000000"/>
          <w:spacing w:val="0"/>
          <w:w w:val="100"/>
          <w:position w:val="0"/>
        </w:rPr>
        <w:t>万元。 本次增资分为两步进行，第一步由宁德时代以人民币</w:t>
      </w:r>
      <w:r>
        <w:rPr>
          <w:rFonts w:ascii="Times New Roman" w:eastAsia="Times New Roman" w:hAnsi="Times New Roman" w:cs="Times New Roman"/>
          <w:color w:val="000000"/>
          <w:spacing w:val="0"/>
          <w:w w:val="100"/>
          <w:position w:val="0"/>
          <w:sz w:val="18"/>
          <w:szCs w:val="18"/>
        </w:rPr>
        <w:t>13,711,931.70</w:t>
      </w:r>
      <w:r>
        <w:rPr>
          <w:color w:val="000000"/>
          <w:spacing w:val="0"/>
          <w:w w:val="100"/>
          <w:position w:val="0"/>
        </w:rPr>
        <w:t>元认缴新增注册资本</w:t>
      </w:r>
      <w:r>
        <w:rPr>
          <w:rFonts w:ascii="Times New Roman" w:eastAsia="Times New Roman" w:hAnsi="Times New Roman" w:cs="Times New Roman"/>
          <w:color w:val="000000"/>
          <w:spacing w:val="0"/>
          <w:w w:val="100"/>
          <w:position w:val="0"/>
          <w:sz w:val="18"/>
          <w:szCs w:val="18"/>
        </w:rPr>
        <w:t>7,500,000.00</w:t>
      </w:r>
      <w:r>
        <w:rPr>
          <w:color w:val="000000"/>
          <w:spacing w:val="0"/>
          <w:w w:val="100"/>
          <w:position w:val="0"/>
        </w:rPr>
        <w:t>元，剩余</w:t>
      </w:r>
      <w:r>
        <w:rPr>
          <w:rFonts w:ascii="Times New Roman" w:eastAsia="Times New Roman" w:hAnsi="Times New Roman" w:cs="Times New Roman"/>
          <w:color w:val="000000"/>
          <w:spacing w:val="0"/>
          <w:w w:val="100"/>
          <w:position w:val="0"/>
          <w:sz w:val="18"/>
          <w:szCs w:val="18"/>
        </w:rPr>
        <w:t>6,211,931.70</w:t>
      </w:r>
      <w:r>
        <w:rPr>
          <w:color w:val="000000"/>
          <w:spacing w:val="0"/>
          <w:w w:val="100"/>
          <w:position w:val="0"/>
        </w:rPr>
        <w:t>元 计入资本公积。第二步宁德时代以人民币</w:t>
      </w:r>
      <w:r>
        <w:rPr>
          <w:rFonts w:ascii="Times New Roman" w:eastAsia="Times New Roman" w:hAnsi="Times New Roman" w:cs="Times New Roman"/>
          <w:color w:val="000000"/>
          <w:spacing w:val="0"/>
          <w:w w:val="100"/>
          <w:position w:val="0"/>
          <w:sz w:val="18"/>
          <w:szCs w:val="18"/>
        </w:rPr>
        <w:t>5,250.00</w:t>
      </w:r>
      <w:r>
        <w:rPr>
          <w:color w:val="000000"/>
          <w:spacing w:val="0"/>
          <w:w w:val="100"/>
          <w:position w:val="0"/>
        </w:rPr>
        <w:t>万元认缴新增注册资本</w:t>
      </w:r>
      <w:r>
        <w:rPr>
          <w:rFonts w:ascii="Times New Roman" w:eastAsia="Times New Roman" w:hAnsi="Times New Roman" w:cs="Times New Roman"/>
          <w:color w:val="000000"/>
          <w:spacing w:val="0"/>
          <w:w w:val="100"/>
          <w:position w:val="0"/>
          <w:sz w:val="18"/>
          <w:szCs w:val="18"/>
        </w:rPr>
        <w:t>5,250.00</w:t>
      </w:r>
      <w:r>
        <w:rPr>
          <w:color w:val="000000"/>
          <w:spacing w:val="0"/>
          <w:w w:val="100"/>
          <w:position w:val="0"/>
        </w:rPr>
        <w:t>万元；同时，公司以人民币</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万元认 缴新增注册资本</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万元。本次新增注册资本均已实缴。本次增资完成后，公司持有永福电通原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股权减少至</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 权，宁德时代持有永福电通</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股权。永福电通更名为时代永福科技有限公司。</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是"否</w:t>
      </w:r>
    </w:p>
    <w:p>
      <w:pPr>
        <w:pStyle w:val="Style32"/>
        <w:keepNext/>
        <w:keepLines/>
        <w:widowControl w:val="0"/>
        <w:shd w:val="clear" w:color="auto" w:fill="auto"/>
        <w:bidi w:val="0"/>
        <w:spacing w:before="0" w:after="2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5</w:t>
      </w:r>
      <w:bookmarkEnd w:id="1881"/>
      <w:r>
        <w:rPr>
          <w:color w:val="000000"/>
          <w:spacing w:val="0"/>
          <w:w w:val="100"/>
          <w:position w:val="0"/>
        </w:rPr>
        <w:t>、其他原因的合并范围变动</w:t>
      </w:r>
      <w:bookmarkEnd w:id="1879"/>
      <w:bookmarkEnd w:id="1880"/>
      <w:bookmarkEnd w:id="1882"/>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日，公司设立子公司福建众帆新能源有限公司，注册资本为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日，公司设立子公司福建福帆新能源有限公司，注册资本为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日，公司设立子公司德庆丰帆新能源有限公司，注册资本为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日，公司设立子公司德庆旭帆新能源有限公司，注册资本为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日，公司设立子公司德庆亿帆新能源有限公司，注册资本为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。截至转让日，公司尚未实际出资，子公司尚未经营。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日，公司全资子公司福建众帆新能源 有限公司将其持有的德庆亿帆新能源有限公司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元转让给时代永福科技有限公司。</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日，公司设立子公司福建兆帆新能源有限公司，注册资本为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日，公司设立子公司福建沧海新能源有限公司，注册资本为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日，公司设立子公司福建旭帆新能源有限公司，注册资本为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日，公司设立子公司福建三帆新能源有限公司，注册资本为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福建三帆新能源有限公司股权。</w:t>
      </w:r>
    </w:p>
    <w:p>
      <w:pPr>
        <w:pStyle w:val="Style18"/>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日转让持有的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福建灿帆新能源有限公司股权。</w:t>
      </w:r>
    </w:p>
    <w:p>
      <w:pPr>
        <w:pStyle w:val="Style18"/>
        <w:keepNext w:val="0"/>
        <w:keepLines w:val="0"/>
        <w:widowControl w:val="0"/>
        <w:shd w:val="clear" w:color="auto" w:fill="auto"/>
        <w:bidi w:val="0"/>
        <w:spacing w:before="0" w:after="0" w:line="314" w:lineRule="exact"/>
        <w:ind w:left="0" w:right="0" w:firstLine="380"/>
        <w:jc w:val="left"/>
        <w:sectPr>
          <w:footnotePr>
            <w:pos w:val="pageBottom"/>
            <w:numFmt w:val="decimal"/>
            <w:numRestart w:val="continuous"/>
          </w:footnotePr>
          <w:pgSz w:w="11900" w:h="16840"/>
          <w:pgMar w:top="1520" w:right="1041" w:bottom="1439"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日，公司设立子公司福建昌帆新能源有限公司，注册资本为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日，公司设立子公司宜阳县昌帆新能源有限公司，注册资本为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日，公司设立子公司吴忠市三帆新能源有限公司，注册资本为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日，公司设立子公司赣州亿帆新能源有限公司，注册资本为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日，公司设立子公司威海百帆新能源有限公司，注册资本为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日，公司设立子公司海南昌江福帆新能源有限公司，注册资本为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日，公司设立子公司石嘴山福捷新能源有限公司，注册资本为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 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日，公司设立子公司北京慧创新能源有限公司，注册资本为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 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日，公司设立子公司石嘴山隆惠昌光伏发电有限公司，注册资本为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日，公司设立子公司石嘴山珠友旭能源发展有限公司，注册资本为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日，公司设立子公司保定福骏新能源科技有限公司，注册资本为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18"/>
        <w:keepNext w:val="0"/>
        <w:keepLines w:val="0"/>
        <w:widowControl w:val="0"/>
        <w:shd w:val="clear" w:color="auto" w:fill="auto"/>
        <w:bidi w:val="0"/>
        <w:spacing w:before="0" w:after="380"/>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日，公司设立子公司河北卓晖新能源有限公司，注册资本为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32"/>
        <w:keepNext/>
        <w:keepLines/>
        <w:widowControl w:val="0"/>
        <w:shd w:val="clear" w:color="auto" w:fill="auto"/>
        <w:bidi w:val="0"/>
        <w:spacing w:before="0" w:after="34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6</w:t>
      </w:r>
      <w:bookmarkEnd w:id="1885"/>
      <w:r>
        <w:rPr>
          <w:color w:val="000000"/>
          <w:spacing w:val="0"/>
          <w:w w:val="100"/>
          <w:position w:val="0"/>
        </w:rPr>
        <w:t>、其他</w:t>
      </w:r>
      <w:bookmarkEnd w:id="1883"/>
      <w:bookmarkEnd w:id="1884"/>
      <w:bookmarkEnd w:id="1886"/>
    </w:p>
    <w:p>
      <w:pPr>
        <w:pStyle w:val="Style22"/>
        <w:keepNext/>
        <w:keepLines/>
        <w:widowControl w:val="0"/>
        <w:shd w:val="clear" w:color="auto" w:fill="auto"/>
        <w:bidi w:val="0"/>
        <w:spacing w:before="0" w:after="34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sz w:val="24"/>
          <w:szCs w:val="24"/>
        </w:rPr>
        <w:t>九</w:t>
      </w:r>
      <w:bookmarkEnd w:id="1889"/>
      <w:r>
        <w:rPr>
          <w:color w:val="000000"/>
          <w:spacing w:val="0"/>
          <w:w w:val="100"/>
          <w:position w:val="0"/>
          <w:sz w:val="24"/>
          <w:szCs w:val="24"/>
        </w:rPr>
        <w:t>、在其他主体中的权益</w:t>
      </w:r>
      <w:bookmarkEnd w:id="1887"/>
      <w:bookmarkEnd w:id="1888"/>
      <w:bookmarkEnd w:id="1890"/>
    </w:p>
    <w:p>
      <w:pPr>
        <w:pStyle w:val="Style32"/>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91"/>
      <w:bookmarkEnd w:id="1892"/>
      <w:bookmarkEnd w:id="1893"/>
    </w:p>
    <w:p>
      <w:pPr>
        <w:pStyle w:val="Style50"/>
        <w:keepNext/>
        <w:keepLines/>
        <w:widowControl w:val="0"/>
        <w:shd w:val="clear" w:color="auto" w:fill="auto"/>
        <w:bidi w:val="0"/>
        <w:spacing w:before="0" w:after="340" w:line="240" w:lineRule="auto"/>
        <w:ind w:left="0" w:right="0" w:firstLine="0"/>
        <w:jc w:val="left"/>
      </w:pPr>
      <w:bookmarkStart w:id="1894" w:name="bookmark1894"/>
      <w:bookmarkStart w:id="1895" w:name="bookmark1895"/>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4"/>
      <w:bookmarkEnd w:id="1895"/>
      <w:bookmarkEnd w:id="1896"/>
    </w:p>
    <w:tbl>
      <w:tblPr>
        <w:tblOverlap w:val="never"/>
        <w:jc w:val="center"/>
        <w:tblLayout w:type="fixed"/>
      </w:tblPr>
      <w:tblGrid>
        <w:gridCol w:w="2885"/>
        <w:gridCol w:w="1008"/>
        <w:gridCol w:w="989"/>
        <w:gridCol w:w="1229"/>
        <w:gridCol w:w="1080"/>
        <w:gridCol w:w="1022"/>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主要经营 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福建永福铁塔技术开发有限公司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福州新创机电设备有限公司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福建永福创智能源管理有限公司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福建华超信息科技有限公司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专业技术服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bl>
    <w:p>
      <w:pPr>
        <w:sectPr>
          <w:footnotePr>
            <w:pos w:val="pageBottom"/>
            <w:numFmt w:val="decimal"/>
            <w:numRestart w:val="continuous"/>
          </w:footnotePr>
          <w:pgSz w:w="11900" w:h="16840"/>
          <w:pgMar w:top="985" w:right="1018" w:bottom="1201" w:left="1066" w:header="0" w:footer="3" w:gutter="0"/>
          <w:cols w:space="720"/>
          <w:noEndnote/>
          <w:rtlGutter w:val="0"/>
          <w:docGrid w:linePitch="360"/>
        </w:sectPr>
      </w:pPr>
    </w:p>
    <w:tbl>
      <w:tblPr>
        <w:tblOverlap w:val="never"/>
        <w:jc w:val="center"/>
        <w:tblLayout w:type="fixed"/>
      </w:tblPr>
      <w:tblGrid>
        <w:gridCol w:w="2885"/>
        <w:gridCol w:w="1008"/>
        <w:gridCol w:w="989"/>
        <w:gridCol w:w="1229"/>
        <w:gridCol w:w="1080"/>
        <w:gridCol w:w="1022"/>
        <w:gridCol w:w="1378"/>
      </w:tblGrid>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SINGAPORE 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DEVELOPMENT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ONE SINGAPORE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ENERGY DEVELOPMENT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TWO VITNAM 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DEVELOPMENT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越南胡志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越南胡志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VIETNAM YONGFU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OPERATION AND</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MAINTENANCE 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越南胡志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越南胡志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专业技术服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THREE SINGAPORE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ENERGY DEVELOPMENT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PHILIPPINE 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MANAGEMENT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菲律宾马 尼拉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菲律宾马 尼拉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福建永福新能电力投资有限公司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福建帆顺新能源有限公司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福建百帆新能源有限公司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福建众帆新能源有限公司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福建兆帆新能源有限公司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福建沧海新能源有限公司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福建旭帆新能源有限公司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885"/>
        <w:gridCol w:w="1008"/>
        <w:gridCol w:w="989"/>
        <w:gridCol w:w="1229"/>
        <w:gridCol w:w="1080"/>
        <w:gridCol w:w="1022"/>
        <w:gridCol w:w="1378"/>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福建三帆新能源有限公司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福建昌帆新能源有限公司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赣州亿帆新能源有限公司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中国江西 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中国江西 赣州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威海百帆新能源有限公司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山东威海 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山东威海 乳山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德庆丰帆新能源有限公司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中国广东 肇庆市德 庆县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中国广东 肇庆市德 庆县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吴忠市三帆新能源有限公司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中国宁夏 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中国宁夏 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宜阳县昌帆新能源有限公司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河南洛阳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宜阳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河南洛阳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宜阳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石嘴山福捷新能源有限公司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中国宁夏 石嘴山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中国宁夏 石嘴山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北京慧创新能源有限公司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河北卓晖新能源有限公司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河北省张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家口市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河北省张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家口市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石嘴山隆惠昌光伏发电有限公司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石嘴山珠友旭能源发展有限公司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德庆旭帆新能源有限公司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中国广东 肇庆市德 庆县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中国广东 肇庆市德 庆县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海南昌江福帆新能源有限公司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中国海南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昌江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中国海南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昌江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保定福骏新能源科技有限公司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中国河北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中国河北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福建永福运维科技有限公司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BANGLADESH YONGFU</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OPERATION AND</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MAINTENANCE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中国四川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w:t>
            </w:r>
          </w:p>
        </w:tc>
      </w:tr>
    </w:tbl>
    <w:p>
      <w:pPr>
        <w:spacing w:lineRule="exact" w:line="1"/>
        <w:rPr>
          <w:sz w:val="2"/>
          <w:szCs w:val="2"/>
        </w:rPr>
      </w:pPr>
      <w:r>
        <w:br w:type="page"/>
      </w:r>
    </w:p>
    <w:tbl>
      <w:tblPr>
        <w:tblOverlap w:val="never"/>
        <w:jc w:val="center"/>
        <w:tblLayout w:type="fixed"/>
      </w:tblPr>
      <w:tblGrid>
        <w:gridCol w:w="2885"/>
        <w:gridCol w:w="1008"/>
        <w:gridCol w:w="989"/>
        <w:gridCol w:w="1229"/>
        <w:gridCol w:w="1080"/>
        <w:gridCol w:w="1022"/>
        <w:gridCol w:w="1378"/>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上海毅昊自动化有限公司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福建永帆风电科技有限公司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福思威特（福建）电力工程有限公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中国福建 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专业技术服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中国四川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中国四川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攀枝花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能源生产与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供应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7"/>
      <w:bookmarkEnd w:id="1898"/>
      <w:bookmarkEnd w:id="18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73"/>
        <w:gridCol w:w="1814"/>
        <w:gridCol w:w="1589"/>
        <w:gridCol w:w="1637"/>
        <w:gridCol w:w="137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 股东的损益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宣告分派的股利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期末少数股东 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福建华超信息科技有限公司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-1,066,318.08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5,084,191.44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2,255,989.83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上海毅昊信息科技股份有限公司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-2,171,850.77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1,305,329.71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-8,571,448.12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-8,166,643.82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806,498.13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1,632,480.56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攀枝花三能新能源有限公司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271,560.87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39,766,510.51</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00"/>
      <w:bookmarkEnd w:id="1901"/>
      <w:bookmarkEnd w:id="1903"/>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5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 华超 信息 科技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,855.0</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37,405 </w:t>
            </w:r>
            <w:r>
              <w:rPr>
                <w:rFonts w:ascii="Times New Roman" w:eastAsia="Times New Roman" w:hAnsi="Times New Roman" w:cs="Times New Roman"/>
                <w:color w:val="000000"/>
                <w:spacing w:val="0"/>
                <w:w w:val="100"/>
                <w:position w:val="0"/>
                <w:sz w:val="18"/>
                <w:szCs w:val="18"/>
              </w:rPr>
              <w:t xml:space="preserve">,635.4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25,552 </w:t>
            </w:r>
            <w:r>
              <w:rPr>
                <w:rFonts w:ascii="Times New Roman" w:eastAsia="Times New Roman" w:hAnsi="Times New Roman" w:cs="Times New Roman"/>
                <w:color w:val="000000"/>
                <w:spacing w:val="0"/>
                <w:w w:val="100"/>
                <w:position w:val="0"/>
                <w:sz w:val="18"/>
                <w:szCs w:val="18"/>
              </w:rPr>
              <w:t xml:space="preserve">,029.7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27,029 </w:t>
            </w:r>
            <w:r>
              <w:rPr>
                <w:rFonts w:ascii="Times New Roman" w:eastAsia="Times New Roman" w:hAnsi="Times New Roman" w:cs="Times New Roman"/>
                <w:color w:val="000000"/>
                <w:spacing w:val="0"/>
                <w:w w:val="100"/>
                <w:position w:val="0"/>
                <w:sz w:val="18"/>
                <w:szCs w:val="18"/>
              </w:rPr>
              <w:t xml:space="preserve">,734.5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39,038 </w:t>
            </w:r>
            <w:r>
              <w:rPr>
                <w:rFonts w:ascii="Times New Roman" w:eastAsia="Times New Roman" w:hAnsi="Times New Roman" w:cs="Times New Roman"/>
                <w:color w:val="000000"/>
                <w:spacing w:val="0"/>
                <w:w w:val="100"/>
                <w:position w:val="0"/>
                <w:sz w:val="18"/>
                <w:szCs w:val="18"/>
              </w:rPr>
              <w:t xml:space="preserve">,971.7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27,013 </w:t>
            </w:r>
            <w:r>
              <w:rPr>
                <w:rFonts w:ascii="Times New Roman" w:eastAsia="Times New Roman" w:hAnsi="Times New Roman" w:cs="Times New Roman"/>
                <w:color w:val="000000"/>
                <w:spacing w:val="0"/>
                <w:w w:val="100"/>
                <w:position w:val="0"/>
                <w:sz w:val="18"/>
                <w:szCs w:val="18"/>
              </w:rPr>
              <w:t xml:space="preserve">,194.2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27,013 </w:t>
            </w:r>
            <w:r>
              <w:rPr>
                <w:rFonts w:ascii="Times New Roman" w:eastAsia="Times New Roman" w:hAnsi="Times New Roman" w:cs="Times New Roman"/>
                <w:color w:val="000000"/>
                <w:spacing w:val="0"/>
                <w:w w:val="100"/>
                <w:position w:val="0"/>
                <w:sz w:val="18"/>
                <w:szCs w:val="18"/>
              </w:rPr>
              <w:t xml:space="preserve">,194.2 </w:t>
            </w:r>
            <w:r>
              <w:rPr>
                <w:rFonts w:ascii="Times New Roman" w:eastAsia="Times New Roman" w:hAnsi="Times New Roman" w:cs="Times New Roman"/>
                <w:color w:val="000000"/>
                <w:spacing w:val="0"/>
                <w:w w:val="100"/>
                <w:position w:val="0"/>
                <w:sz w:val="18"/>
                <w:szCs w:val="18"/>
              </w:rPr>
              <w:t>7</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 云能 水利 电力 工程 咨询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39,523 </w:t>
            </w:r>
            <w:r>
              <w:rPr>
                <w:rFonts w:ascii="Times New Roman" w:eastAsia="Times New Roman" w:hAnsi="Times New Roman" w:cs="Times New Roman"/>
                <w:color w:val="000000"/>
                <w:spacing w:val="0"/>
                <w:w w:val="100"/>
                <w:position w:val="0"/>
                <w:sz w:val="18"/>
                <w:szCs w:val="18"/>
              </w:rPr>
              <w:t xml:space="preserve">,183.0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30,445 </w:t>
            </w:r>
            <w:r>
              <w:rPr>
                <w:rFonts w:ascii="Times New Roman" w:eastAsia="Times New Roman" w:hAnsi="Times New Roman" w:cs="Times New Roman"/>
                <w:color w:val="000000"/>
                <w:spacing w:val="0"/>
                <w:w w:val="100"/>
                <w:position w:val="0"/>
                <w:sz w:val="18"/>
                <w:szCs w:val="18"/>
              </w:rPr>
              <w:t xml:space="preserve">,488.0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31,466 </w:t>
            </w:r>
            <w:r>
              <w:rPr>
                <w:rFonts w:ascii="Times New Roman" w:eastAsia="Times New Roman" w:hAnsi="Times New Roman" w:cs="Times New Roman"/>
                <w:color w:val="000000"/>
                <w:spacing w:val="0"/>
                <w:w w:val="100"/>
                <w:position w:val="0"/>
                <w:sz w:val="18"/>
                <w:szCs w:val="18"/>
              </w:rPr>
              <w:t xml:space="preserve">,076.5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27,713 </w:t>
            </w:r>
            <w:r>
              <w:rPr>
                <w:rFonts w:ascii="Times New Roman" w:eastAsia="Times New Roman" w:hAnsi="Times New Roman" w:cs="Times New Roman"/>
                <w:color w:val="000000"/>
                <w:spacing w:val="0"/>
                <w:w w:val="100"/>
                <w:position w:val="0"/>
                <w:sz w:val="18"/>
                <w:szCs w:val="18"/>
              </w:rPr>
              <w:t xml:space="preserve">,128.8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毅昊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信息</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629,94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13,205 </w:t>
            </w:r>
            <w:r>
              <w:rPr>
                <w:rFonts w:ascii="Times New Roman" w:eastAsia="Times New Roman" w:hAnsi="Times New Roman" w:cs="Times New Roman"/>
                <w:color w:val="000000"/>
                <w:spacing w:val="0"/>
                <w:w w:val="100"/>
                <w:position w:val="0"/>
                <w:sz w:val="18"/>
                <w:szCs w:val="18"/>
              </w:rPr>
              <w:t xml:space="preserve">,575.7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 永福 工程 科技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25,718</w:t>
            </w:r>
          </w:p>
          <w:p>
            <w:pPr>
              <w:pStyle w:val="Style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p>
            <w:pPr>
              <w:pStyle w:val="Style2"/>
              <w:keepNext w:val="0"/>
              <w:keepLines w:val="0"/>
              <w:widowControl w:val="0"/>
              <w:shd w:val="clear" w:color="auto" w:fill="auto"/>
              <w:bidi w:val="0"/>
              <w:spacing w:before="0" w:after="12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11,781 </w:t>
            </w:r>
            <w:r>
              <w:rPr>
                <w:rFonts w:ascii="Times New Roman" w:eastAsia="Times New Roman" w:hAnsi="Times New Roman" w:cs="Times New Roman"/>
                <w:color w:val="000000"/>
                <w:spacing w:val="0"/>
                <w:w w:val="100"/>
                <w:position w:val="0"/>
                <w:sz w:val="18"/>
                <w:szCs w:val="18"/>
              </w:rPr>
              <w:t xml:space="preserve">,902.3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12,825 </w:t>
            </w:r>
            <w:r>
              <w:rPr>
                <w:rFonts w:ascii="Times New Roman" w:eastAsia="Times New Roman" w:hAnsi="Times New Roman" w:cs="Times New Roman"/>
                <w:color w:val="000000"/>
                <w:spacing w:val="0"/>
                <w:w w:val="100"/>
                <w:position w:val="0"/>
                <w:sz w:val="18"/>
                <w:szCs w:val="18"/>
              </w:rPr>
              <w:t xml:space="preserve">,424.0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11,999 </w:t>
            </w:r>
            <w:r>
              <w:rPr>
                <w:rFonts w:ascii="Times New Roman" w:eastAsia="Times New Roman" w:hAnsi="Times New Roman" w:cs="Times New Roman"/>
                <w:color w:val="000000"/>
                <w:spacing w:val="0"/>
                <w:w w:val="100"/>
                <w:position w:val="0"/>
                <w:sz w:val="18"/>
                <w:szCs w:val="18"/>
              </w:rPr>
              <w:t xml:space="preserve">,292.8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11,999 </w:t>
            </w:r>
            <w:r>
              <w:rPr>
                <w:rFonts w:ascii="Times New Roman" w:eastAsia="Times New Roman" w:hAnsi="Times New Roman" w:cs="Times New Roman"/>
                <w:color w:val="000000"/>
                <w:spacing w:val="0"/>
                <w:w w:val="100"/>
                <w:position w:val="0"/>
                <w:sz w:val="18"/>
                <w:szCs w:val="18"/>
              </w:rPr>
              <w:t xml:space="preserve">,292.8 </w:t>
            </w:r>
            <w:r>
              <w:rPr>
                <w:rFonts w:ascii="Times New Roman" w:eastAsia="Times New Roman" w:hAnsi="Times New Roman" w:cs="Times New Roman"/>
                <w:color w:val="000000"/>
                <w:spacing w:val="0"/>
                <w:w w:val="100"/>
                <w:position w:val="0"/>
                <w:sz w:val="18"/>
                <w:szCs w:val="18"/>
              </w:rPr>
              <w:t>6</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 永福 信息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17,504 </w:t>
            </w:r>
            <w:r>
              <w:rPr>
                <w:rFonts w:ascii="Times New Roman" w:eastAsia="Times New Roman" w:hAnsi="Times New Roman" w:cs="Times New Roman"/>
                <w:color w:val="000000"/>
                <w:spacing w:val="0"/>
                <w:w w:val="100"/>
                <w:position w:val="0"/>
                <w:sz w:val="18"/>
                <w:szCs w:val="18"/>
              </w:rPr>
              <w:t xml:space="preserve">,287.5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22,829</w:t>
            </w:r>
          </w:p>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,899.2</w:t>
            </w:r>
          </w:p>
          <w:p>
            <w:pPr>
              <w:pStyle w:val="Style2"/>
              <w:keepNext w:val="0"/>
              <w:keepLines w:val="0"/>
              <w:widowControl w:val="0"/>
              <w:shd w:val="clear" w:color="auto" w:fill="auto"/>
              <w:bidi w:val="0"/>
              <w:spacing w:before="0" w:after="12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19,255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19,498 </w:t>
            </w:r>
            <w:r>
              <w:rPr>
                <w:rFonts w:ascii="Times New Roman" w:eastAsia="Times New Roman" w:hAnsi="Times New Roman" w:cs="Times New Roman"/>
                <w:color w:val="000000"/>
                <w:spacing w:val="0"/>
                <w:w w:val="100"/>
                <w:position w:val="0"/>
                <w:sz w:val="18"/>
                <w:szCs w:val="18"/>
              </w:rPr>
              <w:t xml:space="preserve">,306.2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508.90</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攀枝 花三 能新 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7,971.</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7,106.</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25,874 </w:t>
            </w:r>
            <w:r>
              <w:rPr>
                <w:rFonts w:ascii="Times New Roman" w:eastAsia="Times New Roman" w:hAnsi="Times New Roman" w:cs="Times New Roman"/>
                <w:color w:val="000000"/>
                <w:spacing w:val="0"/>
                <w:w w:val="100"/>
                <w:position w:val="0"/>
                <w:sz w:val="18"/>
                <w:szCs w:val="18"/>
              </w:rPr>
              <w:t xml:space="preserve">,109.0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福建华超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17,571,812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-2,176,159.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-2,176,159.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-2,075,492.</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32,657,684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2,927,037.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2,927,037.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四川云能 水利电力 工程咨询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24,620,887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-158,267.5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19,996,660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-1,920,929.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-1,920,929.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上海毅昊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2,843,279.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-4,432,348.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-4,432,348.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-2,967,896.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-3,487,610.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-3,487,610.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247,809.05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福建永福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工程科技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105,082,03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-17,492,75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1,340,639.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33,904,949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740,613.61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福建永福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信息科技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33,366,140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1,645,914.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1,645,914.</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-4,420,148.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-4,486,331.</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-4,486,331.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攀枝花三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能新能源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554,205.86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554,205.86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-87,897.94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上海毅昊信息科技股份有限公司财务数据包括其及其全资子公司上海毅昊自动化有限公司。</w:t>
      </w:r>
    </w:p>
    <w:p>
      <w:pPr>
        <w:pStyle w:val="Style50"/>
        <w:keepNext/>
        <w:keepLines/>
        <w:widowControl w:val="0"/>
        <w:shd w:val="clear" w:color="auto" w:fill="auto"/>
        <w:tabs>
          <w:tab w:pos="493" w:val="left"/>
        </w:tabs>
        <w:bidi w:val="0"/>
        <w:spacing w:before="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04"/>
      <w:bookmarkEnd w:id="1905"/>
      <w:bookmarkEnd w:id="1907"/>
    </w:p>
    <w:p>
      <w:pPr>
        <w:pStyle w:val="Style50"/>
        <w:keepNext/>
        <w:keepLines/>
        <w:widowControl w:val="0"/>
        <w:shd w:val="clear" w:color="auto" w:fill="auto"/>
        <w:tabs>
          <w:tab w:pos="493"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08"/>
      <w:bookmarkEnd w:id="1909"/>
      <w:bookmarkEnd w:id="191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bookmarkEnd w:id="1914"/>
      <w:r>
        <w:rPr>
          <w:color w:val="000000"/>
          <w:spacing w:val="0"/>
          <w:w w:val="100"/>
          <w:position w:val="0"/>
        </w:rPr>
        <w:t>、在子公司的所有者权益份额发生变化且仍控制子公司的交易</w:t>
      </w:r>
      <w:bookmarkEnd w:id="1912"/>
      <w:bookmarkEnd w:id="1913"/>
      <w:bookmarkEnd w:id="1915"/>
    </w:p>
    <w:p>
      <w:pPr>
        <w:pStyle w:val="Style50"/>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916"/>
      <w:bookmarkEnd w:id="1917"/>
      <w:bookmarkEnd w:id="1918"/>
    </w:p>
    <w:p>
      <w:pPr>
        <w:pStyle w:val="Style18"/>
        <w:keepNext w:val="0"/>
        <w:keepLines w:val="0"/>
        <w:widowControl w:val="0"/>
        <w:shd w:val="clear" w:color="auto" w:fill="auto"/>
        <w:bidi w:val="0"/>
        <w:spacing w:before="0" w:after="380" w:line="240" w:lineRule="auto"/>
        <w:ind w:left="0" w:right="0" w:firstLine="380"/>
        <w:jc w:val="left"/>
        <w:sectPr>
          <w:footnotePr>
            <w:pos w:val="pageBottom"/>
            <w:numFmt w:val="decimal"/>
            <w:numRestart w:val="continuous"/>
          </w:footnotePr>
          <w:pgSz w:w="11900" w:h="16840"/>
          <w:pgMar w:top="1541" w:right="1139" w:bottom="1451" w:left="1075" w:header="0" w:footer="3" w:gutter="0"/>
          <w:cols w:space="720"/>
          <w:noEndnote/>
          <w:rtlGutter w:val="0"/>
          <w:docGrid w:linePitch="360"/>
        </w:sectPr>
      </w:pPr>
      <w:r>
        <w:rPr>
          <w:color w:val="000000"/>
          <w:spacing w:val="0"/>
          <w:w w:val="100"/>
          <w:position w:val="0"/>
        </w:rPr>
        <w:t>①公司持有子公司福思威特（福建）电力工程有限公司股权变化情况的说明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09"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0" w:line="309"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月，公司与福州高新区国有资产营运有限公司签订《福思威特（福建）电力工程有限公司增资扩股协议》，协议 约定福州高新区国有资产营运有限公司以现金</w:t>
      </w:r>
      <w:r>
        <w:rPr>
          <w:rFonts w:ascii="Times New Roman" w:eastAsia="Times New Roman" w:hAnsi="Times New Roman" w:cs="Times New Roman"/>
          <w:color w:val="000000"/>
          <w:spacing w:val="0"/>
          <w:w w:val="100"/>
          <w:position w:val="0"/>
          <w:sz w:val="18"/>
          <w:szCs w:val="18"/>
        </w:rPr>
        <w:t>642.86</w:t>
      </w:r>
      <w:r>
        <w:rPr>
          <w:color w:val="000000"/>
          <w:spacing w:val="0"/>
          <w:w w:val="100"/>
          <w:position w:val="0"/>
        </w:rPr>
        <w:t>万元向福思威特（福建）电力工程有限公司进行增资。</w:t>
      </w:r>
    </w:p>
    <w:p>
      <w:pPr>
        <w:pStyle w:val="Style18"/>
        <w:keepNext w:val="0"/>
        <w:keepLines w:val="0"/>
        <w:widowControl w:val="0"/>
        <w:shd w:val="clear" w:color="auto" w:fill="auto"/>
        <w:bidi w:val="0"/>
        <w:spacing w:before="0" w:after="0" w:line="309" w:lineRule="exact"/>
        <w:ind w:left="0" w:right="0" w:firstLine="420"/>
        <w:jc w:val="both"/>
      </w:pPr>
      <w:r>
        <w:rPr>
          <w:color w:val="000000"/>
          <w:spacing w:val="0"/>
          <w:w w:val="100"/>
          <w:position w:val="0"/>
        </w:rPr>
        <w:t>本次增资前，福思威特（福建）电力工程有限公司的注册资为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万元，公司持有其</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万元的股权，占比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18"/>
        <w:keepNext w:val="0"/>
        <w:keepLines w:val="0"/>
        <w:widowControl w:val="0"/>
        <w:shd w:val="clear" w:color="auto" w:fill="auto"/>
        <w:bidi w:val="0"/>
        <w:spacing w:before="0" w:after="0" w:line="309" w:lineRule="exact"/>
        <w:ind w:left="0" w:right="0" w:firstLine="420"/>
        <w:jc w:val="both"/>
      </w:pPr>
      <w:r>
        <w:rPr>
          <w:color w:val="000000"/>
          <w:spacing w:val="0"/>
          <w:w w:val="100"/>
          <w:position w:val="0"/>
        </w:rPr>
        <w:t>本次增资完成后，福思威特（福建）电力工程有限公司的注册资本为</w:t>
      </w:r>
      <w:r>
        <w:rPr>
          <w:rFonts w:ascii="Times New Roman" w:eastAsia="Times New Roman" w:hAnsi="Times New Roman" w:cs="Times New Roman"/>
          <w:color w:val="000000"/>
          <w:spacing w:val="0"/>
          <w:w w:val="100"/>
          <w:position w:val="0"/>
          <w:sz w:val="18"/>
          <w:szCs w:val="18"/>
        </w:rPr>
        <w:t>1,428.58</w:t>
      </w:r>
      <w:r>
        <w:rPr>
          <w:color w:val="000000"/>
          <w:spacing w:val="0"/>
          <w:w w:val="100"/>
          <w:position w:val="0"/>
        </w:rPr>
        <w:t>万元，公司持有其</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万元的股权，占 比</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w:t>
      </w:r>
    </w:p>
    <w:p>
      <w:pPr>
        <w:pStyle w:val="Style18"/>
        <w:keepNext w:val="0"/>
        <w:keepLines w:val="0"/>
        <w:widowControl w:val="0"/>
        <w:shd w:val="clear" w:color="auto" w:fill="auto"/>
        <w:bidi w:val="0"/>
        <w:spacing w:before="0" w:after="0" w:line="309" w:lineRule="exact"/>
        <w:ind w:left="0" w:right="0" w:firstLine="420"/>
        <w:jc w:val="both"/>
      </w:pPr>
      <w:r>
        <w:rPr>
          <w:color w:val="000000"/>
          <w:spacing w:val="0"/>
          <w:w w:val="100"/>
          <w:position w:val="0"/>
        </w:rPr>
        <w:t>②公司持有子公司四川云能水利电力工程咨询有限公司股权变化</w:t>
      </w:r>
    </w:p>
    <w:p>
      <w:pPr>
        <w:pStyle w:val="Style18"/>
        <w:keepNext w:val="0"/>
        <w:keepLines w:val="0"/>
        <w:widowControl w:val="0"/>
        <w:shd w:val="clear" w:color="auto" w:fill="auto"/>
        <w:bidi w:val="0"/>
        <w:spacing w:before="0" w:after="0" w:line="309"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月，公司与四川云能水利电力工程咨询有限公司签订《四川云能水利电力工程咨询有限公司增资协议》，协议约 定公司认缴四川云能水利电力工程咨询有限公司新增注册资本</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w:t>
      </w:r>
    </w:p>
    <w:p>
      <w:pPr>
        <w:pStyle w:val="Style18"/>
        <w:keepNext w:val="0"/>
        <w:keepLines w:val="0"/>
        <w:widowControl w:val="0"/>
        <w:shd w:val="clear" w:color="auto" w:fill="auto"/>
        <w:bidi w:val="0"/>
        <w:spacing w:before="0" w:after="0" w:line="309" w:lineRule="exact"/>
        <w:ind w:left="0" w:right="0" w:firstLine="420"/>
        <w:jc w:val="both"/>
      </w:pPr>
      <w:r>
        <w:rPr>
          <w:color w:val="000000"/>
          <w:spacing w:val="0"/>
          <w:w w:val="100"/>
          <w:position w:val="0"/>
        </w:rPr>
        <w:t>本次增资前，四川云能水利电力工程咨询有限公司注册资本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万元，公司认缴注册资本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w:t>
      </w:r>
    </w:p>
    <w:p>
      <w:pPr>
        <w:pStyle w:val="Style18"/>
        <w:keepNext w:val="0"/>
        <w:keepLines w:val="0"/>
        <w:widowControl w:val="0"/>
        <w:shd w:val="clear" w:color="auto" w:fill="auto"/>
        <w:bidi w:val="0"/>
        <w:spacing w:before="0" w:after="380" w:line="309" w:lineRule="exact"/>
        <w:ind w:left="0" w:right="0" w:firstLine="420"/>
        <w:jc w:val="both"/>
      </w:pPr>
      <w:r>
        <w:rPr>
          <w:color w:val="000000"/>
          <w:spacing w:val="0"/>
          <w:w w:val="100"/>
          <w:position w:val="0"/>
        </w:rPr>
        <w:t>本次增资完成后，四川云能水利电力工程咨询有限公司注册资本</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万元，公司认缴注册资本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,520.00</w:t>
      </w:r>
      <w:r>
        <w:rPr>
          <w:color w:val="000000"/>
          <w:spacing w:val="0"/>
          <w:w w:val="100"/>
          <w:position w:val="0"/>
        </w:rPr>
        <w:t xml:space="preserve">万元，占比 </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w:t>
      </w:r>
    </w:p>
    <w:p>
      <w:pPr>
        <w:pStyle w:val="Style50"/>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919"/>
      <w:bookmarkEnd w:id="1920"/>
      <w:bookmarkEnd w:id="19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四川云能水利电力工程咨询有限公司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福思威特（福建）电力工程有限公司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7,830,000.00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8"/>
                <w:szCs w:val="8"/>
              </w:rPr>
            </w:pPr>
            <w:r>
              <w:rPr>
                <w:color w:val="FF0000"/>
                <w:spacing w:val="0"/>
                <w:w w:val="100"/>
                <w:position w:val="0"/>
                <w:sz w:val="9"/>
                <w:szCs w:val="9"/>
              </w:rPr>
              <w:t>注</w:t>
            </w:r>
            <w:r>
              <w:rPr>
                <w:rFonts w:ascii="Calibri" w:eastAsia="Calibri" w:hAnsi="Calibri" w:cs="Calibri"/>
                <w:color w:val="FF0000"/>
                <w:spacing w:val="0"/>
                <w:w w:val="100"/>
                <w:position w:val="0"/>
                <w:sz w:val="8"/>
                <w:szCs w:val="8"/>
              </w:rPr>
              <w:t>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 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6,778,871.74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1,297,140.40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1,051,128.26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-1,297,140.40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-1,051,128.26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1,297,140.40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注：注①新股东对注册资本增资，无处置对价</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3</w:t>
      </w:r>
      <w:bookmarkEnd w:id="1924"/>
      <w:r>
        <w:rPr>
          <w:color w:val="000000"/>
          <w:spacing w:val="0"/>
          <w:w w:val="100"/>
          <w:position w:val="0"/>
        </w:rPr>
        <w:t>、在合营安排或联营企业中的权益</w:t>
      </w:r>
      <w:bookmarkEnd w:id="1922"/>
      <w:bookmarkEnd w:id="1923"/>
      <w:bookmarkEnd w:id="1925"/>
    </w:p>
    <w:p>
      <w:pPr>
        <w:pStyle w:val="Style50"/>
        <w:keepNext/>
        <w:keepLines/>
        <w:widowControl w:val="0"/>
        <w:shd w:val="clear" w:color="auto" w:fill="auto"/>
        <w:bidi w:val="0"/>
        <w:spacing w:before="0" w:after="300" w:line="240" w:lineRule="auto"/>
        <w:ind w:left="0" w:right="0" w:firstLine="0"/>
        <w:jc w:val="left"/>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6"/>
      <w:bookmarkEnd w:id="1927"/>
      <w:bookmarkEnd w:id="192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甘肃电通电力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甘肃省兰州市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甘肃省兰州市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r>
    </w:tbl>
    <w:p>
      <w:pPr>
        <w:sectPr>
          <w:footnotePr>
            <w:pos w:val="pageBottom"/>
            <w:numFmt w:val="decimal"/>
            <w:numRestart w:val="continuous"/>
          </w:footnotePr>
          <w:pgSz w:w="11900" w:h="16840"/>
          <w:pgMar w:top="985" w:right="1023" w:bottom="1201" w:left="1066" w:header="0" w:footer="3" w:gutter="0"/>
          <w:cols w:space="720"/>
          <w:noEndnote/>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工程设计咨询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权益法核算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福建海电运维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科技有限责任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长期股权投资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时代永福科技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福建省宁德市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福建省宁德市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专业技术服务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长期股权投资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0"/>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29"/>
      <w:bookmarkEnd w:id="1930"/>
      <w:bookmarkEnd w:id="19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0"/>
        <w:keepNext/>
        <w:keepLines/>
        <w:widowControl w:val="0"/>
        <w:numPr>
          <w:ilvl w:val="0"/>
          <w:numId w:val="93"/>
        </w:numPr>
        <w:shd w:val="clear" w:color="auto" w:fill="auto"/>
        <w:bidi w:val="0"/>
        <w:spacing w:before="0" w:line="240" w:lineRule="auto"/>
        <w:ind w:left="0" w:right="0" w:firstLine="0"/>
        <w:jc w:val="left"/>
      </w:pPr>
      <w:bookmarkStart w:id="1932" w:name="bookmark1932"/>
      <w:bookmarkStart w:id="1933" w:name="bookmark1933"/>
      <w:bookmarkStart w:id="1934" w:name="bookmark1934"/>
      <w:bookmarkStart w:id="1935" w:name="bookmark1935"/>
      <w:bookmarkEnd w:id="1934"/>
      <w:r>
        <w:rPr>
          <w:color w:val="000000"/>
          <w:spacing w:val="0"/>
          <w:w w:val="100"/>
          <w:position w:val="0"/>
        </w:rPr>
        <w:t>重要联营企业的主要财务信息</w:t>
      </w:r>
      <w:bookmarkEnd w:id="1932"/>
      <w:bookmarkEnd w:id="1933"/>
      <w:bookmarkEnd w:id="19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时代永福科技有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甘肃电通电力工</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程设计咨询有限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福建海电运维科</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技有限责任公司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甘肃电通电力工</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程设计咨询有限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福建海电运维科</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技有限责任公司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116,265,907.35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125,006,765.52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335,520,849.60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22,358,569.21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105,666,280.45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7,628,505.26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8,045,405.25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367,681,966.82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2,660,798.21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321,004,679.22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123,894,412.61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133,052,170.77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703,202,816.42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25,019,367.42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426,670,959.67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16,630,763.98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99,531,184.77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147,784,760.68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7,910,203.22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63,150,841.48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249,524,265.32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223,836,792.00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16,630,763.98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99,531,184.77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397,309,026.00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7,910,203.22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286,987,633.48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700,047.26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归属于母公司股 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106,563,601.37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33,520,986.00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305,893,790.42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17,109,164.20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139,683,326.19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 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42,625,440.55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6,704,197.20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55,947,974.27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3,421,832.84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27,824,918.58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1,514,586.06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1,584,770.93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543,331.30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-205,066.47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1,584,770.93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1,584,770.93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543,331.30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对联营企业权益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42,633,063.92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8,218,783.26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56,286,239.10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28,368,249.88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13,296,671.16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202,259,035.19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259,381,949.75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25,725,932.97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97,151,553.90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-3,733,055.76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16,411,821.80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86,210,466.23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3,228,768.95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15,572,171.89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-3,733,055.76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16,411,821.80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86,210,466.23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3,228,768.95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15,572,171.89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36"/>
      <w:bookmarkEnd w:id="1937"/>
      <w:bookmarkEnd w:id="193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2,303,771.01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1,102,151.55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-405,593.84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-35,772.21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0"/>
        <w:keepNext/>
        <w:keepLines/>
        <w:widowControl w:val="0"/>
        <w:shd w:val="clear" w:color="auto" w:fill="auto"/>
        <w:tabs>
          <w:tab w:pos="493"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40"/>
      <w:bookmarkEnd w:id="1941"/>
      <w:bookmarkEnd w:id="1943"/>
    </w:p>
    <w:p>
      <w:pPr>
        <w:pStyle w:val="Style50"/>
        <w:keepNext/>
        <w:keepLines/>
        <w:widowControl w:val="0"/>
        <w:shd w:val="clear" w:color="auto" w:fill="auto"/>
        <w:tabs>
          <w:tab w:pos="493" w:val="left"/>
        </w:tabs>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44"/>
      <w:bookmarkEnd w:id="1945"/>
      <w:bookmarkEnd w:id="194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2" w:right="1121" w:bottom="1470" w:left="1097" w:header="0" w:footer="3" w:gutter="0"/>
          <w:cols w:space="720"/>
          <w:noEndnote/>
          <w:rtlGutter w:val="0"/>
          <w:docGrid w:linePitch="360"/>
        </w:sectPr>
      </w:pPr>
      <w:r>
        <w:rPr>
          <w:color w:val="000000"/>
          <w:spacing w:val="0"/>
          <w:w w:val="100"/>
          <w:position w:val="0"/>
        </w:rPr>
        <w:t>其他说明</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50"/>
        <w:keepNext/>
        <w:keepLines/>
        <w:widowControl w:val="0"/>
        <w:shd w:val="clear" w:color="auto" w:fill="auto"/>
        <w:bidi w:val="0"/>
        <w:spacing w:before="0" w:after="34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948"/>
      <w:bookmarkEnd w:id="1949"/>
      <w:bookmarkEnd w:id="1951"/>
    </w:p>
    <w:p>
      <w:pPr>
        <w:pStyle w:val="Style50"/>
        <w:keepNext/>
        <w:keepLines/>
        <w:widowControl w:val="0"/>
        <w:shd w:val="clear" w:color="auto" w:fill="auto"/>
        <w:bidi w:val="0"/>
        <w:spacing w:before="0" w:after="34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952"/>
      <w:bookmarkEnd w:id="1953"/>
      <w:bookmarkEnd w:id="1955"/>
    </w:p>
    <w:p>
      <w:pPr>
        <w:pStyle w:val="Style32"/>
        <w:keepNext/>
        <w:keepLines/>
        <w:widowControl w:val="0"/>
        <w:shd w:val="clear" w:color="auto" w:fill="auto"/>
        <w:bidi w:val="0"/>
        <w:spacing w:before="0" w:after="34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color w:val="000000"/>
          <w:spacing w:val="0"/>
          <w:w w:val="100"/>
          <w:position w:val="0"/>
        </w:rPr>
        <w:t>、重要的共同经营</w:t>
      </w:r>
      <w:bookmarkEnd w:id="1956"/>
      <w:bookmarkEnd w:id="1957"/>
      <w:bookmarkEnd w:id="195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5</w:t>
      </w:r>
      <w:bookmarkEnd w:id="1962"/>
      <w:r>
        <w:rPr>
          <w:color w:val="000000"/>
          <w:spacing w:val="0"/>
          <w:w w:val="100"/>
          <w:position w:val="0"/>
        </w:rPr>
        <w:t>、</w:t>
        <w:tab/>
        <w:t>在未纳入合并财务报表范围的结构化主体中的权益</w:t>
      </w:r>
      <w:bookmarkEnd w:id="1960"/>
      <w:bookmarkEnd w:id="1961"/>
      <w:bookmarkEnd w:id="1963"/>
    </w:p>
    <w:p>
      <w:pPr>
        <w:pStyle w:val="Style18"/>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6</w:t>
      </w:r>
      <w:bookmarkEnd w:id="1966"/>
      <w:r>
        <w:rPr>
          <w:color w:val="000000"/>
          <w:spacing w:val="0"/>
          <w:w w:val="100"/>
          <w:position w:val="0"/>
        </w:rPr>
        <w:t>、</w:t>
        <w:tab/>
        <w:t>其他</w:t>
      </w:r>
      <w:bookmarkEnd w:id="1964"/>
      <w:bookmarkEnd w:id="1965"/>
      <w:bookmarkEnd w:id="1967"/>
    </w:p>
    <w:p>
      <w:pPr>
        <w:pStyle w:val="Style22"/>
        <w:keepNext/>
        <w:keepLines/>
        <w:widowControl w:val="0"/>
        <w:shd w:val="clear" w:color="auto" w:fill="auto"/>
        <w:bidi w:val="0"/>
        <w:spacing w:before="0" w:after="260" w:line="240" w:lineRule="auto"/>
        <w:ind w:left="0" w:right="0" w:firstLine="0"/>
        <w:jc w:val="left"/>
      </w:pPr>
      <w:bookmarkStart w:id="1968" w:name="bookmark1968"/>
      <w:bookmarkStart w:id="1969" w:name="bookmark1969"/>
      <w:bookmarkStart w:id="1970" w:name="bookmark1970"/>
      <w:r>
        <w:rPr>
          <w:color w:val="000000"/>
          <w:spacing w:val="0"/>
          <w:w w:val="100"/>
          <w:position w:val="0"/>
          <w:sz w:val="24"/>
          <w:szCs w:val="24"/>
        </w:rPr>
        <w:t>十、与金融工具相关的风险</w:t>
      </w:r>
      <w:bookmarkEnd w:id="1968"/>
      <w:bookmarkEnd w:id="1969"/>
      <w:bookmarkEnd w:id="1970"/>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8"/>
        <w:keepNext w:val="0"/>
        <w:keepLines w:val="0"/>
        <w:widowControl w:val="0"/>
        <w:shd w:val="clear" w:color="auto" w:fill="auto"/>
        <w:tabs>
          <w:tab w:pos="961" w:val="left"/>
        </w:tabs>
        <w:bidi w:val="0"/>
        <w:spacing w:before="0" w:after="0" w:line="313" w:lineRule="exact"/>
        <w:ind w:left="0" w:right="0" w:firstLine="420"/>
        <w:jc w:val="both"/>
      </w:pPr>
      <w:bookmarkStart w:id="1971" w:name="bookmark1971"/>
      <w:r>
        <w:rPr>
          <w:b/>
          <w:bCs/>
          <w:color w:val="000000"/>
          <w:spacing w:val="0"/>
          <w:w w:val="100"/>
          <w:position w:val="0"/>
        </w:rPr>
        <w:t>（</w:t>
      </w:r>
      <w:bookmarkEnd w:id="1971"/>
      <w:r>
        <w:rPr>
          <w:b/>
          <w:bCs/>
          <w:color w:val="000000"/>
          <w:spacing w:val="0"/>
          <w:w w:val="100"/>
          <w:position w:val="0"/>
        </w:rPr>
        <w:t>一）</w:t>
        <w:tab/>
        <w:t>信用风险</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信用风险是指交易对手未能履行合同义务而导致本公司发生财务损失的风险。</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本公司信用风险主要产生于货币资金、应收票据、应收账款、应收款项融资、其他应收款、债权投资、其他债权投资和 财务担保合同等，以及未纳入减值评估范围的以公允价值计量且其变动计入当期损益的债务工具投资和衍生金融资产等。于 资产负债表日，本公司金融资产的账面价值已代表其最大信用风险敞口；</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1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此外，对于应收票据、应收账款、应收款项融资和其他应收款等，本公司设定相关政策以控制信用风险敞口。本公司基 于对客户的财务状况、从第三方获取担保的可能性、信用记录及其他因素诸如目前市场状况等评估客户的信用资质并设置相 应信用期。本公司会定期对客户信用记录进行监控，对于信用记录不良的客户，本公司会采用书面催款、缩短信用期或取消 信用期等方式，以确保本公司的整体信用风险在可控的范围内。</w:t>
      </w:r>
    </w:p>
    <w:p>
      <w:pPr>
        <w:pStyle w:val="Style18"/>
        <w:keepNext w:val="0"/>
        <w:keepLines w:val="0"/>
        <w:widowControl w:val="0"/>
        <w:shd w:val="clear" w:color="auto" w:fill="auto"/>
        <w:tabs>
          <w:tab w:pos="961" w:val="left"/>
        </w:tabs>
        <w:bidi w:val="0"/>
        <w:spacing w:before="0" w:after="0" w:line="313" w:lineRule="exact"/>
        <w:ind w:left="0" w:right="0" w:firstLine="420"/>
        <w:jc w:val="both"/>
      </w:pPr>
      <w:bookmarkStart w:id="1972" w:name="bookmark1972"/>
      <w:r>
        <w:rPr>
          <w:b/>
          <w:bCs/>
          <w:color w:val="000000"/>
          <w:spacing w:val="0"/>
          <w:w w:val="100"/>
          <w:position w:val="0"/>
        </w:rPr>
        <w:t>（</w:t>
      </w:r>
      <w:bookmarkEnd w:id="1972"/>
      <w:r>
        <w:rPr>
          <w:b/>
          <w:bCs/>
          <w:color w:val="000000"/>
          <w:spacing w:val="0"/>
          <w:w w:val="100"/>
          <w:position w:val="0"/>
        </w:rPr>
        <w:t>二）</w:t>
        <w:tab/>
        <w:t>流动性风险</w:t>
      </w:r>
    </w:p>
    <w:p>
      <w:pPr>
        <w:pStyle w:val="Style18"/>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流动性风险是指企业在履行以交付现金或其他金融资产的方式结算的义务时发生资金短缺的风险。</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314" w:lineRule="exact"/>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本公司主要金融负债以未折现的合同现金流量按到期日列示如下:</w:t>
      </w:r>
    </w:p>
    <w:tbl>
      <w:tblPr>
        <w:tblOverlap w:val="never"/>
        <w:jc w:val="center"/>
        <w:tblLayout w:type="fixed"/>
      </w:tblPr>
      <w:tblGrid>
        <w:gridCol w:w="1238"/>
        <w:gridCol w:w="1190"/>
        <w:gridCol w:w="1661"/>
        <w:gridCol w:w="1416"/>
        <w:gridCol w:w="1334"/>
        <w:gridCol w:w="1056"/>
        <w:gridCol w:w="1781"/>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4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6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即时偿还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694,921,964.42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694,921,964.42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240,703,752.32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240,703,752.32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544,878,699.82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544,878,699.82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4,075,257.42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56,695,257.42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989,242.04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3,913,006.18</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1,485,568,916.02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53,560,657.47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1,983,106.67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1,541,112,680.16</w:t>
            </w:r>
          </w:p>
        </w:tc>
      </w:tr>
    </w:tbl>
    <w:p>
      <w:pPr>
        <w:pStyle w:val="Style24"/>
        <w:keepNext w:val="0"/>
        <w:keepLines w:val="0"/>
        <w:widowControl w:val="0"/>
        <w:shd w:val="clear" w:color="auto" w:fill="auto"/>
        <w:bidi w:val="0"/>
        <w:spacing w:before="0" w:after="120" w:line="240" w:lineRule="auto"/>
        <w:ind w:left="346" w:right="0" w:firstLine="0"/>
        <w:jc w:val="left"/>
      </w:pPr>
      <w:r>
        <w:rPr>
          <w:b/>
          <w:bCs/>
          <w:color w:val="000000"/>
          <w:spacing w:val="0"/>
          <w:w w:val="100"/>
          <w:position w:val="0"/>
        </w:rPr>
        <w:t>（三）市场风险</w:t>
      </w:r>
    </w:p>
    <w:p>
      <w:pPr>
        <w:pStyle w:val="Style24"/>
        <w:keepNext w:val="0"/>
        <w:keepLines w:val="0"/>
        <w:widowControl w:val="0"/>
        <w:shd w:val="clear" w:color="auto" w:fill="auto"/>
        <w:bidi w:val="0"/>
        <w:spacing w:before="0" w:after="0" w:line="240" w:lineRule="auto"/>
        <w:ind w:left="346" w:right="0" w:firstLine="0"/>
        <w:jc w:val="left"/>
      </w:pPr>
      <w:r>
        <w:rPr>
          <w:b/>
          <w:bCs/>
          <w:color w:val="000000"/>
          <w:spacing w:val="0"/>
          <w:w w:val="100"/>
          <w:position w:val="0"/>
        </w:rPr>
        <w:t>金融工具的市场风险是指金融工具的公允价值或未来现金流量因市场价格变动而发生波动的风险，包括汇率风险、利</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率风险和其他价格风险。</w:t>
      </w:r>
    </w:p>
    <w:p>
      <w:pPr>
        <w:pStyle w:val="Style18"/>
        <w:keepNext w:val="0"/>
        <w:keepLines w:val="0"/>
        <w:widowControl w:val="0"/>
        <w:numPr>
          <w:ilvl w:val="0"/>
          <w:numId w:val="95"/>
        </w:numPr>
        <w:shd w:val="clear" w:color="auto" w:fill="auto"/>
        <w:tabs>
          <w:tab w:pos="726" w:val="left"/>
        </w:tabs>
        <w:bidi w:val="0"/>
        <w:spacing w:before="0" w:after="0" w:line="240" w:lineRule="auto"/>
        <w:ind w:left="0" w:right="0" w:firstLine="420"/>
        <w:jc w:val="both"/>
      </w:pPr>
      <w:bookmarkStart w:id="1973" w:name="bookmark1973"/>
      <w:bookmarkEnd w:id="1973"/>
      <w:r>
        <w:rPr>
          <w:b/>
          <w:bCs/>
          <w:color w:val="000000"/>
          <w:spacing w:val="0"/>
          <w:w w:val="100"/>
          <w:position w:val="0"/>
        </w:rPr>
        <w:t>利率风险</w:t>
      </w:r>
    </w:p>
    <w:p>
      <w:pPr>
        <w:pStyle w:val="Style18"/>
        <w:keepNext w:val="0"/>
        <w:keepLines w:val="0"/>
        <w:widowControl w:val="0"/>
        <w:shd w:val="clear" w:color="auto" w:fill="auto"/>
        <w:bidi w:val="0"/>
        <w:spacing w:before="0" w:after="0" w:line="310" w:lineRule="exact"/>
        <w:ind w:left="0" w:right="0" w:firstLine="420"/>
        <w:jc w:val="left"/>
      </w:pPr>
      <w:r>
        <w:rPr>
          <w:color w:val="000000"/>
          <w:spacing w:val="0"/>
          <w:w w:val="100"/>
          <w:position w:val="0"/>
        </w:rPr>
        <w:t>利率风险是指金融工具的公允价值或未来现金流量因市场利率变动而发生波动的风险。</w:t>
      </w:r>
    </w:p>
    <w:p>
      <w:pPr>
        <w:pStyle w:val="Style18"/>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18"/>
        <w:keepNext w:val="0"/>
        <w:keepLines w:val="0"/>
        <w:widowControl w:val="0"/>
        <w:numPr>
          <w:ilvl w:val="0"/>
          <w:numId w:val="95"/>
        </w:numPr>
        <w:shd w:val="clear" w:color="auto" w:fill="auto"/>
        <w:tabs>
          <w:tab w:pos="740" w:val="left"/>
        </w:tabs>
        <w:bidi w:val="0"/>
        <w:spacing w:before="0" w:after="0" w:line="360" w:lineRule="auto"/>
        <w:ind w:left="0" w:right="0" w:firstLine="420"/>
        <w:jc w:val="both"/>
      </w:pPr>
      <w:bookmarkStart w:id="1974" w:name="bookmark1974"/>
      <w:bookmarkEnd w:id="1974"/>
      <w:r>
        <w:rPr>
          <w:b/>
          <w:bCs/>
          <w:color w:val="000000"/>
          <w:spacing w:val="0"/>
          <w:w w:val="100"/>
          <w:position w:val="0"/>
        </w:rPr>
        <w:t>汇率风险</w:t>
      </w:r>
    </w:p>
    <w:p>
      <w:pPr>
        <w:pStyle w:val="Style18"/>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汇率风险是指金融工具的公允价值或未来现金流量因外汇汇率变动而发生波动的风险。</w:t>
      </w:r>
    </w:p>
    <w:p>
      <w:pPr>
        <w:pStyle w:val="Style18"/>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18"/>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本公司面临的汇率风险主要来源于以美元计价的金融资产和金融负债，外币金融资产和外币金融负债折算成人民币的金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额列示如下:</w:t>
      </w:r>
    </w:p>
    <w:tbl>
      <w:tblPr>
        <w:tblOverlap w:val="never"/>
        <w:jc w:val="center"/>
        <w:tblLayout w:type="fixed"/>
      </w:tblPr>
      <w:tblGrid>
        <w:gridCol w:w="1200"/>
        <w:gridCol w:w="1426"/>
        <w:gridCol w:w="1334"/>
        <w:gridCol w:w="1426"/>
        <w:gridCol w:w="1426"/>
        <w:gridCol w:w="1426"/>
        <w:gridCol w:w="1440"/>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其他外币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其他外币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17,037,741.34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9,390,413.95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26,428,155.29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2,453,872.25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96,341,302.83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98,795,175.08</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81,963,652.73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8,231,601.35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90,195,254.08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300,902,773.79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3,796,513.98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304,699,287.77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453,883.75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453,883.75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799,937.80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5,618,573.64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5,618,573.64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30,694,339.80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30,694,339.80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16,017,128.51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16,017,128.51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9,413,501.86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10,329,730.63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164,503.83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164,503.83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0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b/>
          <w:bCs/>
          <w:color w:val="000000"/>
          <w:spacing w:val="0"/>
          <w:w w:val="100"/>
          <w:position w:val="0"/>
        </w:rPr>
        <w:t>、其他价格风险</w:t>
      </w:r>
    </w:p>
    <w:p>
      <w:pPr>
        <w:pStyle w:val="Style24"/>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其他价格风险是指金融工具的公允价值或未来现金流量因汇率风险和利率风险以外的市场价格变动而发生波动的风险。</w:t>
      </w:r>
    </w:p>
    <w:p>
      <w:pPr>
        <w:pStyle w:val="Style24"/>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本公司其他价格风险主要产生于各类权益工具投资，存在权益工具价格变动的风险。</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22"/>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r>
        <w:rPr>
          <w:color w:val="000000"/>
          <w:spacing w:val="0"/>
          <w:w w:val="100"/>
          <w:position w:val="0"/>
          <w:sz w:val="24"/>
          <w:szCs w:val="24"/>
        </w:rPr>
        <w:t>十^一、公允价值的披露</w:t>
      </w:r>
      <w:bookmarkEnd w:id="1975"/>
      <w:bookmarkEnd w:id="1976"/>
      <w:bookmarkEnd w:id="1977"/>
    </w:p>
    <w:p>
      <w:pPr>
        <w:pStyle w:val="Style32"/>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78"/>
      <w:bookmarkEnd w:id="1979"/>
      <w:bookmarkEnd w:id="19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1,232,289.81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337,640.81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337,640.81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894,649.00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14,404,830.78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14,404,830.78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61,050,260.33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61,050,260.33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1,232,289.81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75,455,091.11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76,687,380.92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bookmarkEnd w:id="1983"/>
      <w:r>
        <w:rPr>
          <w:color w:val="000000"/>
          <w:spacing w:val="0"/>
          <w:w w:val="100"/>
          <w:position w:val="0"/>
        </w:rPr>
        <w:t>、</w:t>
        <w:tab/>
        <w:t>持续和非持续第一层次公允价值计量项目市价的确定依据</w:t>
      </w:r>
      <w:bookmarkEnd w:id="1981"/>
      <w:bookmarkEnd w:id="1982"/>
      <w:bookmarkEnd w:id="1984"/>
    </w:p>
    <w:p>
      <w:pPr>
        <w:pStyle w:val="Style32"/>
        <w:keepNext/>
        <w:keepLines/>
        <w:widowControl w:val="0"/>
        <w:shd w:val="clear" w:color="auto" w:fill="auto"/>
        <w:tabs>
          <w:tab w:pos="378" w:val="left"/>
        </w:tabs>
        <w:bidi w:val="0"/>
        <w:spacing w:before="0" w:after="2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3</w:t>
      </w:r>
      <w:bookmarkEnd w:id="1987"/>
      <w:r>
        <w:rPr>
          <w:color w:val="000000"/>
          <w:spacing w:val="0"/>
          <w:w w:val="100"/>
          <w:position w:val="0"/>
        </w:rPr>
        <w:t>、</w:t>
        <w:tab/>
        <w:t>持续和非持续第二层次公允价值计量项目，采用的估值技术和重要参数的定性及定量信息</w:t>
      </w:r>
      <w:bookmarkEnd w:id="1985"/>
      <w:bookmarkEnd w:id="1986"/>
      <w:bookmarkEnd w:id="1988"/>
    </w:p>
    <w:p>
      <w:pPr>
        <w:pStyle w:val="Style18"/>
        <w:keepNext w:val="0"/>
        <w:keepLines w:val="0"/>
        <w:widowControl w:val="0"/>
        <w:shd w:val="clear" w:color="auto" w:fill="auto"/>
        <w:bidi w:val="0"/>
        <w:spacing w:before="0" w:after="360" w:line="317" w:lineRule="exact"/>
        <w:ind w:left="0" w:right="0" w:firstLine="420"/>
        <w:jc w:val="both"/>
      </w:pPr>
      <w:r>
        <w:rPr>
          <w:color w:val="000000"/>
          <w:spacing w:val="0"/>
          <w:w w:val="100"/>
          <w:position w:val="0"/>
        </w:rPr>
        <w:t>衍生金融资产、理财产品的公允价值根据受托方对同一或可比资产的报价中获取，所使用的估值模型主要为现金流量折 现模型。</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w:t>
        <w:tab/>
        <w:t>持续和非持续第三层次公允价值计量项目，采用的估值技术和重要参数的定性及定量信息</w:t>
      </w:r>
      <w:bookmarkEnd w:id="1989"/>
      <w:bookmarkEnd w:id="1990"/>
      <w:bookmarkEnd w:id="1992"/>
    </w:p>
    <w:p>
      <w:pPr>
        <w:pStyle w:val="Style1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应收款项融资系公司持有的银行承兑汇票，鉴于应收款项融资属于流动资产，其剩余期限不长，资金时间价值因素对其 公允价值的影响不重大，其公允价值与账面价值相若。</w:t>
      </w:r>
    </w:p>
    <w:p>
      <w:pPr>
        <w:pStyle w:val="Style18"/>
        <w:keepNext w:val="0"/>
        <w:keepLines w:val="0"/>
        <w:widowControl w:val="0"/>
        <w:shd w:val="clear" w:color="auto" w:fill="auto"/>
        <w:bidi w:val="0"/>
        <w:spacing w:before="0" w:after="320" w:line="307" w:lineRule="exact"/>
        <w:ind w:left="0" w:right="0" w:firstLine="420"/>
        <w:jc w:val="both"/>
        <w:sectPr>
          <w:footnotePr>
            <w:pos w:val="pageBottom"/>
            <w:numFmt w:val="decimal"/>
            <w:numRestart w:val="continuous"/>
          </w:footnotePr>
          <w:pgSz w:w="11900" w:h="16840"/>
          <w:pgMar w:top="985" w:right="1032" w:bottom="1476" w:left="1056" w:header="0" w:footer="3" w:gutter="0"/>
          <w:cols w:space="720"/>
          <w:noEndnote/>
          <w:rtlGutter w:val="0"/>
          <w:docGrid w:linePitch="360"/>
        </w:sectPr>
      </w:pPr>
      <w:r>
        <w:rPr>
          <w:color w:val="000000"/>
          <w:spacing w:val="0"/>
          <w:w w:val="100"/>
          <w:position w:val="0"/>
        </w:rPr>
        <w:t>非上市股权投资使用估值技术确定其公允价值，包括收益法、资产基础法。其中收益法估值技术中，重大的不可观察输 入值以未来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年期预计的息税折旧摊销前利润为基础确定。</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5</w:t>
      </w:r>
      <w:bookmarkEnd w:id="1995"/>
      <w:r>
        <w:rPr>
          <w:color w:val="000000"/>
          <w:spacing w:val="0"/>
          <w:w w:val="100"/>
          <w:position w:val="0"/>
        </w:rPr>
        <w:t>、持续的第三层次公允价值计量项目，期初与期末账面价值间的调节信息及不可观察参数敏感性分析</w:t>
      </w:r>
      <w:bookmarkEnd w:id="1993"/>
      <w:bookmarkEnd w:id="1994"/>
      <w:bookmarkEnd w:id="1996"/>
    </w:p>
    <w:p>
      <w:pPr>
        <w:pStyle w:val="Style32"/>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color w:val="000000"/>
          <w:spacing w:val="0"/>
          <w:w w:val="100"/>
          <w:position w:val="0"/>
        </w:rPr>
        <w:t>、持续的公允价值计量项目，本期内发生各层级之间转换的，转换的原因及确定转换时点的政策</w:t>
      </w:r>
      <w:bookmarkEnd w:id="1997"/>
      <w:bookmarkEnd w:id="1998"/>
      <w:bookmarkEnd w:id="2000"/>
    </w:p>
    <w:p>
      <w:pPr>
        <w:pStyle w:val="Style32"/>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7</w:t>
      </w:r>
      <w:bookmarkEnd w:id="2003"/>
      <w:r>
        <w:rPr>
          <w:color w:val="000000"/>
          <w:spacing w:val="0"/>
          <w:w w:val="100"/>
          <w:position w:val="0"/>
        </w:rPr>
        <w:t>、本期内发生的估值技术变更及变更原因</w:t>
      </w:r>
      <w:bookmarkEnd w:id="2001"/>
      <w:bookmarkEnd w:id="2002"/>
      <w:bookmarkEnd w:id="2004"/>
    </w:p>
    <w:p>
      <w:pPr>
        <w:pStyle w:val="Style32"/>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8</w:t>
      </w:r>
      <w:bookmarkEnd w:id="2007"/>
      <w:r>
        <w:rPr>
          <w:color w:val="000000"/>
          <w:spacing w:val="0"/>
          <w:w w:val="100"/>
          <w:position w:val="0"/>
        </w:rPr>
        <w:t>、不以公允价值计量的金融资产和金融负债的公允价值情况</w:t>
      </w:r>
      <w:bookmarkEnd w:id="2005"/>
      <w:bookmarkEnd w:id="2006"/>
      <w:bookmarkEnd w:id="2008"/>
    </w:p>
    <w:p>
      <w:pPr>
        <w:pStyle w:val="Style32"/>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9</w:t>
      </w:r>
      <w:bookmarkEnd w:id="2011"/>
      <w:r>
        <w:rPr>
          <w:color w:val="000000"/>
          <w:spacing w:val="0"/>
          <w:w w:val="100"/>
          <w:position w:val="0"/>
        </w:rPr>
        <w:t>、其他</w:t>
      </w:r>
      <w:bookmarkEnd w:id="2009"/>
      <w:bookmarkEnd w:id="2010"/>
      <w:bookmarkEnd w:id="2012"/>
    </w:p>
    <w:p>
      <w:pPr>
        <w:pStyle w:val="Style22"/>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r>
        <w:rPr>
          <w:color w:val="000000"/>
          <w:spacing w:val="0"/>
          <w:w w:val="100"/>
          <w:position w:val="0"/>
          <w:sz w:val="24"/>
          <w:szCs w:val="24"/>
        </w:rPr>
        <w:t>十二、关联方及关联交易</w:t>
      </w:r>
      <w:bookmarkEnd w:id="2013"/>
      <w:bookmarkEnd w:id="2014"/>
      <w:bookmarkEnd w:id="2015"/>
    </w:p>
    <w:p>
      <w:pPr>
        <w:pStyle w:val="Style32"/>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16"/>
      <w:bookmarkEnd w:id="2017"/>
      <w:bookmarkEnd w:id="2018"/>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母公司对本企业 的表决权比例</w:t>
            </w:r>
          </w:p>
        </w:tc>
      </w:tr>
    </w:tbl>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日起，本公司实际控制人由林一文先生、季征南先生、王劲军先生、宋发兴先生、钱有武先生、卓秀者女士、 陈强先生、卢庆议先生变更为林一文先生。</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本企业最终控制方是林一文。</w:t>
      </w:r>
    </w:p>
    <w:p>
      <w:pPr>
        <w:pStyle w:val="Style18"/>
        <w:keepNext w:val="0"/>
        <w:keepLines w:val="0"/>
        <w:widowControl w:val="0"/>
        <w:shd w:val="clear" w:color="auto" w:fill="auto"/>
        <w:bidi w:val="0"/>
        <w:spacing w:before="0" w:after="400" w:line="326"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4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2</w:t>
      </w:r>
      <w:bookmarkEnd w:id="2021"/>
      <w:r>
        <w:rPr>
          <w:color w:val="000000"/>
          <w:spacing w:val="0"/>
          <w:w w:val="100"/>
          <w:position w:val="0"/>
        </w:rPr>
        <w:t>、</w:t>
        <w:tab/>
        <w:t>本企业的子公司情况</w:t>
      </w:r>
      <w:bookmarkEnd w:id="2019"/>
      <w:bookmarkEnd w:id="2020"/>
      <w:bookmarkEnd w:id="2022"/>
    </w:p>
    <w:p>
      <w:pPr>
        <w:pStyle w:val="Style18"/>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24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3</w:t>
      </w:r>
      <w:bookmarkEnd w:id="2025"/>
      <w:r>
        <w:rPr>
          <w:color w:val="000000"/>
          <w:spacing w:val="0"/>
          <w:w w:val="100"/>
          <w:position w:val="0"/>
        </w:rPr>
        <w:t>、</w:t>
        <w:tab/>
        <w:t>本企业合营和联营企业情况</w:t>
      </w:r>
      <w:bookmarkEnd w:id="2023"/>
      <w:bookmarkEnd w:id="2024"/>
      <w:bookmarkEnd w:id="2026"/>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本企业重要的合营或联营企业详见附注九、在其他主体中的权益。</w:t>
      </w:r>
    </w:p>
    <w:p>
      <w:pPr>
        <w:pStyle w:val="Style18"/>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4</w:t>
      </w:r>
      <w:bookmarkEnd w:id="2029"/>
      <w:r>
        <w:rPr>
          <w:color w:val="000000"/>
          <w:spacing w:val="0"/>
          <w:w w:val="100"/>
          <w:position w:val="0"/>
        </w:rPr>
        <w:t>、其他关联方情况</w:t>
      </w:r>
      <w:bookmarkEnd w:id="2027"/>
      <w:bookmarkEnd w:id="2028"/>
      <w:bookmarkEnd w:id="20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福建省永福博发投资股份有限公司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福州永福恒诚投资管理股份有限公司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福州博宏投资管理有限公司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控股股东博发投资、恒诚投资控制的企业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福建永鑫昌电力科技有限公司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控股股东博发投资、恒诚投资控制的企业、董事、副总经</w:t>
            </w:r>
          </w:p>
        </w:tc>
      </w:tr>
    </w:tbl>
    <w:p>
      <w:pPr>
        <w:sectPr>
          <w:footnotePr>
            <w:pos w:val="pageBottom"/>
            <w:numFmt w:val="decimal"/>
            <w:numRestart w:val="continuous"/>
          </w:footnotePr>
          <w:pgSz w:w="11900" w:h="16840"/>
          <w:pgMar w:top="985" w:right="1032" w:bottom="1201" w:left="1066" w:header="0" w:footer="3" w:gutter="0"/>
          <w:cols w:space="720"/>
          <w:noEndnote/>
          <w:rtlGutter w:val="0"/>
          <w:docGrid w:linePitch="360"/>
        </w:sectPr>
      </w:pP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理王劲军担任董事长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宁德时代新能源科技股份有限公司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以上法人，董事谭立斌任副总经理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甘肃电通电力工程设计咨询有限公司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董事、副总经理王劲军担任董事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福建海电运维科技有限责任公司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副总经理罗志青任董事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中闽（连江）风电有限公司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副总经理罗志青之姐夫黄志坚担任总经理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宁德时代科士达科技有限公司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董事谭立斌任董事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福建和盛高科技产业有限公司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永福集团持股</w:t>
            </w: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，第二届董事会董事季征南任董事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厦门瑞新热电有限公司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永福集团持股</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，第二届董事会董事季征南任董事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福州市念侬商贸有限公司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博发投资和恒诚投资的监事王振彪之妻龚娇银持股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 并担任执行董事兼总经理</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5</w:t>
      </w:r>
      <w:bookmarkEnd w:id="2033"/>
      <w:r>
        <w:rPr>
          <w:color w:val="000000"/>
          <w:spacing w:val="0"/>
          <w:w w:val="100"/>
          <w:position w:val="0"/>
        </w:rPr>
        <w:t>、关联交易情况</w:t>
      </w:r>
      <w:bookmarkEnd w:id="2031"/>
      <w:bookmarkEnd w:id="2032"/>
      <w:bookmarkEnd w:id="2034"/>
    </w:p>
    <w:p>
      <w:pPr>
        <w:pStyle w:val="Style50"/>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5"/>
      <w:bookmarkEnd w:id="2036"/>
      <w:bookmarkEnd w:id="203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福建永鑫昌电力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总承包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设备及 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345,412.39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福建和盛高科技 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总承包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设备及 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福州市念侬商贸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办公物资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2654"/>
        <w:gridCol w:w="1728"/>
        <w:gridCol w:w="17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厦门瑞新热电有限公司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设计服务、总包工程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-132,915.04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福建省新能海上风电研发中心有限公司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设计服务、技术服务、人员借用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30,492.44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中闽（连江）风电有限公司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设计服务、总包工程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28,301.89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福建和盛高科技产业有限公司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40,377.36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总承包工程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甘肃电通电力工程设计咨询有限公司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735,849.04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福建海电运维科技有限责任公司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智慧能源、电力运维服务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2,150,660.37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宁德时代科士达科技有限公司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1,042,301.84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4" w:right="1195" w:bottom="1484" w:left="1104" w:header="0" w:footer="3" w:gutter="0"/>
          <w:cols w:space="720"/>
          <w:noEndnote/>
          <w:rtlGutter w:val="0"/>
          <w:docGrid w:linePitch="360"/>
        </w:sectPr>
      </w:pPr>
      <w:r>
        <w:rPr>
          <w:color w:val="000000"/>
          <w:spacing w:val="0"/>
          <w:w w:val="100"/>
          <w:position w:val="0"/>
        </w:rPr>
        <w:t>购销商品、提供和接受劳务的关联交易说明</w:t>
      </w:r>
    </w:p>
    <w:p>
      <w:pPr>
        <w:widowControl w:val="0"/>
        <w:jc w:val="left"/>
        <w:rPr>
          <w:sz w:val="2"/>
          <w:szCs w:val="2"/>
        </w:rPr>
      </w:pPr>
      <w:r>
        <w:drawing>
          <wp:inline>
            <wp:extent cx="865505" cy="34734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865505" cy="347345"/>
                    </a:xfrm>
                    <a:prstGeom prst="rect"/>
                  </pic:spPr>
                </pic:pic>
              </a:graphicData>
            </a:graphic>
          </wp:inline>
        </w:drawing>
      </w:r>
    </w:p>
    <w:p>
      <w:pPr>
        <w:widowControl w:val="0"/>
        <w:spacing w:after="119" w:line="1" w:lineRule="exact"/>
      </w:pPr>
    </w:p>
    <w:p>
      <w:pPr>
        <w:pStyle w:val="Style50"/>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38"/>
      <w:bookmarkEnd w:id="2039"/>
      <w:bookmarkEnd w:id="204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50"/>
        <w:keepNext/>
        <w:keepLines/>
        <w:widowControl w:val="0"/>
        <w:shd w:val="clear" w:color="auto" w:fill="auto"/>
        <w:bidi w:val="0"/>
        <w:spacing w:before="0" w:line="240" w:lineRule="auto"/>
        <w:ind w:left="0" w:right="0" w:firstLine="0"/>
        <w:jc w:val="both"/>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41"/>
      <w:bookmarkEnd w:id="2042"/>
      <w:bookmarkEnd w:id="2044"/>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228,571.43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228,571.42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福建省新能海上风电研发中 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房屋租赁、办公设备租赁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201,949.49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233,142.86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福建永鑫昌电力科技有限公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138,361.09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福建省永福博发投资股份有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257,400.00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50"/>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45"/>
      <w:bookmarkEnd w:id="2046"/>
      <w:bookmarkEnd w:id="204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福州新创机电设备有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720,024.38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894" w:right="1109" w:bottom="1201" w:left="1109"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福州新创机电设备有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主合同债务履行期届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满之日起一年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福州新创机电设备有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四川云能水利电力工 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福州新创机电设备有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98,714,412.76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289,280,000.00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8"/>
                <w:szCs w:val="18"/>
              </w:rPr>
              <w:t xml:space="preserve">881,248.12 </w:t>
            </w: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113,295,851.05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3,829,010.50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39,560,656.87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81,149,264.66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52,620,000.00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福建省永福博发投资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49"/>
      <w:bookmarkEnd w:id="2050"/>
      <w:bookmarkEnd w:id="20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福州博宏投资管理有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89,994,770.00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福州永福恒诚投资管 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29,996,990.00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53"/>
      <w:bookmarkEnd w:id="2054"/>
      <w:bookmarkEnd w:id="205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时代永福科技有限公司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出售子公司德庆亿帆新能源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57"/>
      <w:bookmarkEnd w:id="2058"/>
      <w:bookmarkEnd w:id="206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710.58</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both"/>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1"/>
      <w:bookmarkEnd w:id="2062"/>
      <w:bookmarkEnd w:id="2064"/>
    </w:p>
    <w:p>
      <w:pPr>
        <w:pStyle w:val="Style32"/>
        <w:keepNext/>
        <w:keepLines/>
        <w:widowControl w:val="0"/>
        <w:shd w:val="clear" w:color="auto" w:fill="auto"/>
        <w:bidi w:val="0"/>
        <w:spacing w:before="0" w:after="38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6</w:t>
      </w:r>
      <w:bookmarkEnd w:id="2067"/>
      <w:r>
        <w:rPr>
          <w:color w:val="000000"/>
          <w:spacing w:val="0"/>
          <w:w w:val="100"/>
          <w:position w:val="0"/>
        </w:rPr>
        <w:t>、关联方应收应付款项</w:t>
      </w:r>
      <w:bookmarkEnd w:id="2065"/>
      <w:bookmarkEnd w:id="2066"/>
      <w:bookmarkEnd w:id="2068"/>
    </w:p>
    <w:p>
      <w:pPr>
        <w:pStyle w:val="Style50"/>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69"/>
      <w:bookmarkEnd w:id="2070"/>
      <w:bookmarkEnd w:id="207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福建省新能海上 风电研发中心有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2,900,428.18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638,683.79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中闽（连江）风电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369,002.89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369,002.89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171,765.59</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福建海电运维科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福建永鑫昌电力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350,210.90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244,329.90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16,716.50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福建永福集团有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甘肃电通电力工 程设计咨询有限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1,033,132.08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宁德时代科士达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时代永福科技有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1,429,472.85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宁德时代科士达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56,805.00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宁德时代新能源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79,101.42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福建永鑫昌电力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116,210.50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1,843.81</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时代永福科技有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186,401.37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9,320.07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2"/>
      <w:bookmarkEnd w:id="2073"/>
      <w:bookmarkEnd w:id="207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福建永鑫昌电力科技有限公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286,052.50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福建和盛高科技产业有限公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309,994.89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福州博宏投资管理有限公司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10,537,300.00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福建省永福博发投资股份有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宁德时代新能源科技股份有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424,816.67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32" w:right="1134" w:bottom="1658" w:left="1085"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32"/>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7</w:t>
      </w:r>
      <w:bookmarkEnd w:id="2077"/>
      <w:r>
        <w:rPr>
          <w:color w:val="000000"/>
          <w:spacing w:val="0"/>
          <w:w w:val="100"/>
          <w:position w:val="0"/>
        </w:rPr>
        <w:t>、关联方承诺</w:t>
      </w:r>
      <w:bookmarkEnd w:id="2075"/>
      <w:bookmarkEnd w:id="2076"/>
      <w:bookmarkEnd w:id="2078"/>
    </w:p>
    <w:p>
      <w:pPr>
        <w:pStyle w:val="Style32"/>
        <w:keepNext/>
        <w:keepLines/>
        <w:widowControl w:val="0"/>
        <w:shd w:val="clear" w:color="auto" w:fill="auto"/>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8</w:t>
      </w:r>
      <w:bookmarkEnd w:id="2081"/>
      <w:r>
        <w:rPr>
          <w:color w:val="000000"/>
          <w:spacing w:val="0"/>
          <w:w w:val="100"/>
          <w:position w:val="0"/>
        </w:rPr>
        <w:t>、其他</w:t>
      </w:r>
      <w:bookmarkEnd w:id="2079"/>
      <w:bookmarkEnd w:id="2080"/>
      <w:bookmarkEnd w:id="2082"/>
    </w:p>
    <w:p>
      <w:pPr>
        <w:pStyle w:val="Style22"/>
        <w:keepNext/>
        <w:keepLines/>
        <w:widowControl w:val="0"/>
        <w:shd w:val="clear" w:color="auto" w:fill="auto"/>
        <w:bidi w:val="0"/>
        <w:spacing w:before="0" w:after="360" w:line="240" w:lineRule="auto"/>
        <w:ind w:left="0" w:right="0" w:firstLine="0"/>
        <w:jc w:val="left"/>
      </w:pPr>
      <w:bookmarkStart w:id="2083" w:name="bookmark2083"/>
      <w:bookmarkStart w:id="2084" w:name="bookmark2084"/>
      <w:bookmarkStart w:id="2085" w:name="bookmark2085"/>
      <w:r>
        <w:rPr>
          <w:color w:val="000000"/>
          <w:spacing w:val="0"/>
          <w:w w:val="100"/>
          <w:position w:val="0"/>
          <w:sz w:val="24"/>
          <w:szCs w:val="24"/>
        </w:rPr>
        <w:t>十三、股份支付</w:t>
      </w:r>
      <w:bookmarkEnd w:id="2083"/>
      <w:bookmarkEnd w:id="2084"/>
      <w:bookmarkEnd w:id="2085"/>
    </w:p>
    <w:p>
      <w:pPr>
        <w:pStyle w:val="Style32"/>
        <w:keepNext/>
        <w:keepLines/>
        <w:widowControl w:val="0"/>
        <w:shd w:val="clear" w:color="auto" w:fill="auto"/>
        <w:bidi w:val="0"/>
        <w:spacing w:before="0" w:line="240" w:lineRule="auto"/>
        <w:ind w:left="0" w:right="0" w:firstLine="0"/>
        <w:jc w:val="left"/>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86"/>
      <w:bookmarkEnd w:id="2087"/>
      <w:bookmarkEnd w:id="2088"/>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详见其他说明</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公司本期授予的各项权益工具总额为</w:t>
      </w:r>
      <w:r>
        <w:rPr>
          <w:rFonts w:ascii="Times New Roman" w:eastAsia="Times New Roman" w:hAnsi="Times New Roman" w:cs="Times New Roman"/>
          <w:color w:val="000000"/>
          <w:spacing w:val="0"/>
          <w:w w:val="100"/>
          <w:position w:val="0"/>
          <w:sz w:val="18"/>
          <w:szCs w:val="18"/>
        </w:rPr>
        <w:t>12,764.51</w:t>
      </w:r>
      <w:r>
        <w:rPr>
          <w:color w:val="000000"/>
          <w:spacing w:val="0"/>
          <w:w w:val="100"/>
          <w:position w:val="0"/>
        </w:rPr>
        <w:t>万元，共</w:t>
      </w:r>
      <w:r>
        <w:rPr>
          <w:rFonts w:ascii="Times New Roman" w:eastAsia="Times New Roman" w:hAnsi="Times New Roman" w:cs="Times New Roman"/>
          <w:color w:val="000000"/>
          <w:spacing w:val="0"/>
          <w:w w:val="100"/>
          <w:position w:val="0"/>
          <w:sz w:val="18"/>
          <w:szCs w:val="18"/>
        </w:rPr>
        <w:t>834.5</w:t>
      </w:r>
      <w:r>
        <w:rPr>
          <w:color w:val="000000"/>
          <w:spacing w:val="0"/>
          <w:w w:val="100"/>
          <w:position w:val="0"/>
        </w:rPr>
        <w:t>万股，均为第二类限制性股票。</w:t>
      </w:r>
    </w:p>
    <w:p>
      <w:pPr>
        <w:pStyle w:val="Style1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公司期末发行在外的第二类限制性股票行权价格为</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rPr>
        <w:t>元。本期授予的第二类限制性股票授予日为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权安排如下:</w:t>
      </w:r>
    </w:p>
    <w:tbl>
      <w:tblPr>
        <w:tblOverlap w:val="never"/>
        <w:jc w:val="center"/>
        <w:tblLayout w:type="fixed"/>
      </w:tblPr>
      <w:tblGrid>
        <w:gridCol w:w="1766"/>
        <w:gridCol w:w="5270"/>
        <w:gridCol w:w="264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行权安排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行权时间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行权比例</w:t>
            </w:r>
          </w:p>
        </w:tc>
      </w:tr>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自限制性股票授予之日起</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个月后的首个交易日至限制性股票授予 之日起</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个月内的最后一个交易日止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自限制性股票授予之日起</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个月后的首个交易日至限制性股票授予 之日起</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个月内的最后一个交易日止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自限制性股票授予之日起</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个月后的首个交易日至限制性股票授予 之日起</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个月内的最后一个交易日止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89"/>
      <w:bookmarkEnd w:id="2090"/>
      <w:bookmarkEnd w:id="2091"/>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第二类限制性股票授予日公允价值系参考</w:t>
            </w: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sz w:val="17"/>
                <w:szCs w:val="17"/>
              </w:rPr>
              <w:t>期权定价模型计算。</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公司将在等待期的每个资产负债表日，根据最新取得的 可行权的人数变动、业绩指标完成情况等后续信息，修 正预计可行权的限制性股票的数量。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60,098,989.49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60,098,989.49</w:t>
            </w:r>
          </w:p>
        </w:tc>
      </w:tr>
    </w:tbl>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both"/>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shd w:val="clear" w:color="auto" w:fill="auto"/>
        <w:bidi w:val="0"/>
        <w:spacing w:before="0" w:after="0" w:line="320" w:lineRule="exact"/>
        <w:ind w:left="0" w:right="0" w:firstLine="5820"/>
        <w:jc w:val="both"/>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r>
        <w:rPr>
          <w:color w:val="000000"/>
          <w:spacing w:val="0"/>
          <w:w w:val="100"/>
          <w:position w:val="0"/>
          <w:u w:val="single"/>
        </w:rPr>
        <w:t xml:space="preserve"> </w:t>
      </w:r>
      <w:r>
        <w:rPr>
          <w:color w:val="000000"/>
          <w:spacing w:val="0"/>
          <w:w w:val="100"/>
          <w:position w:val="0"/>
        </w:rPr>
        <w:t>其他说明</w:t>
      </w:r>
    </w:p>
    <w:p>
      <w:pPr>
        <w:pStyle w:val="Style18"/>
        <w:keepNext w:val="0"/>
        <w:keepLines w:val="0"/>
        <w:widowControl w:val="0"/>
        <w:shd w:val="clear" w:color="auto" w:fill="auto"/>
        <w:bidi w:val="0"/>
        <w:spacing w:before="0" w:after="0" w:line="320"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年第二次临时股东大会，审议通过了《关于公司</w:t>
      </w:r>
      <w:r>
        <w:rPr>
          <w:color w:val="000000"/>
          <w:spacing w:val="0"/>
          <w:w w:val="100"/>
          <w:position w:val="0"/>
          <w:sz w:val="18"/>
          <w:szCs w:val="18"/>
        </w:rPr>
        <w:t>〈</w:t>
      </w:r>
      <w:r>
        <w:rPr>
          <w:color w:val="000000"/>
          <w:spacing w:val="0"/>
          <w:w w:val="100"/>
          <w:position w:val="0"/>
        </w:rPr>
        <w:t>第一期限制性股票激励计划（草案）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color w:val="000000"/>
          <w:spacing w:val="0"/>
          <w:w w:val="100"/>
          <w:position w:val="0"/>
          <w:sz w:val="18"/>
          <w:szCs w:val="18"/>
        </w:rPr>
        <w:t>〈</w:t>
      </w:r>
      <w:r>
        <w:rPr>
          <w:color w:val="000000"/>
          <w:spacing w:val="0"/>
          <w:w w:val="100"/>
          <w:position w:val="0"/>
        </w:rPr>
        <w:t>第一期限制性股票激励计划实施考核管理办法</w:t>
      </w:r>
      <w:r>
        <w:rPr>
          <w:color w:val="000000"/>
          <w:spacing w:val="0"/>
          <w:w w:val="100"/>
          <w:position w:val="0"/>
          <w:sz w:val="18"/>
          <w:szCs w:val="18"/>
        </w:rPr>
        <w:t>〉</w:t>
      </w:r>
      <w:r>
        <w:rPr>
          <w:color w:val="000000"/>
          <w:spacing w:val="0"/>
          <w:w w:val="100"/>
          <w:position w:val="0"/>
        </w:rPr>
        <w:t>的议案》、《关于提请股东大会授权董事会办 理股权激励相关事宜的议案》等相关议案。</w:t>
      </w:r>
    </w:p>
    <w:p>
      <w:pPr>
        <w:pStyle w:val="Style18"/>
        <w:keepNext w:val="0"/>
        <w:keepLines w:val="0"/>
        <w:widowControl w:val="0"/>
        <w:shd w:val="clear" w:color="auto" w:fill="auto"/>
        <w:bidi w:val="0"/>
        <w:spacing w:before="0" w:after="360" w:line="320"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日，经公司第二届董事会第二十次会议审议通过了《关于向公司第一期限制性股票激励计划激励对象授予 限制性股票议案》，确定以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日为授予日，授予</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834.5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万股第二类限制性股票，授予价格为</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p>
      <w:pPr>
        <w:pStyle w:val="Style32"/>
        <w:keepNext/>
        <w:keepLines/>
        <w:widowControl w:val="0"/>
        <w:shd w:val="clear" w:color="auto" w:fill="auto"/>
        <w:bidi w:val="0"/>
        <w:spacing w:before="0" w:after="26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3</w:t>
      </w:r>
      <w:bookmarkEnd w:id="2094"/>
      <w:r>
        <w:rPr>
          <w:color w:val="000000"/>
          <w:spacing w:val="0"/>
          <w:w w:val="100"/>
          <w:position w:val="0"/>
        </w:rPr>
        <w:t>、以现金结算的股份支付情况</w:t>
      </w:r>
      <w:bookmarkEnd w:id="2092"/>
      <w:bookmarkEnd w:id="2093"/>
      <w:bookmarkEnd w:id="2095"/>
    </w:p>
    <w:p>
      <w:pPr>
        <w:pStyle w:val="Style18"/>
        <w:keepNext w:val="0"/>
        <w:keepLines w:val="0"/>
        <w:widowControl w:val="0"/>
        <w:shd w:val="clear" w:color="auto" w:fill="auto"/>
        <w:bidi w:val="0"/>
        <w:spacing w:before="0" w:after="360" w:line="320" w:lineRule="exact"/>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4</w:t>
      </w:r>
      <w:bookmarkEnd w:id="2098"/>
      <w:r>
        <w:rPr>
          <w:color w:val="000000"/>
          <w:spacing w:val="0"/>
          <w:w w:val="100"/>
          <w:position w:val="0"/>
        </w:rPr>
        <w:t>、股份支付的修改、终止情况</w:t>
      </w:r>
      <w:bookmarkEnd w:id="2096"/>
      <w:bookmarkEnd w:id="2097"/>
      <w:bookmarkEnd w:id="209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本报告期内未发生股份支付修改、终止情况。</w:t>
      </w:r>
    </w:p>
    <w:p>
      <w:pPr>
        <w:pStyle w:val="Style32"/>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5</w:t>
      </w:r>
      <w:bookmarkEnd w:id="2102"/>
      <w:r>
        <w:rPr>
          <w:color w:val="000000"/>
          <w:spacing w:val="0"/>
          <w:w w:val="100"/>
          <w:position w:val="0"/>
        </w:rPr>
        <w:t>、其他</w:t>
      </w:r>
      <w:bookmarkEnd w:id="2100"/>
      <w:bookmarkEnd w:id="2101"/>
      <w:bookmarkEnd w:id="2103"/>
    </w:p>
    <w:p>
      <w:pPr>
        <w:pStyle w:val="Style22"/>
        <w:keepNext/>
        <w:keepLines/>
        <w:widowControl w:val="0"/>
        <w:shd w:val="clear" w:color="auto" w:fill="auto"/>
        <w:bidi w:val="0"/>
        <w:spacing w:before="0" w:after="360" w:line="240" w:lineRule="auto"/>
        <w:ind w:left="0" w:right="0" w:firstLine="0"/>
        <w:jc w:val="left"/>
      </w:pPr>
      <w:bookmarkStart w:id="2104" w:name="bookmark2104"/>
      <w:bookmarkStart w:id="2105" w:name="bookmark2105"/>
      <w:bookmarkStart w:id="2106" w:name="bookmark2106"/>
      <w:r>
        <w:rPr>
          <w:color w:val="000000"/>
          <w:spacing w:val="0"/>
          <w:w w:val="100"/>
          <w:position w:val="0"/>
          <w:sz w:val="24"/>
          <w:szCs w:val="24"/>
        </w:rPr>
        <w:t>十四、承诺及或有事项</w:t>
      </w:r>
      <w:bookmarkEnd w:id="2104"/>
      <w:bookmarkEnd w:id="2105"/>
      <w:bookmarkEnd w:id="2106"/>
    </w:p>
    <w:p>
      <w:pPr>
        <w:pStyle w:val="Style32"/>
        <w:keepNext/>
        <w:keepLines/>
        <w:widowControl w:val="0"/>
        <w:shd w:val="clear" w:color="auto" w:fill="auto"/>
        <w:bidi w:val="0"/>
        <w:spacing w:before="0" w:after="260" w:line="240" w:lineRule="auto"/>
        <w:ind w:left="0" w:right="0" w:firstLine="0"/>
        <w:jc w:val="left"/>
      </w:pPr>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07"/>
      <w:bookmarkEnd w:id="2108"/>
      <w:bookmarkEnd w:id="2109"/>
    </w:p>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360" w:line="32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日，公司无需披露的重要承诺事项。</w:t>
      </w:r>
    </w:p>
    <w:p>
      <w:pPr>
        <w:pStyle w:val="Style32"/>
        <w:keepNext/>
        <w:keepLines/>
        <w:widowControl w:val="0"/>
        <w:shd w:val="clear" w:color="auto" w:fill="auto"/>
        <w:bidi w:val="0"/>
        <w:spacing w:before="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10"/>
      <w:bookmarkEnd w:id="2111"/>
      <w:bookmarkEnd w:id="2112"/>
    </w:p>
    <w:p>
      <w:pPr>
        <w:pStyle w:val="Style50"/>
        <w:keepNext/>
        <w:keepLines/>
        <w:widowControl w:val="0"/>
        <w:shd w:val="clear" w:color="auto" w:fill="auto"/>
        <w:bidi w:val="0"/>
        <w:spacing w:before="0" w:after="260" w:line="240" w:lineRule="auto"/>
        <w:ind w:left="0" w:right="0" w:firstLine="0"/>
        <w:jc w:val="left"/>
      </w:pPr>
      <w:bookmarkStart w:id="2113" w:name="bookmark2113"/>
      <w:bookmarkStart w:id="2114" w:name="bookmark2114"/>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13"/>
      <w:bookmarkEnd w:id="2114"/>
      <w:bookmarkEnd w:id="2115"/>
    </w:p>
    <w:p>
      <w:pPr>
        <w:pStyle w:val="Style18"/>
        <w:keepNext w:val="0"/>
        <w:keepLines w:val="0"/>
        <w:widowControl w:val="0"/>
        <w:shd w:val="clear" w:color="auto" w:fill="auto"/>
        <w:bidi w:val="0"/>
        <w:spacing w:before="0" w:after="0" w:line="307" w:lineRule="exact"/>
        <w:ind w:left="0" w:right="0" w:firstLine="420"/>
        <w:jc w:val="both"/>
      </w:pPr>
      <w:r>
        <w:rPr>
          <w:b/>
          <w:bCs/>
          <w:color w:val="000000"/>
          <w:spacing w:val="0"/>
          <w:w w:val="100"/>
          <w:position w:val="0"/>
        </w:rPr>
        <w:t>①开具保函</w:t>
      </w:r>
    </w:p>
    <w:p>
      <w:pPr>
        <w:pStyle w:val="Style18"/>
        <w:keepNext w:val="0"/>
        <w:keepLines w:val="0"/>
        <w:widowControl w:val="0"/>
        <w:shd w:val="clear" w:color="auto" w:fill="auto"/>
        <w:bidi w:val="0"/>
        <w:spacing w:before="0" w:after="0" w:line="307"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日，公司已开具尚未撤销的银行保函金额为人民币</w:t>
      </w:r>
      <w:r>
        <w:rPr>
          <w:rFonts w:ascii="Times New Roman" w:eastAsia="Times New Roman" w:hAnsi="Times New Roman" w:cs="Times New Roman"/>
          <w:color w:val="000000"/>
          <w:spacing w:val="0"/>
          <w:w w:val="100"/>
          <w:position w:val="0"/>
          <w:sz w:val="20"/>
          <w:szCs w:val="20"/>
        </w:rPr>
        <w:t>237,210,565.98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158,181,542.80</w:t>
      </w:r>
      <w:r>
        <w:rPr>
          <w:color w:val="000000"/>
          <w:spacing w:val="0"/>
          <w:w w:val="100"/>
          <w:position w:val="0"/>
        </w:rPr>
        <w:t>元由关联 方保证担保，具体详见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420"/>
        <w:jc w:val="both"/>
      </w:pPr>
      <w:r>
        <w:rPr>
          <w:b/>
          <w:bCs/>
          <w:color w:val="000000"/>
          <w:spacing w:val="0"/>
          <w:w w:val="100"/>
          <w:position w:val="0"/>
        </w:rPr>
        <w:t>②已背书或贴现且在资产负债表日尚未到期票据</w:t>
      </w:r>
    </w:p>
    <w:p>
      <w:pPr>
        <w:pStyle w:val="Style18"/>
        <w:keepNext w:val="0"/>
        <w:keepLines w:val="0"/>
        <w:widowControl w:val="0"/>
        <w:shd w:val="clear" w:color="auto" w:fill="auto"/>
        <w:bidi w:val="0"/>
        <w:spacing w:before="0" w:after="360" w:line="307"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日止，公司已背书或贴现且在资产负债表日尚未到期应收票据金额为</w:t>
      </w:r>
      <w:r>
        <w:rPr>
          <w:rFonts w:ascii="Times New Roman" w:eastAsia="Times New Roman" w:hAnsi="Times New Roman" w:cs="Times New Roman"/>
          <w:color w:val="000000"/>
          <w:spacing w:val="0"/>
          <w:w w:val="100"/>
          <w:position w:val="0"/>
          <w:sz w:val="20"/>
          <w:szCs w:val="20"/>
        </w:rPr>
        <w:t>4,350,181.50</w:t>
      </w:r>
      <w:r>
        <w:rPr>
          <w:color w:val="000000"/>
          <w:spacing w:val="0"/>
          <w:w w:val="100"/>
          <w:position w:val="0"/>
        </w:rPr>
        <w:t>元。</w:t>
      </w:r>
    </w:p>
    <w:p>
      <w:pPr>
        <w:pStyle w:val="Style50"/>
        <w:keepNext/>
        <w:keepLines/>
        <w:widowControl w:val="0"/>
        <w:shd w:val="clear" w:color="auto" w:fill="auto"/>
        <w:bidi w:val="0"/>
        <w:spacing w:before="0" w:after="260" w:line="240" w:lineRule="auto"/>
        <w:ind w:left="0" w:right="0" w:firstLine="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16"/>
      <w:bookmarkEnd w:id="2117"/>
      <w:bookmarkEnd w:id="2118"/>
    </w:p>
    <w:p>
      <w:pPr>
        <w:pStyle w:val="Style18"/>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公司不存在需要披露的重要或有事项。</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32"/>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3</w:t>
      </w:r>
      <w:bookmarkEnd w:id="2121"/>
      <w:r>
        <w:rPr>
          <w:color w:val="000000"/>
          <w:spacing w:val="0"/>
          <w:w w:val="100"/>
          <w:position w:val="0"/>
        </w:rPr>
        <w:t>、其他</w:t>
      </w:r>
      <w:bookmarkEnd w:id="2119"/>
      <w:bookmarkEnd w:id="2120"/>
      <w:bookmarkEnd w:id="2122"/>
    </w:p>
    <w:p>
      <w:pPr>
        <w:pStyle w:val="Style22"/>
        <w:keepNext/>
        <w:keepLines/>
        <w:widowControl w:val="0"/>
        <w:shd w:val="clear" w:color="auto" w:fill="auto"/>
        <w:bidi w:val="0"/>
        <w:spacing w:before="0" w:after="360" w:line="240" w:lineRule="auto"/>
        <w:ind w:left="0" w:right="0" w:firstLine="0"/>
        <w:jc w:val="left"/>
      </w:pPr>
      <w:bookmarkStart w:id="2123" w:name="bookmark2123"/>
      <w:bookmarkStart w:id="2124" w:name="bookmark2124"/>
      <w:bookmarkStart w:id="2125" w:name="bookmark2125"/>
      <w:r>
        <w:rPr>
          <w:color w:val="000000"/>
          <w:spacing w:val="0"/>
          <w:w w:val="100"/>
          <w:position w:val="0"/>
          <w:sz w:val="24"/>
          <w:szCs w:val="24"/>
        </w:rPr>
        <w:t>十五、资产负债表日后事项</w:t>
      </w:r>
      <w:bookmarkEnd w:id="2123"/>
      <w:bookmarkEnd w:id="2124"/>
      <w:bookmarkEnd w:id="2125"/>
    </w:p>
    <w:p>
      <w:pPr>
        <w:pStyle w:val="Style32"/>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6"/>
      <w:bookmarkEnd w:id="2127"/>
      <w:bookmarkEnd w:id="2128"/>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950"/>
        <w:gridCol w:w="5760"/>
        <w:gridCol w:w="1603"/>
        <w:gridCol w:w="12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对财务状况和经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营成果的影响数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无法估计影 响数的原因</w:t>
            </w:r>
          </w:p>
        </w:tc>
      </w:tr>
      <w:tr>
        <w:trPr>
          <w:trHeight w:val="91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其他对外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日转让持有的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福建三帆新能源有限公司 股权。公司已于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日转让持有的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福建灿帆新能源有 限公司股权。公司已于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日转让持有的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福建灿帆新 能源有限公司股权时间接转让了吴忠市三帆新能源有限公司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 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日，公司设立子公司汕头永帆智慧海洋工程科技有限 公司，注册资本为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日，公司设立子公司福建晨帆新 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 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日，公司设立子公司福 建若帆新能源有限公司，注册资本为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 xml:space="preserve">万元人民币，公司认缴出资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 子公司福建毓帆新能源有限公司，注册资本为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万元人民币，公司 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 公司设立子公司福建飞帆新能源有限公司，注册资本为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 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日，公司设立子公司福建智帆新能源有限公司，注册资本为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日，公司设立子公司福建锐帆新能源有限公司，注册资本为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日，公司设立子公司青岛胶帆新能源有限公司，注册资 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 xml:space="preserve">万元人民币，占注册资本的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日，公司设立子公司青岛金口青城永福新能源有 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日，公司取得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德庆亿帆新能 源有限公司股权。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日，公司设立子公司寿宁晨帆新能源 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 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日，公司设立子公司寿宁晨帆新 能源有限公司，注册资本为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万元人民币，公司认缴出资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 民币，占注册资本的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29"/>
      <w:bookmarkEnd w:id="2130"/>
      <w:bookmarkEnd w:id="2131"/>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bl>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tabs>
          <w:tab w:pos="5801" w:val="left"/>
        </w:tabs>
        <w:bidi w:val="0"/>
        <w:spacing w:before="0" w:after="80" w:line="240" w:lineRule="auto"/>
        <w:ind w:left="0" w:right="0" w:firstLine="780"/>
        <w:jc w:val="left"/>
      </w:pPr>
      <w:r>
        <w:rPr>
          <w:rFonts w:ascii="Times New Roman" w:eastAsia="Times New Roman" w:hAnsi="Times New Roman" w:cs="Times New Roman"/>
          <w:color w:val="000000"/>
          <w:spacing w:val="0"/>
          <w:w w:val="100"/>
          <w:position w:val="0"/>
          <w:sz w:val="18"/>
          <w:szCs w:val="18"/>
          <w:u w:val="single"/>
        </w:rPr>
        <w:t>"n</w:t>
      </w:r>
      <w:r>
        <w:rPr>
          <w:color w:val="000000"/>
          <w:spacing w:val="0"/>
          <w:w w:val="100"/>
          <w:position w:val="0"/>
          <w:u w:val="single"/>
        </w:rPr>
        <w:t>皿</w:t>
        <w:tab/>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18"/>
        <w:keepNext w:val="0"/>
        <w:keepLines w:val="0"/>
        <w:widowControl w:val="0"/>
        <w:shd w:val="clear" w:color="auto" w:fill="auto"/>
        <w:tabs>
          <w:tab w:pos="8429" w:val="left"/>
        </w:tabs>
        <w:bidi w:val="0"/>
        <w:spacing w:before="0" w:after="360" w:line="240" w:lineRule="auto"/>
        <w:ind w:left="0" w:right="0" w:firstLine="0"/>
        <w:jc w:val="left"/>
        <w:rPr>
          <w:sz w:val="18"/>
          <w:szCs w:val="18"/>
        </w:rPr>
      </w:pPr>
      <w:r>
        <w:rPr>
          <w:color w:val="000000"/>
          <w:spacing w:val="0"/>
          <w:w w:val="100"/>
          <w:position w:val="0"/>
          <w:sz w:val="17"/>
          <w:szCs w:val="17"/>
        </w:rPr>
        <w:t>|经审议批准宣告发放的利润或股利</w:t>
      </w:r>
      <w:r>
        <w:rPr>
          <w:color w:val="000000"/>
          <w:spacing w:val="0"/>
          <w:w w:val="100"/>
          <w:position w:val="0"/>
          <w:sz w:val="17"/>
          <w:szCs w:val="17"/>
          <w:u w:val="single"/>
        </w:rPr>
        <w:tab/>
      </w:r>
      <w:r>
        <w:rPr>
          <w:rFonts w:ascii="Times New Roman" w:eastAsia="Times New Roman" w:hAnsi="Times New Roman" w:cs="Times New Roman"/>
          <w:color w:val="000000"/>
          <w:spacing w:val="0"/>
          <w:w w:val="100"/>
          <w:position w:val="0"/>
          <w:sz w:val="18"/>
          <w:szCs w:val="18"/>
        </w:rPr>
        <w:t>18,210,400.00</w:t>
      </w:r>
    </w:p>
    <w:p>
      <w:pPr>
        <w:pStyle w:val="Style32"/>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3</w:t>
      </w:r>
      <w:bookmarkEnd w:id="2134"/>
      <w:r>
        <w:rPr>
          <w:color w:val="000000"/>
          <w:spacing w:val="0"/>
          <w:w w:val="100"/>
          <w:position w:val="0"/>
        </w:rPr>
        <w:t>、销售退回</w:t>
      </w:r>
      <w:bookmarkEnd w:id="2132"/>
      <w:bookmarkEnd w:id="2133"/>
      <w:bookmarkEnd w:id="2135"/>
    </w:p>
    <w:p>
      <w:pPr>
        <w:pStyle w:val="Style32"/>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4</w:t>
      </w:r>
      <w:bookmarkEnd w:id="2138"/>
      <w:r>
        <w:rPr>
          <w:color w:val="000000"/>
          <w:spacing w:val="0"/>
          <w:w w:val="100"/>
          <w:position w:val="0"/>
        </w:rPr>
        <w:t>、其他资产负债表日后事项说明</w:t>
      </w:r>
      <w:bookmarkEnd w:id="2136"/>
      <w:bookmarkEnd w:id="2137"/>
      <w:bookmarkEnd w:id="2139"/>
    </w:p>
    <w:p>
      <w:pPr>
        <w:pStyle w:val="Style22"/>
        <w:keepNext/>
        <w:keepLines/>
        <w:widowControl w:val="0"/>
        <w:shd w:val="clear" w:color="auto" w:fill="auto"/>
        <w:bidi w:val="0"/>
        <w:spacing w:before="0" w:after="360" w:line="240" w:lineRule="auto"/>
        <w:ind w:left="0" w:right="0" w:firstLine="0"/>
        <w:jc w:val="left"/>
      </w:pPr>
      <w:bookmarkStart w:id="2140" w:name="bookmark2140"/>
      <w:bookmarkStart w:id="2141" w:name="bookmark2141"/>
      <w:bookmarkStart w:id="2142" w:name="bookmark2142"/>
      <w:r>
        <w:rPr>
          <w:color w:val="000000"/>
          <w:spacing w:val="0"/>
          <w:w w:val="100"/>
          <w:position w:val="0"/>
          <w:sz w:val="24"/>
          <w:szCs w:val="24"/>
        </w:rPr>
        <w:t>十六、其他重要事项</w:t>
      </w:r>
      <w:bookmarkEnd w:id="2140"/>
      <w:bookmarkEnd w:id="2141"/>
      <w:bookmarkEnd w:id="2142"/>
    </w:p>
    <w:p>
      <w:pPr>
        <w:pStyle w:val="Style32"/>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3"/>
      <w:bookmarkEnd w:id="2144"/>
      <w:bookmarkEnd w:id="2145"/>
    </w:p>
    <w:p>
      <w:pPr>
        <w:pStyle w:val="Style50"/>
        <w:keepNext/>
        <w:keepLines/>
        <w:widowControl w:val="0"/>
        <w:shd w:val="clear" w:color="auto" w:fill="auto"/>
        <w:bidi w:val="0"/>
        <w:spacing w:before="0" w:after="360" w:line="240" w:lineRule="auto"/>
        <w:ind w:left="0" w:right="0" w:firstLine="0"/>
        <w:jc w:val="left"/>
      </w:pPr>
      <w:bookmarkStart w:id="2146" w:name="bookmark2146"/>
      <w:bookmarkStart w:id="2147" w:name="bookmark2147"/>
      <w:bookmarkStart w:id="2148" w:name="bookmark2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6"/>
      <w:bookmarkEnd w:id="2147"/>
      <w:bookmarkEnd w:id="214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49"/>
      <w:bookmarkEnd w:id="2150"/>
      <w:bookmarkEnd w:id="2151"/>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2</w:t>
      </w:r>
      <w:bookmarkEnd w:id="2154"/>
      <w:r>
        <w:rPr>
          <w:color w:val="000000"/>
          <w:spacing w:val="0"/>
          <w:w w:val="100"/>
          <w:position w:val="0"/>
        </w:rPr>
        <w:t>、</w:t>
        <w:tab/>
        <w:t>债务重组</w:t>
      </w:r>
      <w:bookmarkEnd w:id="2152"/>
      <w:bookmarkEnd w:id="2153"/>
      <w:bookmarkEnd w:id="2155"/>
    </w:p>
    <w:p>
      <w:pPr>
        <w:pStyle w:val="Style32"/>
        <w:keepNext/>
        <w:keepLines/>
        <w:widowControl w:val="0"/>
        <w:shd w:val="clear" w:color="auto" w:fill="auto"/>
        <w:tabs>
          <w:tab w:pos="378" w:val="left"/>
        </w:tabs>
        <w:bidi w:val="0"/>
        <w:spacing w:before="0" w:line="240" w:lineRule="auto"/>
        <w:ind w:left="0" w:right="0" w:firstLine="0"/>
        <w:jc w:val="both"/>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3</w:t>
      </w:r>
      <w:bookmarkEnd w:id="2158"/>
      <w:r>
        <w:rPr>
          <w:color w:val="000000"/>
          <w:spacing w:val="0"/>
          <w:w w:val="100"/>
          <w:position w:val="0"/>
        </w:rPr>
        <w:t>、</w:t>
        <w:tab/>
        <w:t>资产置换</w:t>
      </w:r>
      <w:bookmarkEnd w:id="2156"/>
      <w:bookmarkEnd w:id="2157"/>
      <w:bookmarkEnd w:id="2159"/>
    </w:p>
    <w:p>
      <w:pPr>
        <w:pStyle w:val="Style50"/>
        <w:keepNext/>
        <w:keepLines/>
        <w:widowControl w:val="0"/>
        <w:shd w:val="clear" w:color="auto" w:fill="auto"/>
        <w:tabs>
          <w:tab w:pos="493" w:val="left"/>
        </w:tabs>
        <w:bidi w:val="0"/>
        <w:spacing w:before="0" w:after="360" w:line="240" w:lineRule="auto"/>
        <w:ind w:left="0" w:right="0" w:firstLine="0"/>
        <w:jc w:val="both"/>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60"/>
      <w:bookmarkEnd w:id="2161"/>
      <w:bookmarkEnd w:id="2163"/>
    </w:p>
    <w:p>
      <w:pPr>
        <w:pStyle w:val="Style50"/>
        <w:keepNext/>
        <w:keepLines/>
        <w:widowControl w:val="0"/>
        <w:shd w:val="clear" w:color="auto" w:fill="auto"/>
        <w:tabs>
          <w:tab w:pos="493" w:val="left"/>
        </w:tabs>
        <w:bidi w:val="0"/>
        <w:spacing w:before="0" w:after="360" w:line="240" w:lineRule="auto"/>
        <w:ind w:left="0" w:right="0" w:firstLine="0"/>
        <w:jc w:val="both"/>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64"/>
      <w:bookmarkEnd w:id="2165"/>
      <w:bookmarkEnd w:id="2167"/>
    </w:p>
    <w:p>
      <w:pPr>
        <w:pStyle w:val="Style32"/>
        <w:keepNext/>
        <w:keepLines/>
        <w:widowControl w:val="0"/>
        <w:shd w:val="clear" w:color="auto" w:fill="auto"/>
        <w:tabs>
          <w:tab w:pos="378" w:val="left"/>
        </w:tabs>
        <w:bidi w:val="0"/>
        <w:spacing w:before="0" w:line="240" w:lineRule="auto"/>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4</w:t>
      </w:r>
      <w:bookmarkEnd w:id="2170"/>
      <w:r>
        <w:rPr>
          <w:color w:val="000000"/>
          <w:spacing w:val="0"/>
          <w:w w:val="100"/>
          <w:position w:val="0"/>
        </w:rPr>
        <w:t>、</w:t>
        <w:tab/>
        <w:t>年金计划</w:t>
      </w:r>
      <w:bookmarkEnd w:id="2168"/>
      <w:bookmarkEnd w:id="2169"/>
      <w:bookmarkEnd w:id="2171"/>
    </w:p>
    <w:p>
      <w:pPr>
        <w:pStyle w:val="Style32"/>
        <w:keepNext/>
        <w:keepLines/>
        <w:widowControl w:val="0"/>
        <w:shd w:val="clear" w:color="auto" w:fill="auto"/>
        <w:tabs>
          <w:tab w:pos="378" w:val="left"/>
        </w:tabs>
        <w:bidi w:val="0"/>
        <w:spacing w:before="0" w:line="240" w:lineRule="auto"/>
        <w:ind w:left="0" w:right="0" w:firstLine="0"/>
        <w:jc w:val="both"/>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5</w:t>
      </w:r>
      <w:bookmarkEnd w:id="2174"/>
      <w:r>
        <w:rPr>
          <w:color w:val="000000"/>
          <w:spacing w:val="0"/>
          <w:w w:val="100"/>
          <w:position w:val="0"/>
        </w:rPr>
        <w:t>、</w:t>
        <w:tab/>
        <w:t>终止经营</w:t>
      </w:r>
      <w:bookmarkEnd w:id="2172"/>
      <w:bookmarkEnd w:id="2173"/>
      <w:bookmarkEnd w:id="21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归属于母公司</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所有者的终止</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经营利润</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6</w:t>
      </w:r>
      <w:bookmarkEnd w:id="2178"/>
      <w:r>
        <w:rPr>
          <w:color w:val="000000"/>
          <w:spacing w:val="0"/>
          <w:w w:val="100"/>
          <w:position w:val="0"/>
        </w:rPr>
        <w:t>、分部信息</w:t>
      </w:r>
      <w:bookmarkEnd w:id="2176"/>
      <w:bookmarkEnd w:id="2177"/>
      <w:bookmarkEnd w:id="2179"/>
    </w:p>
    <w:p>
      <w:pPr>
        <w:pStyle w:val="Style50"/>
        <w:keepNext/>
        <w:keepLines/>
        <w:widowControl w:val="0"/>
        <w:shd w:val="clear" w:color="auto" w:fill="auto"/>
        <w:bidi w:val="0"/>
        <w:spacing w:before="0" w:after="360" w:line="240" w:lineRule="auto"/>
        <w:ind w:left="0" w:right="0" w:firstLine="0"/>
        <w:jc w:val="both"/>
      </w:pPr>
      <w:bookmarkStart w:id="2180" w:name="bookmark2180"/>
      <w:bookmarkStart w:id="2181" w:name="bookmark2181"/>
      <w:bookmarkStart w:id="2182" w:name="bookmark2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80"/>
      <w:bookmarkEnd w:id="2181"/>
      <w:bookmarkEnd w:id="218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本公司业务均为电力（发电、输电）领域建设工程提供勘察设计、规划和咨询等技术服务及以勘察设计为核心的工程总承包</w:t>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2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业务，管理层将此业务作为一个整体实施管理、评估经营成果，因此，本财务报表不呈报分部信息。</w:t>
      </w:r>
    </w:p>
    <w:p>
      <w:pPr>
        <w:pStyle w:val="Style50"/>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83"/>
      <w:bookmarkEnd w:id="2184"/>
      <w:bookmarkEnd w:id="21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0"/>
        <w:keepNext/>
        <w:keepLines/>
        <w:widowControl w:val="0"/>
        <w:shd w:val="clear" w:color="auto" w:fill="auto"/>
        <w:tabs>
          <w:tab w:pos="464" w:val="left"/>
        </w:tabs>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86"/>
      <w:bookmarkEnd w:id="2187"/>
      <w:bookmarkEnd w:id="2189"/>
    </w:p>
    <w:p>
      <w:pPr>
        <w:pStyle w:val="Style50"/>
        <w:keepNext/>
        <w:keepLines/>
        <w:widowControl w:val="0"/>
        <w:shd w:val="clear" w:color="auto" w:fill="auto"/>
        <w:tabs>
          <w:tab w:pos="464" w:val="left"/>
        </w:tabs>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90"/>
      <w:bookmarkEnd w:id="2191"/>
      <w:bookmarkEnd w:id="2193"/>
    </w:p>
    <w:p>
      <w:pPr>
        <w:pStyle w:val="Style32"/>
        <w:keepNext/>
        <w:keepLines/>
        <w:widowControl w:val="0"/>
        <w:shd w:val="clear" w:color="auto" w:fill="auto"/>
        <w:tabs>
          <w:tab w:pos="366" w:val="left"/>
        </w:tabs>
        <w:bidi w:val="0"/>
        <w:spacing w:before="0" w:after="26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7</w:t>
      </w:r>
      <w:bookmarkEnd w:id="2196"/>
      <w:r>
        <w:rPr>
          <w:color w:val="000000"/>
          <w:spacing w:val="0"/>
          <w:w w:val="100"/>
          <w:position w:val="0"/>
        </w:rPr>
        <w:t>、</w:t>
        <w:tab/>
        <w:t>其他对投资者决策有影响的重要交易和事项</w:t>
      </w:r>
      <w:bookmarkEnd w:id="2194"/>
      <w:bookmarkEnd w:id="2195"/>
      <w:bookmarkEnd w:id="2197"/>
    </w:p>
    <w:p>
      <w:pPr>
        <w:pStyle w:val="Style18"/>
        <w:keepNext w:val="0"/>
        <w:keepLines w:val="0"/>
        <w:widowControl w:val="0"/>
        <w:shd w:val="clear" w:color="auto" w:fill="auto"/>
        <w:bidi w:val="0"/>
        <w:spacing w:before="0" w:after="40"/>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日本公司控股股东福州博宏投资管理有限公司，因融资需求，将其持有本公司股份</w:t>
      </w:r>
      <w:r>
        <w:rPr>
          <w:rFonts w:ascii="Times New Roman" w:eastAsia="Times New Roman" w:hAnsi="Times New Roman" w:cs="Times New Roman"/>
          <w:color w:val="000000"/>
          <w:spacing w:val="0"/>
          <w:w w:val="100"/>
          <w:position w:val="0"/>
          <w:sz w:val="18"/>
          <w:szCs w:val="18"/>
        </w:rPr>
        <w:t>7,600,000</w:t>
      </w:r>
      <w:r>
        <w:rPr>
          <w:color w:val="000000"/>
          <w:spacing w:val="0"/>
          <w:w w:val="100"/>
          <w:position w:val="0"/>
        </w:rPr>
        <w:t>股（占其 所持公司股份比例的</w:t>
      </w:r>
      <w:r>
        <w:rPr>
          <w:rFonts w:ascii="Times New Roman" w:eastAsia="Times New Roman" w:hAnsi="Times New Roman" w:cs="Times New Roman"/>
          <w:color w:val="000000"/>
          <w:spacing w:val="0"/>
          <w:w w:val="100"/>
          <w:position w:val="0"/>
          <w:sz w:val="18"/>
          <w:szCs w:val="18"/>
        </w:rPr>
        <w:t>16.4554%</w:t>
      </w:r>
      <w:r>
        <w:rPr>
          <w:color w:val="000000"/>
          <w:spacing w:val="0"/>
          <w:w w:val="100"/>
          <w:position w:val="0"/>
          <w:sz w:val="18"/>
          <w:szCs w:val="18"/>
        </w:rPr>
        <w:t>，</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4.1734%</w:t>
      </w:r>
      <w:r>
        <w:rPr>
          <w:color w:val="000000"/>
          <w:spacing w:val="0"/>
          <w:w w:val="100"/>
          <w:position w:val="0"/>
        </w:rPr>
        <w:t>），向华安证券股份有限公司进行质押，其中质押股份</w:t>
      </w:r>
      <w:r>
        <w:rPr>
          <w:rFonts w:ascii="Times New Roman" w:eastAsia="Times New Roman" w:hAnsi="Times New Roman" w:cs="Times New Roman"/>
          <w:color w:val="000000"/>
          <w:spacing w:val="0"/>
          <w:w w:val="100"/>
          <w:position w:val="0"/>
          <w:sz w:val="18"/>
          <w:szCs w:val="18"/>
        </w:rPr>
        <w:t>7,600,000</w:t>
      </w:r>
      <w:r>
        <w:rPr>
          <w:color w:val="000000"/>
          <w:spacing w:val="0"/>
          <w:w w:val="100"/>
          <w:position w:val="0"/>
        </w:rPr>
        <w:t>股， 质押起止日为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p>
      <w:pPr>
        <w:pStyle w:val="Style18"/>
        <w:keepNext w:val="0"/>
        <w:keepLines w:val="0"/>
        <w:widowControl w:val="0"/>
        <w:shd w:val="clear" w:color="auto" w:fill="auto"/>
        <w:bidi w:val="0"/>
        <w:spacing w:before="0" w:after="40"/>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日本公司控股股东福州博宏投资管理有限公司，因融资需求，将其持有本公司股份</w:t>
      </w:r>
      <w:r>
        <w:rPr>
          <w:rFonts w:ascii="Times New Roman" w:eastAsia="Times New Roman" w:hAnsi="Times New Roman" w:cs="Times New Roman"/>
          <w:color w:val="000000"/>
          <w:spacing w:val="0"/>
          <w:w w:val="100"/>
          <w:position w:val="0"/>
          <w:sz w:val="18"/>
          <w:szCs w:val="18"/>
        </w:rPr>
        <w:t>6,300,000</w:t>
      </w:r>
      <w:r>
        <w:rPr>
          <w:color w:val="000000"/>
          <w:spacing w:val="0"/>
          <w:w w:val="100"/>
          <w:position w:val="0"/>
        </w:rPr>
        <w:t>股（占其 所持公司股份比例的</w:t>
      </w:r>
      <w:r>
        <w:rPr>
          <w:rFonts w:ascii="Times New Roman" w:eastAsia="Times New Roman" w:hAnsi="Times New Roman" w:cs="Times New Roman"/>
          <w:color w:val="000000"/>
          <w:spacing w:val="0"/>
          <w:w w:val="100"/>
          <w:position w:val="0"/>
          <w:sz w:val="18"/>
          <w:szCs w:val="18"/>
        </w:rPr>
        <w:t>13.6406%,</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3.4596%</w:t>
      </w:r>
      <w:r>
        <w:rPr>
          <w:color w:val="000000"/>
          <w:spacing w:val="0"/>
          <w:w w:val="100"/>
          <w:position w:val="0"/>
        </w:rPr>
        <w:t>），向中泰证券股份有限公司进行质押，，其中质押股份</w:t>
      </w:r>
      <w:r>
        <w:rPr>
          <w:rFonts w:ascii="Times New Roman" w:eastAsia="Times New Roman" w:hAnsi="Times New Roman" w:cs="Times New Roman"/>
          <w:color w:val="000000"/>
          <w:spacing w:val="0"/>
          <w:w w:val="100"/>
          <w:position w:val="0"/>
          <w:sz w:val="18"/>
          <w:szCs w:val="18"/>
        </w:rPr>
        <w:t>6,300,000</w:t>
      </w:r>
      <w:r>
        <w:rPr>
          <w:color w:val="000000"/>
          <w:spacing w:val="0"/>
          <w:w w:val="100"/>
          <w:position w:val="0"/>
        </w:rPr>
        <w:t>股， 质押起止日为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18"/>
        <w:keepNext w:val="0"/>
        <w:keepLines w:val="0"/>
        <w:widowControl w:val="0"/>
        <w:shd w:val="clear" w:color="auto" w:fill="auto"/>
        <w:bidi w:val="0"/>
        <w:spacing w:before="0" w:after="40"/>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日本公司控股股东福州永福恒诚投资管理股份有限公司，因融资需求，将其持有本公司股份</w:t>
      </w:r>
      <w:r>
        <w:rPr>
          <w:rFonts w:ascii="Times New Roman" w:eastAsia="Times New Roman" w:hAnsi="Times New Roman" w:cs="Times New Roman"/>
          <w:color w:val="000000"/>
          <w:spacing w:val="0"/>
          <w:w w:val="100"/>
          <w:position w:val="0"/>
          <w:sz w:val="18"/>
          <w:szCs w:val="18"/>
        </w:rPr>
        <w:t xml:space="preserve">6,910,000 </w:t>
      </w:r>
      <w:r>
        <w:rPr>
          <w:color w:val="000000"/>
          <w:spacing w:val="0"/>
          <w:w w:val="100"/>
          <w:position w:val="0"/>
        </w:rPr>
        <w:t>股（占其所持公司股份比例的</w:t>
      </w:r>
      <w:r>
        <w:rPr>
          <w:rFonts w:ascii="Times New Roman" w:eastAsia="Times New Roman" w:hAnsi="Times New Roman" w:cs="Times New Roman"/>
          <w:color w:val="000000"/>
          <w:spacing w:val="0"/>
          <w:w w:val="100"/>
          <w:position w:val="0"/>
          <w:sz w:val="18"/>
          <w:szCs w:val="18"/>
        </w:rPr>
        <w:t>19.5317%</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3.7945%</w:t>
      </w:r>
      <w:r>
        <w:rPr>
          <w:color w:val="000000"/>
          <w:spacing w:val="0"/>
          <w:w w:val="100"/>
          <w:position w:val="0"/>
        </w:rPr>
        <w:t xml:space="preserve">），向财通证券股份有限公司进行质押，其中质押股份 </w:t>
      </w:r>
      <w:r>
        <w:rPr>
          <w:rFonts w:ascii="Times New Roman" w:eastAsia="Times New Roman" w:hAnsi="Times New Roman" w:cs="Times New Roman"/>
          <w:color w:val="000000"/>
          <w:spacing w:val="0"/>
          <w:w w:val="100"/>
          <w:position w:val="0"/>
          <w:sz w:val="18"/>
          <w:szCs w:val="18"/>
        </w:rPr>
        <w:t>6,910,000</w:t>
      </w:r>
      <w:r>
        <w:rPr>
          <w:color w:val="000000"/>
          <w:spacing w:val="0"/>
          <w:w w:val="100"/>
          <w:position w:val="0"/>
        </w:rPr>
        <w:t>股，质押起止日为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18"/>
        <w:keepNext w:val="0"/>
        <w:keepLines w:val="0"/>
        <w:widowControl w:val="0"/>
        <w:shd w:val="clear" w:color="auto" w:fill="auto"/>
        <w:bidi w:val="0"/>
        <w:spacing w:before="0" w:after="360"/>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日本公司股东福州永福恒诚投资管理股份有限公司，因融资需求，将其持有本公司股份</w:t>
      </w:r>
      <w:r>
        <w:rPr>
          <w:rFonts w:ascii="Times New Roman" w:eastAsia="Times New Roman" w:hAnsi="Times New Roman" w:cs="Times New Roman"/>
          <w:color w:val="000000"/>
          <w:spacing w:val="0"/>
          <w:w w:val="100"/>
          <w:position w:val="0"/>
          <w:sz w:val="18"/>
          <w:szCs w:val="18"/>
        </w:rPr>
        <w:t>2,910,000</w:t>
      </w:r>
      <w:r>
        <w:rPr>
          <w:color w:val="000000"/>
          <w:spacing w:val="0"/>
          <w:w w:val="100"/>
          <w:position w:val="0"/>
        </w:rPr>
        <w:t>股（占其 所持公司股份比例的</w:t>
      </w:r>
      <w:r>
        <w:rPr>
          <w:rFonts w:ascii="Times New Roman" w:eastAsia="Times New Roman" w:hAnsi="Times New Roman" w:cs="Times New Roman"/>
          <w:color w:val="000000"/>
          <w:spacing w:val="0"/>
          <w:w w:val="100"/>
          <w:position w:val="0"/>
          <w:sz w:val="18"/>
          <w:szCs w:val="18"/>
        </w:rPr>
        <w:t>8.2253%</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1.5980%</w:t>
      </w:r>
      <w:r>
        <w:rPr>
          <w:color w:val="000000"/>
          <w:spacing w:val="0"/>
          <w:w w:val="100"/>
          <w:position w:val="0"/>
        </w:rPr>
        <w:t>），向招商证券股份有限公司进行质押，其中质押股份</w:t>
      </w:r>
      <w:r>
        <w:rPr>
          <w:rFonts w:ascii="Times New Roman" w:eastAsia="Times New Roman" w:hAnsi="Times New Roman" w:cs="Times New Roman"/>
          <w:color w:val="000000"/>
          <w:spacing w:val="0"/>
          <w:w w:val="100"/>
          <w:position w:val="0"/>
          <w:sz w:val="18"/>
          <w:szCs w:val="18"/>
        </w:rPr>
        <w:t>2,910,000</w:t>
      </w:r>
      <w:r>
        <w:rPr>
          <w:color w:val="000000"/>
          <w:spacing w:val="0"/>
          <w:w w:val="100"/>
          <w:position w:val="0"/>
        </w:rPr>
        <w:t>股， 质押起止日为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32"/>
        <w:keepNext/>
        <w:keepLines/>
        <w:widowControl w:val="0"/>
        <w:shd w:val="clear" w:color="auto" w:fill="auto"/>
        <w:tabs>
          <w:tab w:pos="366" w:val="left"/>
        </w:tabs>
        <w:bidi w:val="0"/>
        <w:spacing w:before="0" w:after="260" w:line="240" w:lineRule="auto"/>
        <w:ind w:left="0" w:right="0" w:firstLine="0"/>
        <w:jc w:val="both"/>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8</w:t>
      </w:r>
      <w:bookmarkEnd w:id="2200"/>
      <w:r>
        <w:rPr>
          <w:color w:val="000000"/>
          <w:spacing w:val="0"/>
          <w:w w:val="100"/>
          <w:position w:val="0"/>
        </w:rPr>
        <w:t>、</w:t>
        <w:tab/>
        <w:t>其他</w:t>
      </w:r>
      <w:bookmarkEnd w:id="2198"/>
      <w:bookmarkEnd w:id="2199"/>
      <w:bookmarkEnd w:id="2201"/>
    </w:p>
    <w:p>
      <w:pPr>
        <w:pStyle w:val="Style18"/>
        <w:keepNext w:val="0"/>
        <w:keepLines w:val="0"/>
        <w:widowControl w:val="0"/>
        <w:shd w:val="clear" w:color="auto" w:fill="auto"/>
        <w:bidi w:val="0"/>
        <w:spacing w:before="0" w:after="40"/>
        <w:ind w:left="0" w:right="0" w:firstLine="0"/>
        <w:jc w:val="both"/>
      </w:pPr>
      <w:r>
        <w:rPr>
          <w:b/>
          <w:bCs/>
          <w:color w:val="000000"/>
          <w:spacing w:val="0"/>
          <w:w w:val="100"/>
          <w:position w:val="0"/>
        </w:rPr>
        <w:t>与中石化工建设有限公司昆明分公司诉讼事项</w:t>
      </w:r>
    </w:p>
    <w:p>
      <w:pPr>
        <w:pStyle w:val="Style18"/>
        <w:keepNext w:val="0"/>
        <w:keepLines w:val="0"/>
        <w:widowControl w:val="0"/>
        <w:shd w:val="clear" w:color="auto" w:fill="auto"/>
        <w:bidi w:val="0"/>
        <w:spacing w:before="0" w:after="40"/>
        <w:ind w:left="0" w:right="0" w:firstLine="42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日，永福股份与中石化工建设有限公司昆明分公司（下称中石化工）双方签订《华夏电力燃煤耦合污泥发 电技改</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项目工程施工分包合同》（以下简称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），合同暂定价</w:t>
      </w:r>
      <w:r>
        <w:rPr>
          <w:rFonts w:ascii="Times New Roman" w:eastAsia="Times New Roman" w:hAnsi="Times New Roman" w:cs="Times New Roman"/>
          <w:color w:val="000000"/>
          <w:spacing w:val="0"/>
          <w:w w:val="100"/>
          <w:position w:val="0"/>
          <w:sz w:val="18"/>
          <w:szCs w:val="18"/>
        </w:rPr>
        <w:t>5,352,907.00</w:t>
      </w:r>
      <w:r>
        <w:rPr>
          <w:color w:val="000000"/>
          <w:spacing w:val="0"/>
          <w:w w:val="100"/>
          <w:position w:val="0"/>
        </w:rPr>
        <w:t>元，后双方就结算金额产生争议。</w:t>
      </w:r>
    </w:p>
    <w:p>
      <w:pPr>
        <w:pStyle w:val="Style18"/>
        <w:keepNext w:val="0"/>
        <w:keepLines w:val="0"/>
        <w:widowControl w:val="0"/>
        <w:shd w:val="clear" w:color="auto" w:fill="auto"/>
        <w:bidi w:val="0"/>
        <w:spacing w:before="0" w:after="260"/>
        <w:ind w:left="0" w:right="0" w:firstLine="4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日，永福股份收到厦门市湖里区法院发出的（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）闽</w:t>
      </w:r>
      <w:r>
        <w:rPr>
          <w:rFonts w:ascii="Times New Roman" w:eastAsia="Times New Roman" w:hAnsi="Times New Roman" w:cs="Times New Roman"/>
          <w:color w:val="000000"/>
          <w:spacing w:val="0"/>
          <w:w w:val="100"/>
          <w:position w:val="0"/>
          <w:sz w:val="18"/>
          <w:szCs w:val="18"/>
        </w:rPr>
        <w:t>0206</w:t>
      </w:r>
      <w:r>
        <w:rPr>
          <w:color w:val="000000"/>
          <w:spacing w:val="0"/>
          <w:w w:val="100"/>
          <w:position w:val="0"/>
        </w:rPr>
        <w:t>闽初</w:t>
      </w:r>
      <w:r>
        <w:rPr>
          <w:rFonts w:ascii="Times New Roman" w:eastAsia="Times New Roman" w:hAnsi="Times New Roman" w:cs="Times New Roman"/>
          <w:color w:val="000000"/>
          <w:spacing w:val="0"/>
          <w:w w:val="100"/>
          <w:position w:val="0"/>
          <w:sz w:val="18"/>
          <w:szCs w:val="18"/>
        </w:rPr>
        <w:t>3413</w:t>
      </w:r>
      <w:r>
        <w:rPr>
          <w:color w:val="000000"/>
          <w:spacing w:val="0"/>
          <w:w w:val="100"/>
          <w:position w:val="0"/>
        </w:rPr>
        <w:t>号《应诉通知书》及《起诉状》。中石 化工向厦门市湖里区法院提起诉讼，主张按照</w:t>
      </w:r>
      <w:r>
        <w:rPr>
          <w:rFonts w:ascii="Times New Roman" w:eastAsia="Times New Roman" w:hAnsi="Times New Roman" w:cs="Times New Roman"/>
          <w:color w:val="000000"/>
          <w:spacing w:val="0"/>
          <w:w w:val="100"/>
          <w:position w:val="0"/>
          <w:sz w:val="18"/>
          <w:szCs w:val="18"/>
        </w:rPr>
        <w:t>8,484,092.28</w:t>
      </w:r>
      <w:r>
        <w:rPr>
          <w:color w:val="000000"/>
          <w:spacing w:val="0"/>
          <w:w w:val="100"/>
          <w:position w:val="0"/>
        </w:rPr>
        <w:t>元认定工程造价，扣除已支付金额</w:t>
      </w:r>
      <w:r>
        <w:rPr>
          <w:rFonts w:ascii="Times New Roman" w:eastAsia="Times New Roman" w:hAnsi="Times New Roman" w:cs="Times New Roman"/>
          <w:color w:val="000000"/>
          <w:spacing w:val="0"/>
          <w:w w:val="100"/>
          <w:position w:val="0"/>
          <w:sz w:val="18"/>
          <w:szCs w:val="18"/>
        </w:rPr>
        <w:t>3,304,455.00</w:t>
      </w:r>
      <w:r>
        <w:rPr>
          <w:color w:val="000000"/>
          <w:spacing w:val="0"/>
          <w:w w:val="100"/>
          <w:position w:val="0"/>
        </w:rPr>
        <w:t>，</w:t>
      </w:r>
      <w:r>
        <w:rPr>
          <w:color w:val="000000"/>
          <w:spacing w:val="0"/>
          <w:w w:val="100"/>
          <w:position w:val="0"/>
        </w:rPr>
        <w:t>要求永福股份支 付未付的工程款</w:t>
      </w:r>
      <w:r>
        <w:rPr>
          <w:rFonts w:ascii="Times New Roman" w:eastAsia="Times New Roman" w:hAnsi="Times New Roman" w:cs="Times New Roman"/>
          <w:color w:val="000000"/>
          <w:spacing w:val="0"/>
          <w:w w:val="100"/>
          <w:position w:val="0"/>
          <w:sz w:val="18"/>
          <w:szCs w:val="18"/>
        </w:rPr>
        <w:t>4,755,432.6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元，利息</w:t>
      </w:r>
      <w:r>
        <w:rPr>
          <w:rFonts w:ascii="Times New Roman" w:eastAsia="Times New Roman" w:hAnsi="Times New Roman" w:cs="Times New Roman"/>
          <w:color w:val="000000"/>
          <w:spacing w:val="0"/>
          <w:w w:val="100"/>
          <w:position w:val="0"/>
          <w:sz w:val="18"/>
          <w:szCs w:val="18"/>
        </w:rPr>
        <w:t>168,473.2</w:t>
      </w:r>
      <w:r>
        <w:rPr>
          <w:color w:val="000000"/>
          <w:spacing w:val="0"/>
          <w:w w:val="100"/>
          <w:position w:val="0"/>
        </w:rPr>
        <w:t>元及违约金</w:t>
      </w:r>
      <w:r>
        <w:rPr>
          <w:rFonts w:ascii="Times New Roman" w:eastAsia="Times New Roman" w:hAnsi="Times New Roman" w:cs="Times New Roman"/>
          <w:color w:val="000000"/>
          <w:spacing w:val="0"/>
          <w:w w:val="100"/>
          <w:position w:val="0"/>
          <w:sz w:val="18"/>
          <w:szCs w:val="18"/>
        </w:rPr>
        <w:t>517,963.73</w:t>
      </w:r>
      <w:r>
        <w:rPr>
          <w:color w:val="000000"/>
          <w:spacing w:val="0"/>
          <w:w w:val="100"/>
          <w:position w:val="0"/>
        </w:rPr>
        <w:t>元。经中石化工申请，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日法院冻结永福股 份</w:t>
      </w:r>
      <w:r>
        <w:rPr>
          <w:rFonts w:ascii="Times New Roman" w:eastAsia="Times New Roman" w:hAnsi="Times New Roman" w:cs="Times New Roman"/>
          <w:color w:val="000000"/>
          <w:spacing w:val="0"/>
          <w:w w:val="100"/>
          <w:position w:val="0"/>
          <w:sz w:val="18"/>
          <w:szCs w:val="18"/>
        </w:rPr>
        <w:t>5,441,869.6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元银行存款，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日法院委托鉴定机构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福建卓知项目投资顾问有限公司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鉴定工程总造价，鉴定结果为 </w:t>
      </w:r>
      <w:r>
        <w:rPr>
          <w:rFonts w:ascii="Times New Roman" w:eastAsia="Times New Roman" w:hAnsi="Times New Roman" w:cs="Times New Roman"/>
          <w:color w:val="000000"/>
          <w:spacing w:val="0"/>
          <w:w w:val="100"/>
          <w:position w:val="0"/>
          <w:sz w:val="18"/>
          <w:szCs w:val="18"/>
        </w:rPr>
        <w:t>5,912,816.00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日开庭一审。截至报告日，法院已出具调解书，一审原告已提交解除财产保全申请书，双方于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日签订《调解协议书》，就合同纠纷案达成协议，双方同意以合同总额</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元结清双方的工程纠纷，扣除 已支付金额</w:t>
      </w:r>
      <w:r>
        <w:rPr>
          <w:rFonts w:ascii="Times New Roman" w:eastAsia="Times New Roman" w:hAnsi="Times New Roman" w:cs="Times New Roman"/>
          <w:color w:val="000000"/>
          <w:spacing w:val="0"/>
          <w:w w:val="100"/>
          <w:position w:val="0"/>
          <w:sz w:val="18"/>
          <w:szCs w:val="18"/>
        </w:rPr>
        <w:t>3,304,455.00</w:t>
      </w:r>
      <w:r>
        <w:rPr>
          <w:color w:val="000000"/>
          <w:spacing w:val="0"/>
          <w:w w:val="100"/>
          <w:position w:val="0"/>
        </w:rPr>
        <w:t>，永福股份尚需支付</w:t>
      </w:r>
      <w:r>
        <w:rPr>
          <w:rFonts w:ascii="Times New Roman" w:eastAsia="Times New Roman" w:hAnsi="Times New Roman" w:cs="Times New Roman"/>
          <w:color w:val="000000"/>
          <w:spacing w:val="0"/>
          <w:w w:val="100"/>
          <w:position w:val="0"/>
          <w:sz w:val="18"/>
          <w:szCs w:val="18"/>
        </w:rPr>
        <w:t>4,295,545.00</w:t>
      </w:r>
      <w:r>
        <w:rPr>
          <w:color w:val="000000"/>
          <w:spacing w:val="0"/>
          <w:w w:val="100"/>
          <w:position w:val="0"/>
        </w:rPr>
        <w:t>元。</w:t>
      </w:r>
      <w:r>
        <w:br w:type="page"/>
      </w: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u w:val="single"/>
        </w:rPr>
        <w:t>福建永福电力设计股份有限公司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u w:val="single"/>
        </w:rPr>
        <w:t>年年度报告</w:t>
      </w:r>
    </w:p>
    <w:p>
      <w:pPr>
        <w:pStyle w:val="Style22"/>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r>
        <w:rPr>
          <w:color w:val="000000"/>
          <w:spacing w:val="0"/>
          <w:w w:val="100"/>
          <w:position w:val="0"/>
          <w:sz w:val="24"/>
          <w:szCs w:val="24"/>
        </w:rPr>
        <w:t>十七、母公司财务报表主要项目注释</w:t>
      </w:r>
      <w:bookmarkEnd w:id="2202"/>
      <w:bookmarkEnd w:id="2203"/>
      <w:bookmarkEnd w:id="2204"/>
    </w:p>
    <w:p>
      <w:pPr>
        <w:pStyle w:val="Style32"/>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5"/>
      <w:bookmarkEnd w:id="2206"/>
      <w:bookmarkEnd w:id="2207"/>
    </w:p>
    <w:p>
      <w:pPr>
        <w:pStyle w:val="Style50"/>
        <w:keepNext/>
        <w:keepLines/>
        <w:widowControl w:val="0"/>
        <w:shd w:val="clear" w:color="auto" w:fill="auto"/>
        <w:bidi w:val="0"/>
        <w:spacing w:before="0" w:after="36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8"/>
      <w:bookmarkEnd w:id="2209"/>
      <w:bookmarkEnd w:id="2210"/>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725,79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2,629.0</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77,796,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60,484, </w:t>
            </w:r>
            <w:r>
              <w:rPr>
                <w:rFonts w:ascii="Times New Roman" w:eastAsia="Times New Roman" w:hAnsi="Times New Roman" w:cs="Times New Roman"/>
                <w:color w:val="000000"/>
                <w:spacing w:val="0"/>
                <w:w w:val="100"/>
                <w:position w:val="0"/>
                <w:sz w:val="18"/>
                <w:szCs w:val="18"/>
              </w:rPr>
              <w:t>007.47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487,553,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应收一般客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622,15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0,084.6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77,796,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60,484, </w:t>
            </w:r>
            <w:r>
              <w:rPr>
                <w:rFonts w:ascii="Times New Roman" w:eastAsia="Times New Roman" w:hAnsi="Times New Roman" w:cs="Times New Roman"/>
                <w:color w:val="000000"/>
                <w:spacing w:val="0"/>
                <w:w w:val="100"/>
                <w:position w:val="0"/>
                <w:sz w:val="18"/>
                <w:szCs w:val="18"/>
              </w:rPr>
              <w:t>007.47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386,919,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460.18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应收合并范 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100,634,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104.10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725,79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2,629.0</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77,796,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60,484, </w:t>
            </w:r>
            <w:r>
              <w:rPr>
                <w:rFonts w:ascii="Times New Roman" w:eastAsia="Times New Roman" w:hAnsi="Times New Roman" w:cs="Times New Roman"/>
                <w:color w:val="000000"/>
                <w:spacing w:val="0"/>
                <w:w w:val="100"/>
                <w:position w:val="0"/>
                <w:sz w:val="18"/>
                <w:szCs w:val="18"/>
              </w:rPr>
              <w:t>007.47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487,553,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564.28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455,602,538.85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22,780,126.94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77,817,223.34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7,781,722.33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35,232,907.13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10,569,872.14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26,863,673.68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13,431,836.84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17,003,051.15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13,602,440.92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sectPr>
          <w:footnotePr>
            <w:pos w:val="pageBottom"/>
            <w:numFmt w:val="decimal"/>
            <w:numRestart w:val="continuous"/>
          </w:footnotePr>
          <w:pgSz w:w="11900" w:h="16840"/>
          <w:pgMar w:top="985" w:right="1057" w:bottom="1347" w:left="1056"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9,630,690.49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9,630,690.49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622,150,084.64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77,796,689.66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469,105,214.76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88,674,686.82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106,056,865.26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61,955,862.17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35,322,120.53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17,003,051.15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9,630,690.49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725,792,629.01</w:t>
            </w:r>
          </w:p>
        </w:tc>
      </w:tr>
    </w:tbl>
    <w:p>
      <w:pPr>
        <w:widowControl w:val="0"/>
        <w:spacing w:after="319" w:line="1" w:lineRule="exact"/>
      </w:pPr>
    </w:p>
    <w:p>
      <w:pPr>
        <w:pStyle w:val="Style50"/>
        <w:keepNext/>
        <w:keepLines/>
        <w:widowControl w:val="0"/>
        <w:shd w:val="clear" w:color="auto" w:fill="auto"/>
        <w:bidi w:val="0"/>
        <w:spacing w:before="0" w:after="40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1"/>
      <w:bookmarkEnd w:id="2212"/>
      <w:bookmarkEnd w:id="221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60,484,007.47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17,356,497.99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77,840,505.46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60,484,007.47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17,356,497.99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77,840,505.46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0"/>
        <w:keepNext/>
        <w:keepLines/>
        <w:widowControl w:val="0"/>
        <w:shd w:val="clear" w:color="auto" w:fill="auto"/>
        <w:bidi w:val="0"/>
        <w:spacing w:before="0" w:after="12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14"/>
      <w:bookmarkEnd w:id="2215"/>
      <w:bookmarkEnd w:id="2217"/>
      <w:r>
        <w:br w:type="page"/>
      </w:r>
    </w:p>
    <w:p>
      <w:pPr>
        <w:pStyle w:val="Style18"/>
        <w:keepNext w:val="0"/>
        <w:keepLines w:val="0"/>
        <w:widowControl w:val="0"/>
        <w:shd w:val="clear" w:color="auto" w:fill="auto"/>
        <w:tabs>
          <w:tab w:pos="4598" w:val="left"/>
        </w:tabs>
        <w:bidi w:val="0"/>
        <w:spacing w:before="0" w:after="200" w:line="240" w:lineRule="auto"/>
        <w:ind w:left="0" w:right="0" w:firstLine="0"/>
        <w:jc w:val="center"/>
      </w:pPr>
      <w:r>
        <w:rPr>
          <w:color w:val="000000"/>
          <w:spacing w:val="0"/>
          <w:w w:val="100"/>
          <w:position w:val="0"/>
        </w:rPr>
        <w:t>项目</w:t>
        <w:tab/>
        <w:t>核销金额</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0"/>
        <w:keepNext/>
        <w:keepLines/>
        <w:widowControl w:val="0"/>
        <w:shd w:val="clear" w:color="auto" w:fill="auto"/>
        <w:bidi w:val="0"/>
        <w:spacing w:before="0" w:after="360" w:line="240" w:lineRule="auto"/>
        <w:ind w:left="0" w:right="0" w:firstLine="0"/>
        <w:jc w:val="left"/>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18"/>
      <w:bookmarkEnd w:id="2219"/>
      <w:bookmarkEnd w:id="22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福州新创机电设备有限公司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102,885,015.66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福建润峡新能源有限公司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87,508,338.31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4,375,416.92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 SINPOWER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59,670,152.87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2,983,507.64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国网福建省电力有限公司福 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27,861,405.22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2,095,769.30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中交第三航务工程局有限公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司厦门分公司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1,239,750.00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302,719,912.06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222"/>
      <w:bookmarkEnd w:id="2223"/>
      <w:bookmarkEnd w:id="2225"/>
    </w:p>
    <w:p>
      <w:pPr>
        <w:pStyle w:val="Style50"/>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226"/>
      <w:bookmarkEnd w:id="2227"/>
      <w:bookmarkEnd w:id="222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0"/>
      <w:bookmarkEnd w:id="2231"/>
      <w:bookmarkEnd w:id="22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358,298,578.12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358,298,578.12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both"/>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3"/>
      <w:bookmarkEnd w:id="2234"/>
      <w:bookmarkEnd w:id="2235"/>
    </w:p>
    <w:p>
      <w:pPr>
        <w:pStyle w:val="Style87"/>
        <w:keepNext/>
        <w:keepLines/>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520" w:right="1108" w:bottom="2126" w:left="1106" w:header="0" w:footer="3" w:gutter="0"/>
          <w:cols w:space="720"/>
          <w:noEndnote/>
          <w:rtlGutter w:val="0"/>
          <w:docGrid w:linePitch="360"/>
        </w:sectPr>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1</w:t>
      </w:r>
      <w:bookmarkEnd w:id="2238"/>
      <w:r>
        <w:rPr>
          <w:color w:val="000000"/>
          <w:spacing w:val="0"/>
          <w:w w:val="100"/>
          <w:position w:val="0"/>
        </w:rPr>
        <w:t>）应收利息分类</w:t>
      </w:r>
      <w:bookmarkEnd w:id="2236"/>
      <w:bookmarkEnd w:id="2237"/>
      <w:bookmarkEnd w:id="2239"/>
    </w:p>
    <w:p>
      <w:pPr>
        <w:pStyle w:val="Style18"/>
        <w:keepNext w:val="0"/>
        <w:keepLines w:val="0"/>
        <w:widowControl w:val="0"/>
        <w:shd w:val="clear" w:color="auto" w:fill="auto"/>
        <w:tabs>
          <w:tab w:pos="3005" w:val="left"/>
          <w:tab w:pos="6197" w:val="left"/>
        </w:tabs>
        <w:bidi w:val="0"/>
        <w:spacing w:before="0" w:after="420" w:line="240" w:lineRule="auto"/>
        <w:ind w:left="0" w:right="0" w:firstLine="0"/>
        <w:jc w:val="center"/>
      </w:pPr>
      <w:r>
        <w:rPr>
          <w:color w:val="000000"/>
          <w:spacing w:val="0"/>
          <w:w w:val="100"/>
          <w:position w:val="0"/>
        </w:rPr>
        <w:t>项目</w:t>
        <w:tab/>
        <w:t>期末余额</w:t>
        <w:tab/>
        <w:t>期初余额</w:t>
      </w:r>
    </w:p>
    <w:p>
      <w:pPr>
        <w:pStyle w:val="Style87"/>
        <w:keepNext/>
        <w:keepLines/>
        <w:widowControl w:val="0"/>
        <w:shd w:val="clear" w:color="auto" w:fill="auto"/>
        <w:bidi w:val="0"/>
        <w:spacing w:before="0" w:after="34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bookmarkEnd w:id="2242"/>
      <w:r>
        <w:rPr>
          <w:color w:val="000000"/>
          <w:spacing w:val="0"/>
          <w:w w:val="100"/>
          <w:position w:val="0"/>
        </w:rPr>
        <w:t>）重要逾期利息</w:t>
      </w:r>
      <w:bookmarkEnd w:id="2240"/>
      <w:bookmarkEnd w:id="2241"/>
      <w:bookmarkEnd w:id="2243"/>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7"/>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）坏账准备计提情况</w:t>
      </w:r>
      <w:bookmarkEnd w:id="2244"/>
      <w:bookmarkEnd w:id="2245"/>
      <w:bookmarkEnd w:id="224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8"/>
      <w:bookmarkEnd w:id="2249"/>
      <w:bookmarkEnd w:id="2250"/>
    </w:p>
    <w:p>
      <w:pPr>
        <w:pStyle w:val="Style87"/>
        <w:keepNext/>
        <w:keepLines/>
        <w:widowControl w:val="0"/>
        <w:shd w:val="clear" w:color="auto" w:fill="auto"/>
        <w:bidi w:val="0"/>
        <w:spacing w:before="0" w:line="240" w:lineRule="auto"/>
        <w:ind w:left="0" w:right="0" w:firstLine="0"/>
        <w:jc w:val="left"/>
      </w:pPr>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51"/>
      <w:bookmarkEnd w:id="2252"/>
      <w:bookmarkEnd w:id="225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87"/>
        <w:keepNext/>
        <w:keepLines/>
        <w:widowControl w:val="0"/>
        <w:shd w:val="clear" w:color="auto" w:fill="auto"/>
        <w:bidi w:val="0"/>
        <w:spacing w:before="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2</w:t>
      </w:r>
      <w:bookmarkEnd w:id="22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4"/>
      <w:bookmarkEnd w:id="2255"/>
      <w:bookmarkEnd w:id="225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339" w:line="1" w:lineRule="exact"/>
      </w:pPr>
    </w:p>
    <w:p>
      <w:pPr>
        <w:pStyle w:val="Style87"/>
        <w:keepNext/>
        <w:keepLines/>
        <w:widowControl w:val="0"/>
        <w:shd w:val="clear" w:color="auto" w:fill="auto"/>
        <w:bidi w:val="0"/>
        <w:spacing w:before="0" w:line="240" w:lineRule="auto"/>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3</w:t>
      </w:r>
      <w:bookmarkEnd w:id="2260"/>
      <w:r>
        <w:rPr>
          <w:color w:val="000000"/>
          <w:spacing w:val="0"/>
          <w:w w:val="100"/>
          <w:position w:val="0"/>
        </w:rPr>
        <w:t>）坏账准备计提情况</w:t>
      </w:r>
      <w:bookmarkEnd w:id="2258"/>
      <w:bookmarkEnd w:id="2259"/>
      <w:bookmarkEnd w:id="226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0"/>
        <w:keepNext/>
        <w:keepLines/>
        <w:widowControl w:val="0"/>
        <w:shd w:val="clear" w:color="auto" w:fill="auto"/>
        <w:bidi w:val="0"/>
        <w:spacing w:before="0" w:line="240" w:lineRule="auto"/>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2"/>
      <w:bookmarkEnd w:id="2263"/>
      <w:bookmarkEnd w:id="2265"/>
    </w:p>
    <w:p>
      <w:pPr>
        <w:pStyle w:val="Style87"/>
        <w:keepNext/>
        <w:keepLines/>
        <w:widowControl w:val="0"/>
        <w:shd w:val="clear" w:color="auto" w:fill="auto"/>
        <w:bidi w:val="0"/>
        <w:spacing w:before="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6"/>
      <w:bookmarkEnd w:id="2267"/>
      <w:bookmarkEnd w:id="226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346,255,596.32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436,167,220.78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7,916,167.31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9,190,979.10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2,063,081.29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2,945,126.36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2,967,345.31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193,487.31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738,536.24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38,240.71</w:t>
            </w:r>
          </w:p>
        </w:tc>
      </w:tr>
    </w:tbl>
    <w:p>
      <w:pPr>
        <w:spacing w:lineRule="exact" w:line="1"/>
        <w:rPr>
          <w:sz w:val="2"/>
          <w:szCs w:val="2"/>
        </w:rPr>
      </w:pPr>
      <w:r>
        <w:br w:type="page"/>
      </w:r>
    </w:p>
    <w:p>
      <w:pPr>
        <w:pStyle w:val="Style84"/>
        <w:keepNext w:val="0"/>
        <w:keepLines w:val="0"/>
        <w:widowControl w:val="0"/>
        <w:shd w:val="clear" w:color="auto" w:fill="auto"/>
        <w:tabs>
          <w:tab w:pos="5035" w:val="left"/>
          <w:tab w:pos="8218" w:val="left"/>
        </w:tabs>
        <w:bidi w:val="0"/>
        <w:spacing w:before="0" w:after="42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359,940,726.47</w:t>
        <w:tab/>
        <w:t>448,535,054.26</w:t>
      </w:r>
    </w:p>
    <w:p>
      <w:pPr>
        <w:pStyle w:val="Style87"/>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9"/>
      <w:bookmarkEnd w:id="2270"/>
      <w:bookmarkEnd w:id="22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1,201,367.07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1,201,367.07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440,781.28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440,781.28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1,642,148.35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1,642,148.35</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338,723,181.69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12,817,946.06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7,585,508.88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814,089.84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502,187.51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253,839.84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359,940,726.47</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3</w:t>
      </w:r>
      <w:bookmarkEnd w:id="2274"/>
      <w:r>
        <w:rPr>
          <w:color w:val="000000"/>
          <w:spacing w:val="0"/>
          <w:w w:val="100"/>
          <w:position w:val="0"/>
        </w:rPr>
        <w:t>）本期计提、收回或转回的坏账准备情况</w:t>
      </w:r>
      <w:bookmarkEnd w:id="2272"/>
      <w:bookmarkEnd w:id="2273"/>
      <w:bookmarkEnd w:id="227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1,201,367.0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440,781.28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1,642,148.35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1,201,367.0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440,781.28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1,642,148.35</w:t>
            </w:r>
          </w:p>
        </w:tc>
      </w:tr>
    </w:tbl>
    <w:p>
      <w:pPr>
        <w:sectPr>
          <w:footnotePr>
            <w:pos w:val="pageBottom"/>
            <w:numFmt w:val="decimal"/>
            <w:numRestart w:val="continuous"/>
          </w:footnotePr>
          <w:pgSz w:w="11900" w:h="16840"/>
          <w:pgMar w:top="1628" w:right="1081" w:bottom="1518" w:left="1095"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653" w:right="0" w:firstLine="0"/>
        <w:jc w:val="left"/>
        <w:rPr>
          <w:sz w:val="20"/>
          <w:szCs w:val="20"/>
        </w:rPr>
      </w:pPr>
      <w:r>
        <w:rPr>
          <w:color w:val="000000"/>
          <w:spacing w:val="0"/>
          <w:w w:val="100"/>
          <w:position w:val="0"/>
          <w:sz w:val="20"/>
          <w:szCs w:val="20"/>
        </w:rPr>
        <w:t>永福</w:t>
      </w:r>
    </w:p>
    <w:p>
      <w:pPr>
        <w:pStyle w:val="Style24"/>
        <w:keepNext w:val="0"/>
        <w:keepLines w:val="0"/>
        <w:widowControl w:val="0"/>
        <w:shd w:val="clear" w:color="auto" w:fill="auto"/>
        <w:bidi w:val="0"/>
        <w:spacing w:before="0" w:after="0" w:line="209" w:lineRule="auto"/>
        <w:ind w:left="653" w:right="0" w:firstLine="0"/>
        <w:jc w:val="left"/>
        <w:rPr>
          <w:sz w:val="11"/>
          <w:szCs w:val="11"/>
        </w:rPr>
      </w:pPr>
      <w:r>
        <w:rPr>
          <w:rFonts w:ascii="Arial" w:eastAsia="Arial" w:hAnsi="Arial" w:cs="Arial"/>
          <w:b/>
          <w:bCs/>
          <w:color w:val="1C1C1C"/>
          <w:spacing w:val="0"/>
          <w:w w:val="100"/>
          <w:position w:val="0"/>
          <w:sz w:val="11"/>
          <w:szCs w:val="11"/>
        </w:rPr>
        <w:t>YongFu</w:t>
      </w:r>
    </w:p>
    <w:tbl>
      <w:tblPr>
        <w:tblOverlap w:val="never"/>
        <w:jc w:val="center"/>
        <w:tblLayout w:type="fixed"/>
      </w:tblPr>
      <w:tblGrid>
        <w:gridCol w:w="1589"/>
        <w:gridCol w:w="1085"/>
        <w:gridCol w:w="1334"/>
        <w:gridCol w:w="1450"/>
        <w:gridCol w:w="1200"/>
        <w:gridCol w:w="1344"/>
        <w:gridCol w:w="1584"/>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4</w:t>
      </w:r>
      <w:bookmarkEnd w:id="2278"/>
      <w:r>
        <w:rPr>
          <w:color w:val="000000"/>
          <w:spacing w:val="0"/>
          <w:w w:val="100"/>
          <w:position w:val="0"/>
        </w:rPr>
        <w:t>）本期实际核销的其他应收款情况</w:t>
      </w:r>
      <w:bookmarkEnd w:id="2276"/>
      <w:bookmarkEnd w:id="2277"/>
      <w:bookmarkEnd w:id="227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87"/>
        <w:keepNext/>
        <w:keepLines/>
        <w:widowControl w:val="0"/>
        <w:shd w:val="clear" w:color="auto" w:fill="auto"/>
        <w:bidi w:val="0"/>
        <w:spacing w:before="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5</w:t>
      </w:r>
      <w:bookmarkEnd w:id="2282"/>
      <w:r>
        <w:rPr>
          <w:color w:val="000000"/>
          <w:spacing w:val="0"/>
          <w:w w:val="100"/>
          <w:position w:val="0"/>
        </w:rPr>
        <w:t>）按欠款方归集的期末余额前五名的其他应收款情况</w:t>
      </w:r>
      <w:bookmarkEnd w:id="2280"/>
      <w:bookmarkEnd w:id="2281"/>
      <w:bookmarkEnd w:id="228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福州新创机电设备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305,850,356.11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福建华超信息科技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16,090,628.73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福建永福信息科技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10,598,788.37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福思威特（福建） 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4,246,485.83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四川云能水利电力 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4,177,321.92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340,963,580.96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7"/>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6</w:t>
      </w:r>
      <w:bookmarkEnd w:id="2286"/>
      <w:r>
        <w:rPr>
          <w:color w:val="000000"/>
          <w:spacing w:val="0"/>
          <w:w w:val="100"/>
          <w:position w:val="0"/>
        </w:rPr>
        <w:t>）涉及政府补助的应收款项</w:t>
      </w:r>
      <w:bookmarkEnd w:id="2284"/>
      <w:bookmarkEnd w:id="2285"/>
      <w:bookmarkEnd w:id="2287"/>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sectPr>
          <w:footnotePr>
            <w:pos w:val="pageBottom"/>
            <w:numFmt w:val="decimal"/>
            <w:numRestart w:val="continuous"/>
          </w:footnotePr>
          <w:pgSz w:w="11900" w:h="16840"/>
          <w:pgMar w:top="1028" w:right="1109" w:bottom="1201" w:left="1109"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87"/>
        <w:keepNext/>
        <w:keepLines/>
        <w:widowControl w:val="0"/>
        <w:shd w:val="clear" w:color="auto" w:fill="auto"/>
        <w:bidi w:val="0"/>
        <w:spacing w:before="0" w:after="36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7</w:t>
      </w:r>
      <w:bookmarkEnd w:id="2290"/>
      <w:r>
        <w:rPr>
          <w:color w:val="000000"/>
          <w:spacing w:val="0"/>
          <w:w w:val="100"/>
          <w:position w:val="0"/>
        </w:rPr>
        <w:t>）因金融资产转移而终止确认的其他应收款</w:t>
      </w:r>
      <w:bookmarkEnd w:id="2288"/>
      <w:bookmarkEnd w:id="2289"/>
      <w:bookmarkEnd w:id="2291"/>
    </w:p>
    <w:p>
      <w:pPr>
        <w:pStyle w:val="Style87"/>
        <w:keepNext/>
        <w:keepLines/>
        <w:widowControl w:val="0"/>
        <w:shd w:val="clear" w:color="auto" w:fill="auto"/>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8</w:t>
      </w:r>
      <w:bookmarkEnd w:id="2294"/>
      <w:r>
        <w:rPr>
          <w:color w:val="000000"/>
          <w:spacing w:val="0"/>
          <w:w w:val="100"/>
          <w:position w:val="0"/>
        </w:rPr>
        <w:t>）转移其他应收款且继续涉入形成的资产、负债金额</w:t>
      </w:r>
      <w:bookmarkEnd w:id="2292"/>
      <w:bookmarkEnd w:id="2293"/>
      <w:bookmarkEnd w:id="229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3</w:t>
      </w:r>
      <w:bookmarkEnd w:id="2298"/>
      <w:r>
        <w:rPr>
          <w:color w:val="000000"/>
          <w:spacing w:val="0"/>
          <w:w w:val="100"/>
          <w:position w:val="0"/>
        </w:rPr>
        <w:t>、长期股权投资</w:t>
      </w:r>
      <w:bookmarkEnd w:id="2296"/>
      <w:bookmarkEnd w:id="2297"/>
      <w:bookmarkEnd w:id="22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238,650,916.40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236,127,580.04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114,893,354.15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112,370,017.79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51,002,540.87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51,002,540.87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5,006,603.77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289,653,457.27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287,130,120.91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119,899,957.92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117,376,621.56</w:t>
            </w:r>
          </w:p>
        </w:tc>
      </w:tr>
    </w:tbl>
    <w:p>
      <w:pPr>
        <w:widowControl w:val="0"/>
        <w:spacing w:after="359" w:line="1" w:lineRule="exact"/>
      </w:pPr>
    </w:p>
    <w:p>
      <w:pPr>
        <w:pStyle w:val="Style50"/>
        <w:keepNext/>
        <w:keepLines/>
        <w:widowControl w:val="0"/>
        <w:shd w:val="clear" w:color="auto" w:fill="auto"/>
        <w:bidi w:val="0"/>
        <w:spacing w:before="0" w:after="360" w:line="240" w:lineRule="auto"/>
        <w:ind w:left="0" w:right="0" w:firstLine="0"/>
        <w:jc w:val="left"/>
      </w:pPr>
      <w:bookmarkStart w:id="2300" w:name="bookmark2300"/>
      <w:bookmarkStart w:id="2301" w:name="bookmark2301"/>
      <w:bookmarkStart w:id="2302" w:name="bookmark2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0"/>
      <w:bookmarkEnd w:id="2301"/>
      <w:bookmarkEnd w:id="23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福建永福铁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塔技术开发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福建永福电</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通技术开发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福州新创机 电设备有限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福建永福新 能电力投资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福建华超信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永福新加坡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新能源开发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股份有限责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3,080,768.00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3,080,768.00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985" w:right="1071" w:bottom="1201" w:left="1066" w:header="0" w:footer="3" w:gutter="0"/>
          <w:cols w:space="720"/>
          <w:noEndnote/>
          <w:rtlGutter w:val="0"/>
          <w:docGrid w:linePitch="360"/>
        </w:sectPr>
      </w:pPr>
    </w:p>
    <w:tbl>
      <w:tblPr>
        <w:tblOverlap w:val="never"/>
        <w:jc w:val="center"/>
        <w:tblLayout w:type="fixed"/>
      </w:tblPr>
      <w:tblGrid>
        <w:gridCol w:w="1277"/>
        <w:gridCol w:w="1166"/>
        <w:gridCol w:w="1166"/>
        <w:gridCol w:w="1162"/>
        <w:gridCol w:w="1166"/>
        <w:gridCol w:w="1214"/>
        <w:gridCol w:w="1214"/>
        <w:gridCol w:w="1224"/>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福建永福运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维科技有限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四川云能水 利电力工程 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6,554,663.64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14,384,663.6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2,523,336.36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上海毅昊信 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福建永福工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程科技有限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2,631,600.00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福建永福信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永福菲律宾</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新能源管理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1,478,222.55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853,989.65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2,332,212.20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福建永帆风 电科技有限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35,275,963.6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35,275,963.6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福思威特（福 建）电力工程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10,333,572.6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10,333,572.6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攀枝花三能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新能源有限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112,370,017.</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129,817,562.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236,127,580.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2,523,336.36</w:t>
            </w:r>
          </w:p>
        </w:tc>
      </w:tr>
    </w:tbl>
    <w:p>
      <w:pPr>
        <w:widowControl w:val="0"/>
        <w:spacing w:after="319" w:line="1" w:lineRule="exact"/>
      </w:pPr>
    </w:p>
    <w:p>
      <w:pPr>
        <w:pStyle w:val="Style50"/>
        <w:keepNext/>
        <w:keepLines/>
        <w:widowControl w:val="0"/>
        <w:shd w:val="clear" w:color="auto" w:fill="auto"/>
        <w:bidi w:val="0"/>
        <w:spacing w:before="0" w:after="360" w:line="240" w:lineRule="auto"/>
        <w:ind w:left="0" w:right="0" w:firstLine="0"/>
        <w:jc w:val="left"/>
      </w:pPr>
      <w:bookmarkStart w:id="2303" w:name="bookmark2303"/>
      <w:bookmarkStart w:id="2304" w:name="bookmark2304"/>
      <w:bookmarkStart w:id="2305" w:name="bookmark2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3"/>
      <w:bookmarkEnd w:id="2304"/>
      <w:bookmarkEnd w:id="23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余额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5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甘肃电 通电力 工程设 计咨询</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5,006,6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时代永 福科技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42,713,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5,006,6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540.87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5,006,6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43,055,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0"/>
        <w:keepNext/>
        <w:keepLines/>
        <w:widowControl w:val="0"/>
        <w:numPr>
          <w:ilvl w:val="0"/>
          <w:numId w:val="97"/>
        </w:numPr>
        <w:shd w:val="clear" w:color="auto" w:fill="auto"/>
        <w:bidi w:val="0"/>
        <w:spacing w:before="0" w:after="340" w:line="240" w:lineRule="auto"/>
        <w:ind w:left="0" w:right="0" w:firstLine="0"/>
        <w:jc w:val="left"/>
      </w:pPr>
      <w:bookmarkStart w:id="2306" w:name="bookmark2306"/>
      <w:bookmarkStart w:id="2307" w:name="bookmark2307"/>
      <w:bookmarkStart w:id="2308" w:name="bookmark2308"/>
      <w:bookmarkStart w:id="2309" w:name="bookmark2309"/>
      <w:bookmarkEnd w:id="2308"/>
      <w:r>
        <w:rPr>
          <w:color w:val="000000"/>
          <w:spacing w:val="0"/>
          <w:w w:val="100"/>
          <w:position w:val="0"/>
        </w:rPr>
        <w:t>其他说明</w:t>
      </w:r>
      <w:bookmarkEnd w:id="2306"/>
      <w:bookmarkEnd w:id="2307"/>
      <w:bookmarkEnd w:id="2309"/>
    </w:p>
    <w:p>
      <w:pPr>
        <w:pStyle w:val="Style32"/>
        <w:keepNext/>
        <w:keepLines/>
        <w:widowControl w:val="0"/>
        <w:shd w:val="clear" w:color="auto" w:fill="auto"/>
        <w:bidi w:val="0"/>
        <w:spacing w:before="0" w:after="340" w:line="240" w:lineRule="auto"/>
        <w:ind w:left="0" w:right="0" w:firstLine="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4</w:t>
      </w:r>
      <w:bookmarkEnd w:id="2312"/>
      <w:r>
        <w:rPr>
          <w:color w:val="000000"/>
          <w:spacing w:val="0"/>
          <w:w w:val="100"/>
          <w:position w:val="0"/>
        </w:rPr>
        <w:t>、营业收入和营业成本</w:t>
      </w:r>
      <w:bookmarkEnd w:id="2310"/>
      <w:bookmarkEnd w:id="2311"/>
      <w:bookmarkEnd w:id="23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1,231,677,576.97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948,944,371.26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815,436,033.11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600,880,407.55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1,543,461.15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3,634,798.35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253,516.37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1,233,221,038.12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949,171,136.62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819,070,831.46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601,133,923.92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2,748,975,100.00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1,906,103,500.00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555,335,600.00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293,312,900.00</w:t>
      </w:r>
      <w:r>
        <w:rPr>
          <w:color w:val="000000"/>
          <w:spacing w:val="0"/>
          <w:w w:val="100"/>
          <w:position w:val="0"/>
        </w:rPr>
        <w:t>元预计将 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5</w:t>
      </w:r>
      <w:bookmarkEnd w:id="2316"/>
      <w:r>
        <w:rPr>
          <w:color w:val="000000"/>
          <w:spacing w:val="0"/>
          <w:w w:val="100"/>
          <w:position w:val="0"/>
        </w:rPr>
        <w:t>、投资收益</w:t>
      </w:r>
      <w:bookmarkEnd w:id="2314"/>
      <w:bookmarkEnd w:id="2315"/>
      <w:bookmarkEnd w:id="23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1,789,422.65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1,504,957.57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1,848,772.47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2,244,227.00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10,962,290.00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5,882,422.12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44,667,247.57</w:t>
            </w:r>
          </w:p>
        </w:tc>
      </w:tr>
    </w:tbl>
    <w:p>
      <w:pPr>
        <w:sectPr>
          <w:footnotePr>
            <w:pos w:val="pageBottom"/>
            <w:numFmt w:val="decimal"/>
            <w:numRestart w:val="continuous"/>
          </w:footnotePr>
          <w:pgSz w:w="11900" w:h="16840"/>
          <w:pgMar w:top="1532" w:right="1117" w:bottom="1442" w:left="1105" w:header="0" w:footer="3" w:gutter="0"/>
          <w:cols w:space="720"/>
          <w:noEndnote/>
          <w:rtlGutter w:val="0"/>
          <w:docGrid w:linePitch="360"/>
        </w:sectPr>
      </w:pPr>
    </w:p>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8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32"/>
        <w:keepNext/>
        <w:keepLines/>
        <w:widowControl w:val="0"/>
        <w:shd w:val="clear" w:color="auto" w:fill="auto"/>
        <w:bidi w:val="0"/>
        <w:spacing w:before="0" w:after="34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6</w:t>
      </w:r>
      <w:bookmarkEnd w:id="2320"/>
      <w:r>
        <w:rPr>
          <w:color w:val="000000"/>
          <w:spacing w:val="0"/>
          <w:w w:val="100"/>
          <w:position w:val="0"/>
        </w:rPr>
        <w:t>、其他</w:t>
      </w:r>
      <w:bookmarkEnd w:id="2318"/>
      <w:bookmarkEnd w:id="2319"/>
      <w:bookmarkEnd w:id="2321"/>
    </w:p>
    <w:p>
      <w:pPr>
        <w:pStyle w:val="Style22"/>
        <w:keepNext/>
        <w:keepLines/>
        <w:widowControl w:val="0"/>
        <w:shd w:val="clear" w:color="auto" w:fill="auto"/>
        <w:bidi w:val="0"/>
        <w:spacing w:before="0" w:after="340" w:line="240" w:lineRule="auto"/>
        <w:ind w:left="0" w:right="0" w:firstLine="0"/>
        <w:jc w:val="left"/>
      </w:pPr>
      <w:bookmarkStart w:id="2322" w:name="bookmark2322"/>
      <w:bookmarkStart w:id="2323" w:name="bookmark2323"/>
      <w:bookmarkStart w:id="2324" w:name="bookmark2324"/>
      <w:r>
        <w:rPr>
          <w:color w:val="000000"/>
          <w:spacing w:val="0"/>
          <w:w w:val="100"/>
          <w:position w:val="0"/>
          <w:sz w:val="24"/>
          <w:szCs w:val="24"/>
        </w:rPr>
        <w:t>十八、补充资料</w:t>
      </w:r>
      <w:bookmarkEnd w:id="2322"/>
      <w:bookmarkEnd w:id="2323"/>
      <w:bookmarkEnd w:id="2324"/>
    </w:p>
    <w:p>
      <w:pPr>
        <w:pStyle w:val="Style32"/>
        <w:keepNext/>
        <w:keepLines/>
        <w:widowControl w:val="0"/>
        <w:shd w:val="clear" w:color="auto" w:fill="auto"/>
        <w:bidi w:val="0"/>
        <w:spacing w:before="0" w:after="340" w:line="240" w:lineRule="auto"/>
        <w:ind w:left="0" w:right="0" w:firstLine="0"/>
        <w:jc w:val="left"/>
      </w:pPr>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5"/>
      <w:bookmarkEnd w:id="2326"/>
      <w:bookmarkEnd w:id="2327"/>
    </w:p>
    <w:p>
      <w:pPr>
        <w:pStyle w:val="Style18"/>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22"/>
        <w:gridCol w:w="2160"/>
        <w:gridCol w:w="230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计入当期损益的政府补助（与公司正常经营业务密切相关，符 合国家政策规定、按照一定标准定额或定量持续享受的政府补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18,659,418.24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306,988.39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 性金融资产、交易性金融负债产生的公允价值变动损益，以及 处置交易性金融资产交易性金融负债和可供出售金融资产取得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-53,786.95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8,794,256.87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主要为进项税加计抵减及 代扣个人所得税手续费。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5,002,206.53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625,656.84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22,100,777.74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主要为进项税加计抵减及代扣个人所得税手续费。</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8"/>
      <w:bookmarkEnd w:id="2329"/>
      <w:bookmarkEnd w:id="2330"/>
    </w:p>
    <w:tbl>
      <w:tblPr>
        <w:tblOverlap w:val="never"/>
        <w:jc w:val="center"/>
        <w:tblLayout w:type="fixed"/>
      </w:tblPr>
      <w:tblGrid>
        <w:gridCol w:w="3005"/>
        <w:gridCol w:w="2746"/>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扣除非经常性损益后归属于公司普 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0.0997</w:t>
            </w:r>
          </w:p>
        </w:tc>
      </w:tr>
    </w:tbl>
    <w:p>
      <w:pPr>
        <w:pStyle w:val="Style28"/>
        <w:keepNext w:val="0"/>
        <w:framePr w:dropCap="drop" w:hAnchor="text" w:lines="1" w:vAnchor="text" w:hSpace="1099" w:vSpace="1099"/>
        <w:widowControl w:val="0"/>
        <w:shd w:val="clear" w:color="auto" w:fill="auto"/>
        <w:spacing w:before="0" w:line="87" w:lineRule="exact"/>
        <w:ind w:left="0" w:firstLine="0"/>
      </w:pPr>
      <w:r>
        <w:rPr>
          <w:rFonts w:ascii="Arial" w:eastAsia="Arial" w:hAnsi="Arial" w:cs="Arial"/>
          <w:color w:val="000000"/>
          <w:spacing w:val="0"/>
          <w:w w:val="100"/>
          <w:position w:val="-2"/>
          <w:sz w:val="8"/>
          <w:szCs w:val="8"/>
        </w:rPr>
        <w:t>I</w:t>
      </w:r>
    </w:p>
    <w:p>
      <w:pPr>
        <w:pStyle w:val="Style28"/>
        <w:keepNext w:val="0"/>
        <w:keepLines w:val="0"/>
        <w:widowControl w:val="0"/>
        <w:shd w:val="clear" w:color="auto" w:fill="auto"/>
        <w:bidi w:val="0"/>
        <w:spacing w:before="0" w:after="0" w:line="240" w:lineRule="auto"/>
        <w:ind w:left="0" w:right="0" w:firstLine="0"/>
        <w:jc w:val="left"/>
      </w:pPr>
      <w:r>
        <w:rPr>
          <w:color w:val="2E66A7"/>
          <w:spacing w:val="0"/>
          <w:w w:val="100"/>
          <w:position w:val="0"/>
        </w:rPr>
        <w:t>套</w:t>
      </w:r>
      <w:r>
        <w:rPr>
          <w:rFonts w:ascii="Arial" w:eastAsia="Arial" w:hAnsi="Arial" w:cs="Arial"/>
          <w:b/>
          <w:bCs/>
          <w:color w:val="2E66A7"/>
          <w:spacing w:val="0"/>
          <w:w w:val="100"/>
          <w:position w:val="0"/>
          <w:sz w:val="34"/>
          <w:szCs w:val="34"/>
        </w:rPr>
        <w:t>3</w:t>
      </w:r>
      <w:r>
        <w:rPr>
          <w:color w:val="2E66A7"/>
          <w:spacing w:val="0"/>
          <w:w w:val="100"/>
          <w:position w:val="0"/>
        </w:rPr>
        <w:t>永福</w:t>
      </w:r>
    </w:p>
    <w:p>
      <w:pPr>
        <w:pStyle w:val="Style18"/>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p>
      <w:pPr>
        <w:pStyle w:val="Style32"/>
        <w:keepNext/>
        <w:keepLines/>
        <w:widowControl w:val="0"/>
        <w:shd w:val="clear" w:color="auto" w:fill="auto"/>
        <w:bidi w:val="0"/>
        <w:spacing w:before="0" w:after="280" w:line="331" w:lineRule="exact"/>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3</w:t>
      </w:r>
      <w:bookmarkEnd w:id="2333"/>
      <w:r>
        <w:rPr>
          <w:color w:val="000000"/>
          <w:spacing w:val="0"/>
          <w:w w:val="100"/>
          <w:position w:val="0"/>
        </w:rPr>
        <w:t>、境内外会计准则下会计数据差异</w:t>
      </w:r>
      <w:bookmarkEnd w:id="2331"/>
      <w:bookmarkEnd w:id="2332"/>
      <w:bookmarkEnd w:id="2334"/>
    </w:p>
    <w:p>
      <w:pPr>
        <w:pStyle w:val="Style50"/>
        <w:keepNext/>
        <w:keepLines/>
        <w:widowControl w:val="0"/>
        <w:shd w:val="clear" w:color="auto" w:fill="auto"/>
        <w:bidi w:val="0"/>
        <w:spacing w:before="0" w:line="331" w:lineRule="exact"/>
        <w:ind w:left="0" w:right="0" w:firstLine="0"/>
        <w:jc w:val="left"/>
      </w:pPr>
      <w:bookmarkStart w:id="2335" w:name="bookmark2335"/>
      <w:bookmarkStart w:id="2336" w:name="bookmark2336"/>
      <w:bookmarkStart w:id="2337" w:name="bookmark2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35"/>
      <w:bookmarkEnd w:id="2336"/>
      <w:bookmarkEnd w:id="2337"/>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line="331" w:lineRule="exact"/>
        <w:ind w:left="0" w:right="0" w:firstLine="0"/>
        <w:jc w:val="left"/>
      </w:pPr>
      <w:bookmarkStart w:id="2338" w:name="bookmark2338"/>
      <w:bookmarkStart w:id="2339" w:name="bookmark2339"/>
      <w:bookmarkStart w:id="2340" w:name="bookmark2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338"/>
      <w:bookmarkEnd w:id="2339"/>
      <w:bookmarkEnd w:id="2340"/>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0"/>
        <w:keepNext/>
        <w:keepLines/>
        <w:widowControl w:val="0"/>
        <w:shd w:val="clear" w:color="auto" w:fill="auto"/>
        <w:bidi w:val="0"/>
        <w:spacing w:before="0" w:after="280" w:line="331" w:lineRule="exact"/>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341"/>
      <w:bookmarkEnd w:id="2342"/>
      <w:bookmarkEnd w:id="2344"/>
    </w:p>
    <w:p>
      <w:pPr>
        <w:pStyle w:val="Style32"/>
        <w:keepNext/>
        <w:keepLines/>
        <w:widowControl w:val="0"/>
        <w:shd w:val="clear" w:color="auto" w:fill="auto"/>
        <w:bidi w:val="0"/>
        <w:spacing w:before="0" w:after="280" w:line="331" w:lineRule="exact"/>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4</w:t>
      </w:r>
      <w:bookmarkEnd w:id="2347"/>
      <w:r>
        <w:rPr>
          <w:color w:val="000000"/>
          <w:spacing w:val="0"/>
          <w:w w:val="100"/>
          <w:position w:val="0"/>
        </w:rPr>
        <w:t>、其他</w:t>
      </w:r>
      <w:bookmarkEnd w:id="2345"/>
      <w:bookmarkEnd w:id="2346"/>
      <w:bookmarkEnd w:id="2348"/>
    </w:p>
    <w:sectPr>
      <w:footnotePr>
        <w:pos w:val="pageBottom"/>
        <w:numFmt w:val="decimal"/>
        <w:numRestart w:val="continuous"/>
      </w:footnotePr>
      <w:pgSz w:w="11900" w:h="16840"/>
      <w:pgMar w:top="985" w:right="1071" w:bottom="1428" w:left="10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51">
    <w:name w:val="Heading #4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0">
    <w:name w:val="Body text (6)_"/>
    <w:basedOn w:val="DefaultParagraphFont"/>
    <w:link w:val="Style59"/>
    <w:rPr>
      <w:rFonts w:ascii="SimSun" w:eastAsia="SimSun" w:hAnsi="SimSun" w:cs="SimSun"/>
      <w:b/>
      <w:bCs/>
      <w:i w:val="0"/>
      <w:iCs w:val="0"/>
      <w:smallCaps w:val="0"/>
      <w:strike w:val="0"/>
      <w:u w:val="none"/>
      <w:shd w:val="clear" w:color="auto" w:fill="auto"/>
    </w:rPr>
  </w:style>
  <w:style w:type="character" w:customStyle="1" w:styleId="CharStyle70">
    <w:name w:val="Body text (7)_"/>
    <w:basedOn w:val="DefaultParagraphFont"/>
    <w:link w:val="Style6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5">
    <w:name w:val="Body text (8)_"/>
    <w:basedOn w:val="DefaultParagraphFont"/>
    <w:link w:val="Style8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8">
    <w:name w:val="Heading #5_"/>
    <w:basedOn w:val="DefaultParagraphFont"/>
    <w:link w:val="Style87"/>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14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Heading #1"/>
    <w:basedOn w:val="Normal"/>
    <w:link w:val="CharStyle11"/>
    <w:pPr>
      <w:widowControl w:val="0"/>
      <w:shd w:val="clear" w:color="auto" w:fill="auto"/>
      <w:spacing w:before="2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8">
    <w:name w:val="Body text (2)"/>
    <w:basedOn w:val="Normal"/>
    <w:link w:val="CharStyle19"/>
    <w:qFormat/>
    <w:pPr>
      <w:widowControl w:val="0"/>
      <w:shd w:val="clear" w:color="auto" w:fill="auto"/>
      <w:spacing w:after="140"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8">
    <w:name w:val="Body text"/>
    <w:basedOn w:val="Normal"/>
    <w:link w:val="CharStyle29"/>
    <w:pPr>
      <w:widowControl w:val="0"/>
      <w:shd w:val="clear" w:color="auto" w:fill="auto"/>
      <w:spacing w:after="14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Heading #3"/>
    <w:basedOn w:val="Normal"/>
    <w:link w:val="CharStyle33"/>
    <w:pPr>
      <w:widowControl w:val="0"/>
      <w:shd w:val="clear" w:color="auto" w:fill="auto"/>
      <w:spacing w:after="360" w:line="274"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0">
    <w:name w:val="Heading #4"/>
    <w:basedOn w:val="Normal"/>
    <w:link w:val="CharStyle5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Body text (6)"/>
    <w:basedOn w:val="Normal"/>
    <w:link w:val="CharStyle60"/>
    <w:pPr>
      <w:widowControl w:val="0"/>
      <w:shd w:val="clear" w:color="auto" w:fill="auto"/>
      <w:spacing w:after="260"/>
      <w:ind w:firstLine="760"/>
    </w:pPr>
    <w:rPr>
      <w:rFonts w:ascii="SimSun" w:eastAsia="SimSun" w:hAnsi="SimSun" w:cs="SimSun"/>
      <w:b/>
      <w:bCs/>
      <w:i w:val="0"/>
      <w:iCs w:val="0"/>
      <w:smallCaps w:val="0"/>
      <w:strike w:val="0"/>
      <w:u w:val="none"/>
      <w:shd w:val="clear" w:color="auto" w:fill="auto"/>
    </w:rPr>
  </w:style>
  <w:style w:type="paragraph" w:customStyle="1" w:styleId="Style69">
    <w:name w:val="Body text (7)"/>
    <w:basedOn w:val="Normal"/>
    <w:link w:val="CharStyle70"/>
    <w:pPr>
      <w:widowControl w:val="0"/>
      <w:shd w:val="clear" w:color="auto" w:fill="auto"/>
      <w:spacing w:after="30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4">
    <w:name w:val="Body text (8)"/>
    <w:basedOn w:val="Normal"/>
    <w:link w:val="CharStyle85"/>
    <w:pPr>
      <w:widowControl w:val="0"/>
      <w:shd w:val="clear" w:color="auto" w:fill="auto"/>
      <w:spacing w:after="20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7">
    <w:name w:val="Heading #5"/>
    <w:basedOn w:val="Normal"/>
    <w:link w:val="CharStyle8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chenludb</dc:creator>
  <cp:keywords/>
</cp:coreProperties>
</file>