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919483pt;width:484.8pt;height:.1pt;mso-position-horizontal-relative:page;mso-position-vertical-relative:page;z-index:0" coordorigin="1104,998" coordsize="9696,2">
            <v:shape style="position:absolute;left:1104;top:998;width:9696;height:2" coordorigin="1104,998" coordsize="9696,0" path="m1104,998l10800,998e" filled="false" stroked="true" strokeweight=".48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p>
      <w:pPr>
        <w:spacing w:line="960" w:lineRule="exact"/>
        <w:ind w:left="38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411604" cy="6096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1604" cy="60960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7"/>
        <w:rPr>
          <w:rFonts w:ascii="Times New Roman" w:hAnsi="Times New Roman" w:cs="Times New Roman" w:eastAsia="Times New Roman" w:hint="default"/>
          <w:sz w:val="12"/>
          <w:szCs w:val="12"/>
        </w:rPr>
      </w:pPr>
    </w:p>
    <w:p>
      <w:pPr>
        <w:spacing w:line="460" w:lineRule="exact" w:before="0"/>
        <w:ind w:left="2422" w:right="2422" w:firstLine="0"/>
        <w:jc w:val="center"/>
        <w:rPr>
          <w:rFonts w:ascii="宋体" w:hAnsi="宋体" w:cs="宋体" w:eastAsia="宋体" w:hint="default"/>
          <w:sz w:val="36"/>
          <w:szCs w:val="36"/>
        </w:rPr>
      </w:pPr>
      <w:r>
        <w:rPr>
          <w:rFonts w:ascii="宋体" w:hAnsi="宋体" w:cs="宋体" w:eastAsia="宋体" w:hint="default"/>
          <w:b/>
          <w:bCs/>
          <w:sz w:val="36"/>
          <w:szCs w:val="36"/>
        </w:rPr>
        <w:t>湖南科创信息技术股份有限公司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2420"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7"/>
        <w:rPr>
          <w:rFonts w:ascii="宋体" w:hAnsi="宋体" w:cs="宋体" w:eastAsia="宋体" w:hint="default"/>
          <w:b/>
          <w:bCs/>
          <w:sz w:val="48"/>
          <w:szCs w:val="48"/>
        </w:rPr>
      </w:pPr>
    </w:p>
    <w:p>
      <w:pPr>
        <w:spacing w:before="0"/>
        <w:ind w:left="2422"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7" w:top="1100" w:bottom="1220" w:left="980" w:right="98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3pt;height:.5pt;mso-position-horizontal-relative:char;mso-position-vertical-relative:line" coordorigin="0,0" coordsize="9706,10">
            <v:group style="position:absolute;left:5;top:5;width:9696;height:2" coordorigin="5,5" coordsize="9696,2">
              <v:shape style="position:absolute;left:5;top:5;width:9696;height:2" coordorigin="5,5" coordsize="9696,0" path="m5,5l9701,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802" w:right="0"/>
        <w:jc w:val="left"/>
        <w:rPr>
          <w:b w:val="0"/>
          <w:bCs w:val="0"/>
        </w:rPr>
      </w:pPr>
      <w:bookmarkStart w:name="第一节 重要提示、目录和释义" w:id="1"/>
      <w:bookmarkEnd w:id="1"/>
      <w:r>
        <w:rPr>
          <w:b w:val="0"/>
          <w:bCs w:val="0"/>
        </w:rPr>
      </w:r>
      <w:r>
        <w:rPr/>
        <w:t>第一节</w:t>
      </w:r>
      <w:r>
        <w:rPr>
          <w:spacing w:val="1"/>
        </w:rPr>
        <w:t> </w:t>
      </w:r>
      <w:r>
        <w:rPr/>
        <w:t>重要提示、目录和释义</w:t>
      </w:r>
      <w:r>
        <w:rPr>
          <w:b w:val="0"/>
          <w:bCs w:val="0"/>
        </w:rPr>
      </w:r>
    </w:p>
    <w:p>
      <w:pPr>
        <w:spacing w:line="240" w:lineRule="auto" w:before="11"/>
        <w:rPr>
          <w:rFonts w:ascii="宋体" w:hAnsi="宋体" w:cs="宋体" w:eastAsia="宋体" w:hint="default"/>
          <w:b/>
          <w:bCs/>
          <w:sz w:val="47"/>
          <w:szCs w:val="47"/>
        </w:rPr>
      </w:pPr>
    </w:p>
    <w:p>
      <w:pPr>
        <w:spacing w:line="408" w:lineRule="auto" w:before="0"/>
        <w:ind w:left="152" w:right="253"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z w:val="28"/>
          <w:szCs w:val="28"/>
        </w:rPr>
      </w:r>
    </w:p>
    <w:p>
      <w:pPr>
        <w:spacing w:line="386" w:lineRule="auto" w:before="162"/>
        <w:ind w:left="152" w:right="0" w:firstLine="561"/>
        <w:jc w:val="left"/>
        <w:rPr>
          <w:rFonts w:ascii="宋体" w:hAnsi="宋体" w:cs="宋体" w:eastAsia="宋体" w:hint="default"/>
          <w:sz w:val="28"/>
          <w:szCs w:val="28"/>
        </w:rPr>
      </w:pPr>
      <w:r>
        <w:rPr>
          <w:rFonts w:ascii="宋体" w:hAnsi="宋体" w:cs="宋体" w:eastAsia="宋体" w:hint="default"/>
          <w:b/>
          <w:bCs/>
          <w:w w:val="95"/>
          <w:sz w:val="28"/>
          <w:szCs w:val="28"/>
        </w:rPr>
        <w:t>公司负责人费耀平、主管会计工作负责人金卓钧及会计机构负责人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龙仲声明：保证年度报告中财务报告的真实、准确、完整。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spacing w:val="2"/>
          <w:sz w:val="28"/>
          <w:szCs w:val="28"/>
        </w:rPr>
      </w:r>
    </w:p>
    <w:p>
      <w:pPr>
        <w:spacing w:line="240" w:lineRule="auto" w:before="5"/>
        <w:rPr>
          <w:rFonts w:ascii="宋体" w:hAnsi="宋体" w:cs="宋体" w:eastAsia="宋体" w:hint="default"/>
          <w:b/>
          <w:bCs/>
          <w:sz w:val="27"/>
          <w:szCs w:val="27"/>
        </w:rPr>
      </w:pPr>
    </w:p>
    <w:p>
      <w:pPr>
        <w:spacing w:line="408" w:lineRule="auto" w:before="0"/>
        <w:ind w:left="152" w:right="0" w:firstLine="561"/>
        <w:jc w:val="left"/>
        <w:rPr>
          <w:rFonts w:ascii="宋体" w:hAnsi="宋体" w:cs="宋体" w:eastAsia="宋体" w:hint="default"/>
          <w:sz w:val="28"/>
          <w:szCs w:val="28"/>
        </w:rPr>
      </w:pPr>
      <w:r>
        <w:rPr>
          <w:rFonts w:ascii="宋体" w:hAnsi="宋体" w:cs="宋体" w:eastAsia="宋体" w:hint="default"/>
          <w:b/>
          <w:bCs/>
          <w:spacing w:val="14"/>
          <w:w w:val="95"/>
          <w:sz w:val="28"/>
          <w:szCs w:val="28"/>
        </w:rPr>
        <w:t>本年度报告涉及的未来计划等前瞻性陈述不构成公司对投资者的实质承</w:t>
      </w:r>
      <w:r>
        <w:rPr>
          <w:rFonts w:ascii="宋体" w:hAnsi="宋体" w:cs="宋体" w:eastAsia="宋体" w:hint="default"/>
          <w:b/>
          <w:bCs/>
          <w:spacing w:val="14"/>
          <w:w w:val="99"/>
          <w:sz w:val="28"/>
          <w:szCs w:val="28"/>
        </w:rPr>
        <w:t> </w:t>
      </w:r>
      <w:r>
        <w:rPr>
          <w:rFonts w:ascii="宋体" w:hAnsi="宋体" w:cs="宋体" w:eastAsia="宋体" w:hint="default"/>
          <w:b/>
          <w:bCs/>
          <w:spacing w:val="2"/>
          <w:sz w:val="28"/>
          <w:szCs w:val="28"/>
        </w:rPr>
        <w:t>诺，敬请广大投资者谨慎决策，注意投资风险。</w:t>
      </w:r>
      <w:r>
        <w:rPr>
          <w:rFonts w:ascii="宋体" w:hAnsi="宋体" w:cs="宋体" w:eastAsia="宋体" w:hint="default"/>
          <w:spacing w:val="2"/>
          <w:sz w:val="28"/>
          <w:szCs w:val="28"/>
        </w:rPr>
      </w:r>
    </w:p>
    <w:p>
      <w:pPr>
        <w:spacing w:line="475" w:lineRule="auto" w:before="157"/>
        <w:ind w:left="714" w:right="0" w:firstLine="139"/>
        <w:jc w:val="left"/>
        <w:rPr>
          <w:rFonts w:ascii="宋体" w:hAnsi="宋体" w:cs="宋体" w:eastAsia="宋体" w:hint="default"/>
          <w:sz w:val="28"/>
          <w:szCs w:val="28"/>
        </w:rPr>
      </w:pPr>
      <w:r>
        <w:rPr>
          <w:rFonts w:ascii="宋体" w:hAnsi="宋体" w:cs="宋体" w:eastAsia="宋体" w:hint="default"/>
          <w:b/>
          <w:bCs/>
          <w:sz w:val="28"/>
          <w:szCs w:val="28"/>
        </w:rPr>
        <w:t>一、市场竞争加剧风险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近年来，在国家政策重点扶持及众多行业利好消息的出台等影响下，智慧</w:t>
      </w:r>
      <w:r>
        <w:rPr>
          <w:rFonts w:ascii="宋体" w:hAnsi="宋体" w:cs="宋体" w:eastAsia="宋体" w:hint="default"/>
          <w:spacing w:val="4"/>
          <w:sz w:val="28"/>
          <w:szCs w:val="28"/>
        </w:rPr>
      </w:r>
    </w:p>
    <w:p>
      <w:pPr>
        <w:spacing w:line="350" w:lineRule="exact" w:before="0"/>
        <w:ind w:left="152"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城市、智慧制造吸引了社会各类资本进入，原有的设备制造商、系统集成商乃</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08" w:lineRule="auto" w:before="0"/>
        <w:ind w:left="152" w:right="0" w:firstLine="0"/>
        <w:jc w:val="left"/>
        <w:rPr>
          <w:rFonts w:ascii="宋体" w:hAnsi="宋体" w:cs="宋体" w:eastAsia="宋体" w:hint="default"/>
          <w:sz w:val="28"/>
          <w:szCs w:val="28"/>
        </w:rPr>
      </w:pPr>
      <w:r>
        <w:rPr>
          <w:rFonts w:ascii="宋体" w:hAnsi="宋体" w:cs="宋体" w:eastAsia="宋体" w:hint="default"/>
          <w:b/>
          <w:bCs/>
          <w:spacing w:val="4"/>
          <w:w w:val="95"/>
          <w:sz w:val="28"/>
          <w:szCs w:val="28"/>
        </w:rPr>
        <w:t>至其他实体服务提供商纷纷进入信息化领域，使整个领域的竞争从单纯的技术</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和服务竞争，升级为资本和资源整合的综合竞争，行业竞争进一步加剧。</w:t>
      </w:r>
      <w:r>
        <w:rPr>
          <w:rFonts w:ascii="宋体" w:hAnsi="宋体" w:cs="宋体" w:eastAsia="宋体" w:hint="default"/>
          <w:spacing w:val="2"/>
          <w:sz w:val="28"/>
          <w:szCs w:val="28"/>
        </w:rPr>
      </w:r>
    </w:p>
    <w:p>
      <w:pPr>
        <w:spacing w:line="400" w:lineRule="auto" w:before="162"/>
        <w:ind w:left="152" w:right="0" w:firstLine="561"/>
        <w:jc w:val="left"/>
        <w:rPr>
          <w:rFonts w:ascii="宋体" w:hAnsi="宋体" w:cs="宋体" w:eastAsia="宋体" w:hint="default"/>
          <w:sz w:val="28"/>
          <w:szCs w:val="28"/>
        </w:rPr>
      </w:pPr>
      <w:r>
        <w:rPr>
          <w:rFonts w:ascii="宋体" w:hAnsi="宋体" w:cs="宋体" w:eastAsia="宋体" w:hint="default"/>
          <w:b/>
          <w:bCs/>
          <w:spacing w:val="3"/>
          <w:sz w:val="28"/>
          <w:szCs w:val="28"/>
        </w:rPr>
        <w:t>针对行业竞争的升级，公司独特的</w:t>
      </w:r>
      <w:r>
        <w:rPr>
          <w:rFonts w:ascii="宋体" w:hAnsi="宋体" w:cs="宋体" w:eastAsia="宋体" w:hint="default"/>
          <w:b/>
          <w:bCs/>
          <w:spacing w:val="3"/>
          <w:sz w:val="28"/>
          <w:szCs w:val="28"/>
        </w:rPr>
        <w:t>“</w:t>
      </w:r>
      <w:r>
        <w:rPr>
          <w:rFonts w:ascii="宋体" w:hAnsi="宋体" w:cs="宋体" w:eastAsia="宋体" w:hint="default"/>
          <w:b/>
          <w:bCs/>
          <w:spacing w:val="3"/>
          <w:sz w:val="28"/>
          <w:szCs w:val="28"/>
        </w:rPr>
        <w:t>平台</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应用</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定制服务</w:t>
      </w:r>
      <w:r>
        <w:rPr>
          <w:rFonts w:ascii="宋体" w:hAnsi="宋体" w:cs="宋体" w:eastAsia="宋体" w:hint="default"/>
          <w:b/>
          <w:bCs/>
          <w:spacing w:val="3"/>
          <w:sz w:val="28"/>
          <w:szCs w:val="28"/>
        </w:rPr>
        <w:t>”</w:t>
      </w:r>
      <w:r>
        <w:rPr>
          <w:rFonts w:ascii="宋体" w:hAnsi="宋体" w:cs="宋体" w:eastAsia="宋体" w:hint="default"/>
          <w:b/>
          <w:bCs/>
          <w:spacing w:val="3"/>
          <w:sz w:val="28"/>
          <w:szCs w:val="28"/>
        </w:rPr>
        <w:t>的模式具备了</w:t>
      </w:r>
      <w:r>
        <w:rPr>
          <w:rFonts w:ascii="宋体" w:hAnsi="宋体" w:cs="宋体" w:eastAsia="宋体" w:hint="default"/>
          <w:b/>
          <w:bCs/>
          <w:w w:val="99"/>
          <w:sz w:val="28"/>
          <w:szCs w:val="28"/>
        </w:rPr>
        <w:t> </w:t>
      </w:r>
      <w:r>
        <w:rPr>
          <w:rFonts w:ascii="宋体" w:hAnsi="宋体" w:cs="宋体" w:eastAsia="宋体" w:hint="default"/>
          <w:b/>
          <w:bCs/>
          <w:w w:val="95"/>
          <w:sz w:val="28"/>
          <w:szCs w:val="28"/>
        </w:rPr>
        <w:t>资源协同的优势，且随着各板块布局的日趋成熟和融合，协同效应将逐步凸显，</w:t>
      </w:r>
      <w:r>
        <w:rPr>
          <w:rFonts w:ascii="宋体" w:hAnsi="宋体" w:cs="宋体" w:eastAsia="宋体" w:hint="default"/>
          <w:b/>
          <w:bCs/>
          <w:spacing w:val="11"/>
          <w:w w:val="95"/>
          <w:sz w:val="28"/>
          <w:szCs w:val="28"/>
        </w:rPr>
        <w:t> </w:t>
      </w:r>
      <w:r>
        <w:rPr>
          <w:rFonts w:ascii="宋体" w:hAnsi="宋体" w:cs="宋体" w:eastAsia="宋体" w:hint="default"/>
          <w:b/>
          <w:bCs/>
          <w:spacing w:val="11"/>
          <w:w w:val="95"/>
          <w:sz w:val="28"/>
          <w:szCs w:val="28"/>
        </w:rPr>
      </w:r>
      <w:r>
        <w:rPr>
          <w:rFonts w:ascii="宋体" w:hAnsi="宋体" w:cs="宋体" w:eastAsia="宋体" w:hint="default"/>
          <w:b/>
          <w:bCs/>
          <w:spacing w:val="4"/>
          <w:sz w:val="28"/>
          <w:szCs w:val="28"/>
        </w:rPr>
        <w:t>从而能有效提升公司核心竞争力。但若公司对行业发展趋势判断失误或应对市</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场竞争的措施严重失当，将对公司未来的经营发展产生不利的影响。</w:t>
      </w:r>
      <w:r>
        <w:rPr>
          <w:rFonts w:ascii="宋体" w:hAnsi="宋体" w:cs="宋体" w:eastAsia="宋体" w:hint="default"/>
          <w:spacing w:val="2"/>
          <w:sz w:val="28"/>
          <w:szCs w:val="28"/>
        </w:rPr>
      </w:r>
    </w:p>
    <w:p>
      <w:pPr>
        <w:spacing w:before="170"/>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二、收入季节性波动风险</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footerReference w:type="default" r:id="rId8"/>
          <w:pgSz w:w="11910" w:h="16840"/>
          <w:pgMar w:footer="1027" w:header="784" w:top="1100" w:bottom="1220" w:left="980" w:right="880"/>
          <w:pgNumType w:start="2"/>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3pt;height:.5pt;mso-position-horizontal-relative:char;mso-position-vertical-relative:line" coordorigin="0,0" coordsize="9706,10">
            <v:group style="position:absolute;left:5;top:5;width:9696;height:2" coordorigin="5,5" coordsize="9696,2">
              <v:shape style="position:absolute;left:5;top:5;width:9696;height:2" coordorigin="5,5" coordsize="9696,0" path="m5,5l9701,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0" w:lineRule="auto" w:before="12"/>
        <w:ind w:left="152" w:right="150"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公司主要客户为政府及机关事业单位，该部分政企客户通常实行预算管理</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及集中采购制度，采购招标及结算具有明显的季节性特征，导致公司较多项目</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集中在第四季进行终验。由于公司软件开发及系统集成业务以终验为收入确认</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z w:val="28"/>
          <w:szCs w:val="28"/>
        </w:rPr>
        <w:t>时点，因而公司营业收入主要集中在第四季度确认，</w:t>
      </w:r>
      <w:r>
        <w:rPr>
          <w:rFonts w:ascii="Times New Roman" w:hAnsi="Times New Roman" w:cs="Times New Roman" w:eastAsia="Times New Roman" w:hint="default"/>
          <w:b/>
          <w:bCs/>
          <w:sz w:val="28"/>
          <w:szCs w:val="28"/>
        </w:rPr>
        <w:t>2015 </w:t>
      </w:r>
      <w:r>
        <w:rPr>
          <w:rFonts w:ascii="宋体" w:hAnsi="宋体" w:cs="宋体" w:eastAsia="宋体" w:hint="default"/>
          <w:b/>
          <w:bCs/>
          <w:sz w:val="28"/>
          <w:szCs w:val="28"/>
        </w:rPr>
        <w:t>年、</w:t>
      </w:r>
      <w:r>
        <w:rPr>
          <w:rFonts w:ascii="Times New Roman" w:hAnsi="Times New Roman" w:cs="Times New Roman" w:eastAsia="Times New Roman" w:hint="default"/>
          <w:b/>
          <w:bCs/>
          <w:sz w:val="28"/>
          <w:szCs w:val="28"/>
        </w:rPr>
        <w:t>2016 </w:t>
      </w:r>
      <w:r>
        <w:rPr>
          <w:rFonts w:ascii="宋体" w:hAnsi="宋体" w:cs="宋体" w:eastAsia="宋体" w:hint="default"/>
          <w:b/>
          <w:bCs/>
          <w:sz w:val="28"/>
          <w:szCs w:val="28"/>
        </w:rPr>
        <w:t>年和</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16"/>
          <w:sz w:val="28"/>
          <w:szCs w:val="28"/>
        </w:rPr>
        <w:t>年公司第四季度实现的主营业务收入分别占当年主营业务收入的</w:t>
      </w:r>
      <w:r>
        <w:rPr>
          <w:rFonts w:ascii="宋体" w:hAnsi="宋体" w:cs="宋体" w:eastAsia="宋体" w:hint="default"/>
          <w:b/>
          <w:bCs/>
          <w:spacing w:val="-34"/>
          <w:sz w:val="28"/>
          <w:szCs w:val="28"/>
        </w:rPr>
        <w:t> </w:t>
      </w:r>
      <w:r>
        <w:rPr>
          <w:rFonts w:ascii="Times New Roman" w:hAnsi="Times New Roman" w:cs="Times New Roman" w:eastAsia="Times New Roman" w:hint="default"/>
          <w:b/>
          <w:bCs/>
          <w:spacing w:val="2"/>
          <w:sz w:val="28"/>
          <w:szCs w:val="28"/>
        </w:rPr>
        <w:t>63.40%</w:t>
      </w:r>
      <w:r>
        <w:rPr>
          <w:rFonts w:ascii="宋体" w:hAnsi="宋体" w:cs="宋体" w:eastAsia="宋体" w:hint="default"/>
          <w:b/>
          <w:bCs/>
          <w:spacing w:val="2"/>
          <w:sz w:val="28"/>
          <w:szCs w:val="28"/>
        </w:rPr>
        <w:t>、</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63.00%</w:t>
      </w:r>
      <w:r>
        <w:rPr>
          <w:rFonts w:ascii="宋体" w:hAnsi="宋体" w:cs="宋体" w:eastAsia="宋体" w:hint="default"/>
          <w:b/>
          <w:bCs/>
          <w:sz w:val="28"/>
          <w:szCs w:val="28"/>
        </w:rPr>
        <w:t>及</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58.30%</w:t>
      </w:r>
      <w:r>
        <w:rPr>
          <w:rFonts w:ascii="宋体" w:hAnsi="宋体" w:cs="宋体" w:eastAsia="宋体" w:hint="default"/>
          <w:b/>
          <w:bCs/>
          <w:sz w:val="28"/>
          <w:szCs w:val="28"/>
        </w:rPr>
        <w:t>，公司营业收入存在较强季节性波动风险。</w:t>
      </w:r>
      <w:r>
        <w:rPr>
          <w:rFonts w:ascii="宋体" w:hAnsi="宋体" w:cs="宋体" w:eastAsia="宋体" w:hint="default"/>
          <w:sz w:val="28"/>
          <w:szCs w:val="28"/>
        </w:rPr>
      </w:r>
    </w:p>
    <w:p>
      <w:pPr>
        <w:spacing w:line="475" w:lineRule="auto" w:before="129"/>
        <w:ind w:left="714" w:right="0" w:firstLine="139"/>
        <w:jc w:val="left"/>
        <w:rPr>
          <w:rFonts w:ascii="宋体" w:hAnsi="宋体" w:cs="宋体" w:eastAsia="宋体" w:hint="default"/>
          <w:sz w:val="28"/>
          <w:szCs w:val="28"/>
        </w:rPr>
      </w:pPr>
      <w:r>
        <w:rPr>
          <w:rFonts w:ascii="宋体" w:hAnsi="宋体" w:cs="宋体" w:eastAsia="宋体" w:hint="default"/>
          <w:b/>
          <w:bCs/>
          <w:spacing w:val="2"/>
          <w:sz w:val="28"/>
          <w:szCs w:val="28"/>
        </w:rPr>
        <w:t>三、募集资金投资项目的实施风险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公司募投项目的实施进度和盈利情况将对公司未来的经营业绩产生重要影</w:t>
      </w:r>
      <w:r>
        <w:rPr>
          <w:rFonts w:ascii="宋体" w:hAnsi="宋体" w:cs="宋体" w:eastAsia="宋体" w:hint="default"/>
          <w:spacing w:val="4"/>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响。虽然公司对募投项目的必要性及可行性方面经过了严密的论证和探讨，也</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08" w:lineRule="auto" w:before="0"/>
        <w:ind w:left="152" w:right="153"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在技术研发、人才储备、市场拓展方面进行了详细的规划，但仍存在因不可抗</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力的客观因素或政策环境、技术或市场等发生不利变化，导致项目无法按照预</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计的进度进行或者未能达到预期收益水平的风险。</w:t>
      </w:r>
      <w:r>
        <w:rPr>
          <w:rFonts w:ascii="宋体" w:hAnsi="宋体" w:cs="宋体" w:eastAsia="宋体" w:hint="default"/>
          <w:sz w:val="28"/>
          <w:szCs w:val="28"/>
        </w:rPr>
      </w:r>
    </w:p>
    <w:p>
      <w:pPr>
        <w:spacing w:line="475" w:lineRule="auto" w:before="157"/>
        <w:ind w:left="714" w:right="0" w:firstLine="139"/>
        <w:jc w:val="left"/>
        <w:rPr>
          <w:rFonts w:ascii="宋体" w:hAnsi="宋体" w:cs="宋体" w:eastAsia="宋体" w:hint="default"/>
          <w:sz w:val="28"/>
          <w:szCs w:val="28"/>
        </w:rPr>
      </w:pPr>
      <w:r>
        <w:rPr>
          <w:rFonts w:ascii="宋体" w:hAnsi="宋体" w:cs="宋体" w:eastAsia="宋体" w:hint="default"/>
          <w:b/>
          <w:bCs/>
          <w:sz w:val="28"/>
          <w:szCs w:val="28"/>
        </w:rPr>
        <w:t>四、经营管理风险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为不断提高公司产品市场占有率，公司将不断增加分支机构及人员数量，</w:t>
      </w:r>
      <w:r>
        <w:rPr>
          <w:rFonts w:ascii="宋体" w:hAnsi="宋体" w:cs="宋体" w:eastAsia="宋体" w:hint="default"/>
          <w:spacing w:val="4"/>
          <w:sz w:val="28"/>
          <w:szCs w:val="28"/>
        </w:rPr>
      </w:r>
    </w:p>
    <w:p>
      <w:pPr>
        <w:spacing w:line="350" w:lineRule="exact" w:before="0"/>
        <w:ind w:left="152"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并通过并购手段加大对行业价值链上核心资源的战略布局，这在整体调控、资</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08" w:lineRule="auto" w:before="0"/>
        <w:ind w:left="152" w:right="153"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源整合、产品开发、市场扩展以及内部控制等方面对公司管理层提出了更大挑</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战。为此，公司充分考虑设置事业群架构，加强管控，并在财务、人力等管理</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关键点加强内部控制及跟踪机制，避免管理风险。</w:t>
      </w:r>
      <w:r>
        <w:rPr>
          <w:rFonts w:ascii="宋体" w:hAnsi="宋体" w:cs="宋体" w:eastAsia="宋体" w:hint="default"/>
          <w:sz w:val="28"/>
          <w:szCs w:val="28"/>
        </w:rPr>
      </w:r>
    </w:p>
    <w:p>
      <w:pPr>
        <w:spacing w:before="162"/>
        <w:ind w:left="853"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五、机器视觉应用拓展风险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84" w:footer="1027" w:top="1100" w:bottom="1220" w:left="980" w:right="980"/>
        </w:sectPr>
      </w:pPr>
    </w:p>
    <w:p>
      <w:pPr>
        <w:spacing w:line="240" w:lineRule="auto" w:before="0"/>
        <w:rPr>
          <w:rFonts w:ascii="宋体" w:hAnsi="宋体" w:cs="宋体" w:eastAsia="宋体" w:hint="default"/>
          <w:b/>
          <w:bCs/>
          <w:sz w:val="20"/>
          <w:szCs w:val="20"/>
        </w:rPr>
      </w:pPr>
    </w:p>
    <w:p>
      <w:pPr>
        <w:spacing w:line="408" w:lineRule="auto" w:before="158"/>
        <w:ind w:left="152" w:right="253"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公司在机器视觉领域尤其在浮法玻璃生产检测领域已取得多项专利与核心</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技术，但由于浮法玻璃初加工检测市场容量有限，且国内玻璃行业产能过剩，</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该领域未来市场空间存在较大不确定性。</w:t>
      </w:r>
      <w:r>
        <w:rPr>
          <w:rFonts w:ascii="宋体" w:hAnsi="宋体" w:cs="宋体" w:eastAsia="宋体" w:hint="default"/>
          <w:spacing w:val="2"/>
          <w:sz w:val="28"/>
          <w:szCs w:val="28"/>
        </w:rPr>
      </w:r>
    </w:p>
    <w:p>
      <w:pPr>
        <w:spacing w:line="408" w:lineRule="auto" w:before="162"/>
        <w:ind w:left="152" w:right="253"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目前公司正积极向手机屏、平板电脑屏等玻璃深加工领域及其他行业的视</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觉检测领域进行技术研发与应用拓展，但由于相关领域及行业进入时间较短，</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同时，需要投入的资源较多，公司机器视觉应用领域拓展存在一定风险。</w:t>
      </w:r>
      <w:r>
        <w:rPr>
          <w:rFonts w:ascii="宋体" w:hAnsi="宋体" w:cs="宋体" w:eastAsia="宋体" w:hint="default"/>
          <w:spacing w:val="2"/>
          <w:sz w:val="28"/>
          <w:szCs w:val="28"/>
        </w:rPr>
      </w:r>
    </w:p>
    <w:p>
      <w:pPr>
        <w:spacing w:line="472" w:lineRule="auto" w:before="162"/>
        <w:ind w:left="714" w:right="0" w:firstLine="144"/>
        <w:jc w:val="left"/>
        <w:rPr>
          <w:rFonts w:ascii="宋体" w:hAnsi="宋体" w:cs="宋体" w:eastAsia="宋体" w:hint="default"/>
          <w:sz w:val="28"/>
          <w:szCs w:val="28"/>
        </w:rPr>
      </w:pPr>
      <w:r>
        <w:rPr>
          <w:rFonts w:ascii="宋体" w:hAnsi="宋体" w:cs="宋体" w:eastAsia="宋体" w:hint="default"/>
          <w:b/>
          <w:bCs/>
          <w:sz w:val="28"/>
          <w:szCs w:val="28"/>
        </w:rPr>
        <w:t>六、核心人才流失的风险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近年来，公司业绩的持续增长和核心技术的不断升级离不开公司各类专业</w:t>
      </w:r>
      <w:r>
        <w:rPr>
          <w:rFonts w:ascii="宋体" w:hAnsi="宋体" w:cs="宋体" w:eastAsia="宋体" w:hint="default"/>
          <w:spacing w:val="4"/>
          <w:sz w:val="28"/>
          <w:szCs w:val="28"/>
        </w:rPr>
      </w:r>
    </w:p>
    <w:p>
      <w:pPr>
        <w:spacing w:line="408" w:lineRule="auto" w:before="0"/>
        <w:ind w:left="152"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人才的贡献。公司历来重视核心人才的培养与储备，通过完善核心技术人员的</w:t>
      </w:r>
      <w:r>
        <w:rPr>
          <w:rFonts w:ascii="宋体" w:hAnsi="宋体" w:cs="宋体" w:eastAsia="宋体" w:hint="default"/>
          <w:b/>
          <w:bCs/>
          <w:w w:val="99"/>
          <w:sz w:val="28"/>
          <w:szCs w:val="28"/>
        </w:rPr>
        <w:t> </w:t>
      </w:r>
      <w:r>
        <w:rPr>
          <w:rFonts w:ascii="宋体" w:hAnsi="宋体" w:cs="宋体" w:eastAsia="宋体" w:hint="default"/>
          <w:b/>
          <w:bCs/>
          <w:w w:val="95"/>
          <w:sz w:val="28"/>
          <w:szCs w:val="28"/>
        </w:rPr>
        <w:t>绩效考核与激励制度、塑造富有凝聚力与向心力的企业文化、灵活的岗位设置、</w:t>
      </w:r>
      <w:r>
        <w:rPr>
          <w:rFonts w:ascii="宋体" w:hAnsi="宋体" w:cs="宋体" w:eastAsia="宋体" w:hint="default"/>
          <w:b/>
          <w:bCs/>
          <w:spacing w:val="11"/>
          <w:w w:val="95"/>
          <w:sz w:val="28"/>
          <w:szCs w:val="28"/>
        </w:rPr>
        <w:t> </w:t>
      </w:r>
      <w:r>
        <w:rPr>
          <w:rFonts w:ascii="宋体" w:hAnsi="宋体" w:cs="宋体" w:eastAsia="宋体" w:hint="default"/>
          <w:b/>
          <w:bCs/>
          <w:spacing w:val="11"/>
          <w:w w:val="95"/>
          <w:sz w:val="28"/>
          <w:szCs w:val="28"/>
        </w:rPr>
      </w:r>
      <w:r>
        <w:rPr>
          <w:rFonts w:ascii="宋体" w:hAnsi="宋体" w:cs="宋体" w:eastAsia="宋体" w:hint="default"/>
          <w:b/>
          <w:bCs/>
          <w:spacing w:val="4"/>
          <w:sz w:val="28"/>
          <w:szCs w:val="28"/>
        </w:rPr>
        <w:t>改善办公环境等措施来稳固现有核心技术团队，并不断招募各类高端技术与研</w:t>
      </w:r>
      <w:r>
        <w:rPr>
          <w:rFonts w:ascii="宋体" w:hAnsi="宋体" w:cs="宋体" w:eastAsia="宋体" w:hint="default"/>
          <w:b/>
          <w:bCs/>
          <w:w w:val="99"/>
          <w:sz w:val="28"/>
          <w:szCs w:val="28"/>
        </w:rPr>
        <w:t> </w:t>
      </w:r>
      <w:r>
        <w:rPr>
          <w:rFonts w:ascii="宋体" w:hAnsi="宋体" w:cs="宋体" w:eastAsia="宋体" w:hint="default"/>
          <w:b/>
          <w:bCs/>
          <w:spacing w:val="4"/>
          <w:sz w:val="28"/>
          <w:szCs w:val="28"/>
        </w:rPr>
        <w:t>发人才，但由于公司所处的行业市场竞争不断加剧，行业内对高端专业人才的</w:t>
      </w:r>
      <w:r>
        <w:rPr>
          <w:rFonts w:ascii="宋体" w:hAnsi="宋体" w:cs="宋体" w:eastAsia="宋体" w:hint="default"/>
          <w:b/>
          <w:bCs/>
          <w:w w:val="99"/>
          <w:sz w:val="28"/>
          <w:szCs w:val="28"/>
        </w:rPr>
        <w:t> </w:t>
      </w:r>
      <w:r>
        <w:rPr>
          <w:rFonts w:ascii="宋体" w:hAnsi="宋体" w:cs="宋体" w:eastAsia="宋体" w:hint="default"/>
          <w:b/>
          <w:bCs/>
          <w:spacing w:val="4"/>
          <w:sz w:val="28"/>
          <w:szCs w:val="28"/>
        </w:rPr>
        <w:t>需求与日俱增，如果公司未来不能提供更具有竞争力的薪酬及良好的职业发展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预期，公司仍存在核心技术人员流失的风险。</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七、技术泄密或被侵权的风险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公司所处的软件及信息技术服务行业属于知识密集型产业，持续的研发投</w:t>
      </w:r>
      <w:r>
        <w:rPr>
          <w:rFonts w:ascii="宋体" w:hAnsi="宋体" w:cs="宋体" w:eastAsia="宋体" w:hint="default"/>
          <w:spacing w:val="4"/>
          <w:sz w:val="28"/>
          <w:szCs w:val="28"/>
        </w:rPr>
      </w:r>
    </w:p>
    <w:p>
      <w:pPr>
        <w:spacing w:line="350" w:lineRule="exact" w:before="0"/>
        <w:ind w:left="152"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入与技术创新是该领域企业取得持续竞争优势的基础，因而核心技术的保护对</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75" w:lineRule="auto" w:before="0"/>
        <w:ind w:left="714" w:right="0" w:hanging="562"/>
        <w:jc w:val="left"/>
        <w:rPr>
          <w:rFonts w:ascii="宋体" w:hAnsi="宋体" w:cs="宋体" w:eastAsia="宋体" w:hint="default"/>
          <w:sz w:val="28"/>
          <w:szCs w:val="28"/>
        </w:rPr>
      </w:pPr>
      <w:r>
        <w:rPr>
          <w:rFonts w:ascii="宋体" w:hAnsi="宋体" w:cs="宋体" w:eastAsia="宋体" w:hint="default"/>
          <w:b/>
          <w:bCs/>
          <w:spacing w:val="2"/>
          <w:sz w:val="28"/>
          <w:szCs w:val="28"/>
        </w:rPr>
        <w:t>于企业未来发展尤为重要。</w:t>
      </w:r>
      <w:r>
        <w:rPr>
          <w:rFonts w:ascii="宋体" w:hAnsi="宋体" w:cs="宋体" w:eastAsia="宋体" w:hint="default"/>
          <w:b/>
          <w:bCs/>
          <w:spacing w:val="4"/>
          <w:w w:val="99"/>
          <w:sz w:val="28"/>
          <w:szCs w:val="28"/>
        </w:rPr>
        <w:t> </w:t>
      </w:r>
      <w:r>
        <w:rPr>
          <w:rFonts w:ascii="宋体" w:hAnsi="宋体" w:cs="宋体" w:eastAsia="宋体" w:hint="default"/>
          <w:b/>
          <w:bCs/>
          <w:spacing w:val="4"/>
          <w:w w:val="95"/>
          <w:sz w:val="28"/>
          <w:szCs w:val="28"/>
        </w:rPr>
        <w:t>公司高度重视核心技术的保护，通过建立核心技术保密机制、及时将研发</w:t>
      </w:r>
      <w:r>
        <w:rPr>
          <w:rFonts w:ascii="宋体" w:hAnsi="宋体" w:cs="宋体" w:eastAsia="宋体" w:hint="default"/>
          <w:spacing w:val="4"/>
          <w:sz w:val="28"/>
          <w:szCs w:val="28"/>
        </w:rPr>
      </w:r>
    </w:p>
    <w:p>
      <w:pPr>
        <w:spacing w:line="35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成果申请专利或软件著作权、与知悉核心技术的相关人员签订保密协议等措施，</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2"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来确保公司核心技术不受侵害。虽然报告期内公司拥有的专利技术和计算机软</w:t>
      </w:r>
      <w:r>
        <w:rPr>
          <w:rFonts w:ascii="宋体" w:hAnsi="宋体" w:cs="宋体" w:eastAsia="宋体" w:hint="default"/>
          <w:spacing w:val="4"/>
          <w:sz w:val="28"/>
          <w:szCs w:val="28"/>
        </w:rPr>
      </w:r>
    </w:p>
    <w:p>
      <w:pPr>
        <w:spacing w:after="0"/>
        <w:jc w:val="left"/>
        <w:rPr>
          <w:rFonts w:ascii="宋体" w:hAnsi="宋体" w:cs="宋体" w:eastAsia="宋体" w:hint="default"/>
          <w:sz w:val="28"/>
          <w:szCs w:val="28"/>
        </w:rPr>
        <w:sectPr>
          <w:pgSz w:w="11910" w:h="16840"/>
          <w:pgMar w:header="784" w:footer="1027" w:top="1100" w:bottom="1220" w:left="980" w:right="880"/>
        </w:sectPr>
      </w:pPr>
    </w:p>
    <w:p>
      <w:pPr>
        <w:spacing w:line="240" w:lineRule="auto" w:before="0"/>
        <w:rPr>
          <w:rFonts w:ascii="宋体" w:hAnsi="宋体" w:cs="宋体" w:eastAsia="宋体" w:hint="default"/>
          <w:b/>
          <w:bCs/>
          <w:sz w:val="20"/>
          <w:szCs w:val="20"/>
        </w:rPr>
      </w:pPr>
    </w:p>
    <w:p>
      <w:pPr>
        <w:spacing w:line="408" w:lineRule="auto" w:before="158"/>
        <w:ind w:left="152" w:right="0" w:firstLine="0"/>
        <w:jc w:val="left"/>
        <w:rPr>
          <w:rFonts w:ascii="宋体" w:hAnsi="宋体" w:cs="宋体" w:eastAsia="宋体" w:hint="default"/>
          <w:sz w:val="28"/>
          <w:szCs w:val="28"/>
        </w:rPr>
      </w:pPr>
      <w:r>
        <w:rPr>
          <w:rFonts w:ascii="宋体" w:hAnsi="宋体" w:cs="宋体" w:eastAsia="宋体" w:hint="default"/>
          <w:b/>
          <w:bCs/>
          <w:spacing w:val="4"/>
          <w:w w:val="95"/>
          <w:sz w:val="28"/>
          <w:szCs w:val="28"/>
        </w:rPr>
        <w:t>件著作权未受到侵权，但未来仍存在由于非法竞争或人员流失等不利因素导致</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公司技术泄密或知识产权受到侵害的风险。</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92,945,999</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向全</w:t>
      </w:r>
      <w:r>
        <w:rPr>
          <w:rFonts w:ascii="宋体" w:hAnsi="宋体" w:cs="宋体" w:eastAsia="宋体" w:hint="default"/>
          <w:b/>
          <w:bCs/>
          <w:w w:val="99"/>
          <w:sz w:val="28"/>
          <w:szCs w:val="28"/>
        </w:rPr>
        <w:t>体</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5"/>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股派</w:t>
      </w:r>
      <w:r>
        <w:rPr>
          <w:rFonts w:ascii="宋体" w:hAnsi="宋体" w:cs="宋体" w:eastAsia="宋体" w:hint="default"/>
          <w:b/>
          <w:bCs/>
          <w:w w:val="99"/>
          <w:sz w:val="28"/>
          <w:szCs w:val="28"/>
        </w:rPr>
        <w:t>发</w:t>
      </w:r>
      <w:r>
        <w:rPr>
          <w:rFonts w:ascii="宋体" w:hAnsi="宋体" w:cs="宋体" w:eastAsia="宋体" w:hint="default"/>
          <w:b/>
          <w:bCs/>
          <w:spacing w:val="4"/>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5"/>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4"/>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含</w:t>
      </w: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4"/>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7</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84" w:footer="1027" w:top="1100" w:bottom="12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spacing w:line="460" w:lineRule="exact" w:before="0"/>
        <w:ind w:left="2422" w:right="2422"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w:t>
            </w:r>
          </w:hyperlink>
          <w:r>
            <w:rPr>
              <w:rFonts w:ascii="Times New Roman" w:hAnsi="Times New Roman" w:cs="Times New Roman" w:eastAsia="Times New Roman" w:hint="default"/>
              <w:spacing w:val="-8"/>
            </w:rPr>
            <w:t>1</w:t>
          </w:r>
          <w:r>
            <w:rPr>
              <w:rFonts w:ascii="Times New Roman" w:hAnsi="Times New Roman" w:cs="Times New Roman" w:eastAsia="Times New Roman" w:hint="default"/>
              <w:b w:val="0"/>
              <w:bCs w:val="0"/>
              <w:spacing w:val="-8"/>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1</w:t>
            </w:r>
          </w:hyperlink>
          <w:r>
            <w:rPr>
              <w:rFonts w:ascii="Times New Roman" w:hAnsi="Times New Roman" w:cs="Times New Roman" w:eastAsia="Times New Roman" w:hint="default"/>
            </w:rPr>
            <w:t>6</w:t>
          </w:r>
          <w:r>
            <w:rPr>
              <w:rFonts w:ascii="Times New Roman" w:hAnsi="Times New Roman" w:cs="Times New Roman" w:eastAsia="Times New Roman" w:hint="default"/>
              <w:b w:val="0"/>
              <w:bCs w:val="0"/>
            </w:rPr>
          </w:r>
        </w:p>
        <w:p>
          <w:pPr>
            <w:pStyle w:val="TOC1"/>
            <w:tabs>
              <w:tab w:pos="9781"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rPr>
              <w:tab/>
              <w:t>3</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4</w:t>
            </w:r>
          </w:hyperlink>
          <w:r>
            <w:rPr>
              <w:rFonts w:ascii="Times New Roman" w:hAnsi="Times New Roman" w:cs="Times New Roman" w:eastAsia="Times New Roman" w:hint="default"/>
            </w:rPr>
            <w:t>4</w:t>
          </w:r>
          <w:r>
            <w:rPr>
              <w:rFonts w:ascii="Times New Roman" w:hAnsi="Times New Roman" w:cs="Times New Roman" w:eastAsia="Times New Roman" w:hint="default"/>
              <w:b w:val="0"/>
              <w:bCs w:val="0"/>
            </w:rPr>
          </w:r>
        </w:p>
        <w:p>
          <w:pPr>
            <w:pStyle w:val="TOC1"/>
            <w:tabs>
              <w:tab w:pos="9781"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rPr>
              <w:tab/>
              <w:t>4</w:t>
            </w:r>
          </w:hyperlink>
          <w:r>
            <w:rPr>
              <w:rFonts w:ascii="Times New Roman" w:hAnsi="Times New Roman" w:cs="Times New Roman" w:eastAsia="Times New Roman" w:hint="default"/>
            </w:rPr>
            <w:t>9</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董事、监事、高级管理人员和员工情况</w:t>
            </w:r>
            <w:r>
              <w:rPr>
                <w:rFonts w:ascii="Times New Roman" w:hAnsi="Times New Roman" w:cs="Times New Roman" w:eastAsia="Times New Roman" w:hint="default"/>
              </w:rPr>
              <w:tab/>
              <w:t>5</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81"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公司治理</w:t>
            </w:r>
            <w:r>
              <w:rPr>
                <w:rFonts w:ascii="Times New Roman" w:hAnsi="Times New Roman" w:cs="Times New Roman" w:eastAsia="Times New Roman" w:hint="default"/>
              </w:rPr>
              <w:tab/>
              <w:t>5</w:t>
            </w:r>
          </w:hyperlink>
          <w:r>
            <w:rPr>
              <w:rFonts w:ascii="Times New Roman" w:hAnsi="Times New Roman" w:cs="Times New Roman" w:eastAsia="Times New Roman" w:hint="default"/>
            </w:rPr>
            <w:t>7</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公司债券相关情况</w:t>
            </w:r>
            <w:r>
              <w:rPr>
                <w:rFonts w:ascii="Times New Roman" w:hAnsi="Times New Roman" w:cs="Times New Roman" w:eastAsia="Times New Roman" w:hint="default"/>
              </w:rPr>
              <w:tab/>
              <w:t>6</w:t>
            </w:r>
          </w:hyperlink>
          <w:r>
            <w:rPr>
              <w:rFonts w:ascii="Times New Roman" w:hAnsi="Times New Roman" w:cs="Times New Roman" w:eastAsia="Times New Roman" w:hint="default"/>
            </w:rPr>
            <w:t>2</w:t>
          </w:r>
          <w:r>
            <w:rPr>
              <w:rFonts w:ascii="Times New Roman" w:hAnsi="Times New Roman" w:cs="Times New Roman" w:eastAsia="Times New Roman" w:hint="default"/>
              <w:b w:val="0"/>
              <w:bCs w:val="0"/>
            </w:rPr>
          </w:r>
        </w:p>
        <w:p>
          <w:pPr>
            <w:pStyle w:val="TOC1"/>
            <w:tabs>
              <w:tab w:pos="9781"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9">
            <w:r>
              <w:rPr/>
              <w:t>第十一节</w:t>
            </w:r>
            <w:r>
              <w:rPr>
                <w:spacing w:val="-1"/>
              </w:rPr>
              <w:t> </w:t>
            </w:r>
            <w:r>
              <w:rPr/>
              <w:t>财务报告</w:t>
            </w:r>
            <w:r>
              <w:rPr>
                <w:rFonts w:ascii="Times New Roman" w:hAnsi="Times New Roman" w:cs="Times New Roman" w:eastAsia="Times New Roman" w:hint="default"/>
              </w:rPr>
              <w:tab/>
              <w:t>6</w:t>
            </w:r>
          </w:hyperlink>
          <w:r>
            <w:rPr>
              <w:rFonts w:ascii="Times New Roman" w:hAnsi="Times New Roman" w:cs="Times New Roman" w:eastAsia="Times New Roman" w:hint="default"/>
            </w:rPr>
            <w:t>3</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
              </w:rPr>
              <w:t> </w:t>
            </w:r>
            <w:r>
              <w:rPr/>
              <w:t>备查文件目录</w:t>
            </w:r>
            <w:r>
              <w:rPr>
                <w:rFonts w:ascii="Times New Roman" w:hAnsi="Times New Roman" w:cs="Times New Roman" w:eastAsia="Times New Roman" w:hint="default"/>
              </w:rPr>
              <w:tab/>
              <w:t>1</w:t>
            </w:r>
          </w:hyperlink>
          <w:r>
            <w:rPr>
              <w:rFonts w:ascii="Times New Roman" w:hAnsi="Times New Roman" w:cs="Times New Roman" w:eastAsia="Times New Roman" w:hint="default"/>
            </w:rPr>
            <w:t>43</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84" w:footer="1027" w:top="1100" w:bottom="1220" w:left="980" w:right="980"/>
        </w:sectPr>
      </w:pPr>
    </w:p>
    <w:p>
      <w:pPr>
        <w:spacing w:before="910"/>
        <w:ind w:left="2422"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23"/>
        <w:gridCol w:w="624"/>
        <w:gridCol w:w="5424"/>
      </w:tblGrid>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释义项</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公司、本公司、发行人、科创信息</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湖南科创信息技术股份有限公司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共同实际控制人</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费耀平、李杰、李建华、刘应龙、刘星沙</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科创有限</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长沙科创计算机系统集成有限公司</w:t>
            </w:r>
            <w:r>
              <w:rPr>
                <w:rFonts w:ascii="宋体" w:hAnsi="宋体" w:cs="宋体" w:eastAsia="宋体" w:hint="default"/>
                <w:sz w:val="18"/>
                <w:szCs w:val="18"/>
              </w:rPr>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科创鑫源</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北京科创鑫源信息技术有限公司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永兴科创</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永兴科创南方技术服务有限公司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科创集成</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湖南科创信息系统集成有限公司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中南资产</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中南大学资产经营有限公司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中科岳麓</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湖南中科岳麓创业投资有限公司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金信置业</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长沙金信置业投资有限公司</w:t>
            </w:r>
          </w:p>
        </w:tc>
      </w:tr>
      <w:tr>
        <w:trPr>
          <w:trHeight w:val="398"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中国证监会</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r>
              <w:rPr>
                <w:rFonts w:ascii="宋体" w:hAnsi="宋体" w:cs="宋体" w:eastAsia="宋体" w:hint="default"/>
                <w:sz w:val="18"/>
                <w:szCs w:val="18"/>
              </w:rPr>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深交所</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r>
              <w:rPr>
                <w:rFonts w:ascii="宋体" w:hAnsi="宋体" w:cs="宋体" w:eastAsia="宋体" w:hint="default"/>
                <w:sz w:val="18"/>
                <w:szCs w:val="18"/>
              </w:rPr>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工信部</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工业和信息化部</w:t>
            </w:r>
            <w:r>
              <w:rPr>
                <w:rFonts w:ascii="宋体" w:hAnsi="宋体" w:cs="宋体" w:eastAsia="宋体" w:hint="default"/>
                <w:sz w:val="18"/>
                <w:szCs w:val="18"/>
              </w:rPr>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报告期</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5"/>
        <w:gridCol w:w="2952"/>
        <w:gridCol w:w="2155"/>
        <w:gridCol w:w="2179"/>
      </w:tblGrid>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科创信息</w:t>
            </w:r>
          </w:p>
        </w:tc>
        <w:tc>
          <w:tcPr>
            <w:tcW w:w="21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300730</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湖南科创信息技术股份有限公司</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科创信息</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Hunan Creator Information </w:t>
            </w:r>
            <w:r>
              <w:rPr>
                <w:rFonts w:ascii="Times New Roman"/>
                <w:spacing w:val="-3"/>
                <w:sz w:val="18"/>
              </w:rPr>
              <w:t>Technologies CO.,</w:t>
            </w:r>
            <w:r>
              <w:rPr>
                <w:rFonts w:ascii="Times New Roman"/>
                <w:spacing w:val="32"/>
                <w:sz w:val="18"/>
              </w:rPr>
              <w:t> </w:t>
            </w:r>
            <w:r>
              <w:rPr>
                <w:rFonts w:ascii="Times New Roman"/>
                <w:spacing w:val="-7"/>
                <w:sz w:val="18"/>
              </w:rPr>
              <w:t>LTD.</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89"/>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有）</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Creator</w:t>
            </w:r>
            <w:r>
              <w:rPr>
                <w:rFonts w:ascii="Times New Roman"/>
                <w:spacing w:val="20"/>
                <w:sz w:val="18"/>
              </w:rPr>
              <w:t> </w:t>
            </w:r>
            <w:r>
              <w:rPr>
                <w:rFonts w:ascii="Times New Roman"/>
                <w:spacing w:val="-3"/>
                <w:sz w:val="18"/>
              </w:rPr>
              <w:t>Information</w:t>
            </w:r>
            <w:r>
              <w:rPr>
                <w:rFonts w:ascii="Times New Roman"/>
                <w:sz w:val="18"/>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410205</w:t>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410205</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9">
              <w:r>
                <w:rPr>
                  <w:rFonts w:ascii="Times New Roman"/>
                  <w:spacing w:val="-3"/>
                  <w:sz w:val="18"/>
                </w:rPr>
                <w:t>http://www.chinacreator.com</w:t>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pacing w:val="-3"/>
                  <w:sz w:val="18"/>
                </w:rPr>
                <w:t>creator@chinacreator.com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董事会秘书</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4"/>
                <w:sz w:val="18"/>
                <w:szCs w:val="18"/>
              </w:rPr>
              <w:t>金卓钧</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张雨虹</w:t>
            </w:r>
            <w:r>
              <w:rPr>
                <w:rFonts w:ascii="宋体" w:hAnsi="宋体" w:cs="宋体" w:eastAsia="宋体" w:hint="default"/>
                <w:sz w:val="18"/>
                <w:szCs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0731-82068690</w:t>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0731-82068690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0731-82068670</w:t>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0731-82068670</w:t>
            </w:r>
          </w:p>
        </w:tc>
      </w:tr>
      <w:tr>
        <w:trPr>
          <w:trHeight w:val="398"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3" w:right="0"/>
              <w:jc w:val="left"/>
              <w:rPr>
                <w:rFonts w:ascii="Times New Roman" w:hAnsi="Times New Roman" w:cs="Times New Roman" w:eastAsia="Times New Roman" w:hint="default"/>
                <w:sz w:val="18"/>
                <w:szCs w:val="18"/>
              </w:rPr>
            </w:pPr>
            <w:hyperlink r:id="rId10">
              <w:r>
                <w:rPr>
                  <w:rFonts w:ascii="Times New Roman"/>
                  <w:spacing w:val="-3"/>
                  <w:sz w:val="18"/>
                </w:rPr>
                <w:t>creator@chinacreator.com</w:t>
              </w:r>
            </w:hyperlink>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pacing w:val="-3"/>
                  <w:sz w:val="18"/>
                </w:rPr>
                <w:t>creator@chinacreator.com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94"/>
        <w:gridCol w:w="5573"/>
      </w:tblGrid>
      <w:tr>
        <w:trPr>
          <w:trHeight w:val="403"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6"/>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398"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r>
              <w:rPr>
                <w:rFonts w:ascii="宋体" w:hAnsi="宋体" w:cs="宋体" w:eastAsia="宋体" w:hint="default"/>
                <w:sz w:val="18"/>
                <w:szCs w:val="18"/>
              </w:rPr>
            </w:r>
          </w:p>
        </w:tc>
        <w:tc>
          <w:tcPr>
            <w:tcW w:w="55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（巨潮资讯网）</w:t>
            </w:r>
          </w:p>
        </w:tc>
      </w:tr>
      <w:tr>
        <w:trPr>
          <w:trHeight w:val="403" w:hRule="exact"/>
        </w:trPr>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r>
        <w:rPr/>
      </w:r>
    </w:p>
    <w:p>
      <w:pPr>
        <w:spacing w:after="0" w:line="240" w:lineRule="auto"/>
        <w:jc w:val="left"/>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664"/>
        <w:gridCol w:w="6902"/>
      </w:tblGrid>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A-1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A-5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区域</w:t>
            </w:r>
          </w:p>
        </w:tc>
      </w:tr>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r>
              <w:rPr>
                <w:rFonts w:ascii="宋体" w:hAnsi="宋体" w:cs="宋体" w:eastAsia="宋体" w:hint="default"/>
                <w:sz w:val="18"/>
                <w:szCs w:val="18"/>
              </w:rPr>
            </w:r>
          </w:p>
        </w:tc>
        <w:tc>
          <w:tcPr>
            <w:tcW w:w="6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3"/>
                <w:sz w:val="18"/>
                <w:szCs w:val="18"/>
              </w:rPr>
              <w:t>曾春卫、刘智清、冯俭专</w:t>
            </w:r>
            <w:r>
              <w:rPr>
                <w:rFonts w:ascii="宋体" w:hAnsi="宋体" w:cs="宋体" w:eastAsia="宋体" w:hint="default"/>
                <w:sz w:val="18"/>
                <w:szCs w:val="18"/>
              </w:rPr>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83"/>
        <w:gridCol w:w="2918"/>
        <w:gridCol w:w="1598"/>
        <w:gridCol w:w="2966"/>
      </w:tblGrid>
      <w:tr>
        <w:trPr>
          <w:trHeight w:val="403" w:hRule="exact"/>
        </w:trPr>
        <w:tc>
          <w:tcPr>
            <w:tcW w:w="20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保荐代表人姓名</w:t>
            </w:r>
            <w:r>
              <w:rPr>
                <w:rFonts w:ascii="宋体" w:hAnsi="宋体" w:cs="宋体" w:eastAsia="宋体" w:hint="default"/>
                <w:sz w:val="18"/>
                <w:szCs w:val="18"/>
              </w:rPr>
            </w:r>
          </w:p>
        </w:tc>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35"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0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西部证券股份有限公司</w:t>
            </w:r>
          </w:p>
        </w:tc>
        <w:tc>
          <w:tcPr>
            <w:tcW w:w="29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陕西省西安市新城区东新街 </w:t>
            </w:r>
            <w:r>
              <w:rPr>
                <w:rFonts w:ascii="Times New Roman" w:hAnsi="Times New Roman" w:cs="Times New Roman" w:eastAsia="Times New Roman" w:hint="default"/>
                <w:sz w:val="18"/>
                <w:szCs w:val="18"/>
              </w:rPr>
              <w:t>319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瞿孝龙、张武</w:t>
            </w:r>
          </w:p>
        </w:tc>
        <w:tc>
          <w:tcPr>
            <w:tcW w:w="29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t>□ 是 √</w:t>
      </w:r>
      <w:r>
        <w:rPr>
          <w:spacing w:val="2"/>
        </w:rPr>
        <w:t> </w:t>
      </w:r>
      <w:r>
        <w:rPr/>
        <w:t>否</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8"/>
      </w:tblGrid>
      <w:tr>
        <w:trPr>
          <w:trHeight w:val="398"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307,423,525.28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271,433,199.11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249,460,801.24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4"/>
                <w:sz w:val="18"/>
                <w:szCs w:val="18"/>
              </w:rPr>
              <w:t>（元）</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44,494,787.97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37,490,815.73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34,339,305.54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65"/>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39,410,784.83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33,814,877.42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32,867,842.71</w:t>
            </w:r>
          </w:p>
        </w:tc>
      </w:tr>
      <w:tr>
        <w:trPr>
          <w:trHeight w:val="710"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4"/>
                <w:sz w:val="18"/>
                <w:szCs w:val="18"/>
              </w:rPr>
              <w:t>（元）</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7,462,076.69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951,656.86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684.11%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78,309,920.13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0.620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0.540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0.620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0.540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24.76%</w:t>
            </w:r>
          </w:p>
        </w:tc>
      </w:tr>
      <w:tr>
        <w:trPr>
          <w:trHeight w:val="710"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777" w:right="137" w:hanging="634"/>
              <w:jc w:val="left"/>
              <w:rPr>
                <w:rFonts w:ascii="宋体" w:hAnsi="宋体" w:cs="宋体" w:eastAsia="宋体" w:hint="default"/>
                <w:sz w:val="18"/>
                <w:szCs w:val="18"/>
              </w:rPr>
            </w:pPr>
            <w:r>
              <w:rPr>
                <w:rFonts w:ascii="宋体" w:hAnsi="宋体" w:cs="宋体" w:eastAsia="宋体" w:hint="default"/>
                <w:spacing w:val="-2"/>
                <w:sz w:val="18"/>
                <w:szCs w:val="18"/>
              </w:rPr>
              <w:t>本年末比上年末增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减</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606,433,571.66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358,587,870.25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344,524,593.52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4"/>
                <w:sz w:val="18"/>
                <w:szCs w:val="18"/>
              </w:rPr>
              <w:t>（元）</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378,886,126.94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177,314,918.89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113.68%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148,188,823.04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45"/>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42"/>
        <w:gridCol w:w="1738"/>
        <w:gridCol w:w="1738"/>
        <w:gridCol w:w="1733"/>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20,054,232.36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38,834,299.29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69,725,192.86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178,809,800.77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-7,355,346.97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-2,657,680.36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13,479,002.01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41,028,813.29</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621"/>
        <w:gridCol w:w="1742"/>
        <w:gridCol w:w="1738"/>
        <w:gridCol w:w="1738"/>
        <w:gridCol w:w="1733"/>
      </w:tblGrid>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65"/>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经常性损益的净利润</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-7,983,742.55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-4,014,572.24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13,479,731.82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37,929,367.80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r>
              <w:rPr>
                <w:rFonts w:ascii="宋体" w:hAnsi="宋体" w:cs="宋体" w:eastAsia="宋体" w:hint="default"/>
                <w:sz w:val="18"/>
                <w:szCs w:val="18"/>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-58,635,118.27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-21,548,244.53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-19,515,166.04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107,160,605.53</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5"/>
        <w:ind w:right="0"/>
        <w:jc w:val="left"/>
      </w:pPr>
      <w:r>
        <w:rPr/>
        <w:t>□ 是 √</w:t>
      </w:r>
      <w:r>
        <w:rPr>
          <w:spacing w:val="2"/>
        </w:rPr>
        <w:t> </w:t>
      </w:r>
      <w:r>
        <w:rPr/>
        <w:t>否</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327"/>
        <w:jc w:val="left"/>
      </w:pPr>
      <w:r>
        <w:rPr/>
        <w:t>□ </w:t>
      </w:r>
      <w:r>
        <w:rPr>
          <w:spacing w:val="-3"/>
        </w:rPr>
        <w:t>适用 </w:t>
      </w:r>
      <w:r>
        <w:rPr/>
        <w:t>√ 不适用</w:t>
      </w:r>
      <w:r>
        <w:rPr>
          <w:spacing w:val="-77"/>
        </w:rPr>
        <w:t> </w:t>
      </w:r>
      <w:r>
        <w:rPr>
          <w:spacing w:val="-77"/>
        </w:rPr>
      </w:r>
      <w:r>
        <w:rPr>
          <w:spacing w:val="-3"/>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327" w:hanging="1"/>
        <w:jc w:val="left"/>
      </w:pPr>
      <w:r>
        <w:rPr/>
        <w:t>□ </w:t>
      </w:r>
      <w:r>
        <w:rPr>
          <w:spacing w:val="-3"/>
        </w:rPr>
        <w:t>适用 </w:t>
      </w:r>
      <w:r>
        <w:rPr/>
        <w:t>√ 不适用</w:t>
      </w:r>
      <w:r>
        <w:rPr>
          <w:spacing w:val="-77"/>
        </w:rPr>
        <w:t> </w:t>
      </w:r>
      <w:r>
        <w:rPr>
          <w:spacing w:val="-77"/>
        </w:rPr>
      </w:r>
      <w:r>
        <w:rPr>
          <w:spacing w:val="-3"/>
        </w:rPr>
        <w:t>公司报告期不存在按照境外会计准则与按照中国会计准则披露的财务报告中净利润和净资产差异情况。</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9"/>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8"/>
        <w:gridCol w:w="1517"/>
        <w:gridCol w:w="1522"/>
        <w:gridCol w:w="1522"/>
        <w:gridCol w:w="1709"/>
      </w:tblGrid>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22"/>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减值准备的冲销部分）</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-7,460.00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635,810.53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6,396.28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22"/>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量享受的政府补助除外）</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5,384,753.78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3,621,590.16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1,954,505.00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36,690.41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22"/>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622,814.64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-1,680.54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-229,471.42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891,230.79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616,563.34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259,603.06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少数股东权益影响额（税后）</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24,874.49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-91.09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363.97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5,084,003.14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3,675,938.31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1,471,462.83</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8"/>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宋体" w:hAnsi="宋体" w:cs="宋体" w:eastAsia="宋体" w:hint="default"/>
          <w:w w:val="101"/>
        </w:rPr>
        <w:t>—</w:t>
      </w:r>
      <w:r>
        <w:rPr>
          <w:rFonts w:ascii="宋体" w:hAnsi="宋体" w:cs="宋体" w:eastAsia="宋体"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0"/>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宋体" w:hAnsi="宋体" w:cs="宋体" w:eastAsia="宋体" w:hint="default"/>
          <w:spacing w:val="-5"/>
        </w:rPr>
        <w:t>——</w:t>
      </w:r>
      <w:r>
        <w:rPr>
          <w:spacing w:val="-5"/>
        </w:rPr>
        <w:t>非经常性损益》中列举的非经常性损益项目界定为经常性损益的项目，应</w:t>
      </w:r>
      <w:r>
        <w:rPr>
          <w:spacing w:val="-37"/>
        </w:rPr>
        <w:t> </w:t>
      </w:r>
      <w:r>
        <w:rPr>
          <w:spacing w:val="-37"/>
        </w:rPr>
      </w:r>
      <w:r>
        <w:rPr/>
        <w:t>说明原因</w:t>
      </w:r>
    </w:p>
    <w:p>
      <w:pPr>
        <w:pStyle w:val="BodyText"/>
        <w:spacing w:line="240" w:lineRule="auto" w:before="66"/>
        <w:ind w:right="0"/>
        <w:jc w:val="left"/>
      </w:pPr>
      <w:r>
        <w:rPr/>
        <w:t>□ </w:t>
      </w:r>
      <w:r>
        <w:rPr>
          <w:spacing w:val="-3"/>
        </w:rPr>
        <w:t>适用 </w:t>
      </w:r>
      <w:r>
        <w:rPr/>
        <w:t>√</w:t>
      </w:r>
      <w:r>
        <w:rPr>
          <w:spacing w:val="13"/>
        </w:rPr>
        <w:t> </w:t>
      </w:r>
      <w:r>
        <w:rPr/>
        <w:t>不适用</w:t>
      </w:r>
    </w:p>
    <w:p>
      <w:pPr>
        <w:pStyle w:val="BodyText"/>
        <w:spacing w:line="304" w:lineRule="auto" w:before="110"/>
        <w:ind w:left="153" w:right="0" w:hanging="1"/>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宋体" w:hAnsi="宋体" w:cs="宋体" w:eastAsia="宋体" w:hint="default"/>
          <w:spacing w:val="-5"/>
        </w:rPr>
        <w:t>——</w:t>
      </w:r>
      <w:r>
        <w:rPr>
          <w:spacing w:val="-5"/>
        </w:rPr>
        <w:t>非经常性损益》定义、列举的非经常性损益</w:t>
      </w:r>
      <w:r>
        <w:rPr>
          <w:spacing w:val="-26"/>
        </w:rPr>
        <w:t> </w:t>
      </w:r>
      <w:r>
        <w:rPr>
          <w:spacing w:val="-26"/>
        </w:rPr>
      </w:r>
      <w:r>
        <w:rPr>
          <w:spacing w:val="-3"/>
        </w:rPr>
        <w:t>项目界定为经常性损益的项目的情形。</w:t>
      </w:r>
      <w:r>
        <w:rPr/>
      </w:r>
    </w:p>
    <w:p>
      <w:pPr>
        <w:spacing w:after="0" w:line="304" w:lineRule="auto"/>
        <w:jc w:val="left"/>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26" w:right="3484"/>
        <w:jc w:val="center"/>
        <w:rPr>
          <w:b w:val="0"/>
          <w:bCs w:val="0"/>
        </w:rPr>
      </w:pPr>
      <w:bookmarkStart w:name="第三节 公司业务概要" w:id="14"/>
      <w:bookmarkEnd w:id="14"/>
      <w:r>
        <w:rPr>
          <w:b w:val="0"/>
          <w:bCs w:val="0"/>
        </w:rPr>
      </w:r>
      <w:bookmarkStart w:name="_bookmark1" w:id="15"/>
      <w:bookmarkEnd w:id="15"/>
      <w:r>
        <w:rPr>
          <w:b w:val="0"/>
          <w:bCs w:val="0"/>
        </w:rPr>
      </w:r>
      <w:r>
        <w:rPr/>
        <w:t>第三节 公司业务概要</w:t>
      </w:r>
      <w:r>
        <w:rPr>
          <w:b w:val="0"/>
          <w:bCs w:val="0"/>
        </w:rPr>
      </w:r>
    </w:p>
    <w:p>
      <w:pPr>
        <w:spacing w:line="240" w:lineRule="auto" w:before="3"/>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683"/>
        <w:jc w:val="left"/>
      </w:pPr>
      <w:r>
        <w:rPr>
          <w:spacing w:val="-3"/>
        </w:rPr>
        <w:t>公司是否需要遵守特殊行业的披露要求</w:t>
      </w:r>
      <w:r>
        <w:rPr>
          <w:spacing w:val="-44"/>
        </w:rPr>
        <w:t> </w:t>
      </w:r>
      <w:r>
        <w:rPr>
          <w:spacing w:val="-44"/>
        </w:rPr>
      </w:r>
      <w:r>
        <w:rPr/>
        <w:t>否</w:t>
      </w:r>
    </w:p>
    <w:p>
      <w:pPr>
        <w:pStyle w:val="BodyText"/>
        <w:spacing w:line="316" w:lineRule="auto" w:before="22"/>
        <w:ind w:left="512" w:right="0" w:firstLine="120"/>
        <w:jc w:val="left"/>
        <w:rPr>
          <w:rFonts w:ascii="Times New Roman" w:hAnsi="Times New Roman" w:cs="Times New Roman" w:eastAsia="Times New Roman" w:hint="default"/>
        </w:rPr>
      </w:pPr>
      <w:r>
        <w:rPr>
          <w:rFonts w:ascii="宋体" w:hAnsi="宋体" w:cs="宋体" w:eastAsia="宋体" w:hint="default"/>
          <w:b/>
          <w:bCs/>
        </w:rPr>
        <w:t>（一）公司主营业务</w:t>
      </w:r>
      <w:r>
        <w:rPr>
          <w:rFonts w:ascii="宋体" w:hAnsi="宋体" w:cs="宋体" w:eastAsia="宋体" w:hint="default"/>
          <w:b/>
          <w:bCs/>
          <w:w w:val="100"/>
        </w:rPr>
        <w:t> </w:t>
      </w:r>
      <w:r>
        <w:rPr>
          <w:spacing w:val="-4"/>
        </w:rPr>
        <w:t>公司是国内智慧政务及智慧企业领域的信息化综合服务提供商，主要致力于为政企客户提供集软件开发、系统集成、</w:t>
      </w:r>
      <w:r>
        <w:rPr>
          <w:rFonts w:ascii="Times New Roman" w:hAnsi="Times New Roman" w:cs="Times New Roman" w:eastAsia="Times New Roman" w:hint="default"/>
          <w:spacing w:val="-4"/>
        </w:rPr>
        <w:t>IT</w:t>
      </w:r>
    </w:p>
    <w:p>
      <w:pPr>
        <w:pStyle w:val="BodyText"/>
        <w:spacing w:line="316" w:lineRule="auto"/>
        <w:ind w:right="204"/>
        <w:jc w:val="both"/>
      </w:pPr>
      <w:r>
        <w:rPr>
          <w:spacing w:val="-4"/>
        </w:rPr>
        <w:t>运维等于一体的信息化综合解决方案。公司注重在云计算、大数据等领域的技术研发及产品创新，经过多年的研发投入，已</w:t>
      </w:r>
      <w:r>
        <w:rPr>
          <w:spacing w:val="40"/>
        </w:rPr>
        <w:t> </w:t>
      </w:r>
      <w:r>
        <w:rPr>
          <w:spacing w:val="40"/>
        </w:rPr>
      </w:r>
      <w:r>
        <w:rPr>
          <w:spacing w:val="-4"/>
        </w:rPr>
        <w:t>经形成了集传感器数据采集与集成、基础设施集约化管理、数据资源智能化处理、业务应用敏捷化开发等功能于一体的核心</w:t>
      </w:r>
      <w:r>
        <w:rPr>
          <w:spacing w:val="43"/>
        </w:rPr>
        <w:t> </w:t>
      </w:r>
      <w:r>
        <w:rPr>
          <w:spacing w:val="43"/>
        </w:rPr>
      </w:r>
      <w:r>
        <w:rPr>
          <w:spacing w:val="-4"/>
        </w:rPr>
        <w:t>技术体系及支撑平台，并以此为基础，针对政企客户的不同需求，开发了多类智慧政务及智慧企业解决方案。报告期内，公</w:t>
      </w:r>
      <w:r>
        <w:rPr>
          <w:spacing w:val="40"/>
        </w:rPr>
        <w:t> </w:t>
      </w:r>
      <w:r>
        <w:rPr>
          <w:spacing w:val="40"/>
        </w:rPr>
      </w:r>
      <w:r>
        <w:rPr>
          <w:spacing w:val="-3"/>
        </w:rPr>
        <w:t>司主营业务未发生重大变化。</w:t>
      </w:r>
      <w:r>
        <w:rPr/>
      </w:r>
    </w:p>
    <w:p>
      <w:pPr>
        <w:pStyle w:val="Heading6"/>
        <w:spacing w:line="240" w:lineRule="auto"/>
        <w:ind w:left="632" w:right="0"/>
        <w:jc w:val="left"/>
        <w:rPr>
          <w:b w:val="0"/>
          <w:bCs w:val="0"/>
        </w:rPr>
      </w:pPr>
      <w:r>
        <w:rPr/>
        <w:t>（二）公司主要经营模式</w:t>
      </w:r>
      <w:r>
        <w:rPr>
          <w:b w:val="0"/>
          <w:bCs w:val="0"/>
        </w:rPr>
      </w:r>
    </w:p>
    <w:p>
      <w:pPr>
        <w:pStyle w:val="BodyText"/>
        <w:spacing w:line="300" w:lineRule="auto" w:before="76"/>
        <w:ind w:left="512" w:right="0"/>
        <w:jc w:val="left"/>
      </w:pPr>
      <w:r>
        <w:rPr>
          <w:rFonts w:ascii="Times New Roman" w:hAnsi="Times New Roman" w:cs="Times New Roman" w:eastAsia="Times New Roman" w:hint="default"/>
          <w:b/>
          <w:bCs/>
        </w:rPr>
        <w:t>1</w:t>
      </w:r>
      <w:r>
        <w:rPr>
          <w:rFonts w:ascii="宋体" w:hAnsi="宋体" w:cs="宋体" w:eastAsia="宋体" w:hint="default"/>
          <w:b/>
          <w:bCs/>
        </w:rPr>
        <w:t>、销售模式</w:t>
      </w:r>
      <w:r>
        <w:rPr>
          <w:rFonts w:ascii="宋体" w:hAnsi="宋体" w:cs="宋体" w:eastAsia="宋体" w:hint="default"/>
          <w:b/>
          <w:bCs/>
          <w:spacing w:val="-87"/>
        </w:rPr>
        <w:t> </w:t>
      </w:r>
      <w:r>
        <w:rPr>
          <w:spacing w:val="-4"/>
        </w:rPr>
        <w:t>公司提供信息化综合解决方案的客户主要为政府机关、事业单位及行业大中型企业，采用直销模式能更好满足上述客户</w:t>
      </w:r>
    </w:p>
    <w:p>
      <w:pPr>
        <w:pStyle w:val="BodyText"/>
        <w:spacing w:line="240" w:lineRule="auto" w:before="31"/>
        <w:ind w:right="0"/>
        <w:jc w:val="both"/>
      </w:pPr>
      <w:r>
        <w:rPr>
          <w:spacing w:val="-3"/>
        </w:rPr>
        <w:t>的定制化需求，提供快速响应的客户服务，故而公司销售模式主要以直销模式为主，经销商模式为辅。</w:t>
      </w:r>
    </w:p>
    <w:p>
      <w:pPr>
        <w:pStyle w:val="BodyText"/>
        <w:spacing w:line="300" w:lineRule="auto" w:before="76"/>
        <w:ind w:left="512" w:right="0"/>
        <w:jc w:val="left"/>
      </w:pPr>
      <w:r>
        <w:rPr/>
        <w:t>（</w:t>
      </w:r>
      <w:r>
        <w:rPr>
          <w:rFonts w:ascii="Times New Roman" w:hAnsi="Times New Roman" w:cs="Times New Roman" w:eastAsia="Times New Roman" w:hint="default"/>
        </w:rPr>
        <w:t>1</w:t>
      </w:r>
      <w:r>
        <w:rPr/>
        <w:t>）直销模式</w:t>
      </w:r>
      <w:r>
        <w:rPr>
          <w:spacing w:val="-85"/>
        </w:rPr>
        <w:t> </w:t>
      </w:r>
      <w:r>
        <w:rPr>
          <w:spacing w:val="-85"/>
        </w:rPr>
      </w:r>
      <w:r>
        <w:rPr>
          <w:spacing w:val="-5"/>
          <w:w w:val="101"/>
        </w:rPr>
        <w:t>公司解决方案的销售主要采用直销模式，由公司各事业部及分支机构销售人员按照部门业务定位直接与相应客户进行沟</w:t>
      </w:r>
      <w:r>
        <w:rPr/>
      </w:r>
    </w:p>
    <w:p>
      <w:pPr>
        <w:pStyle w:val="BodyText"/>
        <w:spacing w:line="316" w:lineRule="auto" w:before="31"/>
        <w:ind w:right="204"/>
        <w:jc w:val="both"/>
      </w:pPr>
      <w:r>
        <w:rPr>
          <w:spacing w:val="-4"/>
        </w:rPr>
        <w:t>通，在明确客户需求后，通过参与客户项目公开招标或直接商务洽谈等形式签订销售合同，按照合同内容组织相应的软件开</w:t>
      </w:r>
      <w:r>
        <w:rPr>
          <w:spacing w:val="43"/>
        </w:rPr>
        <w:t> </w:t>
      </w:r>
      <w:r>
        <w:rPr>
          <w:spacing w:val="43"/>
        </w:rPr>
      </w:r>
      <w:r>
        <w:rPr>
          <w:spacing w:val="-5"/>
        </w:rPr>
        <w:t>发、系统集成及运营维护等工作。同时，根据部分项目的实际情况及客户需求，公司也会作为项目分包商或与其他项目参与</w:t>
      </w:r>
      <w:r>
        <w:rPr>
          <w:spacing w:val="3"/>
        </w:rPr>
        <w:t> </w:t>
      </w:r>
      <w:r>
        <w:rPr>
          <w:spacing w:val="3"/>
        </w:rPr>
      </w:r>
      <w:r>
        <w:rPr>
          <w:spacing w:val="-3"/>
        </w:rPr>
        <w:t>方合作向客户提供服务。</w:t>
      </w:r>
      <w:r>
        <w:rPr/>
      </w:r>
    </w:p>
    <w:p>
      <w:pPr>
        <w:pStyle w:val="BodyText"/>
        <w:spacing w:line="300" w:lineRule="auto" w:before="19"/>
        <w:ind w:left="512" w:right="0"/>
        <w:jc w:val="left"/>
      </w:pPr>
      <w:r>
        <w:rPr>
          <w:spacing w:val="-3"/>
        </w:rPr>
        <w:t>（</w:t>
      </w:r>
      <w:r>
        <w:rPr>
          <w:rFonts w:ascii="Times New Roman" w:hAnsi="Times New Roman" w:cs="Times New Roman" w:eastAsia="Times New Roman" w:hint="default"/>
          <w:spacing w:val="-3"/>
        </w:rPr>
        <w:t>2</w:t>
      </w:r>
      <w:r>
        <w:rPr>
          <w:spacing w:val="-3"/>
        </w:rPr>
        <w:t>）经销商模式</w:t>
      </w:r>
      <w:r>
        <w:rPr>
          <w:spacing w:val="-68"/>
        </w:rPr>
        <w:t> </w:t>
      </w:r>
      <w:r>
        <w:rPr>
          <w:spacing w:val="-68"/>
        </w:rPr>
      </w:r>
      <w:r>
        <w:rPr>
          <w:spacing w:val="-5"/>
          <w:w w:val="101"/>
        </w:rPr>
        <w:t>公司机器视觉业务销售采用直销和经销相结合的销售方式，其中浮法玻璃在线检测系统产品主要由公司与代理商签订经</w:t>
      </w:r>
      <w:r>
        <w:rPr/>
      </w:r>
    </w:p>
    <w:p>
      <w:pPr>
        <w:pStyle w:val="BodyText"/>
        <w:spacing w:line="316" w:lineRule="auto" w:before="31"/>
        <w:ind w:right="204"/>
        <w:jc w:val="both"/>
      </w:pPr>
      <w:r>
        <w:rPr>
          <w:spacing w:val="-4"/>
        </w:rPr>
        <w:t>销合同来展开销售，这样既能利用其渠道资源进行产品推广，又能节省公司渠道建设的成本，使公司能将注意力集中于技术</w:t>
      </w:r>
      <w:r>
        <w:rPr>
          <w:spacing w:val="43"/>
        </w:rPr>
        <w:t> </w:t>
      </w:r>
      <w:r>
        <w:rPr>
          <w:spacing w:val="43"/>
        </w:rPr>
      </w:r>
      <w:r>
        <w:rPr/>
        <w:t>研发及应用领域推广。</w:t>
      </w:r>
    </w:p>
    <w:p>
      <w:pPr>
        <w:pStyle w:val="BodyText"/>
        <w:spacing w:line="300" w:lineRule="auto" w:before="18"/>
        <w:ind w:left="512" w:right="0"/>
        <w:jc w:val="left"/>
      </w:pPr>
      <w:r>
        <w:rPr>
          <w:rFonts w:ascii="Times New Roman" w:hAnsi="Times New Roman" w:cs="Times New Roman" w:eastAsia="Times New Roman" w:hint="default"/>
          <w:b/>
          <w:bCs/>
        </w:rPr>
        <w:t>2</w:t>
      </w:r>
      <w:r>
        <w:rPr>
          <w:rFonts w:ascii="宋体" w:hAnsi="宋体" w:cs="宋体" w:eastAsia="宋体" w:hint="default"/>
          <w:b/>
          <w:bCs/>
        </w:rPr>
        <w:t>、采购模式</w:t>
      </w:r>
      <w:r>
        <w:rPr>
          <w:rFonts w:ascii="宋体" w:hAnsi="宋体" w:cs="宋体" w:eastAsia="宋体" w:hint="default"/>
          <w:b/>
          <w:bCs/>
          <w:spacing w:val="-87"/>
        </w:rPr>
        <w:t> </w:t>
      </w:r>
      <w:r>
        <w:rPr>
          <w:spacing w:val="-6"/>
        </w:rPr>
        <w:t>公司采购模式为，各事业部提出采购申请，并提供相关资料，由公司采购部统一负责。公司采购内容主要是以通用软件、</w:t>
      </w:r>
    </w:p>
    <w:p>
      <w:pPr>
        <w:pStyle w:val="BodyText"/>
        <w:spacing w:line="316" w:lineRule="auto" w:before="31"/>
        <w:ind w:left="512" w:right="0" w:hanging="361"/>
        <w:jc w:val="left"/>
      </w:pPr>
      <w:r>
        <w:rPr>
          <w:spacing w:val="-3"/>
        </w:rPr>
        <w:t>硬件为主的商业现货采购，另外还有少量劳务外包采购。</w:t>
      </w:r>
      <w:r>
        <w:rPr>
          <w:spacing w:val="-20"/>
        </w:rPr>
        <w:t> </w:t>
      </w:r>
      <w:r>
        <w:rPr>
          <w:spacing w:val="-20"/>
        </w:rPr>
      </w:r>
      <w:r>
        <w:rPr>
          <w:spacing w:val="-5"/>
        </w:rPr>
        <w:t>公司建立了严格、规范的统一采购管理及审批流程。主要原材料和设备由公司采购部遵循供应商目录管理及质量标准规</w:t>
      </w:r>
      <w:r>
        <w:rPr/>
      </w:r>
    </w:p>
    <w:p>
      <w:pPr>
        <w:pStyle w:val="BodyText"/>
        <w:spacing w:line="316" w:lineRule="auto" w:before="19"/>
        <w:ind w:right="204"/>
        <w:jc w:val="both"/>
      </w:pPr>
      <w:r>
        <w:rPr>
          <w:spacing w:val="-4"/>
        </w:rPr>
        <w:t>定，按各事业部及分公司下单要求进行采购，如通用软件、硬件的采购。其他少量可备货的通用件及运维项目备品备件，如</w:t>
      </w:r>
      <w:r>
        <w:rPr>
          <w:spacing w:val="40"/>
        </w:rPr>
        <w:t> </w:t>
      </w:r>
      <w:r>
        <w:rPr>
          <w:spacing w:val="40"/>
        </w:rPr>
      </w:r>
      <w:r>
        <w:rPr>
          <w:spacing w:val="-3"/>
        </w:rPr>
        <w:t>螺栓螺母、电气元件等由采购部库房依据安全库存的情况直接进行采购。</w:t>
      </w:r>
      <w:r>
        <w:rPr/>
      </w:r>
    </w:p>
    <w:p>
      <w:pPr>
        <w:pStyle w:val="BodyText"/>
        <w:spacing w:line="316" w:lineRule="auto" w:before="19"/>
        <w:ind w:right="118" w:firstLine="360"/>
        <w:jc w:val="both"/>
      </w:pPr>
      <w:r>
        <w:rPr>
          <w:spacing w:val="-5"/>
        </w:rPr>
        <w:t>采购部从生产能力、交货能力、产品性能价格比、付款方式、产品质量、服务提供、企业信誉和质量管理状况等方面对</w:t>
      </w:r>
      <w:r>
        <w:rPr>
          <w:w w:val="101"/>
        </w:rPr>
        <w:t> </w:t>
      </w:r>
      <w:r>
        <w:rPr>
          <w:spacing w:val="-4"/>
          <w:w w:val="101"/>
        </w:rPr>
        <w:t>供应商进行评价，建立《合格供方名单》。同时，为对供方进行有效控制以及确保被选供方的产品和服务质量，每年会对供</w:t>
      </w:r>
      <w:r>
        <w:rPr>
          <w:w w:val="101"/>
        </w:rPr>
        <w:t> </w:t>
      </w:r>
      <w:r>
        <w:rPr>
          <w:spacing w:val="-6"/>
        </w:rPr>
        <w:t>方进行一次全面评价，对《合格供方名单》进行调整。采购人员根据采购任务从《合格供方名单》中择优选定供方进行采购。</w:t>
      </w:r>
    </w:p>
    <w:p>
      <w:pPr>
        <w:pStyle w:val="BodyText"/>
        <w:spacing w:line="316" w:lineRule="auto" w:before="19"/>
        <w:ind w:right="204" w:firstLine="360"/>
        <w:jc w:val="both"/>
      </w:pPr>
      <w:r>
        <w:rPr>
          <w:spacing w:val="-5"/>
        </w:rPr>
        <w:t>为对采购过程进行有效的控制，规范对外部供应商的管理，确保采购的产品符合规定的要求，公司制定《采购控制程序</w:t>
      </w:r>
      <w:r>
        <w:rPr>
          <w:w w:val="101"/>
        </w:rPr>
        <w:t> </w:t>
      </w:r>
      <w:r>
        <w:rPr>
          <w:spacing w:val="-3"/>
        </w:rPr>
        <w:t>文件》用于规范公司的采购管理。</w:t>
      </w:r>
      <w:r>
        <w:rPr/>
      </w:r>
    </w:p>
    <w:p>
      <w:pPr>
        <w:pStyle w:val="BodyText"/>
        <w:spacing w:line="300" w:lineRule="auto" w:before="18"/>
        <w:ind w:left="512" w:right="0" w:firstLine="120"/>
        <w:jc w:val="left"/>
      </w:pPr>
      <w:r>
        <w:rPr>
          <w:rFonts w:ascii="Times New Roman" w:hAnsi="Times New Roman" w:cs="Times New Roman" w:eastAsia="Times New Roman" w:hint="default"/>
          <w:b/>
          <w:bCs/>
        </w:rPr>
        <w:t>3</w:t>
      </w:r>
      <w:r>
        <w:rPr>
          <w:rFonts w:ascii="宋体" w:hAnsi="宋体" w:cs="宋体" w:eastAsia="宋体" w:hint="default"/>
          <w:b/>
          <w:bCs/>
        </w:rPr>
        <w:t>、生产模式</w:t>
      </w:r>
      <w:r>
        <w:rPr>
          <w:rFonts w:ascii="宋体" w:hAnsi="宋体" w:cs="宋体" w:eastAsia="宋体" w:hint="default"/>
          <w:b/>
          <w:bCs/>
          <w:w w:val="100"/>
        </w:rPr>
        <w:t> </w:t>
      </w:r>
      <w:r>
        <w:rPr>
          <w:spacing w:val="-5"/>
        </w:rPr>
        <w:t>公司主要采用</w:t>
      </w:r>
      <w:r>
        <w:rPr>
          <w:rFonts w:ascii="宋体" w:hAnsi="宋体" w:cs="宋体" w:eastAsia="宋体" w:hint="default"/>
          <w:spacing w:val="-5"/>
        </w:rPr>
        <w:t>“</w:t>
      </w:r>
      <w:r>
        <w:rPr>
          <w:spacing w:val="-5"/>
        </w:rPr>
        <w:t>以销定产</w:t>
      </w:r>
      <w:r>
        <w:rPr>
          <w:rFonts w:ascii="宋体" w:hAnsi="宋体" w:cs="宋体" w:eastAsia="宋体" w:hint="default"/>
          <w:spacing w:val="-5"/>
        </w:rPr>
        <w:t>”</w:t>
      </w:r>
      <w:r>
        <w:rPr>
          <w:spacing w:val="-5"/>
        </w:rPr>
        <w:t>的生产模式。由于客户的需求存在差异性，公司对项目合同的运作分为售前、实施及运维三</w:t>
      </w:r>
    </w:p>
    <w:p>
      <w:pPr>
        <w:pStyle w:val="BodyText"/>
        <w:spacing w:line="316" w:lineRule="auto" w:before="31"/>
        <w:ind w:left="512" w:right="0" w:hanging="361"/>
        <w:jc w:val="left"/>
      </w:pPr>
      <w:r>
        <w:rPr>
          <w:spacing w:val="-3"/>
        </w:rPr>
        <w:t>个阶段。其主要流程如下：</w:t>
      </w:r>
      <w:r>
        <w:rPr>
          <w:spacing w:val="-51"/>
        </w:rPr>
        <w:t> </w:t>
      </w:r>
      <w:r>
        <w:rPr>
          <w:spacing w:val="-51"/>
        </w:rPr>
      </w:r>
      <w:r>
        <w:rPr>
          <w:spacing w:val="-5"/>
        </w:rPr>
        <w:t>售前阶段：该阶段主要有三部分内容，第一部分是对客户的售前咨询工作；第二部分是根据需求给出建议方案，并得到</w:t>
      </w:r>
    </w:p>
    <w:p>
      <w:pPr>
        <w:pStyle w:val="BodyText"/>
        <w:spacing w:line="316" w:lineRule="auto" w:before="19"/>
        <w:ind w:right="204"/>
        <w:jc w:val="both"/>
      </w:pPr>
      <w:r>
        <w:rPr>
          <w:spacing w:val="-4"/>
        </w:rPr>
        <w:t>客户的认可和确认；第三部分是意向的延续，根据相关规定或客户需求，选择直接签订合同或采用招投标方式，在招投标中</w:t>
      </w:r>
      <w:r>
        <w:rPr>
          <w:spacing w:val="40"/>
        </w:rPr>
        <w:t> </w:t>
      </w:r>
      <w:r>
        <w:rPr>
          <w:spacing w:val="40"/>
        </w:rPr>
      </w:r>
      <w:r>
        <w:rPr>
          <w:spacing w:val="-3"/>
        </w:rPr>
        <w:t>标后签订合同。</w:t>
      </w:r>
      <w:r>
        <w:rPr/>
      </w:r>
    </w:p>
    <w:p>
      <w:pPr>
        <w:spacing w:after="0" w:line="316" w:lineRule="auto"/>
        <w:jc w:val="both"/>
        <w:sectPr>
          <w:pgSz w:w="11910" w:h="16840"/>
          <w:pgMar w:header="784" w:footer="1027" w:top="1100" w:bottom="1220" w:left="980" w:right="920"/>
        </w:sectPr>
      </w:pPr>
    </w:p>
    <w:p>
      <w:pPr>
        <w:spacing w:line="240" w:lineRule="auto" w:before="10"/>
        <w:rPr>
          <w:rFonts w:ascii="宋体" w:hAnsi="宋体" w:cs="宋体" w:eastAsia="宋体" w:hint="default"/>
          <w:sz w:val="22"/>
          <w:szCs w:val="22"/>
        </w:rPr>
      </w:pPr>
    </w:p>
    <w:p>
      <w:pPr>
        <w:pStyle w:val="BodyText"/>
        <w:spacing w:line="316" w:lineRule="auto" w:before="46"/>
        <w:ind w:right="144" w:firstLine="360"/>
        <w:jc w:val="both"/>
      </w:pPr>
      <w:r>
        <w:rPr>
          <w:spacing w:val="-4"/>
        </w:rPr>
        <w:t>实施阶段：该阶段工作主要分为五个部分，第一部分是对用户的详细需求进行挖掘分析；第二部分是根据详细的需求分</w:t>
      </w:r>
      <w:r>
        <w:rPr>
          <w:w w:val="101"/>
        </w:rPr>
        <w:t> </w:t>
      </w:r>
      <w:r>
        <w:rPr>
          <w:spacing w:val="-4"/>
        </w:rPr>
        <w:t>析形成详细的设计方案，经过与客户反复沟通完善并得到客户的确认；第三部分如客户有定制化软件开发需求，根据前期设</w:t>
      </w:r>
      <w:r>
        <w:rPr>
          <w:spacing w:val="43"/>
        </w:rPr>
        <w:t> </w:t>
      </w:r>
      <w:r>
        <w:rPr>
          <w:spacing w:val="43"/>
        </w:rPr>
      </w:r>
      <w:r>
        <w:rPr>
          <w:spacing w:val="-5"/>
        </w:rPr>
        <w:t>计方案，在公司核心技术支撑平台的基础上，进行二次开发和测试；第四部分是将自产软件与外购软、硬件进行集成，安装</w:t>
      </w:r>
      <w:r>
        <w:rPr>
          <w:spacing w:val="4"/>
        </w:rPr>
        <w:t> </w:t>
      </w:r>
      <w:r>
        <w:rPr>
          <w:spacing w:val="4"/>
        </w:rPr>
      </w:r>
      <w:r>
        <w:rPr>
          <w:spacing w:val="-4"/>
        </w:rPr>
        <w:t>部署并测试后上线试运行；第五部分是进行系统验收，初验结束后根据实际实验的反馈进行再次优化调整，在合同期限之前</w:t>
      </w:r>
      <w:r>
        <w:rPr>
          <w:spacing w:val="43"/>
        </w:rPr>
        <w:t> </w:t>
      </w:r>
      <w:r>
        <w:rPr>
          <w:spacing w:val="43"/>
        </w:rPr>
      </w:r>
      <w:r>
        <w:rPr>
          <w:spacing w:val="-3"/>
        </w:rPr>
        <w:t>进行系统的最终验收，也意味着项目的结束。</w:t>
      </w:r>
    </w:p>
    <w:p>
      <w:pPr>
        <w:pStyle w:val="BodyText"/>
        <w:spacing w:line="316" w:lineRule="auto" w:before="19"/>
        <w:ind w:right="144" w:firstLine="360"/>
        <w:jc w:val="both"/>
      </w:pPr>
      <w:r>
        <w:rPr>
          <w:spacing w:val="-5"/>
        </w:rPr>
        <w:t>运维阶段：运维阶段一般为项目的售后阶段。该阶段公司提供的软、硬件系统已经处于正式的上线运行阶段。该阶段工</w:t>
      </w:r>
      <w:r>
        <w:rPr>
          <w:w w:val="101"/>
        </w:rPr>
        <w:t> </w:t>
      </w:r>
      <w:r>
        <w:rPr>
          <w:spacing w:val="-4"/>
        </w:rPr>
        <w:t>作主要有以下几个部分：第一部分是对维护期内运行的软、硬件系统进行系统维护、故障排除等；第二部分是对客户进行定</w:t>
      </w:r>
      <w:r>
        <w:rPr>
          <w:spacing w:val="40"/>
        </w:rPr>
        <w:t> </w:t>
      </w:r>
      <w:r>
        <w:rPr>
          <w:spacing w:val="40"/>
        </w:rPr>
      </w:r>
      <w:r>
        <w:rPr>
          <w:spacing w:val="-3"/>
        </w:rPr>
        <w:t>期回访，及时反馈客户提出的问题，并对客户新的需求提出合理的建议或解决方案。</w:t>
      </w:r>
    </w:p>
    <w:p>
      <w:pPr>
        <w:pStyle w:val="BodyText"/>
        <w:spacing w:line="316" w:lineRule="auto" w:before="19"/>
        <w:ind w:right="144" w:firstLine="360"/>
        <w:jc w:val="both"/>
      </w:pPr>
      <w:r>
        <w:rPr>
          <w:spacing w:val="-5"/>
        </w:rPr>
        <w:t>公司经营模式主要受产业链上下游发展情况、公司技术与服务能力、主要客户行业政策等因素的影响，报告期内，影响</w:t>
      </w:r>
      <w:r>
        <w:rPr>
          <w:w w:val="101"/>
        </w:rPr>
        <w:t> </w:t>
      </w:r>
      <w:r>
        <w:rPr>
          <w:spacing w:val="-3"/>
        </w:rPr>
        <w:t>公司运营模式的关键影响因素未发生重大变化，预计未来一定期间公司经营模式不会发生重大变化。</w:t>
      </w:r>
      <w:r>
        <w:rPr/>
      </w:r>
    </w:p>
    <w:p>
      <w:pPr>
        <w:pStyle w:val="Heading6"/>
        <w:spacing w:line="300" w:lineRule="auto"/>
        <w:ind w:right="6689" w:firstLine="12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公司所处行业分析</w:t>
      </w:r>
      <w:r>
        <w:rPr>
          <w:w w:val="100"/>
        </w:rPr>
        <w:t> </w:t>
      </w:r>
      <w:r>
        <w:rPr>
          <w:rFonts w:ascii="Times New Roman" w:hAnsi="Times New Roman" w:cs="Times New Roman" w:eastAsia="Times New Roman" w:hint="default"/>
          <w:spacing w:val="-2"/>
        </w:rPr>
        <w:t>1</w:t>
      </w:r>
      <w:r>
        <w:rPr>
          <w:spacing w:val="-2"/>
        </w:rPr>
        <w:t>、行业竞争格局和市场化程度</w:t>
      </w:r>
      <w:r>
        <w:rPr>
          <w:b w:val="0"/>
          <w:bCs w:val="0"/>
          <w:spacing w:val="-2"/>
        </w:rPr>
      </w:r>
    </w:p>
    <w:p>
      <w:pPr>
        <w:pStyle w:val="BodyText"/>
        <w:spacing w:line="316" w:lineRule="auto" w:before="13"/>
        <w:ind w:right="154" w:firstLine="360"/>
        <w:jc w:val="both"/>
      </w:pPr>
      <w:r>
        <w:rPr>
          <w:spacing w:val="-5"/>
          <w:w w:val="101"/>
        </w:rPr>
        <w:t>公司所处行业为</w:t>
      </w:r>
      <w:r>
        <w:rPr>
          <w:rFonts w:ascii="宋体" w:hAnsi="宋体" w:cs="宋体" w:eastAsia="宋体" w:hint="default"/>
          <w:spacing w:val="-5"/>
          <w:w w:val="101"/>
        </w:rPr>
        <w:t>“</w:t>
      </w:r>
      <w:r>
        <w:rPr>
          <w:spacing w:val="-5"/>
          <w:w w:val="101"/>
        </w:rPr>
        <w:t>软件和信息技术服务业</w:t>
      </w:r>
      <w:r>
        <w:rPr>
          <w:rFonts w:ascii="宋体" w:hAnsi="宋体" w:cs="宋体" w:eastAsia="宋体" w:hint="default"/>
          <w:spacing w:val="-5"/>
          <w:w w:val="101"/>
        </w:rPr>
        <w:t>”</w:t>
      </w:r>
      <w:r>
        <w:rPr>
          <w:spacing w:val="-5"/>
          <w:w w:val="101"/>
        </w:rPr>
        <w:t>。我国软件产业经过多年的培育，已进入快速成长期，产业规模迅速扩大， </w:t>
      </w:r>
      <w:r>
        <w:rPr>
          <w:spacing w:val="-3"/>
        </w:rPr>
        <w:t>技术水平快速提高，骨干企业不断成长，产业体系初步建立。</w:t>
      </w:r>
      <w:r>
        <w:rPr/>
      </w:r>
    </w:p>
    <w:p>
      <w:pPr>
        <w:pStyle w:val="BodyText"/>
        <w:spacing w:line="300" w:lineRule="auto" w:before="19"/>
        <w:ind w:right="145" w:firstLine="360"/>
        <w:jc w:val="both"/>
      </w:pPr>
      <w:r>
        <w:rPr>
          <w:spacing w:val="-4"/>
        </w:rPr>
        <w:t>根据工信部最新统计数据，近年来我国软件产业一直保持增长态势，年均增长率基本在</w:t>
      </w:r>
      <w:r>
        <w:rPr>
          <w:rFonts w:ascii="Times New Roman" w:hAnsi="Times New Roman" w:cs="Times New Roman" w:eastAsia="Times New Roman" w:hint="default"/>
          <w:spacing w:val="-4"/>
        </w:rPr>
        <w:t>13%</w:t>
      </w:r>
      <w:r>
        <w:rPr>
          <w:spacing w:val="-4"/>
        </w:rPr>
        <w:t>以上，</w:t>
      </w:r>
      <w:r>
        <w:rPr>
          <w:rFonts w:ascii="Times New Roman" w:hAnsi="Times New Roman" w:cs="Times New Roman" w:eastAsia="Times New Roman" w:hint="default"/>
          <w:spacing w:val="-4"/>
        </w:rPr>
        <w:t>2017</w:t>
      </w:r>
      <w:r>
        <w:rPr>
          <w:spacing w:val="-4"/>
        </w:rPr>
        <w:t>年我国规模以上</w:t>
      </w:r>
      <w:r>
        <w:rPr>
          <w:w w:val="101"/>
        </w:rPr>
        <w:t> </w:t>
      </w:r>
      <w:r>
        <w:rPr>
          <w:spacing w:val="-1"/>
        </w:rPr>
        <w:t>软件企业个数</w:t>
      </w:r>
      <w:r>
        <w:rPr>
          <w:rFonts w:ascii="Times New Roman" w:hAnsi="Times New Roman" w:cs="Times New Roman" w:eastAsia="Times New Roman" w:hint="default"/>
          <w:spacing w:val="-1"/>
        </w:rPr>
        <w:t>3.58</w:t>
      </w:r>
      <w:r>
        <w:rPr>
          <w:spacing w:val="-1"/>
        </w:rPr>
        <w:t>万家，我国软件和信息技术服务业继续呈现稳中向好的运行态势。</w:t>
      </w:r>
      <w:r>
        <w:rPr>
          <w:rFonts w:ascii="Times New Roman" w:hAnsi="Times New Roman" w:cs="Times New Roman" w:eastAsia="Times New Roman" w:hint="default"/>
          <w:spacing w:val="-1"/>
        </w:rPr>
        <w:t>2011-2017</w:t>
      </w:r>
      <w:r>
        <w:rPr>
          <w:spacing w:val="-1"/>
        </w:rPr>
        <w:t>年我国软件产业收入增长情</w:t>
      </w:r>
      <w:r>
        <w:rPr>
          <w:spacing w:val="54"/>
        </w:rPr>
        <w:t> </w:t>
      </w:r>
      <w:r>
        <w:rPr>
          <w:spacing w:val="54"/>
        </w:rPr>
      </w:r>
      <w:r>
        <w:rPr>
          <w:spacing w:val="-3"/>
        </w:rPr>
        <w:t>况如下图：</w:t>
      </w:r>
      <w:r>
        <w:rPr/>
      </w:r>
    </w:p>
    <w:p>
      <w:pPr>
        <w:spacing w:line="240" w:lineRule="auto" w:before="9"/>
        <w:rPr>
          <w:rFonts w:ascii="宋体" w:hAnsi="宋体" w:cs="宋体" w:eastAsia="宋体" w:hint="default"/>
          <w:sz w:val="11"/>
          <w:szCs w:val="11"/>
        </w:rPr>
      </w:pPr>
    </w:p>
    <w:p>
      <w:pPr>
        <w:spacing w:line="4425" w:lineRule="exact"/>
        <w:ind w:left="160"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5629276" cy="28098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5629276" cy="2809875"/>
                    </a:xfrm>
                    <a:prstGeom prst="rect">
                      <a:avLst/>
                    </a:prstGeom>
                  </pic:spPr>
                </pic:pic>
              </a:graphicData>
            </a:graphic>
          </wp:inline>
        </w:drawing>
      </w:r>
      <w:r>
        <w:rPr>
          <w:rFonts w:ascii="宋体" w:hAnsi="宋体" w:cs="宋体" w:eastAsia="宋体" w:hint="default"/>
          <w:position w:val="-88"/>
          <w:sz w:val="20"/>
          <w:szCs w:val="20"/>
        </w:rPr>
      </w:r>
    </w:p>
    <w:p>
      <w:pPr>
        <w:spacing w:before="114"/>
        <w:ind w:left="752" w:right="0" w:firstLine="0"/>
        <w:jc w:val="left"/>
        <w:rPr>
          <w:rFonts w:ascii="宋体" w:hAnsi="宋体" w:cs="宋体" w:eastAsia="宋体" w:hint="default"/>
          <w:sz w:val="20"/>
          <w:szCs w:val="20"/>
        </w:rPr>
      </w:pPr>
      <w:r>
        <w:rPr>
          <w:rFonts w:ascii="宋体" w:hAnsi="宋体" w:cs="宋体" w:eastAsia="宋体" w:hint="default"/>
          <w:sz w:val="20"/>
          <w:szCs w:val="20"/>
        </w:rPr>
        <w:t>数据来源：工业和信息化部《</w:t>
      </w:r>
      <w:r>
        <w:rPr>
          <w:rFonts w:ascii="宋体" w:hAnsi="宋体" w:cs="宋体" w:eastAsia="宋体" w:hint="default"/>
          <w:sz w:val="20"/>
          <w:szCs w:val="20"/>
        </w:rPr>
        <w:t>201</w:t>
      </w:r>
      <w:r>
        <w:rPr>
          <w:rFonts w:ascii="Times New Roman" w:hAnsi="Times New Roman" w:cs="Times New Roman" w:eastAsia="Times New Roman" w:hint="default"/>
          <w:sz w:val="20"/>
          <w:szCs w:val="20"/>
        </w:rPr>
        <w:t>7</w:t>
      </w:r>
      <w:r>
        <w:rPr>
          <w:rFonts w:ascii="宋体" w:hAnsi="宋体" w:cs="宋体" w:eastAsia="宋体" w:hint="default"/>
          <w:sz w:val="20"/>
          <w:szCs w:val="20"/>
        </w:rPr>
        <w:t>年</w:t>
      </w:r>
      <w:r>
        <w:rPr>
          <w:rFonts w:ascii="宋体" w:hAnsi="宋体" w:cs="宋体" w:eastAsia="宋体" w:hint="default"/>
          <w:sz w:val="20"/>
          <w:szCs w:val="20"/>
        </w:rPr>
        <w:t>1-12</w:t>
      </w:r>
      <w:r>
        <w:rPr>
          <w:rFonts w:ascii="宋体" w:hAnsi="宋体" w:cs="宋体" w:eastAsia="宋体" w:hint="default"/>
          <w:sz w:val="20"/>
          <w:szCs w:val="20"/>
        </w:rPr>
        <w:t>月全国软件和信息技术服务业主要指标快报表》</w:t>
      </w:r>
    </w:p>
    <w:p>
      <w:pPr>
        <w:pStyle w:val="Heading6"/>
        <w:spacing w:line="240" w:lineRule="auto" w:before="53"/>
        <w:ind w:left="555" w:right="0"/>
        <w:jc w:val="left"/>
        <w:rPr>
          <w:b w:val="0"/>
          <w:bCs w:val="0"/>
        </w:rPr>
      </w:pPr>
      <w:r>
        <w:rPr>
          <w:rFonts w:ascii="Times New Roman" w:hAnsi="Times New Roman" w:cs="Times New Roman" w:eastAsia="Times New Roman" w:hint="default"/>
        </w:rPr>
        <w:t>2</w:t>
      </w:r>
      <w:r>
        <w:rPr/>
        <w:t>、行业的周期性、区域性和季节性特点</w:t>
      </w:r>
      <w:r>
        <w:rPr>
          <w:b w:val="0"/>
          <w:bCs w:val="0"/>
        </w:rPr>
      </w:r>
    </w:p>
    <w:p>
      <w:pPr>
        <w:pStyle w:val="BodyText"/>
        <w:spacing w:line="240" w:lineRule="auto" w:before="63"/>
        <w:ind w:left="632" w:right="0"/>
        <w:jc w:val="left"/>
      </w:pPr>
      <w:r>
        <w:rPr>
          <w:spacing w:val="-3"/>
        </w:rPr>
        <w:t>（</w:t>
      </w:r>
      <w:r>
        <w:rPr>
          <w:rFonts w:ascii="Times New Roman" w:hAnsi="Times New Roman" w:cs="Times New Roman" w:eastAsia="Times New Roman" w:hint="default"/>
          <w:spacing w:val="-3"/>
        </w:rPr>
        <w:t>1</w:t>
      </w:r>
      <w:r>
        <w:rPr>
          <w:spacing w:val="-3"/>
        </w:rPr>
        <w:t>）周期性特征</w:t>
      </w:r>
      <w:r>
        <w:rPr/>
      </w:r>
    </w:p>
    <w:p>
      <w:pPr>
        <w:pStyle w:val="BodyText"/>
        <w:spacing w:line="316" w:lineRule="auto" w:before="63"/>
        <w:ind w:right="144" w:firstLine="360"/>
        <w:jc w:val="both"/>
      </w:pPr>
      <w:r>
        <w:rPr>
          <w:spacing w:val="-4"/>
        </w:rPr>
        <w:t>随着新一代信息技术体系化创新并与应用领域的加速融合，我国信息化建设正向互联网化、移动化、智慧化方向加速演</w:t>
      </w:r>
      <w:r>
        <w:rPr>
          <w:w w:val="101"/>
        </w:rPr>
        <w:t> </w:t>
      </w:r>
      <w:r>
        <w:rPr>
          <w:spacing w:val="-4"/>
        </w:rPr>
        <w:t>进。公司所处的软件与信息技术服务业作为我国信息化建设的主导力量，受益于一系列国家鼓励与支持政策，具备广阔的市</w:t>
      </w:r>
      <w:r>
        <w:rPr>
          <w:spacing w:val="43"/>
        </w:rPr>
        <w:t> </w:t>
      </w:r>
      <w:r>
        <w:rPr>
          <w:spacing w:val="43"/>
        </w:rPr>
      </w:r>
      <w:r>
        <w:rPr>
          <w:spacing w:val="-3"/>
        </w:rPr>
        <w:t>场发展空间，具有较强的抗周期性特征。</w:t>
      </w:r>
    </w:p>
    <w:p>
      <w:pPr>
        <w:pStyle w:val="BodyText"/>
        <w:spacing w:line="300" w:lineRule="auto" w:before="19"/>
        <w:ind w:left="512" w:right="0" w:firstLine="120"/>
        <w:jc w:val="left"/>
      </w:pPr>
      <w:r>
        <w:rPr>
          <w:spacing w:val="-3"/>
        </w:rPr>
        <w:t>（</w:t>
      </w:r>
      <w:r>
        <w:rPr>
          <w:rFonts w:ascii="Times New Roman" w:hAnsi="Times New Roman" w:cs="Times New Roman" w:eastAsia="Times New Roman" w:hint="default"/>
          <w:spacing w:val="-3"/>
        </w:rPr>
        <w:t>2</w:t>
      </w:r>
      <w:r>
        <w:rPr>
          <w:spacing w:val="-3"/>
        </w:rPr>
        <w:t>）区域性特征</w:t>
      </w:r>
      <w:r>
        <w:rPr>
          <w:spacing w:val="-5"/>
          <w:w w:val="101"/>
        </w:rPr>
        <w:t> </w:t>
      </w:r>
      <w:r>
        <w:rPr>
          <w:spacing w:val="-5"/>
        </w:rPr>
        <w:t>我国信息化建设总体呈现出地区发展不平衡的现状：东部地区发展较好，中部其次，西部地区建设水平最末，但随着国</w:t>
      </w:r>
    </w:p>
    <w:p>
      <w:pPr>
        <w:pStyle w:val="BodyText"/>
        <w:spacing w:line="316" w:lineRule="auto" w:before="31"/>
        <w:ind w:right="0"/>
        <w:jc w:val="left"/>
      </w:pPr>
      <w:r>
        <w:rPr>
          <w:spacing w:val="-4"/>
        </w:rPr>
        <w:t>家大力支持西部地区开发建设，加大了对西部地区的财政转移支付力度，促使西部地区网络基础设施建设和信息通信技术应</w:t>
      </w:r>
      <w:r>
        <w:rPr>
          <w:spacing w:val="43"/>
        </w:rPr>
        <w:t> </w:t>
      </w:r>
      <w:r>
        <w:rPr>
          <w:spacing w:val="43"/>
        </w:rPr>
      </w:r>
      <w:r>
        <w:rPr>
          <w:spacing w:val="-3"/>
        </w:rPr>
        <w:t>用大幅提升，中西部地区信息化产业发展较快，与东部地区差距正在逐渐缩小。</w:t>
      </w:r>
    </w:p>
    <w:p>
      <w:pPr>
        <w:pStyle w:val="BodyText"/>
        <w:spacing w:line="300" w:lineRule="auto" w:before="19"/>
        <w:ind w:left="512" w:right="0" w:firstLine="120"/>
        <w:jc w:val="left"/>
      </w:pPr>
      <w:r>
        <w:rPr>
          <w:spacing w:val="-3"/>
        </w:rPr>
        <w:t>（</w:t>
      </w:r>
      <w:r>
        <w:rPr>
          <w:rFonts w:ascii="Times New Roman" w:hAnsi="Times New Roman" w:cs="Times New Roman" w:eastAsia="Times New Roman" w:hint="default"/>
          <w:spacing w:val="-3"/>
        </w:rPr>
        <w:t>3</w:t>
      </w:r>
      <w:r>
        <w:rPr>
          <w:spacing w:val="-3"/>
        </w:rPr>
        <w:t>）季节性特征</w:t>
      </w:r>
      <w:r>
        <w:rPr>
          <w:spacing w:val="-5"/>
          <w:w w:val="101"/>
        </w:rPr>
        <w:t> </w:t>
      </w:r>
      <w:r>
        <w:rPr>
          <w:spacing w:val="-4"/>
        </w:rPr>
        <w:t>目前我国智慧政务及智慧企业领域信息化建设仍以政府机关、事业单位及大中型国有企业为主导，该部分政企客户通常</w:t>
      </w:r>
    </w:p>
    <w:p>
      <w:pPr>
        <w:spacing w:after="0" w:line="300" w:lineRule="auto"/>
        <w:jc w:val="left"/>
        <w:sectPr>
          <w:pgSz w:w="11910" w:h="16840"/>
          <w:pgMar w:header="784" w:footer="1027" w:top="1100" w:bottom="1220" w:left="980" w:right="98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3"/>
        </w:rPr>
        <w:t>实行预算管理及集中采购制度，采购招标及结算具有明显的季节性特征。</w:t>
      </w:r>
      <w:r>
        <w:rPr/>
      </w:r>
    </w:p>
    <w:p>
      <w:pPr>
        <w:pStyle w:val="Heading6"/>
        <w:spacing w:line="240" w:lineRule="auto" w:before="76"/>
        <w:ind w:left="632" w:right="0"/>
        <w:jc w:val="left"/>
        <w:rPr>
          <w:b w:val="0"/>
          <w:bCs w:val="0"/>
        </w:rPr>
      </w:pPr>
      <w:r>
        <w:rPr>
          <w:rFonts w:ascii="Times New Roman" w:hAnsi="Times New Roman" w:cs="Times New Roman" w:eastAsia="Times New Roman" w:hint="default"/>
        </w:rPr>
        <w:t>3</w:t>
      </w:r>
      <w:r>
        <w:rPr/>
        <w:t>、公司行业竞争地位</w:t>
      </w:r>
      <w:r>
        <w:rPr>
          <w:b w:val="0"/>
          <w:bCs w:val="0"/>
        </w:rPr>
      </w:r>
    </w:p>
    <w:p>
      <w:pPr>
        <w:pStyle w:val="BodyText"/>
        <w:spacing w:line="240" w:lineRule="auto" w:before="63"/>
        <w:ind w:left="632" w:right="0"/>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   </w:t>
      </w:r>
      <w:r>
        <w:rPr>
          <w:spacing w:val="-3"/>
        </w:rPr>
        <w:t>年和</w:t>
      </w:r>
      <w:r>
        <w:rPr>
          <w:spacing w:val="16"/>
        </w:rPr>
        <w:t> </w:t>
      </w:r>
      <w:r>
        <w:rPr>
          <w:rFonts w:ascii="Times New Roman" w:hAnsi="Times New Roman" w:cs="Times New Roman" w:eastAsia="Times New Roman" w:hint="default"/>
          <w:spacing w:val="-3"/>
        </w:rPr>
        <w:t>2017</w:t>
      </w:r>
      <w:r>
        <w:rPr>
          <w:spacing w:val="-3"/>
        </w:rPr>
        <w:t>年，我国软件行业规模以上企业个数、实现收入及利润情况如下：</w:t>
      </w:r>
    </w:p>
    <w:p>
      <w:pPr>
        <w:spacing w:line="240" w:lineRule="auto" w:before="11"/>
        <w:rPr>
          <w:rFonts w:ascii="宋体" w:hAnsi="宋体" w:cs="宋体" w:eastAsia="宋体" w:hint="default"/>
          <w:sz w:val="27"/>
          <w:szCs w:val="27"/>
        </w:rPr>
      </w:pPr>
    </w:p>
    <w:tbl>
      <w:tblPr>
        <w:tblW w:w="0" w:type="auto"/>
        <w:jc w:val="left"/>
        <w:tblInd w:w="661" w:type="dxa"/>
        <w:tblLayout w:type="fixed"/>
        <w:tblCellMar>
          <w:top w:w="0" w:type="dxa"/>
          <w:left w:w="0" w:type="dxa"/>
          <w:bottom w:w="0" w:type="dxa"/>
          <w:right w:w="0" w:type="dxa"/>
        </w:tblCellMar>
        <w:tblLook w:val="01E0"/>
      </w:tblPr>
      <w:tblGrid>
        <w:gridCol w:w="2093"/>
        <w:gridCol w:w="629"/>
        <w:gridCol w:w="1075"/>
        <w:gridCol w:w="893"/>
        <w:gridCol w:w="1056"/>
        <w:gridCol w:w="850"/>
        <w:gridCol w:w="1090"/>
        <w:gridCol w:w="912"/>
      </w:tblGrid>
      <w:tr>
        <w:trPr>
          <w:trHeight w:val="403" w:hRule="exact"/>
        </w:trPr>
        <w:tc>
          <w:tcPr>
            <w:tcW w:w="209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b/>
                <w:bCs/>
                <w:sz w:val="18"/>
                <w:szCs w:val="18"/>
              </w:rPr>
              <w:t>指标名称</w:t>
            </w:r>
            <w:r>
              <w:rPr>
                <w:rFonts w:ascii="宋体" w:hAnsi="宋体" w:cs="宋体" w:eastAsia="宋体" w:hint="default"/>
                <w:sz w:val="18"/>
                <w:szCs w:val="18"/>
              </w:rPr>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c>
        <w:tc>
          <w:tcPr>
            <w:tcW w:w="1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00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710" w:hRule="exact"/>
        </w:trPr>
        <w:tc>
          <w:tcPr>
            <w:tcW w:w="2093" w:type="dxa"/>
            <w:vMerge/>
            <w:tcBorders>
              <w:left w:val="nil" w:sz="6" w:space="0" w:color="auto"/>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完成</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01" w:right="161" w:hanging="29"/>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同比增</w:t>
            </w:r>
            <w:r>
              <w:rPr>
                <w:rFonts w:ascii="宋体" w:hAnsi="宋体" w:cs="宋体" w:eastAsia="宋体" w:hint="default"/>
                <w:b/>
                <w:bCs/>
                <w:spacing w:val="-86"/>
                <w:sz w:val="18"/>
                <w:szCs w:val="18"/>
              </w:rPr>
              <w:t> </w:t>
            </w:r>
            <w:r>
              <w:rPr>
                <w:rFonts w:ascii="宋体" w:hAnsi="宋体" w:cs="宋体" w:eastAsia="宋体" w:hint="default"/>
                <w:b/>
                <w:bCs/>
                <w:sz w:val="18"/>
                <w:szCs w:val="18"/>
              </w:rPr>
              <w:t>速</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完成</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77" w:right="143" w:hanging="29"/>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同比增</w:t>
            </w:r>
            <w:r>
              <w:rPr>
                <w:rFonts w:ascii="宋体" w:hAnsi="宋体" w:cs="宋体" w:eastAsia="宋体" w:hint="default"/>
                <w:b/>
                <w:bCs/>
                <w:spacing w:val="-86"/>
                <w:sz w:val="18"/>
                <w:szCs w:val="18"/>
              </w:rPr>
              <w:t> </w:t>
            </w:r>
            <w:r>
              <w:rPr>
                <w:rFonts w:ascii="宋体" w:hAnsi="宋体" w:cs="宋体" w:eastAsia="宋体" w:hint="default"/>
                <w:b/>
                <w:bCs/>
                <w:sz w:val="18"/>
                <w:szCs w:val="18"/>
              </w:rPr>
              <w:t>速</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b/>
                <w:bCs/>
                <w:sz w:val="18"/>
                <w:szCs w:val="18"/>
              </w:rPr>
              <w:t>完成</w:t>
            </w:r>
            <w:r>
              <w:rPr>
                <w:rFonts w:ascii="宋体" w:hAnsi="宋体" w:cs="宋体" w:eastAsia="宋体" w:hint="default"/>
                <w:sz w:val="18"/>
                <w:szCs w:val="18"/>
              </w:rPr>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3"/>
              <w:ind w:left="206" w:right="180" w:hanging="29"/>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同比增</w:t>
            </w:r>
            <w:r>
              <w:rPr>
                <w:rFonts w:ascii="宋体" w:hAnsi="宋体" w:cs="宋体" w:eastAsia="宋体" w:hint="default"/>
                <w:b/>
                <w:bCs/>
                <w:spacing w:val="-86"/>
                <w:sz w:val="18"/>
                <w:szCs w:val="18"/>
              </w:rPr>
              <w:t> </w:t>
            </w:r>
            <w:r>
              <w:rPr>
                <w:rFonts w:ascii="宋体" w:hAnsi="宋体" w:cs="宋体" w:eastAsia="宋体" w:hint="default"/>
                <w:b/>
                <w:bCs/>
                <w:sz w:val="18"/>
                <w:szCs w:val="18"/>
              </w:rPr>
              <w:t>速</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03"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691" w:right="0"/>
              <w:jc w:val="left"/>
              <w:rPr>
                <w:rFonts w:ascii="宋体" w:hAnsi="宋体" w:cs="宋体" w:eastAsia="宋体" w:hint="default"/>
                <w:sz w:val="18"/>
                <w:szCs w:val="18"/>
              </w:rPr>
            </w:pPr>
            <w:r>
              <w:rPr>
                <w:rFonts w:ascii="宋体" w:hAnsi="宋体" w:cs="宋体" w:eastAsia="宋体" w:hint="default"/>
                <w:b/>
                <w:bCs/>
                <w:sz w:val="18"/>
                <w:szCs w:val="18"/>
              </w:rPr>
              <w:t>企业个数</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w w:val="100"/>
                <w:sz w:val="18"/>
                <w:szCs w:val="18"/>
              </w:rPr>
              <w:t>个</w:t>
            </w:r>
            <w:r>
              <w:rPr>
                <w:rFonts w:ascii="宋体" w:hAnsi="宋体" w:cs="宋体" w:eastAsia="宋体" w:hint="default"/>
                <w:w w:val="100"/>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35,774.00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42,764.00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11.88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38,222.00</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13" w:right="0"/>
              <w:jc w:val="left"/>
              <w:rPr>
                <w:rFonts w:ascii="宋体" w:hAnsi="宋体" w:cs="宋体" w:eastAsia="宋体" w:hint="default"/>
                <w:sz w:val="18"/>
                <w:szCs w:val="18"/>
              </w:rPr>
            </w:pPr>
            <w:r>
              <w:rPr>
                <w:rFonts w:ascii="宋体" w:hAnsi="宋体" w:cs="宋体" w:eastAsia="宋体" w:hint="default"/>
                <w:b/>
                <w:bCs/>
                <w:sz w:val="18"/>
                <w:szCs w:val="18"/>
              </w:rPr>
              <w:t>软件业务收入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55,037.00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48,511.00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14.90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42,848.00</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15.70</w:t>
            </w:r>
          </w:p>
        </w:tc>
      </w:tr>
      <w:tr>
        <w:trPr>
          <w:trHeight w:val="403"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37"/>
              <w:jc w:val="right"/>
              <w:rPr>
                <w:rFonts w:ascii="宋体" w:hAnsi="宋体" w:cs="宋体" w:eastAsia="宋体" w:hint="default"/>
                <w:sz w:val="18"/>
                <w:szCs w:val="18"/>
              </w:rPr>
            </w:pPr>
            <w:r>
              <w:rPr>
                <w:rFonts w:ascii="宋体" w:hAnsi="宋体" w:cs="宋体" w:eastAsia="宋体" w:hint="default"/>
                <w:b/>
                <w:bCs/>
                <w:spacing w:val="-2"/>
                <w:sz w:val="18"/>
                <w:szCs w:val="18"/>
              </w:rPr>
              <w:t>其中</w:t>
            </w:r>
            <w:r>
              <w:rPr>
                <w:rFonts w:ascii="Times New Roman" w:hAnsi="Times New Roman" w:cs="Times New Roman" w:eastAsia="Times New Roman" w:hint="default"/>
                <w:b/>
                <w:bCs/>
                <w:spacing w:val="-2"/>
                <w:sz w:val="18"/>
                <w:szCs w:val="18"/>
              </w:rPr>
              <w:t>:1</w:t>
            </w:r>
            <w:r>
              <w:rPr>
                <w:rFonts w:ascii="宋体" w:hAnsi="宋体" w:cs="宋体" w:eastAsia="宋体" w:hint="default"/>
                <w:b/>
                <w:bCs/>
                <w:spacing w:val="-2"/>
                <w:sz w:val="18"/>
                <w:szCs w:val="18"/>
              </w:rPr>
              <w:t>、软件产品收入</w:t>
            </w:r>
            <w:r>
              <w:rPr>
                <w:rFonts w:ascii="宋体" w:hAnsi="宋体" w:cs="宋体" w:eastAsia="宋体" w:hint="default"/>
                <w:spacing w:val="-2"/>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17,241.00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15,400.00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13,656.00</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11.90</w:t>
            </w:r>
          </w:p>
        </w:tc>
      </w:tr>
      <w:tr>
        <w:trPr>
          <w:trHeight w:val="398"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65"/>
              <w:jc w:val="right"/>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2</w:t>
            </w:r>
            <w:r>
              <w:rPr>
                <w:rFonts w:ascii="宋体" w:hAnsi="宋体" w:cs="宋体" w:eastAsia="宋体" w:hint="default"/>
                <w:b/>
                <w:bCs/>
                <w:spacing w:val="-1"/>
                <w:sz w:val="18"/>
                <w:szCs w:val="18"/>
              </w:rPr>
              <w:t>、信息技术服务收入</w:t>
            </w:r>
            <w:r>
              <w:rPr>
                <w:rFonts w:ascii="宋体" w:hAnsi="宋体" w:cs="宋体" w:eastAsia="宋体" w:hint="default"/>
                <w:spacing w:val="-1"/>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29,318.00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25,114.00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22,211.00</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18.70</w:t>
            </w:r>
          </w:p>
        </w:tc>
      </w:tr>
      <w:tr>
        <w:trPr>
          <w:trHeight w:val="403"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right="93"/>
              <w:jc w:val="right"/>
              <w:rPr>
                <w:rFonts w:ascii="宋体" w:hAnsi="宋体" w:cs="宋体" w:eastAsia="宋体" w:hint="default"/>
                <w:sz w:val="18"/>
                <w:szCs w:val="18"/>
              </w:rPr>
            </w:pPr>
            <w:r>
              <w:rPr>
                <w:rFonts w:ascii="Times New Roman" w:hAnsi="Times New Roman" w:cs="Times New Roman" w:eastAsia="Times New Roman" w:hint="default"/>
                <w:b/>
                <w:bCs/>
                <w:spacing w:val="-5"/>
                <w:sz w:val="18"/>
                <w:szCs w:val="18"/>
              </w:rPr>
              <w:t>3</w:t>
            </w:r>
            <w:r>
              <w:rPr>
                <w:rFonts w:ascii="宋体" w:hAnsi="宋体" w:cs="宋体" w:eastAsia="宋体" w:hint="default"/>
                <w:b/>
                <w:bCs/>
                <w:spacing w:val="-5"/>
                <w:sz w:val="18"/>
                <w:szCs w:val="18"/>
              </w:rPr>
              <w:t>、嵌入式系统软件收入</w:t>
            </w:r>
            <w:r>
              <w:rPr>
                <w:rFonts w:ascii="宋体" w:hAnsi="宋体" w:cs="宋体" w:eastAsia="宋体" w:hint="default"/>
                <w:spacing w:val="-5"/>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8,478.00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8.90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7,997.00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15.50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6,981.00</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14.10</w:t>
            </w:r>
          </w:p>
        </w:tc>
      </w:tr>
      <w:tr>
        <w:trPr>
          <w:trHeight w:val="403"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亿元</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7,020.00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6,021.00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14.90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5,766.00</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19.50</w:t>
            </w:r>
          </w:p>
        </w:tc>
      </w:tr>
    </w:tbl>
    <w:p>
      <w:pPr>
        <w:pStyle w:val="BodyText"/>
        <w:spacing w:line="309" w:lineRule="auto" w:before="10"/>
        <w:ind w:right="162"/>
        <w:jc w:val="left"/>
        <w:rPr>
          <w:rFonts w:ascii="宋体" w:hAnsi="宋体" w:cs="宋体" w:eastAsia="宋体" w:hint="default"/>
        </w:rPr>
      </w:pPr>
      <w:r>
        <w:rPr>
          <w:rFonts w:ascii="宋体" w:hAnsi="宋体" w:cs="宋体" w:eastAsia="宋体" w:hint="default"/>
          <w:w w:val="101"/>
        </w:rPr>
        <w:t> </w:t>
      </w:r>
      <w:r>
        <w:rPr>
          <w:w w:val="101"/>
        </w:rPr>
        <w:t>数据来源：</w:t>
      </w:r>
      <w:r>
        <w:rPr>
          <w:spacing w:val="-5"/>
          <w:w w:val="101"/>
        </w:rPr>
        <w:t>数</w:t>
      </w:r>
      <w:r>
        <w:rPr>
          <w:w w:val="101"/>
        </w:rPr>
        <w:t>据来源于</w:t>
      </w:r>
      <w:r>
        <w:rPr>
          <w:spacing w:val="-5"/>
          <w:w w:val="101"/>
        </w:rPr>
        <w:t>工</w:t>
      </w:r>
      <w:r>
        <w:rPr>
          <w:w w:val="101"/>
        </w:rPr>
        <w:t>信部《</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017</w:t>
      </w:r>
      <w:r>
        <w:rPr>
          <w:w w:val="101"/>
        </w:rPr>
        <w:t>年</w:t>
      </w:r>
      <w:r>
        <w:rPr>
          <w:rFonts w:ascii="Times New Roman" w:hAnsi="Times New Roman" w:cs="Times New Roman" w:eastAsia="Times New Roman" w:hint="default"/>
          <w:w w:val="101"/>
        </w:rPr>
        <w:t>1</w:t>
      </w:r>
      <w:r>
        <w:rPr>
          <w:w w:val="101"/>
        </w:rPr>
        <w:t>－</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2</w:t>
      </w:r>
      <w:r>
        <w:rPr>
          <w:w w:val="101"/>
        </w:rPr>
        <w:t>月全国软</w:t>
      </w:r>
      <w:r>
        <w:rPr>
          <w:spacing w:val="-5"/>
          <w:w w:val="101"/>
        </w:rPr>
        <w:t>件</w:t>
      </w:r>
      <w:r>
        <w:rPr>
          <w:w w:val="101"/>
        </w:rPr>
        <w:t>和</w:t>
      </w:r>
      <w:r>
        <w:rPr>
          <w:spacing w:val="-5"/>
          <w:w w:val="101"/>
        </w:rPr>
        <w:t>信</w:t>
      </w:r>
      <w:r>
        <w:rPr>
          <w:w w:val="101"/>
        </w:rPr>
        <w:t>息技术服务</w:t>
      </w:r>
      <w:r>
        <w:rPr>
          <w:spacing w:val="-5"/>
          <w:w w:val="101"/>
        </w:rPr>
        <w:t>业</w:t>
      </w:r>
      <w:r>
        <w:rPr>
          <w:w w:val="101"/>
        </w:rPr>
        <w:t>主要指标</w:t>
      </w:r>
      <w:r>
        <w:rPr>
          <w:spacing w:val="-5"/>
          <w:w w:val="101"/>
        </w:rPr>
        <w:t>快</w:t>
      </w:r>
      <w:r>
        <w:rPr>
          <w:w w:val="101"/>
        </w:rPr>
        <w:t>报</w:t>
      </w:r>
      <w:r>
        <w:rPr>
          <w:spacing w:val="-5"/>
          <w:w w:val="101"/>
        </w:rPr>
        <w:t>表</w:t>
      </w:r>
      <w:r>
        <w:rPr>
          <w:spacing w:val="-92"/>
          <w:w w:val="101"/>
        </w:rPr>
        <w:t>》</w:t>
      </w:r>
      <w:r>
        <w:rPr>
          <w:spacing w:val="-87"/>
          <w:w w:val="101"/>
        </w:rPr>
        <w:t>、</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16</w:t>
      </w:r>
      <w:r>
        <w:rPr>
          <w:w w:val="101"/>
        </w:rPr>
        <w:t>年</w:t>
      </w:r>
      <w:r>
        <w:rPr>
          <w:rFonts w:ascii="Times New Roman" w:hAnsi="Times New Roman" w:cs="Times New Roman" w:eastAsia="Times New Roman" w:hint="default"/>
          <w:w w:val="101"/>
        </w:rPr>
        <w:t>1</w:t>
      </w:r>
      <w:r>
        <w:rPr>
          <w:w w:val="101"/>
        </w:rPr>
        <w:t>－</w:t>
      </w:r>
      <w:r>
        <w:rPr>
          <w:rFonts w:ascii="Times New Roman" w:hAnsi="Times New Roman" w:cs="Times New Roman" w:eastAsia="Times New Roman" w:hint="default"/>
          <w:w w:val="101"/>
        </w:rPr>
        <w:t>1</w:t>
      </w:r>
      <w:r>
        <w:rPr>
          <w:rFonts w:ascii="Times New Roman" w:hAnsi="Times New Roman" w:cs="Times New Roman" w:eastAsia="Times New Roman" w:hint="default"/>
          <w:spacing w:val="-6"/>
          <w:w w:val="101"/>
        </w:rPr>
        <w:t>2</w:t>
      </w:r>
      <w:r>
        <w:rPr>
          <w:w w:val="101"/>
        </w:rPr>
        <w:t>月全国软</w:t>
      </w:r>
      <w:r>
        <w:rPr>
          <w:spacing w:val="-5"/>
          <w:w w:val="101"/>
        </w:rPr>
        <w:t>件</w:t>
      </w:r>
      <w:r>
        <w:rPr>
          <w:w w:val="101"/>
        </w:rPr>
        <w:t>和</w:t>
      </w:r>
      <w:r>
        <w:rPr>
          <w:w w:val="101"/>
        </w:rPr>
        <w:t> 信</w:t>
      </w:r>
      <w:r>
        <w:rPr>
          <w:spacing w:val="-5"/>
          <w:w w:val="101"/>
        </w:rPr>
        <w:t>息</w:t>
      </w:r>
      <w:r>
        <w:rPr>
          <w:w w:val="101"/>
        </w:rPr>
        <w:t>技</w:t>
      </w:r>
      <w:r>
        <w:rPr>
          <w:spacing w:val="-5"/>
          <w:w w:val="101"/>
        </w:rPr>
        <w:t>术</w:t>
      </w:r>
      <w:r>
        <w:rPr>
          <w:w w:val="101"/>
        </w:rPr>
        <w:t>服</w:t>
      </w:r>
      <w:r>
        <w:rPr>
          <w:spacing w:val="-5"/>
          <w:w w:val="101"/>
        </w:rPr>
        <w:t>务</w:t>
      </w:r>
      <w:r>
        <w:rPr>
          <w:w w:val="101"/>
        </w:rPr>
        <w:t>业</w:t>
      </w:r>
      <w:r>
        <w:rPr>
          <w:spacing w:val="-5"/>
          <w:w w:val="101"/>
        </w:rPr>
        <w:t>主</w:t>
      </w:r>
      <w:r>
        <w:rPr>
          <w:w w:val="101"/>
        </w:rPr>
        <w:t>要</w:t>
      </w:r>
      <w:r>
        <w:rPr>
          <w:spacing w:val="-5"/>
          <w:w w:val="101"/>
        </w:rPr>
        <w:t>指</w:t>
      </w:r>
      <w:r>
        <w:rPr>
          <w:w w:val="101"/>
        </w:rPr>
        <w:t>标</w:t>
      </w:r>
      <w:r>
        <w:rPr>
          <w:spacing w:val="-5"/>
          <w:w w:val="101"/>
        </w:rPr>
        <w:t>快</w:t>
      </w:r>
      <w:r>
        <w:rPr>
          <w:w w:val="101"/>
        </w:rPr>
        <w:t>报表</w:t>
      </w:r>
      <w:r>
        <w:rPr>
          <w:spacing w:val="-96"/>
          <w:w w:val="101"/>
        </w:rPr>
        <w:t>》</w:t>
      </w:r>
      <w:r>
        <w:rPr>
          <w:spacing w:val="-92"/>
          <w:w w:val="101"/>
        </w:rPr>
        <w:t>、</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6"/>
          <w:w w:val="101"/>
        </w:rPr>
        <w:t>5</w:t>
      </w:r>
      <w:r>
        <w:rPr>
          <w:w w:val="101"/>
        </w:rPr>
        <w:t>年</w:t>
      </w:r>
      <w:r>
        <w:rPr>
          <w:spacing w:val="-5"/>
          <w:w w:val="101"/>
        </w:rPr>
        <w:t>全</w:t>
      </w:r>
      <w:r>
        <w:rPr>
          <w:w w:val="101"/>
        </w:rPr>
        <w:t>国</w:t>
      </w:r>
      <w:r>
        <w:rPr>
          <w:spacing w:val="-5"/>
          <w:w w:val="101"/>
        </w:rPr>
        <w:t>软</w:t>
      </w:r>
      <w:r>
        <w:rPr>
          <w:w w:val="101"/>
        </w:rPr>
        <w:t>件</w:t>
      </w:r>
      <w:r>
        <w:rPr>
          <w:spacing w:val="-5"/>
          <w:w w:val="101"/>
        </w:rPr>
        <w:t>业</w:t>
      </w:r>
      <w:r>
        <w:rPr>
          <w:w w:val="101"/>
        </w:rPr>
        <w:t>最</w:t>
      </w:r>
      <w:r>
        <w:rPr>
          <w:spacing w:val="-5"/>
          <w:w w:val="101"/>
        </w:rPr>
        <w:t>终核</w:t>
      </w:r>
      <w:r>
        <w:rPr>
          <w:w w:val="101"/>
        </w:rPr>
        <w:t>实</w:t>
      </w:r>
      <w:r>
        <w:rPr>
          <w:spacing w:val="-5"/>
          <w:w w:val="101"/>
        </w:rPr>
        <w:t>统</w:t>
      </w:r>
      <w:r>
        <w:rPr>
          <w:w w:val="101"/>
        </w:rPr>
        <w:t>计</w:t>
      </w:r>
      <w:r>
        <w:rPr>
          <w:spacing w:val="-5"/>
          <w:w w:val="101"/>
        </w:rPr>
        <w:t>数</w:t>
      </w:r>
      <w:r>
        <w:rPr>
          <w:w w:val="101"/>
        </w:rPr>
        <w:t>据</w:t>
      </w:r>
      <w:r>
        <w:rPr>
          <w:spacing w:val="-92"/>
          <w:w w:val="101"/>
        </w:rPr>
        <w:t>》</w:t>
      </w:r>
      <w:r>
        <w:rPr>
          <w:spacing w:val="-5"/>
          <w:w w:val="101"/>
        </w:rPr>
        <w:t>。</w:t>
      </w:r>
      <w:r>
        <w:rPr>
          <w:rFonts w:ascii="宋体" w:hAnsi="宋体" w:cs="宋体" w:eastAsia="宋体" w:hint="default"/>
          <w:w w:val="101"/>
        </w:rPr>
        <w:t> </w:t>
      </w:r>
      <w:r>
        <w:rPr>
          <w:rFonts w:ascii="宋体" w:hAnsi="宋体" w:cs="宋体" w:eastAsia="宋体" w:hint="default"/>
        </w:rPr>
      </w:r>
    </w:p>
    <w:p>
      <w:pPr>
        <w:pStyle w:val="BodyText"/>
        <w:spacing w:line="240" w:lineRule="auto" w:before="5"/>
        <w:ind w:right="0"/>
        <w:jc w:val="left"/>
        <w:rPr>
          <w:rFonts w:ascii="宋体" w:hAnsi="宋体" w:cs="宋体" w:eastAsia="宋体" w:hint="default"/>
        </w:rPr>
      </w:pPr>
      <w:r>
        <w:rPr>
          <w:rFonts w:ascii="宋体"/>
          <w:w w:val="101"/>
        </w:rPr>
        <w:t> </w:t>
      </w:r>
      <w:r>
        <w:rPr>
          <w:rFonts w:ascii="宋体"/>
        </w:rPr>
      </w:r>
    </w:p>
    <w:p>
      <w:pPr>
        <w:pStyle w:val="BodyText"/>
        <w:spacing w:line="240" w:lineRule="auto" w:before="76"/>
        <w:ind w:left="632" w:right="0"/>
        <w:jc w:val="left"/>
        <w:rPr>
          <w:rFonts w:ascii="宋体" w:hAnsi="宋体" w:cs="宋体" w:eastAsia="宋体" w:hint="default"/>
        </w:rPr>
      </w:pPr>
      <w:r>
        <w:rPr>
          <w:rFonts w:ascii="Times New Roman" w:hAnsi="Times New Roman" w:cs="Times New Roman" w:eastAsia="Times New Roman" w:hint="default"/>
        </w:rPr>
        <w:t>2015  </w:t>
      </w:r>
      <w:r>
        <w:rPr/>
        <w:t>年、</w:t>
      </w:r>
      <w:r>
        <w:rPr>
          <w:rFonts w:ascii="宋体" w:hAnsi="宋体" w:cs="宋体" w:eastAsia="宋体" w:hint="default"/>
        </w:rPr>
        <w:t>201</w:t>
      </w:r>
      <w:r>
        <w:rPr>
          <w:rFonts w:ascii="Times New Roman" w:hAnsi="Times New Roman" w:cs="Times New Roman" w:eastAsia="Times New Roman" w:hint="default"/>
        </w:rPr>
        <w:t>6  </w:t>
      </w:r>
      <w:r>
        <w:rPr>
          <w:spacing w:val="-3"/>
        </w:rPr>
        <w:t>年和 </w:t>
      </w:r>
      <w:r>
        <w:rPr>
          <w:rFonts w:ascii="宋体" w:hAnsi="宋体" w:cs="宋体" w:eastAsia="宋体" w:hint="default"/>
          <w:spacing w:val="-3"/>
        </w:rPr>
      </w:r>
      <w:r>
        <w:rPr>
          <w:rFonts w:ascii="宋体" w:hAnsi="宋体" w:cs="宋体" w:eastAsia="宋体" w:hint="default"/>
        </w:rPr>
        <w:t>201</w:t>
      </w:r>
      <w:r>
        <w:rPr>
          <w:rFonts w:ascii="Times New Roman" w:hAnsi="Times New Roman" w:cs="Times New Roman" w:eastAsia="Times New Roman" w:hint="default"/>
        </w:rPr>
        <w:t>7 </w:t>
      </w:r>
      <w:r>
        <w:rPr>
          <w:rFonts w:ascii="Times New Roman" w:hAnsi="Times New Roman" w:cs="Times New Roman" w:eastAsia="Times New Roman" w:hint="default"/>
          <w:spacing w:val="37"/>
        </w:rPr>
        <w:t> </w:t>
      </w:r>
      <w:r>
        <w:rPr>
          <w:spacing w:val="-3"/>
        </w:rPr>
        <w:t>年，公司实现的销售规模、利润及利润率与市场整体情况对比如下：</w:t>
      </w:r>
      <w:r>
        <w:rPr>
          <w:rFonts w:ascii="宋体" w:hAnsi="宋体" w:cs="宋体" w:eastAsia="宋体" w:hint="default"/>
        </w:rPr>
        <w:t> </w:t>
      </w:r>
    </w:p>
    <w:p>
      <w:pPr>
        <w:pStyle w:val="Heading5"/>
        <w:spacing w:line="240" w:lineRule="auto" w:before="37"/>
        <w:ind w:left="632" w:right="0"/>
        <w:jc w:val="left"/>
        <w:rPr>
          <w:rFonts w:ascii="宋体" w:hAnsi="宋体" w:cs="宋体" w:eastAsia="宋体" w:hint="default"/>
        </w:rPr>
      </w:pPr>
      <w:r>
        <w:rPr>
          <w:rFonts w:ascii="宋体"/>
          <w:w w:val="100"/>
        </w:rPr>
        <w:t> </w:t>
      </w:r>
    </w:p>
    <w:p>
      <w:pPr>
        <w:spacing w:line="240" w:lineRule="auto" w:before="13"/>
        <w:rPr>
          <w:rFonts w:ascii="宋体" w:hAnsi="宋体" w:cs="宋体" w:eastAsia="宋体" w:hint="default"/>
          <w:sz w:val="3"/>
          <w:szCs w:val="3"/>
        </w:rPr>
      </w:pPr>
    </w:p>
    <w:tbl>
      <w:tblPr>
        <w:tblW w:w="0" w:type="auto"/>
        <w:jc w:val="left"/>
        <w:tblInd w:w="651" w:type="dxa"/>
        <w:tblLayout w:type="fixed"/>
        <w:tblCellMar>
          <w:top w:w="0" w:type="dxa"/>
          <w:left w:w="0" w:type="dxa"/>
          <w:bottom w:w="0" w:type="dxa"/>
          <w:right w:w="0" w:type="dxa"/>
        </w:tblCellMar>
        <w:tblLook w:val="01E0"/>
      </w:tblPr>
      <w:tblGrid>
        <w:gridCol w:w="2146"/>
        <w:gridCol w:w="557"/>
        <w:gridCol w:w="1157"/>
        <w:gridCol w:w="773"/>
        <w:gridCol w:w="1190"/>
        <w:gridCol w:w="792"/>
        <w:gridCol w:w="1205"/>
        <w:gridCol w:w="778"/>
      </w:tblGrid>
      <w:tr>
        <w:trPr>
          <w:trHeight w:val="442" w:hRule="exact"/>
        </w:trPr>
        <w:tc>
          <w:tcPr>
            <w:tcW w:w="214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b/>
                <w:bCs/>
                <w:sz w:val="18"/>
                <w:szCs w:val="18"/>
              </w:rPr>
              <w:t>指标对比</w:t>
            </w:r>
            <w:r>
              <w:rPr>
                <w:rFonts w:ascii="宋体" w:hAnsi="宋体" w:cs="宋体" w:eastAsia="宋体" w:hint="default"/>
                <w:sz w:val="18"/>
                <w:szCs w:val="18"/>
              </w:rPr>
            </w:r>
          </w:p>
        </w:tc>
        <w:tc>
          <w:tcPr>
            <w:tcW w:w="557"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sz w:val="18"/>
                <w:szCs w:val="18"/>
              </w:rPr>
            </w:r>
          </w:p>
        </w:tc>
        <w:tc>
          <w:tcPr>
            <w:tcW w:w="193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8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98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744" w:hRule="exact"/>
        </w:trPr>
        <w:tc>
          <w:tcPr>
            <w:tcW w:w="2146" w:type="dxa"/>
            <w:vMerge/>
            <w:tcBorders>
              <w:left w:val="nil" w:sz="6" w:space="0" w:color="auto"/>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完成</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同比增速</w:t>
            </w:r>
            <w:r>
              <w:rPr>
                <w:rFonts w:ascii="宋体" w:hAnsi="宋体" w:cs="宋体" w:eastAsia="宋体" w:hint="default"/>
                <w:sz w:val="18"/>
                <w:szCs w:val="18"/>
              </w:rPr>
            </w:r>
          </w:p>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完成</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同比增速</w:t>
            </w:r>
            <w:r>
              <w:rPr>
                <w:rFonts w:ascii="宋体" w:hAnsi="宋体" w:cs="宋体" w:eastAsia="宋体" w:hint="default"/>
                <w:sz w:val="18"/>
                <w:szCs w:val="18"/>
              </w:rPr>
            </w:r>
          </w:p>
          <w:p>
            <w:pPr>
              <w:pStyle w:val="TableParagraph"/>
              <w:spacing w:line="240" w:lineRule="auto" w:before="128"/>
              <w:ind w:left="1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完成</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同比增速</w:t>
            </w:r>
            <w:r>
              <w:rPr>
                <w:rFonts w:ascii="宋体" w:hAnsi="宋体" w:cs="宋体" w:eastAsia="宋体" w:hint="default"/>
                <w:sz w:val="18"/>
                <w:szCs w:val="18"/>
              </w:rPr>
            </w:r>
          </w:p>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r>
        <w:trPr>
          <w:trHeight w:val="43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4" w:right="0"/>
              <w:jc w:val="center"/>
              <w:rPr>
                <w:rFonts w:ascii="宋体" w:hAnsi="宋体" w:cs="宋体" w:eastAsia="宋体" w:hint="default"/>
                <w:sz w:val="18"/>
                <w:szCs w:val="18"/>
              </w:rPr>
            </w:pPr>
            <w:r>
              <w:rPr>
                <w:rFonts w:ascii="宋体" w:hAnsi="宋体" w:cs="宋体" w:eastAsia="宋体" w:hint="default"/>
                <w:b/>
                <w:bCs/>
                <w:sz w:val="18"/>
                <w:szCs w:val="18"/>
              </w:rPr>
              <w:t>软件行业企业平均收入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4"/>
              <w:jc w:val="righ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pacing w:val="-1"/>
                <w:sz w:val="18"/>
              </w:rPr>
              <w:t>15,384.64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91" w:right="0"/>
              <w:jc w:val="left"/>
              <w:rPr>
                <w:rFonts w:ascii="Times New Roman" w:hAnsi="Times New Roman" w:cs="Times New Roman" w:eastAsia="Times New Roman" w:hint="default"/>
                <w:sz w:val="18"/>
                <w:szCs w:val="18"/>
              </w:rPr>
            </w:pPr>
            <w:r>
              <w:rPr>
                <w:rFonts w:ascii="Times New Roman"/>
                <w:sz w:val="18"/>
              </w:rPr>
              <w:t>35.62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11,343.89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1.19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11,210.30</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12.33</w:t>
            </w:r>
          </w:p>
        </w:tc>
      </w:tr>
      <w:tr>
        <w:trPr>
          <w:trHeight w:val="43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9" w:right="0"/>
              <w:jc w:val="center"/>
              <w:rPr>
                <w:rFonts w:ascii="宋体" w:hAnsi="宋体" w:cs="宋体" w:eastAsia="宋体" w:hint="default"/>
                <w:sz w:val="18"/>
                <w:szCs w:val="18"/>
              </w:rPr>
            </w:pPr>
            <w:r>
              <w:rPr>
                <w:rFonts w:ascii="宋体" w:hAnsi="宋体" w:cs="宋体" w:eastAsia="宋体" w:hint="default"/>
                <w:b/>
                <w:bCs/>
                <w:sz w:val="18"/>
                <w:szCs w:val="18"/>
              </w:rPr>
              <w:t>本公司主营业务收入</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4"/>
              <w:jc w:val="righ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pacing w:val="-1"/>
                <w:sz w:val="18"/>
              </w:rPr>
              <w:t>30,617.25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pacing w:val="-1"/>
                <w:sz w:val="18"/>
              </w:rPr>
              <w:t>13.15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27,059.78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8.72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24,888.97</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31.97</w:t>
            </w:r>
          </w:p>
        </w:tc>
      </w:tr>
      <w:tr>
        <w:trPr>
          <w:trHeight w:val="432"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24" w:right="0"/>
              <w:jc w:val="center"/>
              <w:rPr>
                <w:rFonts w:ascii="宋体" w:hAnsi="宋体" w:cs="宋体" w:eastAsia="宋体" w:hint="default"/>
                <w:sz w:val="18"/>
                <w:szCs w:val="18"/>
              </w:rPr>
            </w:pPr>
            <w:r>
              <w:rPr>
                <w:rFonts w:ascii="宋体" w:hAnsi="宋体" w:cs="宋体" w:eastAsia="宋体" w:hint="default"/>
                <w:b/>
                <w:bCs/>
                <w:sz w:val="18"/>
                <w:szCs w:val="18"/>
              </w:rPr>
              <w:t>软件行业企业平均利润</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4"/>
              <w:jc w:val="righ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pacing w:val="-1"/>
                <w:sz w:val="18"/>
              </w:rPr>
              <w:t>1,962.32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pacing w:val="-1"/>
                <w:sz w:val="18"/>
              </w:rPr>
              <w:t>39.37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1,407.96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-6.67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1,508.56</w:t>
            </w:r>
          </w:p>
        </w:tc>
        <w:tc>
          <w:tcPr>
            <w:tcW w:w="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15.98</w:t>
            </w:r>
          </w:p>
        </w:tc>
      </w:tr>
      <w:tr>
        <w:trPr>
          <w:trHeight w:val="442" w:hRule="exact"/>
        </w:trPr>
        <w:tc>
          <w:tcPr>
            <w:tcW w:w="2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8"/>
              <w:ind w:left="24" w:right="0"/>
              <w:jc w:val="center"/>
              <w:rPr>
                <w:rFonts w:ascii="宋体" w:hAnsi="宋体" w:cs="宋体" w:eastAsia="宋体" w:hint="default"/>
                <w:sz w:val="18"/>
                <w:szCs w:val="18"/>
              </w:rPr>
            </w:pPr>
            <w:r>
              <w:rPr>
                <w:rFonts w:ascii="宋体" w:hAnsi="宋体" w:cs="宋体" w:eastAsia="宋体" w:hint="default"/>
                <w:b/>
                <w:bCs/>
                <w:sz w:val="18"/>
                <w:szCs w:val="18"/>
              </w:rPr>
              <w:t>本公司净利润</w:t>
            </w:r>
            <w:r>
              <w:rPr>
                <w:rFonts w:ascii="宋体" w:hAnsi="宋体" w:cs="宋体" w:eastAsia="宋体" w:hint="default"/>
                <w:sz w:val="18"/>
                <w:szCs w:val="18"/>
              </w:rPr>
            </w:r>
          </w:p>
        </w:tc>
        <w:tc>
          <w:tcPr>
            <w:tcW w:w="5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84"/>
              <w:jc w:val="righ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74"/>
              <w:jc w:val="right"/>
              <w:rPr>
                <w:rFonts w:ascii="Times New Roman" w:hAnsi="Times New Roman" w:cs="Times New Roman" w:eastAsia="Times New Roman" w:hint="default"/>
                <w:sz w:val="18"/>
                <w:szCs w:val="18"/>
              </w:rPr>
            </w:pPr>
            <w:r>
              <w:rPr>
                <w:rFonts w:ascii="Times New Roman"/>
                <w:spacing w:val="-2"/>
                <w:sz w:val="18"/>
              </w:rPr>
              <w:t>4,456.72</w:t>
            </w:r>
          </w:p>
        </w:tc>
        <w:tc>
          <w:tcPr>
            <w:tcW w:w="7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spacing w:val="-1"/>
                <w:sz w:val="18"/>
              </w:rPr>
              <w:t>17.59</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3,789.92</w:t>
            </w:r>
          </w:p>
        </w:tc>
        <w:tc>
          <w:tcPr>
            <w:tcW w:w="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15.79</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3,273.07</w:t>
            </w:r>
          </w:p>
        </w:tc>
        <w:tc>
          <w:tcPr>
            <w:tcW w:w="7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pacing w:val="-1"/>
                <w:sz w:val="18"/>
              </w:rPr>
              <w:t>136.24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00" w:lineRule="auto"/>
        <w:ind w:left="153" w:right="0" w:firstLine="359"/>
        <w:jc w:val="left"/>
      </w:pPr>
      <w:r>
        <w:rPr>
          <w:spacing w:val="-4"/>
        </w:rPr>
        <w:t>根据上表可见，</w:t>
      </w:r>
      <w:r>
        <w:rPr>
          <w:rFonts w:ascii="宋体" w:hAnsi="宋体" w:cs="宋体" w:eastAsia="宋体" w:hint="default"/>
          <w:spacing w:val="-4"/>
        </w:rPr>
        <w:t>201</w:t>
      </w:r>
      <w:r>
        <w:rPr>
          <w:rFonts w:ascii="Times New Roman" w:hAnsi="Times New Roman" w:cs="Times New Roman" w:eastAsia="Times New Roman" w:hint="default"/>
          <w:spacing w:val="-4"/>
        </w:rPr>
        <w:t>5</w:t>
      </w:r>
      <w:r>
        <w:rPr>
          <w:spacing w:val="-4"/>
        </w:rPr>
        <w:t>年至</w:t>
      </w:r>
      <w:r>
        <w:rPr>
          <w:rFonts w:ascii="宋体" w:hAnsi="宋体" w:cs="宋体" w:eastAsia="宋体" w:hint="default"/>
          <w:spacing w:val="-4"/>
        </w:rPr>
        <w:t>201</w:t>
      </w:r>
      <w:r>
        <w:rPr>
          <w:rFonts w:ascii="Times New Roman" w:hAnsi="Times New Roman" w:cs="Times New Roman" w:eastAsia="Times New Roman" w:hint="default"/>
          <w:spacing w:val="-4"/>
        </w:rPr>
        <w:t>7</w:t>
      </w:r>
      <w:r>
        <w:rPr>
          <w:spacing w:val="-4"/>
        </w:rPr>
        <w:t>年，公司主营业务收入、净利润绝对值均高于行业平均水平。原因在于公司凭借雄厚的研</w:t>
      </w:r>
      <w:r>
        <w:rPr>
          <w:spacing w:val="-5"/>
          <w:w w:val="101"/>
        </w:rPr>
        <w:t> </w:t>
      </w:r>
      <w:r>
        <w:rPr>
          <w:spacing w:val="-3"/>
        </w:rPr>
        <w:t>发实力与丰富的信息化解决方案实施经验，已在智慧政务及智慧企业领域形成自己独特的竞争优势。</w:t>
      </w:r>
      <w:r>
        <w:rPr/>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3"/>
        <w:gridCol w:w="6514"/>
      </w:tblGrid>
      <w:tr>
        <w:trPr>
          <w:trHeight w:val="763" w:hRule="exact"/>
        </w:trPr>
        <w:tc>
          <w:tcPr>
            <w:tcW w:w="3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175.47%</w:t>
            </w:r>
            <w:r>
              <w:rPr>
                <w:rFonts w:ascii="宋体" w:hAnsi="宋体" w:cs="宋体" w:eastAsia="宋体" w:hint="default"/>
                <w:spacing w:val="-3"/>
                <w:sz w:val="18"/>
                <w:szCs w:val="18"/>
              </w:rPr>
              <w:t>，主要系报告期公司首次公开发行股票募集资金到账所致</w:t>
            </w:r>
            <w:r>
              <w:rPr>
                <w:rFonts w:ascii="宋体" w:hAnsi="宋体" w:cs="宋体" w:eastAsia="宋体" w:hint="default"/>
                <w:sz w:val="18"/>
                <w:szCs w:val="18"/>
              </w:rPr>
            </w:r>
          </w:p>
        </w:tc>
      </w:tr>
      <w:tr>
        <w:trPr>
          <w:trHeight w:val="403" w:hRule="exact"/>
        </w:trPr>
        <w:tc>
          <w:tcPr>
            <w:tcW w:w="30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38.12%</w:t>
            </w:r>
            <w:r>
              <w:rPr>
                <w:rFonts w:ascii="宋体" w:hAnsi="宋体" w:cs="宋体" w:eastAsia="宋体" w:hint="default"/>
                <w:spacing w:val="-3"/>
                <w:sz w:val="18"/>
                <w:szCs w:val="18"/>
              </w:rPr>
              <w:t>，主要系本期销售收入增加所致</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13"/>
        <w:rPr>
          <w:rFonts w:ascii="宋体" w:hAnsi="宋体" w:cs="宋体" w:eastAsia="宋体" w:hint="default"/>
          <w:b/>
          <w:bCs/>
          <w:sz w:val="21"/>
          <w:szCs w:val="21"/>
        </w:rPr>
      </w:pPr>
    </w:p>
    <w:p>
      <w:pPr>
        <w:pStyle w:val="Heading4"/>
        <w:spacing w:line="240" w:lineRule="auto" w:before="36"/>
        <w:ind w:right="6663"/>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663"/>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6663"/>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663"/>
        <w:jc w:val="left"/>
      </w:pPr>
      <w:r>
        <w:rPr>
          <w:spacing w:val="-3"/>
        </w:rPr>
        <w:t>公司是否需要遵守特殊行业的披露要求</w:t>
      </w:r>
      <w:r>
        <w:rPr>
          <w:spacing w:val="-44"/>
        </w:rPr>
        <w:t> </w:t>
      </w:r>
      <w:r>
        <w:rPr>
          <w:spacing w:val="-44"/>
        </w:rPr>
      </w:r>
      <w:r>
        <w:rPr/>
        <w:t>否</w:t>
      </w:r>
    </w:p>
    <w:p>
      <w:pPr>
        <w:pStyle w:val="BodyText"/>
        <w:spacing w:line="316" w:lineRule="auto" w:before="26"/>
        <w:ind w:right="99" w:firstLine="359"/>
        <w:jc w:val="both"/>
      </w:pPr>
      <w:r>
        <w:rPr>
          <w:spacing w:val="-6"/>
        </w:rPr>
        <w:t>报告期内，公司业务领域仍主要面向智慧政务及智慧企业领域的政企客户。自成立之初，公司便确定了</w:t>
      </w:r>
      <w:r>
        <w:rPr>
          <w:rFonts w:ascii="宋体" w:hAnsi="宋体" w:cs="宋体" w:eastAsia="宋体" w:hint="default"/>
          <w:spacing w:val="-6"/>
        </w:rPr>
        <w:t>“</w:t>
      </w:r>
      <w:r>
        <w:rPr>
          <w:spacing w:val="-6"/>
        </w:rPr>
        <w:t>以人才为根本、</w:t>
      </w:r>
      <w:r>
        <w:rPr>
          <w:w w:val="101"/>
        </w:rPr>
        <w:t> </w:t>
      </w:r>
      <w:r>
        <w:rPr>
          <w:spacing w:val="-3"/>
        </w:rPr>
        <w:t>以技术为依托、以服务与质量为保障</w:t>
      </w:r>
      <w:r>
        <w:rPr>
          <w:rFonts w:ascii="宋体" w:hAnsi="宋体" w:cs="宋体" w:eastAsia="宋体" w:hint="default"/>
          <w:spacing w:val="-3"/>
        </w:rPr>
        <w:t>”</w:t>
      </w:r>
      <w:r>
        <w:rPr>
          <w:spacing w:val="-3"/>
        </w:rPr>
        <w:t>的发展战略，经过多年的发展，公司的核心竞争力主要体现在以下几方面：</w:t>
      </w:r>
      <w:r>
        <w:rPr/>
      </w:r>
    </w:p>
    <w:p>
      <w:pPr>
        <w:pStyle w:val="BodyText"/>
        <w:spacing w:line="300" w:lineRule="auto" w:before="18"/>
        <w:ind w:left="512" w:right="0"/>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spacing w:val="-87"/>
        </w:rPr>
        <w:t> </w:t>
      </w:r>
      <w:r>
        <w:rPr>
          <w:spacing w:val="-3"/>
        </w:rPr>
        <w:t>公司始终坚持</w:t>
      </w:r>
      <w:r>
        <w:rPr>
          <w:rFonts w:ascii="宋体" w:hAnsi="宋体" w:cs="宋体" w:eastAsia="宋体" w:hint="default"/>
          <w:spacing w:val="-3"/>
        </w:rPr>
        <w:t>“</w:t>
      </w:r>
      <w:r>
        <w:rPr>
          <w:spacing w:val="-3"/>
        </w:rPr>
        <w:t>平台</w:t>
      </w:r>
      <w:r>
        <w:rPr>
          <w:rFonts w:ascii="Times New Roman" w:hAnsi="Times New Roman" w:cs="Times New Roman" w:eastAsia="Times New Roman" w:hint="default"/>
          <w:spacing w:val="-3"/>
        </w:rPr>
        <w:t>+</w:t>
      </w:r>
      <w:r>
        <w:rPr>
          <w:spacing w:val="-3"/>
        </w:rPr>
        <w:t>应用</w:t>
      </w:r>
      <w:r>
        <w:rPr>
          <w:rFonts w:ascii="宋体" w:hAnsi="宋体" w:cs="宋体" w:eastAsia="宋体" w:hint="default"/>
          <w:spacing w:val="-3"/>
        </w:rPr>
        <w:t>”</w:t>
      </w:r>
      <w:r>
        <w:rPr>
          <w:spacing w:val="-3"/>
        </w:rPr>
        <w:t>的研发模式，经过多年的研发投入与技术创新，公司在云计算、大数据等领域积累的大量</w:t>
      </w:r>
      <w:r>
        <w:rPr/>
      </w:r>
    </w:p>
    <w:p>
      <w:pPr>
        <w:pStyle w:val="BodyText"/>
        <w:spacing w:line="316" w:lineRule="auto" w:before="13"/>
        <w:ind w:right="195"/>
        <w:jc w:val="both"/>
      </w:pPr>
      <w:r>
        <w:rPr>
          <w:spacing w:val="-5"/>
          <w:w w:val="101"/>
        </w:rPr>
        <w:t>核心技术集成固化为各领域业务应用的基础支撑平台，从而形成基于平台的业务应用</w:t>
      </w:r>
      <w:r>
        <w:rPr>
          <w:rFonts w:ascii="宋体" w:hAnsi="宋体" w:cs="宋体" w:eastAsia="宋体" w:hint="default"/>
          <w:spacing w:val="-5"/>
          <w:w w:val="101"/>
        </w:rPr>
        <w:t>“</w:t>
      </w:r>
      <w:r>
        <w:rPr>
          <w:spacing w:val="-5"/>
          <w:w w:val="101"/>
        </w:rPr>
        <w:t>生长模式</w:t>
      </w:r>
      <w:r>
        <w:rPr>
          <w:rFonts w:ascii="宋体" w:hAnsi="宋体" w:cs="宋体" w:eastAsia="宋体" w:hint="default"/>
          <w:spacing w:val="-5"/>
          <w:w w:val="101"/>
        </w:rPr>
        <w:t>”</w:t>
      </w:r>
      <w:r>
        <w:rPr>
          <w:spacing w:val="-5"/>
          <w:w w:val="101"/>
        </w:rPr>
        <w:t>，以快速高效地响应政企</w:t>
      </w:r>
      <w:r>
        <w:rPr>
          <w:spacing w:val="-45"/>
          <w:w w:val="101"/>
        </w:rPr>
        <w:t> </w:t>
      </w:r>
      <w:r>
        <w:rPr>
          <w:spacing w:val="-45"/>
          <w:w w:val="101"/>
        </w:rPr>
      </w:r>
      <w:r>
        <w:rPr/>
        <w:t>客户的多变需求。</w:t>
      </w:r>
    </w:p>
    <w:p>
      <w:pPr>
        <w:pStyle w:val="BodyText"/>
        <w:spacing w:line="300" w:lineRule="auto" w:before="19"/>
        <w:ind w:right="185" w:firstLine="360"/>
        <w:jc w:val="both"/>
      </w:pP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日，公司共拥有软件著作权</w:t>
      </w:r>
      <w:r>
        <w:rPr>
          <w:rFonts w:ascii="Times New Roman" w:hAnsi="Times New Roman" w:cs="Times New Roman" w:eastAsia="Times New Roman" w:hint="default"/>
          <w:spacing w:val="-1"/>
        </w:rPr>
        <w:t>288</w:t>
      </w:r>
      <w:r>
        <w:rPr>
          <w:spacing w:val="-1"/>
        </w:rPr>
        <w:t>项，拥有软件产品登记证</w:t>
      </w:r>
      <w:r>
        <w:rPr>
          <w:rFonts w:ascii="Times New Roman" w:hAnsi="Times New Roman" w:cs="Times New Roman" w:eastAsia="Times New Roman" w:hint="default"/>
          <w:spacing w:val="-1"/>
        </w:rPr>
        <w:t>102</w:t>
      </w:r>
      <w:r>
        <w:rPr>
          <w:spacing w:val="-1"/>
        </w:rPr>
        <w:t>个，国家发明专利</w:t>
      </w:r>
      <w:r>
        <w:rPr>
          <w:rFonts w:ascii="Times New Roman" w:hAnsi="Times New Roman" w:cs="Times New Roman" w:eastAsia="Times New Roman" w:hint="default"/>
          <w:spacing w:val="-1"/>
        </w:rPr>
        <w:t>2</w:t>
      </w:r>
      <w:r>
        <w:rPr>
          <w:spacing w:val="-1"/>
        </w:rPr>
        <w:t>项，实用新型专利</w:t>
      </w:r>
      <w:r>
        <w:rPr>
          <w:rFonts w:ascii="Times New Roman" w:hAnsi="Times New Roman" w:cs="Times New Roman" w:eastAsia="Times New Roman" w:hint="default"/>
          <w:spacing w:val="-1"/>
        </w:rPr>
        <w:t>2</w:t>
      </w:r>
      <w:r>
        <w:rPr>
          <w:rFonts w:ascii="Times New Roman" w:hAnsi="Times New Roman" w:cs="Times New Roman" w:eastAsia="Times New Roman" w:hint="default"/>
          <w:w w:val="101"/>
        </w:rPr>
        <w:t> </w:t>
      </w:r>
      <w:r>
        <w:rPr>
          <w:spacing w:val="-3"/>
        </w:rPr>
        <w:t>项，注册商标</w:t>
      </w:r>
      <w:r>
        <w:rPr>
          <w:rFonts w:ascii="Times New Roman" w:hAnsi="Times New Roman" w:cs="Times New Roman" w:eastAsia="Times New Roman" w:hint="default"/>
          <w:spacing w:val="-3"/>
        </w:rPr>
        <w:t>3</w:t>
      </w:r>
      <w:r>
        <w:rPr>
          <w:spacing w:val="-3"/>
        </w:rPr>
        <w:t>项。报告期，公司新增软件著作权</w:t>
      </w:r>
      <w:r>
        <w:rPr>
          <w:rFonts w:ascii="Times New Roman" w:hAnsi="Times New Roman" w:cs="Times New Roman" w:eastAsia="Times New Roman" w:hint="default"/>
          <w:spacing w:val="-3"/>
        </w:rPr>
        <w:t>71</w:t>
      </w:r>
      <w:r>
        <w:rPr>
          <w:spacing w:val="-3"/>
        </w:rPr>
        <w:t>项。</w:t>
      </w:r>
    </w:p>
    <w:p>
      <w:pPr>
        <w:pStyle w:val="BodyText"/>
        <w:spacing w:line="300" w:lineRule="auto" w:before="12"/>
        <w:ind w:left="512" w:right="0"/>
        <w:jc w:val="left"/>
      </w:pPr>
      <w:r>
        <w:rPr>
          <w:rFonts w:ascii="Times New Roman" w:hAnsi="Times New Roman" w:cs="Times New Roman" w:eastAsia="Times New Roman" w:hint="default"/>
          <w:b/>
          <w:bCs/>
        </w:rPr>
        <w:t>2</w:t>
      </w:r>
      <w:r>
        <w:rPr>
          <w:rFonts w:ascii="宋体" w:hAnsi="宋体" w:cs="宋体" w:eastAsia="宋体" w:hint="default"/>
          <w:b/>
          <w:bCs/>
        </w:rPr>
        <w:t>、行业经验及客户优势</w:t>
      </w:r>
      <w:r>
        <w:rPr>
          <w:rFonts w:ascii="宋体" w:hAnsi="宋体" w:cs="宋体" w:eastAsia="宋体" w:hint="default"/>
          <w:b/>
          <w:bCs/>
          <w:spacing w:val="-88"/>
        </w:rPr>
        <w:t> </w:t>
      </w:r>
      <w:r>
        <w:rPr>
          <w:rFonts w:ascii="宋体" w:hAnsi="宋体" w:cs="宋体" w:eastAsia="宋体" w:hint="default"/>
          <w:b/>
          <w:bCs/>
          <w:spacing w:val="-88"/>
        </w:rPr>
      </w:r>
      <w:r>
        <w:rPr>
          <w:spacing w:val="-4"/>
        </w:rPr>
        <w:t>公司长期专注于为政企客户提供信息化综合解决方案，主要服务对象为国内政府机关、事业单位、电信运营商及各类行</w:t>
      </w:r>
    </w:p>
    <w:p>
      <w:pPr>
        <w:pStyle w:val="BodyText"/>
        <w:spacing w:line="309" w:lineRule="auto" w:before="31"/>
        <w:ind w:right="184"/>
        <w:jc w:val="both"/>
      </w:pPr>
      <w:r>
        <w:rPr>
          <w:spacing w:val="-4"/>
        </w:rPr>
        <w:t>业大中型企业等。公司业务已覆盖</w:t>
      </w:r>
      <w:r>
        <w:rPr>
          <w:rFonts w:ascii="Times New Roman" w:hAnsi="Times New Roman" w:cs="Times New Roman" w:eastAsia="Times New Roman" w:hint="default"/>
          <w:spacing w:val="-4"/>
        </w:rPr>
        <w:t>15</w:t>
      </w:r>
      <w:r>
        <w:rPr>
          <w:spacing w:val="-4"/>
        </w:rPr>
        <w:t>个省，已为国家部委、省、市、县级单位等数千家客户提供了服务，积累了丰富的项目</w:t>
      </w:r>
      <w:r>
        <w:rPr>
          <w:spacing w:val="43"/>
        </w:rPr>
        <w:t> </w:t>
      </w:r>
      <w:r>
        <w:rPr>
          <w:spacing w:val="43"/>
        </w:rPr>
      </w:r>
      <w:r>
        <w:rPr>
          <w:spacing w:val="-4"/>
        </w:rPr>
        <w:t>实施经验与客户资源，不仅有利于公司客户结构的进一步优化，也为公司跨地域跨行业的市场拓展奠定了基础。而公司客户</w:t>
      </w:r>
      <w:r>
        <w:rPr>
          <w:spacing w:val="43"/>
        </w:rPr>
        <w:t> </w:t>
      </w:r>
      <w:r>
        <w:rPr>
          <w:spacing w:val="43"/>
        </w:rPr>
      </w:r>
      <w:r>
        <w:rPr>
          <w:spacing w:val="-3"/>
        </w:rPr>
        <w:t>对应用软件的安全性、稳定性要求较高，更加关注公司的成功案例，行业经验壁垒较高。</w:t>
      </w:r>
    </w:p>
    <w:p>
      <w:pPr>
        <w:pStyle w:val="BodyText"/>
        <w:spacing w:line="300" w:lineRule="auto" w:before="24"/>
        <w:ind w:left="512" w:right="0"/>
        <w:jc w:val="left"/>
      </w:pPr>
      <w:r>
        <w:rPr>
          <w:rFonts w:ascii="Times New Roman" w:hAnsi="Times New Roman" w:cs="Times New Roman" w:eastAsia="Times New Roman" w:hint="default"/>
          <w:b/>
          <w:bCs/>
        </w:rPr>
        <w:t>3</w:t>
      </w:r>
      <w:r>
        <w:rPr>
          <w:rFonts w:ascii="宋体" w:hAnsi="宋体" w:cs="宋体" w:eastAsia="宋体" w:hint="default"/>
          <w:b/>
          <w:bCs/>
        </w:rPr>
        <w:t>、产品和服务优势</w:t>
      </w:r>
      <w:r>
        <w:rPr>
          <w:rFonts w:ascii="宋体" w:hAnsi="宋体" w:cs="宋体" w:eastAsia="宋体" w:hint="default"/>
          <w:b/>
          <w:bCs/>
          <w:spacing w:val="-86"/>
        </w:rPr>
        <w:t> </w:t>
      </w:r>
      <w:r>
        <w:rPr>
          <w:rFonts w:ascii="宋体" w:hAnsi="宋体" w:cs="宋体" w:eastAsia="宋体" w:hint="default"/>
          <w:b/>
          <w:bCs/>
          <w:spacing w:val="-86"/>
        </w:rPr>
      </w:r>
      <w:r>
        <w:rPr>
          <w:spacing w:val="-4"/>
        </w:rPr>
        <w:t>公司从早期的应用软件开发与系统集成，到当前着力推进的云平台建设、大数据平台建设，积累了充分的软件开发案例</w:t>
      </w:r>
    </w:p>
    <w:p>
      <w:pPr>
        <w:pStyle w:val="BodyText"/>
        <w:spacing w:line="316" w:lineRule="auto" w:before="31"/>
        <w:ind w:right="184"/>
        <w:jc w:val="both"/>
      </w:pPr>
      <w:r>
        <w:rPr>
          <w:spacing w:val="-4"/>
        </w:rPr>
        <w:t>和系统平台库，开发了面向智慧政务和智慧企业各领域的综合信息化解决方案体系，能够覆盖政企客户智慧化建设中的大多</w:t>
      </w:r>
      <w:r>
        <w:rPr>
          <w:spacing w:val="43"/>
        </w:rPr>
        <w:t> </w:t>
      </w:r>
      <w:r>
        <w:rPr>
          <w:spacing w:val="43"/>
        </w:rPr>
      </w:r>
      <w:r>
        <w:rPr/>
        <w:t>数问题。</w:t>
      </w:r>
    </w:p>
    <w:p>
      <w:pPr>
        <w:pStyle w:val="BodyText"/>
        <w:spacing w:line="312" w:lineRule="auto" w:before="19"/>
        <w:ind w:right="184" w:firstLine="360"/>
        <w:jc w:val="both"/>
      </w:pPr>
      <w:r>
        <w:rPr>
          <w:spacing w:val="-4"/>
        </w:rPr>
        <w:t>公司经过和政企客户数十年的长期合作，形成了一套针对不同客户的服务流程优势。这套流程包括客户的前期需求挖掘</w:t>
      </w:r>
      <w:r>
        <w:rPr>
          <w:w w:val="101"/>
        </w:rPr>
        <w:t> </w:t>
      </w:r>
      <w:r>
        <w:rPr>
          <w:spacing w:val="-4"/>
        </w:rPr>
        <w:t>和需求分析、到中期的项目实施和持续改善、再到后期的无缝</w:t>
      </w:r>
      <w:r>
        <w:rPr>
          <w:rFonts w:ascii="Times New Roman" w:hAnsi="Times New Roman" w:cs="Times New Roman" w:eastAsia="Times New Roman" w:hint="default"/>
          <w:spacing w:val="-4"/>
        </w:rPr>
        <w:t>IT</w:t>
      </w:r>
      <w:r>
        <w:rPr>
          <w:spacing w:val="-4"/>
        </w:rPr>
        <w:t>运维。公司奉行本地化服务原则，在项目所在地设立本地化</w:t>
      </w:r>
      <w:r>
        <w:rPr>
          <w:spacing w:val="48"/>
        </w:rPr>
        <w:t> </w:t>
      </w:r>
      <w:r>
        <w:rPr>
          <w:spacing w:val="48"/>
        </w:rPr>
      </w:r>
      <w:r>
        <w:rPr>
          <w:spacing w:val="-4"/>
        </w:rPr>
        <w:t>的服务团队，根据客户需求进行产品改进和技术升级，这种突出本地化服务市场定位，既赢得了客户口碑，也获得了较高的</w:t>
      </w:r>
      <w:r>
        <w:rPr>
          <w:spacing w:val="40"/>
        </w:rPr>
        <w:t> </w:t>
      </w:r>
      <w:r>
        <w:rPr>
          <w:spacing w:val="40"/>
        </w:rPr>
      </w:r>
      <w:r>
        <w:rPr>
          <w:spacing w:val="-3"/>
        </w:rPr>
        <w:t>客户认可。</w:t>
      </w:r>
      <w:r>
        <w:rPr/>
      </w:r>
    </w:p>
    <w:p>
      <w:pPr>
        <w:pStyle w:val="BodyText"/>
        <w:spacing w:line="300" w:lineRule="auto" w:before="22"/>
        <w:ind w:left="512" w:right="0"/>
        <w:jc w:val="left"/>
      </w:pPr>
      <w:r>
        <w:rPr>
          <w:rFonts w:ascii="Times New Roman" w:hAnsi="Times New Roman" w:cs="Times New Roman" w:eastAsia="Times New Roman" w:hint="default"/>
          <w:b/>
          <w:bCs/>
        </w:rPr>
        <w:t>4</w:t>
      </w:r>
      <w:r>
        <w:rPr>
          <w:rFonts w:ascii="宋体" w:hAnsi="宋体" w:cs="宋体" w:eastAsia="宋体" w:hint="default"/>
          <w:b/>
          <w:bCs/>
        </w:rPr>
        <w:t>、人才优势</w:t>
      </w:r>
      <w:r>
        <w:rPr>
          <w:rFonts w:ascii="宋体" w:hAnsi="宋体" w:cs="宋体" w:eastAsia="宋体" w:hint="default"/>
          <w:b/>
          <w:bCs/>
          <w:spacing w:val="-87"/>
        </w:rPr>
        <w:t> </w:t>
      </w:r>
      <w:r>
        <w:rPr>
          <w:spacing w:val="-5"/>
          <w:w w:val="101"/>
        </w:rPr>
        <w:t>公司从成立至今一直注重核心研发团队的建设及各专业人才梯队的培养，目前已经形成了一支结构合理的高素质人才团</w:t>
      </w:r>
      <w:r>
        <w:rPr/>
      </w:r>
    </w:p>
    <w:p>
      <w:pPr>
        <w:pStyle w:val="BodyText"/>
        <w:spacing w:line="240" w:lineRule="auto" w:before="31"/>
        <w:ind w:right="0"/>
        <w:jc w:val="both"/>
      </w:pPr>
      <w:r>
        <w:rPr/>
        <w:t>队。</w:t>
      </w:r>
    </w:p>
    <w:p>
      <w:pPr>
        <w:pStyle w:val="BodyText"/>
        <w:spacing w:line="316" w:lineRule="auto" w:before="76"/>
        <w:ind w:right="184" w:firstLine="360"/>
        <w:jc w:val="both"/>
      </w:pPr>
      <w:r>
        <w:rPr>
          <w:spacing w:val="-5"/>
        </w:rPr>
        <w:t>公司核心研发及管理团队由多名教授、副教授、高工和资深专业人士组成，成员均具备十年以上的业务与管理经验，对</w:t>
      </w:r>
      <w:r>
        <w:rPr>
          <w:w w:val="101"/>
        </w:rPr>
        <w:t> </w:t>
      </w:r>
      <w:r>
        <w:rPr>
          <w:spacing w:val="-3"/>
        </w:rPr>
        <w:t>行业技术前沿及发展动态有着清晰的认知，能够及时根据行业发展趋势调整公司研发重心及战略发展布局。</w:t>
      </w:r>
    </w:p>
    <w:p>
      <w:pPr>
        <w:pStyle w:val="BodyText"/>
        <w:spacing w:line="307" w:lineRule="auto" w:before="19"/>
        <w:ind w:right="184" w:firstLine="360"/>
        <w:jc w:val="both"/>
      </w:pPr>
      <w:r>
        <w:rPr>
          <w:spacing w:val="-4"/>
        </w:rPr>
        <w:t>公司努力营造优良的技术创新环境，通过一系列的制度建设及激励措施，打造人才成长沃土，培养了一大批技术骨干及</w:t>
      </w:r>
      <w:r>
        <w:rPr>
          <w:w w:val="101"/>
        </w:rPr>
        <w:t> </w:t>
      </w:r>
      <w:r>
        <w:rPr>
          <w:spacing w:val="-4"/>
        </w:rPr>
        <w:t>优秀科研人才，其中包括多名高级程序员、信息系统分析师、信息系统架构师、信息系统项目管理师、微软</w:t>
      </w:r>
      <w:r>
        <w:rPr>
          <w:rFonts w:ascii="Times New Roman" w:hAnsi="Times New Roman" w:cs="Times New Roman" w:eastAsia="Times New Roman" w:hint="default"/>
          <w:spacing w:val="-4"/>
        </w:rPr>
        <w:t>ORACLE</w:t>
      </w:r>
      <w:r>
        <w:rPr>
          <w:spacing w:val="-4"/>
        </w:rPr>
        <w:t>认证专</w:t>
      </w:r>
      <w:r>
        <w:rPr>
          <w:spacing w:val="40"/>
        </w:rPr>
        <w:t> </w:t>
      </w:r>
      <w:r>
        <w:rPr>
          <w:spacing w:val="-5"/>
          <w:w w:val="101"/>
        </w:rPr>
        <w:t>家（</w:t>
      </w:r>
      <w:r>
        <w:rPr>
          <w:rFonts w:ascii="Times New Roman" w:hAnsi="Times New Roman" w:cs="Times New Roman" w:eastAsia="Times New Roman" w:hint="default"/>
          <w:spacing w:val="-5"/>
          <w:w w:val="101"/>
        </w:rPr>
        <w:t>DBA</w:t>
      </w:r>
      <w:r>
        <w:rPr>
          <w:spacing w:val="-5"/>
          <w:w w:val="101"/>
        </w:rPr>
        <w:t>）、</w:t>
      </w:r>
      <w:r>
        <w:rPr>
          <w:rFonts w:ascii="Times New Roman" w:hAnsi="Times New Roman" w:cs="Times New Roman" w:eastAsia="Times New Roman" w:hint="default"/>
          <w:spacing w:val="-5"/>
          <w:w w:val="101"/>
        </w:rPr>
        <w:t>CISCO</w:t>
      </w:r>
      <w:r>
        <w:rPr>
          <w:spacing w:val="-5"/>
          <w:w w:val="101"/>
        </w:rPr>
        <w:t>认证工程师等，完善的人才培养机制及丰富的人才储备既是公司研发实力的基础，也是公司市场竞争优</w:t>
      </w:r>
      <w:r>
        <w:rPr>
          <w:spacing w:val="-43"/>
          <w:w w:val="101"/>
        </w:rPr>
        <w:t> </w:t>
      </w:r>
      <w:r>
        <w:rPr>
          <w:spacing w:val="-43"/>
          <w:w w:val="101"/>
        </w:rPr>
      </w:r>
      <w:r>
        <w:rPr>
          <w:spacing w:val="-3"/>
        </w:rPr>
        <w:t>势的源泉。</w:t>
      </w:r>
      <w:r>
        <w:rPr/>
      </w:r>
    </w:p>
    <w:p>
      <w:pPr>
        <w:pStyle w:val="BodyText"/>
        <w:spacing w:line="300" w:lineRule="auto" w:before="25"/>
        <w:ind w:left="512" w:right="0"/>
        <w:jc w:val="left"/>
      </w:pPr>
      <w:r>
        <w:rPr>
          <w:rFonts w:ascii="Times New Roman" w:hAnsi="Times New Roman" w:cs="Times New Roman" w:eastAsia="Times New Roman" w:hint="default"/>
          <w:b/>
          <w:bCs/>
        </w:rPr>
        <w:t>5</w:t>
      </w:r>
      <w:r>
        <w:rPr>
          <w:rFonts w:ascii="宋体" w:hAnsi="宋体" w:cs="宋体" w:eastAsia="宋体" w:hint="default"/>
          <w:b/>
          <w:bCs/>
        </w:rPr>
        <w:t>、资质优势</w:t>
      </w:r>
      <w:r>
        <w:rPr>
          <w:rFonts w:ascii="宋体" w:hAnsi="宋体" w:cs="宋体" w:eastAsia="宋体" w:hint="default"/>
          <w:b/>
          <w:bCs/>
          <w:spacing w:val="-87"/>
        </w:rPr>
        <w:t> </w:t>
      </w:r>
      <w:r>
        <w:rPr>
          <w:spacing w:val="-12"/>
          <w:w w:val="101"/>
        </w:rPr>
        <w:t>经过多年的研发投入及经验积累，公司目前已拥有了</w:t>
      </w:r>
      <w:r>
        <w:rPr>
          <w:rFonts w:ascii="宋体" w:hAnsi="宋体" w:cs="宋体" w:eastAsia="宋体" w:hint="default"/>
          <w:spacing w:val="-12"/>
          <w:w w:val="101"/>
        </w:rPr>
        <w:t>“</w:t>
      </w:r>
      <w:r>
        <w:rPr>
          <w:rFonts w:ascii="Times New Roman" w:hAnsi="Times New Roman" w:cs="Times New Roman" w:eastAsia="Times New Roman" w:hint="default"/>
          <w:spacing w:val="-12"/>
          <w:w w:val="101"/>
        </w:rPr>
        <w:t>CMMI5</w:t>
      </w:r>
      <w:r>
        <w:rPr>
          <w:spacing w:val="-12"/>
          <w:w w:val="101"/>
        </w:rPr>
        <w:t>认证</w:t>
      </w:r>
      <w:r>
        <w:rPr>
          <w:rFonts w:ascii="宋体" w:hAnsi="宋体" w:cs="宋体" w:eastAsia="宋体" w:hint="default"/>
          <w:spacing w:val="-12"/>
          <w:w w:val="101"/>
        </w:rPr>
        <w:t>”</w:t>
      </w:r>
      <w:r>
        <w:rPr>
          <w:spacing w:val="-12"/>
          <w:w w:val="101"/>
        </w:rPr>
        <w:t>、</w:t>
      </w:r>
      <w:r>
        <w:rPr>
          <w:rFonts w:ascii="宋体" w:hAnsi="宋体" w:cs="宋体" w:eastAsia="宋体" w:hint="default"/>
          <w:spacing w:val="-12"/>
          <w:w w:val="101"/>
        </w:rPr>
        <w:t>“</w:t>
      </w:r>
      <w:r>
        <w:rPr>
          <w:spacing w:val="-12"/>
          <w:w w:val="101"/>
        </w:rPr>
        <w:t>信息系统集成及服务资质（壹级）</w:t>
      </w:r>
      <w:r>
        <w:rPr>
          <w:rFonts w:ascii="宋体" w:hAnsi="宋体" w:cs="宋体" w:eastAsia="宋体" w:hint="default"/>
          <w:spacing w:val="-12"/>
          <w:w w:val="101"/>
        </w:rPr>
        <w:t>”</w:t>
      </w:r>
      <w:r>
        <w:rPr>
          <w:spacing w:val="-12"/>
          <w:w w:val="101"/>
        </w:rPr>
        <w:t>、</w:t>
      </w:r>
      <w:r>
        <w:rPr>
          <w:rFonts w:ascii="宋体" w:hAnsi="宋体" w:cs="宋体" w:eastAsia="宋体" w:hint="default"/>
          <w:spacing w:val="-12"/>
          <w:w w:val="101"/>
        </w:rPr>
        <w:t>“</w:t>
      </w:r>
      <w:r>
        <w:rPr>
          <w:spacing w:val="-12"/>
          <w:w w:val="101"/>
        </w:rPr>
        <w:t>涉密信息</w:t>
      </w:r>
      <w:r>
        <w:rPr/>
      </w:r>
    </w:p>
    <w:p>
      <w:pPr>
        <w:pStyle w:val="BodyText"/>
        <w:spacing w:line="312" w:lineRule="auto" w:before="13"/>
        <w:ind w:left="153" w:right="184" w:hanging="1"/>
        <w:jc w:val="both"/>
      </w:pPr>
      <w:r>
        <w:rPr>
          <w:spacing w:val="-13"/>
          <w:w w:val="101"/>
        </w:rPr>
        <w:t>系统集成资质证书</w:t>
      </w:r>
      <w:r>
        <w:rPr>
          <w:rFonts w:ascii="Times New Roman" w:hAnsi="Times New Roman" w:cs="Times New Roman" w:eastAsia="Times New Roman" w:hint="default"/>
          <w:spacing w:val="-13"/>
          <w:w w:val="101"/>
        </w:rPr>
        <w:t>-</w:t>
      </w:r>
      <w:r>
        <w:rPr>
          <w:spacing w:val="-13"/>
          <w:w w:val="101"/>
        </w:rPr>
        <w:t>系统集成（乙级）</w:t>
      </w:r>
      <w:r>
        <w:rPr>
          <w:rFonts w:ascii="宋体" w:hAnsi="宋体" w:cs="宋体" w:eastAsia="宋体" w:hint="default"/>
          <w:spacing w:val="-13"/>
          <w:w w:val="101"/>
        </w:rPr>
        <w:t>”</w:t>
      </w:r>
      <w:r>
        <w:rPr>
          <w:spacing w:val="-13"/>
          <w:w w:val="101"/>
        </w:rPr>
        <w:t>、</w:t>
      </w:r>
      <w:r>
        <w:rPr>
          <w:rFonts w:ascii="宋体" w:hAnsi="宋体" w:cs="宋体" w:eastAsia="宋体" w:hint="default"/>
          <w:spacing w:val="-13"/>
          <w:w w:val="101"/>
        </w:rPr>
        <w:t>“</w:t>
      </w:r>
      <w:r>
        <w:rPr>
          <w:spacing w:val="-13"/>
          <w:w w:val="101"/>
        </w:rPr>
        <w:t>涉密信息系统集成资质证书</w:t>
      </w:r>
      <w:r>
        <w:rPr>
          <w:rFonts w:ascii="Times New Roman" w:hAnsi="Times New Roman" w:cs="Times New Roman" w:eastAsia="Times New Roman" w:hint="default"/>
          <w:spacing w:val="-13"/>
          <w:w w:val="101"/>
        </w:rPr>
        <w:t>-</w:t>
      </w:r>
      <w:r>
        <w:rPr>
          <w:spacing w:val="-13"/>
          <w:w w:val="101"/>
        </w:rPr>
        <w:t>软件开发、运行维护（乙级）</w:t>
      </w:r>
      <w:r>
        <w:rPr>
          <w:rFonts w:ascii="宋体" w:hAnsi="宋体" w:cs="宋体" w:eastAsia="宋体" w:hint="default"/>
          <w:spacing w:val="-13"/>
          <w:w w:val="101"/>
        </w:rPr>
        <w:t>”</w:t>
      </w:r>
      <w:r>
        <w:rPr>
          <w:spacing w:val="-13"/>
          <w:w w:val="101"/>
        </w:rPr>
        <w:t>、</w:t>
      </w:r>
      <w:r>
        <w:rPr>
          <w:rFonts w:ascii="宋体" w:hAnsi="宋体" w:cs="宋体" w:eastAsia="宋体" w:hint="default"/>
          <w:spacing w:val="-13"/>
          <w:w w:val="101"/>
        </w:rPr>
        <w:t>“</w:t>
      </w:r>
      <w:r>
        <w:rPr>
          <w:spacing w:val="-13"/>
          <w:w w:val="101"/>
        </w:rPr>
        <w:t>声频工程企业综合技</w:t>
      </w:r>
      <w:r>
        <w:rPr>
          <w:spacing w:val="-51"/>
          <w:w w:val="101"/>
        </w:rPr>
        <w:t> </w:t>
      </w:r>
      <w:r>
        <w:rPr>
          <w:spacing w:val="-51"/>
          <w:w w:val="101"/>
        </w:rPr>
      </w:r>
      <w:r>
        <w:rPr>
          <w:spacing w:val="-14"/>
          <w:w w:val="101"/>
        </w:rPr>
        <w:t>术登记证书（壹级）</w:t>
      </w:r>
      <w:r>
        <w:rPr>
          <w:rFonts w:ascii="宋体" w:hAnsi="宋体" w:cs="宋体" w:eastAsia="宋体" w:hint="default"/>
          <w:spacing w:val="-14"/>
          <w:w w:val="101"/>
        </w:rPr>
        <w:t>”</w:t>
      </w:r>
      <w:r>
        <w:rPr>
          <w:spacing w:val="-14"/>
          <w:w w:val="101"/>
        </w:rPr>
        <w:t>、</w:t>
      </w:r>
      <w:r>
        <w:rPr>
          <w:rFonts w:ascii="宋体" w:hAnsi="宋体" w:cs="宋体" w:eastAsia="宋体" w:hint="default"/>
          <w:spacing w:val="-14"/>
          <w:w w:val="101"/>
        </w:rPr>
        <w:t>“</w:t>
      </w:r>
      <w:r>
        <w:rPr>
          <w:spacing w:val="-14"/>
          <w:w w:val="101"/>
        </w:rPr>
        <w:t>建筑智能化工程专业承包证书（贰级）</w:t>
      </w:r>
      <w:r>
        <w:rPr>
          <w:rFonts w:ascii="宋体" w:hAnsi="宋体" w:cs="宋体" w:eastAsia="宋体" w:hint="default"/>
          <w:spacing w:val="-14"/>
          <w:w w:val="101"/>
        </w:rPr>
        <w:t>”</w:t>
      </w:r>
      <w:r>
        <w:rPr>
          <w:spacing w:val="-14"/>
          <w:w w:val="101"/>
        </w:rPr>
        <w:t>、</w:t>
      </w:r>
      <w:r>
        <w:rPr>
          <w:rFonts w:ascii="宋体" w:hAnsi="宋体" w:cs="宋体" w:eastAsia="宋体" w:hint="default"/>
          <w:spacing w:val="-14"/>
          <w:w w:val="101"/>
        </w:rPr>
        <w:t>“</w:t>
      </w:r>
      <w:r>
        <w:rPr>
          <w:spacing w:val="-14"/>
          <w:w w:val="101"/>
        </w:rPr>
        <w:t>测绘资质证书乙级</w:t>
      </w:r>
      <w:r>
        <w:rPr>
          <w:rFonts w:ascii="宋体" w:hAnsi="宋体" w:cs="宋体" w:eastAsia="宋体" w:hint="default"/>
          <w:spacing w:val="-14"/>
          <w:w w:val="101"/>
        </w:rPr>
        <w:t>”</w:t>
      </w:r>
      <w:r>
        <w:rPr>
          <w:spacing w:val="-14"/>
          <w:w w:val="101"/>
        </w:rPr>
        <w:t>等多项资质。行业后进入者欲取得上</w:t>
      </w:r>
      <w:r>
        <w:rPr>
          <w:spacing w:val="-64"/>
          <w:w w:val="101"/>
        </w:rPr>
        <w:t> </w:t>
      </w:r>
      <w:r>
        <w:rPr>
          <w:spacing w:val="-64"/>
          <w:w w:val="101"/>
        </w:rPr>
      </w:r>
      <w:r>
        <w:rPr>
          <w:spacing w:val="-4"/>
        </w:rPr>
        <w:t>述资质，需要较长的经验积累及持续改进周期。上述资质的取得，既是公司承接各类相关业务的先决条件，也是公司整体实</w:t>
      </w:r>
      <w:r>
        <w:rPr>
          <w:spacing w:val="39"/>
        </w:rPr>
        <w:t> </w:t>
      </w:r>
      <w:r>
        <w:rPr>
          <w:spacing w:val="39"/>
        </w:rPr>
      </w:r>
      <w:r>
        <w:rPr>
          <w:spacing w:val="-3"/>
        </w:rPr>
        <w:t>力的体现。</w:t>
      </w:r>
      <w:r>
        <w:rPr/>
      </w:r>
    </w:p>
    <w:p>
      <w:pPr>
        <w:spacing w:after="0" w:line="312" w:lineRule="auto"/>
        <w:jc w:val="both"/>
        <w:sectPr>
          <w:pgSz w:w="11910" w:h="16840"/>
          <w:pgMar w:header="784" w:footer="1027" w:top="1100" w:bottom="1220" w:left="980" w:right="940"/>
        </w:sectPr>
      </w:pPr>
    </w:p>
    <w:p>
      <w:pPr>
        <w:spacing w:line="240" w:lineRule="auto" w:before="10"/>
        <w:rPr>
          <w:rFonts w:ascii="宋体" w:hAnsi="宋体" w:cs="宋体" w:eastAsia="宋体" w:hint="default"/>
          <w:sz w:val="22"/>
          <w:szCs w:val="22"/>
        </w:rPr>
      </w:pPr>
    </w:p>
    <w:p>
      <w:pPr>
        <w:pStyle w:val="BodyText"/>
        <w:spacing w:line="300" w:lineRule="auto" w:before="46"/>
        <w:ind w:left="512" w:right="0"/>
        <w:jc w:val="left"/>
      </w:pPr>
      <w:r>
        <w:rPr>
          <w:rFonts w:ascii="Times New Roman" w:hAnsi="Times New Roman" w:cs="Times New Roman" w:eastAsia="Times New Roman" w:hint="default"/>
          <w:b/>
          <w:bCs/>
        </w:rPr>
        <w:t>6</w:t>
      </w:r>
      <w:r>
        <w:rPr>
          <w:rFonts w:ascii="宋体" w:hAnsi="宋体" w:cs="宋体" w:eastAsia="宋体" w:hint="default"/>
          <w:b/>
          <w:bCs/>
        </w:rPr>
        <w:t>、先发优势</w:t>
      </w:r>
      <w:r>
        <w:rPr>
          <w:rFonts w:ascii="宋体" w:hAnsi="宋体" w:cs="宋体" w:eastAsia="宋体" w:hint="default"/>
          <w:b/>
          <w:bCs/>
          <w:spacing w:val="-87"/>
        </w:rPr>
        <w:t> </w:t>
      </w:r>
      <w:r>
        <w:rPr>
          <w:spacing w:val="-4"/>
        </w:rPr>
        <w:t>公司自创业之初即定位于为政企客户提供软件开发、软硬件系统集成以及</w:t>
      </w:r>
      <w:r>
        <w:rPr>
          <w:rFonts w:ascii="Times New Roman" w:hAnsi="Times New Roman" w:cs="Times New Roman" w:eastAsia="Times New Roman" w:hint="default"/>
          <w:spacing w:val="-4"/>
        </w:rPr>
        <w:t>IT</w:t>
      </w:r>
      <w:r>
        <w:rPr>
          <w:spacing w:val="-4"/>
        </w:rPr>
        <w:t>服务支持。经过多年的研究创新，公司已掌</w:t>
      </w:r>
      <w:r>
        <w:rPr/>
      </w:r>
    </w:p>
    <w:p>
      <w:pPr>
        <w:pStyle w:val="BodyText"/>
        <w:spacing w:line="316" w:lineRule="auto" w:before="13"/>
        <w:ind w:right="144"/>
        <w:jc w:val="both"/>
      </w:pPr>
      <w:r>
        <w:rPr>
          <w:spacing w:val="-4"/>
        </w:rPr>
        <w:t>握了云计算、大数据等领域中的核心技术，形成了多层次的信息化综合解决方案体系，客户覆盖多省市政府机关及公安、财</w:t>
      </w:r>
      <w:r>
        <w:rPr>
          <w:spacing w:val="40"/>
        </w:rPr>
        <w:t> </w:t>
      </w:r>
      <w:r>
        <w:rPr>
          <w:spacing w:val="40"/>
        </w:rPr>
      </w:r>
      <w:r>
        <w:rPr>
          <w:spacing w:val="-5"/>
        </w:rPr>
        <w:t>税、教育、医疗等多类政府部门，同时与电信、玻璃、铁路等多行业领域龙头企业建立了长期的合作关系。这些细分行业领</w:t>
      </w:r>
      <w:r>
        <w:rPr>
          <w:spacing w:val="4"/>
        </w:rPr>
        <w:t> </w:t>
      </w:r>
      <w:r>
        <w:rPr>
          <w:spacing w:val="4"/>
        </w:rPr>
      </w:r>
      <w:r>
        <w:rPr>
          <w:spacing w:val="-4"/>
        </w:rPr>
        <w:t>域的行业应用软件由于专业性较强，需要较长时间的行业积累，形成了比较强的进入壁垒，后来的软件公司很难进入该部分</w:t>
      </w:r>
      <w:r>
        <w:rPr>
          <w:spacing w:val="42"/>
        </w:rPr>
        <w:t> </w:t>
      </w:r>
      <w:r>
        <w:rPr>
          <w:spacing w:val="42"/>
        </w:rPr>
      </w:r>
      <w:r>
        <w:rPr>
          <w:spacing w:val="-3"/>
        </w:rPr>
        <w:t>市场，先进入的公司也容易得到后续业务，公司积累的行业经验与先发优势形成了核心竞争力。</w:t>
      </w:r>
      <w:r>
        <w:rPr/>
      </w:r>
    </w:p>
    <w:p>
      <w:pPr>
        <w:pStyle w:val="BodyText"/>
        <w:spacing w:line="300" w:lineRule="auto" w:before="18"/>
        <w:ind w:left="512" w:right="0"/>
        <w:jc w:val="left"/>
      </w:pPr>
      <w:r>
        <w:rPr>
          <w:rFonts w:ascii="Times New Roman" w:hAnsi="Times New Roman" w:cs="Times New Roman" w:eastAsia="Times New Roman" w:hint="default"/>
          <w:b/>
          <w:bCs/>
        </w:rPr>
        <w:t>7</w:t>
      </w:r>
      <w:r>
        <w:rPr>
          <w:rFonts w:ascii="宋体" w:hAnsi="宋体" w:cs="宋体" w:eastAsia="宋体" w:hint="default"/>
          <w:b/>
          <w:bCs/>
        </w:rPr>
        <w:t>、规模及品牌优势</w:t>
      </w:r>
      <w:r>
        <w:rPr>
          <w:rFonts w:ascii="宋体" w:hAnsi="宋体" w:cs="宋体" w:eastAsia="宋体" w:hint="default"/>
          <w:b/>
          <w:bCs/>
          <w:spacing w:val="-86"/>
        </w:rPr>
        <w:t> </w:t>
      </w:r>
      <w:r>
        <w:rPr>
          <w:rFonts w:ascii="宋体" w:hAnsi="宋体" w:cs="宋体" w:eastAsia="宋体" w:hint="default"/>
          <w:b/>
          <w:bCs/>
          <w:spacing w:val="-86"/>
        </w:rPr>
      </w:r>
      <w:r>
        <w:rPr>
          <w:spacing w:val="-4"/>
        </w:rPr>
        <w:t>同湖南省内本土可比公司相较，公司在业务规模、历史项目经验上具有领先优势，凭借在湖南省内成功实施的系列项目</w:t>
      </w:r>
    </w:p>
    <w:p>
      <w:pPr>
        <w:pStyle w:val="BodyText"/>
        <w:spacing w:line="240" w:lineRule="auto" w:before="31"/>
        <w:ind w:right="0"/>
        <w:jc w:val="both"/>
      </w:pPr>
      <w:r>
        <w:rPr>
          <w:spacing w:val="-3"/>
        </w:rPr>
        <w:t>的示范效应，在对外宣传、业务承接等方面相较于区域内可比企业来说公司占据良好的商业先机。</w:t>
      </w:r>
    </w:p>
    <w:p>
      <w:pPr>
        <w:spacing w:after="0" w:line="240" w:lineRule="auto"/>
        <w:jc w:val="both"/>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965"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0" w:lineRule="auto"/>
        <w:ind w:right="0" w:firstLine="359"/>
        <w:jc w:val="left"/>
      </w:pPr>
      <w:r>
        <w:rPr>
          <w:rFonts w:ascii="Times New Roman" w:hAnsi="Times New Roman" w:cs="Times New Roman" w:eastAsia="Times New Roman" w:hint="default"/>
          <w:spacing w:val="-4"/>
        </w:rPr>
        <w:t>2017</w:t>
      </w:r>
      <w:r>
        <w:rPr>
          <w:spacing w:val="-4"/>
        </w:rPr>
        <w:t>年，公司传统业务与创新业务齐头并进，以创新为基础，市场需求为导向，通过以智慧政务、智慧企业解决方案为</w:t>
      </w:r>
      <w:r>
        <w:rPr>
          <w:w w:val="101"/>
        </w:rPr>
        <w:t> </w:t>
      </w:r>
      <w:r>
        <w:rPr>
          <w:spacing w:val="-3"/>
        </w:rPr>
        <w:t>核心的内涵式发展和以产业链合作的外延式发展相结合，不断提高传统业务的盈利率和市场占有率。</w:t>
      </w:r>
      <w:r>
        <w:rPr/>
      </w:r>
    </w:p>
    <w:p>
      <w:pPr>
        <w:pStyle w:val="BodyText"/>
        <w:spacing w:line="300" w:lineRule="auto" w:before="31"/>
        <w:ind w:right="0" w:firstLine="360"/>
        <w:jc w:val="left"/>
      </w:pPr>
      <w:r>
        <w:rPr>
          <w:spacing w:val="-3"/>
        </w:rPr>
        <w:t>报告期内，公司实现营业收入</w:t>
      </w:r>
      <w:r>
        <w:rPr>
          <w:rFonts w:ascii="Times New Roman" w:hAnsi="Times New Roman" w:cs="Times New Roman" w:eastAsia="Times New Roman" w:hint="default"/>
          <w:spacing w:val="-3"/>
        </w:rPr>
        <w:t>30,742.35</w:t>
      </w:r>
      <w:r>
        <w:rPr>
          <w:spacing w:val="-3"/>
        </w:rPr>
        <w:t>万元，同比增长</w:t>
      </w:r>
      <w:r>
        <w:rPr>
          <w:rFonts w:ascii="Times New Roman" w:hAnsi="Times New Roman" w:cs="Times New Roman" w:eastAsia="Times New Roman" w:hint="default"/>
          <w:spacing w:val="-3"/>
        </w:rPr>
        <w:t>13.26%</w:t>
      </w:r>
      <w:r>
        <w:rPr>
          <w:spacing w:val="-3"/>
        </w:rPr>
        <w:t>；营业利润</w:t>
      </w:r>
      <w:r>
        <w:rPr>
          <w:rFonts w:ascii="Times New Roman" w:hAnsi="Times New Roman" w:cs="Times New Roman" w:eastAsia="Times New Roman" w:hint="default"/>
          <w:spacing w:val="-3"/>
        </w:rPr>
        <w:t>4,850.62</w:t>
      </w:r>
      <w:r>
        <w:rPr>
          <w:spacing w:val="-3"/>
        </w:rPr>
        <w:t>万元，同比增长</w:t>
      </w:r>
      <w:r>
        <w:rPr>
          <w:rFonts w:ascii="Times New Roman" w:hAnsi="Times New Roman" w:cs="Times New Roman" w:eastAsia="Times New Roman" w:hint="default"/>
          <w:spacing w:val="-3"/>
        </w:rPr>
        <w:t>40.02%</w:t>
      </w:r>
      <w:r>
        <w:rPr>
          <w:spacing w:val="-3"/>
        </w:rPr>
        <w:t>；利润总额</w:t>
      </w:r>
      <w:r>
        <w:rPr>
          <w:spacing w:val="-5"/>
          <w:w w:val="101"/>
        </w:rPr>
        <w:t> </w:t>
      </w:r>
      <w:r>
        <w:rPr>
          <w:rFonts w:ascii="Times New Roman" w:hAnsi="Times New Roman" w:cs="Times New Roman" w:eastAsia="Times New Roman" w:hint="default"/>
          <w:spacing w:val="-3"/>
        </w:rPr>
        <w:t>5,228.31</w:t>
      </w:r>
      <w:r>
        <w:rPr>
          <w:spacing w:val="-3"/>
        </w:rPr>
        <w:t>万元，同比增长</w:t>
      </w:r>
      <w:r>
        <w:rPr>
          <w:rFonts w:ascii="Times New Roman" w:hAnsi="Times New Roman" w:cs="Times New Roman" w:eastAsia="Times New Roman" w:hint="default"/>
          <w:spacing w:val="-3"/>
        </w:rPr>
        <w:t>19.33%</w:t>
      </w:r>
      <w:r>
        <w:rPr>
          <w:spacing w:val="-3"/>
        </w:rPr>
        <w:t>；归属于上市公司股东净利润</w:t>
      </w:r>
      <w:r>
        <w:rPr>
          <w:rFonts w:ascii="Times New Roman" w:hAnsi="Times New Roman" w:cs="Times New Roman" w:eastAsia="Times New Roman" w:hint="default"/>
          <w:spacing w:val="-3"/>
        </w:rPr>
        <w:t>4,449.48</w:t>
      </w:r>
      <w:r>
        <w:rPr>
          <w:spacing w:val="-3"/>
        </w:rPr>
        <w:t>万元，同比增长</w:t>
      </w:r>
      <w:r>
        <w:rPr>
          <w:rFonts w:ascii="Times New Roman" w:hAnsi="Times New Roman" w:cs="Times New Roman" w:eastAsia="Times New Roman" w:hint="default"/>
          <w:spacing w:val="-3"/>
        </w:rPr>
        <w:t>18.68%</w:t>
      </w:r>
      <w:r>
        <w:rPr>
          <w:spacing w:val="-3"/>
        </w:rPr>
        <w:t>。 报告期内，公司重点工作回</w:t>
      </w:r>
      <w:r>
        <w:rPr>
          <w:spacing w:val="1"/>
        </w:rPr>
        <w:t> </w:t>
      </w:r>
      <w:r>
        <w:rPr>
          <w:spacing w:val="1"/>
        </w:rPr>
      </w:r>
      <w:r>
        <w:rPr/>
        <w:t>顾：</w:t>
      </w:r>
    </w:p>
    <w:p>
      <w:pPr>
        <w:spacing w:line="300" w:lineRule="auto" w:before="31"/>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、以点带面推进智慧政务布局，始终占据区域市场主导地位</w:t>
      </w:r>
      <w:r>
        <w:rPr>
          <w:rFonts w:ascii="宋体" w:hAnsi="宋体" w:cs="宋体" w:eastAsia="宋体" w:hint="default"/>
          <w:b/>
          <w:bCs/>
          <w:w w:val="100"/>
          <w:sz w:val="18"/>
          <w:szCs w:val="18"/>
        </w:rPr>
        <w:t> </w:t>
      </w:r>
      <w:r>
        <w:rPr>
          <w:rFonts w:ascii="宋体" w:hAnsi="宋体" w:cs="宋体" w:eastAsia="宋体" w:hint="default"/>
          <w:spacing w:val="-3"/>
          <w:sz w:val="18"/>
          <w:szCs w:val="18"/>
        </w:rPr>
        <w:t>报告期内，公司加快</w:t>
      </w:r>
      <w:r>
        <w:rPr>
          <w:rFonts w:ascii="宋体" w:hAnsi="宋体" w:cs="宋体" w:eastAsia="宋体" w:hint="default"/>
          <w:spacing w:val="-3"/>
          <w:sz w:val="18"/>
          <w:szCs w:val="18"/>
        </w:rPr>
        <w:t>“</w:t>
      </w:r>
      <w:r>
        <w:rPr>
          <w:rFonts w:ascii="宋体" w:hAnsi="宋体" w:cs="宋体" w:eastAsia="宋体" w:hint="default"/>
          <w:spacing w:val="-3"/>
          <w:sz w:val="18"/>
          <w:szCs w:val="18"/>
        </w:rPr>
        <w:t>互联网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政务服务</w:t>
      </w:r>
      <w:r>
        <w:rPr>
          <w:rFonts w:ascii="宋体" w:hAnsi="宋体" w:cs="宋体" w:eastAsia="宋体" w:hint="default"/>
          <w:spacing w:val="-3"/>
          <w:sz w:val="18"/>
          <w:szCs w:val="18"/>
        </w:rPr>
        <w:t>”</w:t>
      </w:r>
      <w:r>
        <w:rPr>
          <w:rFonts w:ascii="宋体" w:hAnsi="宋体" w:cs="宋体" w:eastAsia="宋体" w:hint="default"/>
          <w:spacing w:val="-3"/>
          <w:sz w:val="18"/>
          <w:szCs w:val="18"/>
        </w:rPr>
        <w:t>和</w:t>
      </w:r>
      <w:r>
        <w:rPr>
          <w:rFonts w:ascii="宋体" w:hAnsi="宋体" w:cs="宋体" w:eastAsia="宋体" w:hint="default"/>
          <w:spacing w:val="-3"/>
          <w:sz w:val="18"/>
          <w:szCs w:val="18"/>
        </w:rPr>
        <w:t>“</w:t>
      </w:r>
      <w:r>
        <w:rPr>
          <w:rFonts w:ascii="宋体" w:hAnsi="宋体" w:cs="宋体" w:eastAsia="宋体" w:hint="default"/>
          <w:spacing w:val="-3"/>
          <w:sz w:val="18"/>
          <w:szCs w:val="18"/>
        </w:rPr>
        <w:t>网格化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社会治理</w:t>
      </w:r>
      <w:r>
        <w:rPr>
          <w:rFonts w:ascii="宋体" w:hAnsi="宋体" w:cs="宋体" w:eastAsia="宋体" w:hint="default"/>
          <w:spacing w:val="-3"/>
          <w:sz w:val="18"/>
          <w:szCs w:val="18"/>
        </w:rPr>
        <w:t>”</w:t>
      </w:r>
      <w:r>
        <w:rPr>
          <w:rFonts w:ascii="宋体" w:hAnsi="宋体" w:cs="宋体" w:eastAsia="宋体" w:hint="default"/>
          <w:spacing w:val="-3"/>
          <w:sz w:val="18"/>
          <w:szCs w:val="18"/>
        </w:rPr>
        <w:t>两大智慧政务核心业务的市场布局，取得了较好的</w:t>
      </w:r>
    </w:p>
    <w:p>
      <w:pPr>
        <w:pStyle w:val="BodyText"/>
        <w:spacing w:line="309" w:lineRule="auto" w:before="13"/>
        <w:ind w:right="110"/>
        <w:jc w:val="both"/>
      </w:pPr>
      <w:r>
        <w:rPr>
          <w:spacing w:val="-5"/>
          <w:w w:val="101"/>
        </w:rPr>
        <w:t>推进效果。其中</w:t>
      </w:r>
      <w:r>
        <w:rPr>
          <w:rFonts w:ascii="宋体" w:hAnsi="宋体" w:cs="宋体" w:eastAsia="宋体" w:hint="default"/>
          <w:spacing w:val="-5"/>
          <w:w w:val="101"/>
        </w:rPr>
        <w:t>“</w:t>
      </w:r>
      <w:r>
        <w:rPr>
          <w:spacing w:val="-5"/>
          <w:w w:val="101"/>
        </w:rPr>
        <w:t>互联网</w:t>
      </w:r>
      <w:r>
        <w:rPr>
          <w:rFonts w:ascii="Times New Roman" w:hAnsi="Times New Roman" w:cs="Times New Roman" w:eastAsia="Times New Roman" w:hint="default"/>
          <w:spacing w:val="-5"/>
          <w:w w:val="101"/>
        </w:rPr>
        <w:t>+</w:t>
      </w:r>
      <w:r>
        <w:rPr>
          <w:spacing w:val="-5"/>
          <w:w w:val="101"/>
        </w:rPr>
        <w:t>政务服务</w:t>
      </w:r>
      <w:r>
        <w:rPr>
          <w:rFonts w:ascii="宋体" w:hAnsi="宋体" w:cs="宋体" w:eastAsia="宋体" w:hint="default"/>
          <w:spacing w:val="-5"/>
          <w:w w:val="101"/>
        </w:rPr>
        <w:t>”</w:t>
      </w:r>
      <w:r>
        <w:rPr>
          <w:spacing w:val="-5"/>
          <w:w w:val="101"/>
        </w:rPr>
        <w:t>业务以政府购买服务的方式中标</w:t>
      </w:r>
      <w:r>
        <w:rPr>
          <w:rFonts w:ascii="宋体" w:hAnsi="宋体" w:cs="宋体" w:eastAsia="宋体" w:hint="default"/>
          <w:spacing w:val="-5"/>
          <w:w w:val="101"/>
        </w:rPr>
        <w:t>“</w:t>
      </w:r>
      <w:r>
        <w:rPr>
          <w:spacing w:val="-5"/>
          <w:w w:val="101"/>
        </w:rPr>
        <w:t>湖南省政府互联网</w:t>
      </w:r>
      <w:r>
        <w:rPr>
          <w:rFonts w:ascii="Times New Roman" w:hAnsi="Times New Roman" w:cs="Times New Roman" w:eastAsia="Times New Roman" w:hint="default"/>
          <w:spacing w:val="-5"/>
          <w:w w:val="101"/>
        </w:rPr>
        <w:t>+</w:t>
      </w:r>
      <w:r>
        <w:rPr>
          <w:spacing w:val="-5"/>
          <w:w w:val="101"/>
        </w:rPr>
        <w:t>政务服务一体化平台建设</w:t>
      </w:r>
      <w:r>
        <w:rPr>
          <w:rFonts w:ascii="宋体" w:hAnsi="宋体" w:cs="宋体" w:eastAsia="宋体" w:hint="default"/>
          <w:spacing w:val="-5"/>
          <w:w w:val="101"/>
        </w:rPr>
        <w:t>”</w:t>
      </w:r>
      <w:r>
        <w:rPr>
          <w:spacing w:val="-5"/>
          <w:w w:val="101"/>
        </w:rPr>
        <w:t>，继</w:t>
      </w:r>
      <w:r>
        <w:rPr>
          <w:spacing w:val="-72"/>
          <w:w w:val="101"/>
        </w:rPr>
        <w:t> </w:t>
      </w:r>
      <w:r>
        <w:rPr>
          <w:spacing w:val="-5"/>
          <w:w w:val="101"/>
        </w:rPr>
        <w:t>续保持公司在区域的市场主导地位，同时带动长沙、岳阳等地市市场的推广；</w:t>
      </w:r>
      <w:r>
        <w:rPr>
          <w:rFonts w:ascii="宋体" w:hAnsi="宋体" w:cs="宋体" w:eastAsia="宋体" w:hint="default"/>
          <w:spacing w:val="-5"/>
          <w:w w:val="101"/>
        </w:rPr>
        <w:t>“</w:t>
      </w:r>
      <w:r>
        <w:rPr>
          <w:spacing w:val="-5"/>
          <w:w w:val="101"/>
        </w:rPr>
        <w:t>网格化</w:t>
      </w:r>
      <w:r>
        <w:rPr>
          <w:rFonts w:ascii="Times New Roman" w:hAnsi="Times New Roman" w:cs="Times New Roman" w:eastAsia="Times New Roman" w:hint="default"/>
          <w:spacing w:val="-5"/>
          <w:w w:val="101"/>
        </w:rPr>
        <w:t>+</w:t>
      </w:r>
      <w:r>
        <w:rPr>
          <w:spacing w:val="-5"/>
          <w:w w:val="101"/>
        </w:rPr>
        <w:t>社会治理</w:t>
      </w:r>
      <w:r>
        <w:rPr>
          <w:rFonts w:ascii="宋体" w:hAnsi="宋体" w:cs="宋体" w:eastAsia="宋体" w:hint="default"/>
          <w:spacing w:val="-5"/>
          <w:w w:val="101"/>
        </w:rPr>
        <w:t>”</w:t>
      </w:r>
      <w:r>
        <w:rPr>
          <w:spacing w:val="-5"/>
          <w:w w:val="101"/>
        </w:rPr>
        <w:t>领域，继续以</w:t>
      </w:r>
      <w:r>
        <w:rPr>
          <w:rFonts w:ascii="宋体" w:hAnsi="宋体" w:cs="宋体" w:eastAsia="宋体" w:hint="default"/>
          <w:spacing w:val="-5"/>
          <w:w w:val="101"/>
        </w:rPr>
        <w:t>“</w:t>
      </w:r>
      <w:r>
        <w:rPr>
          <w:rFonts w:ascii="Times New Roman" w:hAnsi="Times New Roman" w:cs="Times New Roman" w:eastAsia="Times New Roman" w:hint="default"/>
          <w:spacing w:val="-5"/>
          <w:w w:val="101"/>
        </w:rPr>
        <w:t>1+N</w:t>
      </w:r>
      <w:r>
        <w:rPr>
          <w:rFonts w:ascii="宋体" w:hAnsi="宋体" w:cs="宋体" w:eastAsia="宋体" w:hint="default"/>
          <w:spacing w:val="-5"/>
          <w:w w:val="101"/>
        </w:rPr>
        <w:t>”</w:t>
      </w:r>
      <w:r>
        <w:rPr>
          <w:spacing w:val="-5"/>
          <w:w w:val="101"/>
        </w:rPr>
        <w:t>一</w:t>
      </w:r>
      <w:r>
        <w:rPr>
          <w:w w:val="101"/>
        </w:rPr>
        <w:t> </w:t>
      </w:r>
      <w:r>
        <w:rPr>
          <w:spacing w:val="-3"/>
        </w:rPr>
        <w:t>体化建设（</w:t>
      </w:r>
      <w:r>
        <w:rPr>
          <w:rFonts w:ascii="Times New Roman" w:hAnsi="Times New Roman" w:cs="Times New Roman" w:eastAsia="Times New Roman" w:hint="default"/>
          <w:spacing w:val="-3"/>
        </w:rPr>
        <w:t>1</w:t>
      </w:r>
      <w:r>
        <w:rPr>
          <w:spacing w:val="-3"/>
        </w:rPr>
        <w:t>个市级平台</w:t>
      </w:r>
      <w:r>
        <w:rPr>
          <w:rFonts w:ascii="Times New Roman" w:hAnsi="Times New Roman" w:cs="Times New Roman" w:eastAsia="Times New Roman" w:hint="default"/>
          <w:spacing w:val="-3"/>
        </w:rPr>
        <w:t>+N</w:t>
      </w:r>
      <w:r>
        <w:rPr>
          <w:spacing w:val="-3"/>
        </w:rPr>
        <w:t>个县级子平台）的模式在地市级市场快速复制，先后中标岳阳市、湘潭市网格化平台建设项目。</w:t>
      </w:r>
      <w:r>
        <w:rPr>
          <w:spacing w:val="63"/>
        </w:rPr>
        <w:t> </w:t>
      </w:r>
      <w:r>
        <w:rPr>
          <w:spacing w:val="63"/>
        </w:rPr>
      </w:r>
      <w:r>
        <w:rPr>
          <w:spacing w:val="-4"/>
        </w:rPr>
        <w:t>报告期内，公司在大数据行业应用方面快速发展，一是基于大数据技术的市场监管解决方案在湖南省工商局得到应用，实现</w:t>
      </w:r>
      <w:r>
        <w:rPr>
          <w:spacing w:val="42"/>
        </w:rPr>
        <w:t> </w:t>
      </w:r>
      <w:r>
        <w:rPr>
          <w:spacing w:val="42"/>
        </w:rPr>
      </w:r>
      <w:r>
        <w:rPr>
          <w:spacing w:val="-5"/>
        </w:rPr>
        <w:t>对市场主体的风险管控，有力的支撑了</w:t>
      </w:r>
      <w:r>
        <w:rPr>
          <w:rFonts w:ascii="宋体" w:hAnsi="宋体" w:cs="宋体" w:eastAsia="宋体" w:hint="default"/>
          <w:spacing w:val="-5"/>
        </w:rPr>
        <w:t>“</w:t>
      </w:r>
      <w:r>
        <w:rPr>
          <w:spacing w:val="-5"/>
        </w:rPr>
        <w:t>放管服</w:t>
      </w:r>
      <w:r>
        <w:rPr>
          <w:rFonts w:ascii="宋体" w:hAnsi="宋体" w:cs="宋体" w:eastAsia="宋体" w:hint="default"/>
          <w:spacing w:val="-5"/>
        </w:rPr>
        <w:t>”</w:t>
      </w:r>
      <w:r>
        <w:rPr>
          <w:spacing w:val="-5"/>
        </w:rPr>
        <w:t>改革的推进。二是基于医疗大数据的家庭医生服务平台在湘西州花垣县得</w:t>
      </w:r>
      <w:r>
        <w:rPr>
          <w:spacing w:val="4"/>
        </w:rPr>
        <w:t> </w:t>
      </w:r>
      <w:r>
        <w:rPr>
          <w:spacing w:val="4"/>
        </w:rPr>
      </w:r>
      <w:r>
        <w:rPr>
          <w:spacing w:val="-5"/>
        </w:rPr>
        <w:t>到试点应用，为推动基层医疗服务体制改革做出了有益的探索，三是布局公安、地税、民政、安监等行业市场，未来基于大</w:t>
      </w:r>
      <w:r>
        <w:rPr>
          <w:spacing w:val="4"/>
        </w:rPr>
        <w:t> </w:t>
      </w:r>
      <w:r>
        <w:rPr>
          <w:spacing w:val="4"/>
        </w:rPr>
      </w:r>
      <w:r>
        <w:rPr/>
        <w:t>数据的应用前景可期。</w:t>
      </w:r>
    </w:p>
    <w:p>
      <w:pPr>
        <w:spacing w:line="300" w:lineRule="auto" w:before="23"/>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、强化传统优势技术创新，智慧企业业务稳中有进</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5"/>
          <w:sz w:val="18"/>
          <w:szCs w:val="18"/>
        </w:rPr>
        <w:t>报告期内，公司加快智慧企业业务的转型升级，一是机器视觉业务的应用创新，传统浮法玻璃在线检测深入推广。机器</w:t>
      </w:r>
    </w:p>
    <w:p>
      <w:pPr>
        <w:pStyle w:val="BodyText"/>
        <w:spacing w:line="309" w:lineRule="auto" w:before="31"/>
        <w:ind w:right="0"/>
        <w:jc w:val="left"/>
      </w:pPr>
      <w:r>
        <w:rPr>
          <w:spacing w:val="-3"/>
        </w:rPr>
        <w:t>视觉业务收入增长</w:t>
      </w:r>
      <w:r>
        <w:rPr>
          <w:rFonts w:ascii="Times New Roman" w:hAnsi="Times New Roman" w:cs="Times New Roman" w:eastAsia="Times New Roman" w:hint="default"/>
          <w:spacing w:val="-3"/>
        </w:rPr>
        <w:t>10%</w:t>
      </w:r>
      <w:r>
        <w:rPr>
          <w:spacing w:val="-3"/>
        </w:rPr>
        <w:t>左右，达到</w:t>
      </w:r>
      <w:r>
        <w:rPr>
          <w:rFonts w:ascii="Times New Roman" w:hAnsi="Times New Roman" w:cs="Times New Roman" w:eastAsia="Times New Roman" w:hint="default"/>
          <w:spacing w:val="-3"/>
        </w:rPr>
        <w:t>1,460</w:t>
      </w:r>
      <w:r>
        <w:rPr>
          <w:spacing w:val="-3"/>
        </w:rPr>
        <w:t>万元；二是推动电子渠道业务的产品化转型，在维持原有电信运营商大客户服务模</w:t>
      </w:r>
      <w:r>
        <w:rPr>
          <w:spacing w:val="74"/>
        </w:rPr>
        <w:t> </w:t>
      </w:r>
      <w:r>
        <w:rPr>
          <w:spacing w:val="74"/>
        </w:rPr>
      </w:r>
      <w:r>
        <w:rPr>
          <w:spacing w:val="-4"/>
        </w:rPr>
        <w:t>式的前提下，强化依托移动互联网，实现企业营销推广、服务支撑等典型应用的产品化改造；三是着力抓好企业管理应用的</w:t>
      </w:r>
      <w:r>
        <w:rPr>
          <w:spacing w:val="40"/>
        </w:rPr>
        <w:t> </w:t>
      </w:r>
      <w:r>
        <w:rPr>
          <w:spacing w:val="40"/>
        </w:rPr>
      </w:r>
      <w:r>
        <w:rPr>
          <w:spacing w:val="-3"/>
        </w:rPr>
        <w:t>行业积累，在烟草、物流等行业取得突破。</w:t>
      </w:r>
      <w:r>
        <w:rPr/>
      </w:r>
    </w:p>
    <w:p>
      <w:pPr>
        <w:spacing w:line="300" w:lineRule="auto" w:before="24"/>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、加强研发创新，推动公司技术进步</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5"/>
          <w:sz w:val="18"/>
          <w:szCs w:val="18"/>
        </w:rPr>
        <w:t>报告期内，公司积极适应市场需求，不断加大科研投入，主要着力新产品的开发和老产品的升级，如大数据支撑平台的</w:t>
      </w:r>
      <w:r>
        <w:rPr>
          <w:rFonts w:ascii="宋体" w:hAnsi="宋体" w:cs="宋体" w:eastAsia="宋体" w:hint="default"/>
          <w:sz w:val="18"/>
          <w:szCs w:val="18"/>
        </w:rPr>
      </w:r>
    </w:p>
    <w:p>
      <w:pPr>
        <w:pStyle w:val="BodyText"/>
        <w:spacing w:line="307" w:lineRule="auto" w:before="31"/>
        <w:ind w:right="144"/>
        <w:jc w:val="both"/>
      </w:pPr>
      <w:r>
        <w:rPr>
          <w:spacing w:val="-4"/>
        </w:rPr>
        <w:t>升级，基于大数据引擎支撑实现面向数据资产全生命周期的管理，具有高效的数据清洗、处理能力；基于主题分类的方式对</w:t>
      </w:r>
      <w:r>
        <w:rPr>
          <w:spacing w:val="40"/>
        </w:rPr>
        <w:t> </w:t>
      </w:r>
      <w:r>
        <w:rPr>
          <w:spacing w:val="40"/>
        </w:rPr>
      </w:r>
      <w:r>
        <w:rPr>
          <w:spacing w:val="-4"/>
        </w:rPr>
        <w:t>数据资源进行分类管理；以资源目录的方式提供资源的发布与查询。除基础技术支撑平台之外，公司</w:t>
      </w:r>
      <w:r>
        <w:rPr>
          <w:rFonts w:ascii="Times New Roman" w:hAnsi="Times New Roman" w:cs="Times New Roman" w:eastAsia="Times New Roman" w:hint="default"/>
          <w:spacing w:val="-4"/>
        </w:rPr>
        <w:t>2017</w:t>
      </w:r>
      <w:r>
        <w:rPr>
          <w:spacing w:val="-4"/>
        </w:rPr>
        <w:t>年新增软件著作权</w:t>
      </w:r>
      <w:r>
        <w:rPr>
          <w:spacing w:val="49"/>
        </w:rPr>
        <w:t> </w:t>
      </w:r>
      <w:r>
        <w:rPr>
          <w:spacing w:val="49"/>
        </w:rPr>
      </w:r>
      <w:r>
        <w:rPr>
          <w:rFonts w:ascii="Times New Roman" w:hAnsi="Times New Roman" w:cs="Times New Roman" w:eastAsia="Times New Roman" w:hint="default"/>
          <w:spacing w:val="-4"/>
        </w:rPr>
        <w:t>71</w:t>
      </w:r>
      <w:r>
        <w:rPr>
          <w:spacing w:val="-4"/>
        </w:rPr>
        <w:t>项，推动各业务条线技术进步；同时公司参与的《信息安全技术个人信息去标识化指南》已进入征求意见稿阶段，标志着</w:t>
      </w:r>
      <w:r>
        <w:rPr>
          <w:spacing w:val="44"/>
        </w:rPr>
        <w:t> </w:t>
      </w:r>
      <w:r>
        <w:rPr>
          <w:spacing w:val="44"/>
        </w:rPr>
      </w:r>
      <w:r>
        <w:rPr>
          <w:spacing w:val="-3"/>
        </w:rPr>
        <w:t>公司在大数据信息安全领域的技术先进性已获得同行业认可。</w:t>
      </w:r>
      <w:r>
        <w:rPr/>
      </w:r>
    </w:p>
    <w:p>
      <w:pPr>
        <w:spacing w:line="300" w:lineRule="auto" w:before="25"/>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、加大公司品牌宣传，树立公司优质形象</w:t>
      </w:r>
      <w:r>
        <w:rPr>
          <w:rFonts w:ascii="宋体" w:hAnsi="宋体" w:cs="宋体" w:eastAsia="宋体" w:hint="default"/>
          <w:b/>
          <w:bCs/>
          <w:w w:val="100"/>
          <w:sz w:val="18"/>
          <w:szCs w:val="18"/>
        </w:rPr>
        <w:t> </w:t>
      </w:r>
      <w:r>
        <w:rPr>
          <w:rFonts w:ascii="宋体" w:hAnsi="宋体" w:cs="宋体" w:eastAsia="宋体" w:hint="default"/>
          <w:spacing w:val="-8"/>
          <w:w w:val="101"/>
          <w:sz w:val="18"/>
          <w:szCs w:val="18"/>
        </w:rPr>
        <w:t>报告期内，公司相继亮相</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中国（长沙）国际智能制造技术与装备博览会</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2017</w:t>
      </w:r>
      <w:r>
        <w:rPr>
          <w:rFonts w:ascii="宋体" w:hAnsi="宋体" w:cs="宋体" w:eastAsia="宋体" w:hint="default"/>
          <w:spacing w:val="-8"/>
          <w:w w:val="101"/>
          <w:sz w:val="18"/>
          <w:szCs w:val="18"/>
        </w:rPr>
        <w:t>海峡两岸（长沙）电博会智慧城市论</w:t>
      </w:r>
      <w:r>
        <w:rPr>
          <w:rFonts w:ascii="宋体" w:hAnsi="宋体" w:cs="宋体" w:eastAsia="宋体" w:hint="default"/>
          <w:sz w:val="18"/>
          <w:szCs w:val="18"/>
        </w:rPr>
      </w:r>
    </w:p>
    <w:p>
      <w:pPr>
        <w:pStyle w:val="BodyText"/>
        <w:spacing w:line="300" w:lineRule="auto" w:before="13"/>
        <w:ind w:right="0" w:hanging="1"/>
        <w:jc w:val="left"/>
      </w:pPr>
      <w:r>
        <w:rPr>
          <w:spacing w:val="-8"/>
          <w:w w:val="101"/>
        </w:rPr>
        <w:t>坛</w:t>
      </w:r>
      <w:r>
        <w:rPr>
          <w:rFonts w:ascii="宋体" w:hAnsi="宋体" w:cs="宋体" w:eastAsia="宋体" w:hint="default"/>
          <w:spacing w:val="-8"/>
          <w:w w:val="101"/>
        </w:rPr>
        <w:t>”</w:t>
      </w:r>
      <w:r>
        <w:rPr>
          <w:spacing w:val="-8"/>
          <w:w w:val="101"/>
        </w:rPr>
        <w:t>、</w:t>
      </w:r>
      <w:r>
        <w:rPr>
          <w:rFonts w:ascii="宋体" w:hAnsi="宋体" w:cs="宋体" w:eastAsia="宋体" w:hint="default"/>
          <w:spacing w:val="-8"/>
          <w:w w:val="101"/>
        </w:rPr>
        <w:t>“</w:t>
      </w:r>
      <w:r>
        <w:rPr>
          <w:rFonts w:ascii="Times New Roman" w:hAnsi="Times New Roman" w:cs="Times New Roman" w:eastAsia="Times New Roman" w:hint="default"/>
          <w:spacing w:val="-8"/>
          <w:w w:val="101"/>
        </w:rPr>
        <w:t>GIS</w:t>
      </w:r>
      <w:r>
        <w:rPr>
          <w:spacing w:val="-8"/>
          <w:w w:val="101"/>
        </w:rPr>
        <w:t>软件大会</w:t>
      </w:r>
      <w:r>
        <w:rPr>
          <w:rFonts w:ascii="宋体" w:hAnsi="宋体" w:cs="宋体" w:eastAsia="宋体" w:hint="default"/>
          <w:spacing w:val="-8"/>
          <w:w w:val="101"/>
        </w:rPr>
        <w:t>”</w:t>
      </w:r>
      <w:r>
        <w:rPr>
          <w:spacing w:val="-8"/>
          <w:w w:val="101"/>
        </w:rPr>
        <w:t>，向与会者展示了公司自主研发的新产品及解决方案，获得来自市场的良好反响，极大地提升公司品</w:t>
      </w:r>
      <w:r>
        <w:rPr>
          <w:spacing w:val="-46"/>
          <w:w w:val="101"/>
        </w:rPr>
        <w:t> </w:t>
      </w:r>
      <w:r>
        <w:rPr>
          <w:spacing w:val="-46"/>
          <w:w w:val="101"/>
        </w:rPr>
      </w:r>
      <w:r>
        <w:rPr>
          <w:spacing w:val="-3"/>
        </w:rPr>
        <w:t>牌知名度和行业影响力。</w:t>
      </w:r>
      <w:r>
        <w:rPr/>
      </w:r>
    </w:p>
    <w:p>
      <w:pPr>
        <w:pStyle w:val="BodyText"/>
        <w:spacing w:line="309" w:lineRule="auto" w:before="31"/>
        <w:ind w:left="153" w:right="144" w:firstLine="359"/>
        <w:jc w:val="both"/>
      </w:pPr>
      <w:r>
        <w:rPr>
          <w:spacing w:val="-4"/>
        </w:rPr>
        <w:t>报告期内，公司荣获中国软件行业协会评选的</w:t>
      </w:r>
      <w:r>
        <w:rPr>
          <w:rFonts w:ascii="宋体" w:hAnsi="宋体" w:cs="宋体" w:eastAsia="宋体" w:hint="default"/>
          <w:spacing w:val="-4"/>
        </w:rPr>
        <w:t>“</w:t>
      </w:r>
      <w:r>
        <w:rPr>
          <w:rFonts w:ascii="Times New Roman" w:hAnsi="Times New Roman" w:cs="Times New Roman" w:eastAsia="Times New Roman" w:hint="default"/>
          <w:spacing w:val="-4"/>
        </w:rPr>
        <w:t>2017</w:t>
      </w:r>
      <w:r>
        <w:rPr>
          <w:spacing w:val="-4"/>
        </w:rPr>
        <w:t>年度中国最具影响力软件和信息服务企业</w:t>
      </w:r>
      <w:r>
        <w:rPr>
          <w:rFonts w:ascii="宋体" w:hAnsi="宋体" w:cs="宋体" w:eastAsia="宋体" w:hint="default"/>
          <w:spacing w:val="-4"/>
        </w:rPr>
        <w:t>”</w:t>
      </w:r>
      <w:r>
        <w:rPr>
          <w:spacing w:val="-4"/>
        </w:rPr>
        <w:t>称号，进一步彰显了公</w:t>
      </w:r>
      <w:r>
        <w:rPr>
          <w:w w:val="101"/>
        </w:rPr>
        <w:t> </w:t>
      </w:r>
      <w:r>
        <w:rPr>
          <w:spacing w:val="-4"/>
        </w:rPr>
        <w:t>司的品牌效益，为打造核心竞争力，对公司保持国内市场领先地位起到了重要保障和推动作用，为公司的可持续健康发展奠</w:t>
      </w:r>
      <w:r>
        <w:rPr>
          <w:spacing w:val="43"/>
        </w:rPr>
        <w:t> </w:t>
      </w:r>
      <w:r>
        <w:rPr>
          <w:spacing w:val="43"/>
        </w:rPr>
      </w:r>
      <w:r>
        <w:rPr/>
        <w:t>定了扎实的基础。</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spacing w:val="-3"/>
        </w:rPr>
        <w:t>参见</w:t>
      </w:r>
      <w:r>
        <w:rPr>
          <w:rFonts w:ascii="宋体" w:hAnsi="宋体" w:cs="宋体" w:eastAsia="宋体" w:hint="default"/>
          <w:spacing w:val="-3"/>
        </w:rPr>
        <w:t>“</w:t>
      </w:r>
      <w:r>
        <w:rPr>
          <w:spacing w:val="-3"/>
        </w:rPr>
        <w:t>经营情况讨论与分析</w:t>
      </w:r>
      <w:r>
        <w:rPr>
          <w:rFonts w:ascii="宋体" w:hAnsi="宋体" w:cs="宋体" w:eastAsia="宋体" w:hint="default"/>
          <w:spacing w:val="-3"/>
        </w:rPr>
        <w:t>”</w:t>
      </w:r>
      <w:r>
        <w:rPr>
          <w:spacing w:val="-3"/>
        </w:rPr>
        <w:t>中的</w:t>
      </w:r>
      <w:r>
        <w:rPr>
          <w:rFonts w:ascii="宋体" w:hAnsi="宋体" w:cs="宋体" w:eastAsia="宋体" w:hint="default"/>
          <w:spacing w:val="-3"/>
        </w:rPr>
        <w:t>“</w:t>
      </w:r>
      <w:r>
        <w:rPr>
          <w:spacing w:val="-3"/>
        </w:rPr>
        <w:t>一、概述</w:t>
      </w:r>
      <w:r>
        <w:rPr>
          <w:rFonts w:ascii="宋体" w:hAnsi="宋体" w:cs="宋体" w:eastAsia="宋体" w:hint="default"/>
          <w:spacing w:val="-3"/>
        </w:rPr>
        <w:t>”</w:t>
      </w:r>
      <w:r>
        <w:rPr>
          <w:spacing w:val="-3"/>
        </w:rPr>
        <w:t>相关内容。</w:t>
      </w:r>
    </w:p>
    <w:p>
      <w:pPr>
        <w:spacing w:after="0" w:line="240" w:lineRule="auto"/>
        <w:jc w:val="both"/>
        <w:sectPr>
          <w:pgSz w:w="11910" w:h="16840"/>
          <w:pgMar w:header="784" w:footer="1027" w:top="1100" w:bottom="1220" w:left="980" w:right="98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营业收入整体情况</w:t>
      </w:r>
    </w:p>
    <w:p>
      <w:pPr>
        <w:pStyle w:val="BodyText"/>
        <w:spacing w:line="240" w:lineRule="auto" w:before="115"/>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4D4D4"/>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65"/>
              <w:jc w:val="right"/>
              <w:rPr>
                <w:rFonts w:ascii="宋体" w:hAnsi="宋体" w:cs="宋体" w:eastAsia="宋体" w:hint="default"/>
                <w:sz w:val="18"/>
                <w:szCs w:val="18"/>
              </w:rPr>
            </w:pPr>
            <w:r>
              <w:rPr>
                <w:rFonts w:ascii="宋体" w:hAnsi="宋体" w:cs="宋体" w:eastAsia="宋体" w:hint="default"/>
                <w:spacing w:val="-3"/>
                <w:sz w:val="18"/>
                <w:szCs w:val="18"/>
              </w:rPr>
              <w:t>占营业收入比重</w:t>
            </w:r>
            <w:r>
              <w:rPr>
                <w:rFonts w:ascii="宋体" w:hAnsi="宋体" w:cs="宋体" w:eastAsia="宋体" w:hint="default"/>
                <w:sz w:val="18"/>
                <w:szCs w:val="18"/>
              </w:rPr>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8"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307,423,525.28</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271,433,199.11</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13.26%</w:t>
            </w:r>
          </w:p>
        </w:tc>
      </w:tr>
      <w:tr>
        <w:trPr>
          <w:trHeight w:val="394"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4"/>
                <w:sz w:val="18"/>
                <w:szCs w:val="18"/>
              </w:rPr>
              <w:t>分行业</w:t>
            </w:r>
            <w:r>
              <w:rPr>
                <w:rFonts w:ascii="宋体" w:hAnsi="宋体" w:cs="宋体" w:eastAsia="宋体" w:hint="default"/>
                <w:sz w:val="18"/>
                <w:szCs w:val="18"/>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306,172,462.08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270,597,788.92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13.15%</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1,251,063.20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835,410.19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49.75%</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分产品</w:t>
            </w:r>
            <w:r>
              <w:rPr>
                <w:rFonts w:ascii="宋体" w:hAnsi="宋体" w:cs="宋体" w:eastAsia="宋体" w:hint="default"/>
                <w:sz w:val="18"/>
                <w:szCs w:val="18"/>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智慧政务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244,981,896.03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79.69%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217,047,953.54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79.96%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12.87%</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智慧企业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61,190,566.05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53,549,835.38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14.27%</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1,251,063.20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835,410.19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49.75%</w:t>
            </w: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分地区</w:t>
            </w:r>
            <w:r>
              <w:rPr>
                <w:rFonts w:ascii="宋体" w:hAnsi="宋体" w:cs="宋体" w:eastAsia="宋体" w:hint="default"/>
                <w:sz w:val="18"/>
                <w:szCs w:val="18"/>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10,111,882.04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18,895,613.61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-46.49%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16,149,884.43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13,532,225.67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19.34%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11,131,120.74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8,653,845.67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28.63%</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261,948,705.58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218,275,213.03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20.01%</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8,081,932.49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12,076,301.13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-33.08%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4" w:footer="1027" w:top="1100" w:bottom="1220" w:left="980" w:right="980"/>
        </w:sectPr>
      </w:pPr>
    </w:p>
    <w:p>
      <w:pPr>
        <w:pStyle w:val="BodyText"/>
        <w:spacing w:line="357" w:lineRule="auto" w:before="46"/>
        <w:ind w:right="0" w:hanging="1"/>
        <w:jc w:val="left"/>
      </w:pPr>
      <w:r>
        <w:rPr/>
        <w:t>√ </w:t>
      </w:r>
      <w:r>
        <w:rPr>
          <w:spacing w:val="-3"/>
        </w:rPr>
        <w:t>适用 </w:t>
      </w:r>
      <w:r>
        <w:rPr/>
        <w:t>□ 不适用</w:t>
      </w:r>
      <w:r>
        <w:rPr>
          <w:spacing w:val="-77"/>
        </w:rPr>
        <w:t> </w:t>
      </w:r>
      <w:r>
        <w:rPr>
          <w:spacing w:val="-77"/>
        </w:rPr>
      </w:r>
      <w:r>
        <w:rPr>
          <w:spacing w:val="-3"/>
        </w:rPr>
        <w:t>公司是否需要遵守特殊行业的披露要求</w:t>
      </w:r>
      <w:r>
        <w:rPr>
          <w:spacing w:val="-45"/>
        </w:rPr>
        <w:t> </w:t>
      </w:r>
      <w:r>
        <w:rPr>
          <w:spacing w:val="-45"/>
        </w:rPr>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100" w:bottom="1220" w:left="980" w:right="980"/>
          <w:cols w:num="2" w:equalWidth="0">
            <w:col w:w="3212" w:space="5707"/>
            <w:col w:w="1031"/>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pacing w:val="-4"/>
                <w:sz w:val="18"/>
                <w:szCs w:val="18"/>
              </w:rPr>
              <w:t>毛利率</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25" w:right="137"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年同期增减</w:t>
            </w:r>
            <w:r>
              <w:rPr>
                <w:rFonts w:ascii="宋体" w:hAnsi="宋体" w:cs="宋体" w:eastAsia="宋体" w:hint="default"/>
                <w:sz w:val="18"/>
                <w:szCs w:val="18"/>
              </w:rPr>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25" w:right="132"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年同期增减</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321" w:right="132" w:hanging="178"/>
              <w:jc w:val="left"/>
              <w:rPr>
                <w:rFonts w:ascii="宋体" w:hAnsi="宋体" w:cs="宋体" w:eastAsia="宋体" w:hint="default"/>
                <w:sz w:val="18"/>
                <w:szCs w:val="18"/>
              </w:rPr>
            </w:pPr>
            <w:r>
              <w:rPr>
                <w:rFonts w:ascii="宋体" w:hAnsi="宋体" w:cs="宋体" w:eastAsia="宋体" w:hint="default"/>
                <w:spacing w:val="-2"/>
                <w:sz w:val="18"/>
                <w:szCs w:val="18"/>
              </w:rPr>
              <w:t>毛利率比上年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同期增减</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分行业</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306,172,462.08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187,429,541.35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-3.58%</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分产品</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智慧政务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244,981,896.03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150,737,151.66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12.87%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-0.57%</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智慧企业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61,190,566.05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36,692,389.69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14.27%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-13.78%</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分地区</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261,948,705.58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163,322,750.34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0" w:right="0"/>
              <w:jc w:val="left"/>
              <w:rPr>
                <w:rFonts w:ascii="Times New Roman" w:hAnsi="Times New Roman" w:cs="Times New Roman" w:eastAsia="Times New Roman" w:hint="default"/>
                <w:sz w:val="18"/>
                <w:szCs w:val="18"/>
              </w:rPr>
            </w:pPr>
            <w:r>
              <w:rPr>
                <w:rFonts w:ascii="Times New Roman"/>
                <w:sz w:val="18"/>
              </w:rPr>
              <w:t>37.65%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6" w:right="0"/>
              <w:jc w:val="left"/>
              <w:rPr>
                <w:rFonts w:ascii="Times New Roman" w:hAnsi="Times New Roman" w:cs="Times New Roman" w:eastAsia="Times New Roman" w:hint="default"/>
                <w:sz w:val="18"/>
                <w:szCs w:val="18"/>
              </w:rPr>
            </w:pPr>
            <w:r>
              <w:rPr>
                <w:rFonts w:ascii="Times New Roman"/>
                <w:sz w:val="18"/>
              </w:rPr>
              <w:t>20.01%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5" w:right="0"/>
              <w:jc w:val="left"/>
              <w:rPr>
                <w:rFonts w:ascii="Times New Roman" w:hAnsi="Times New Roman" w:cs="Times New Roman" w:eastAsia="Times New Roman" w:hint="default"/>
                <w:sz w:val="18"/>
                <w:szCs w:val="18"/>
              </w:rPr>
            </w:pPr>
            <w:r>
              <w:rPr>
                <w:rFonts w:ascii="Times New Roman"/>
                <w:sz w:val="18"/>
              </w:rPr>
              <w:t>20.00%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6" w:right="0"/>
              <w:jc w:val="left"/>
              <w:rPr>
                <w:rFonts w:ascii="Times New Roman" w:hAnsi="Times New Roman" w:cs="Times New Roman" w:eastAsia="Times New Roman" w:hint="default"/>
                <w:sz w:val="18"/>
                <w:szCs w:val="18"/>
              </w:rPr>
            </w:pPr>
            <w:r>
              <w:rPr>
                <w:rFonts w:ascii="Times New Roman"/>
                <w:sz w:val="18"/>
              </w:rPr>
              <w:t>0.02%</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42"/>
        </w:rPr>
        <w:t> </w:t>
      </w:r>
      <w:r>
        <w:rPr>
          <w:spacing w:val="-3"/>
        </w:rPr>
        <w:t>年按报告期末口径调整后的主营业务数据</w:t>
      </w:r>
      <w:r>
        <w:rPr/>
      </w:r>
    </w:p>
    <w:p>
      <w:pPr>
        <w:pStyle w:val="BodyText"/>
        <w:spacing w:line="240" w:lineRule="auto" w:before="101"/>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行业分类</w:t>
      </w:r>
    </w:p>
    <w:p>
      <w:pPr>
        <w:pStyle w:val="BodyText"/>
        <w:spacing w:line="240" w:lineRule="auto" w:before="119"/>
        <w:ind w:left="0" w:right="146"/>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0"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126,264,204.11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67.27%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80,556,055.18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56.74%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52,626,404.00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28.04%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43,784,413.66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间接成本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8,538,933.24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4.55%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37,413,021.45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-77.18%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间接成本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276,898.46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250,357.94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10.60%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before="36"/>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是 □</w:t>
      </w:r>
      <w:r>
        <w:rPr>
          <w:spacing w:val="2"/>
        </w:rPr>
        <w:t> </w:t>
      </w:r>
      <w:r>
        <w:rPr/>
        <w:t>否</w:t>
      </w:r>
    </w:p>
    <w:p>
      <w:pPr>
        <w:pStyle w:val="BodyText"/>
        <w:spacing w:line="240" w:lineRule="auto" w:before="110"/>
        <w:ind w:left="513" w:right="0"/>
        <w:jc w:val="left"/>
      </w:pPr>
      <w:r>
        <w:rPr>
          <w:rFonts w:ascii="Times New Roman" w:hAnsi="Times New Roman" w:cs="Times New Roman" w:eastAsia="Times New Roman" w:hint="default"/>
        </w:rPr>
        <w:t>1</w:t>
      </w:r>
      <w:r>
        <w:rPr/>
        <w:t>、新设子公司</w:t>
      </w:r>
    </w:p>
    <w:p>
      <w:pPr>
        <w:spacing w:line="240" w:lineRule="auto" w:before="13"/>
        <w:rPr>
          <w:rFonts w:ascii="宋体" w:hAnsi="宋体" w:cs="宋体" w:eastAsia="宋体" w:hint="default"/>
          <w:sz w:val="13"/>
          <w:szCs w:val="13"/>
        </w:rPr>
      </w:pPr>
    </w:p>
    <w:p>
      <w:pPr>
        <w:pStyle w:val="BodyText"/>
        <w:spacing w:line="300" w:lineRule="auto"/>
        <w:ind w:left="153" w:right="145" w:firstLine="35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日，公司成立全资子公司湖南科创信息系统集成有限公司。该公司注册资本</w:t>
      </w:r>
      <w:r>
        <w:rPr>
          <w:rFonts w:ascii="Times New Roman" w:hAnsi="Times New Roman" w:cs="Times New Roman" w:eastAsia="Times New Roman" w:hint="default"/>
          <w:spacing w:val="-2"/>
        </w:rPr>
        <w:t>2,000</w:t>
      </w:r>
      <w:r>
        <w:rPr>
          <w:spacing w:val="-2"/>
        </w:rPr>
        <w:t>万元；经长沙市工商行政</w:t>
      </w:r>
      <w:r>
        <w:rPr>
          <w:w w:val="101"/>
        </w:rPr>
        <w:t> </w:t>
      </w:r>
      <w:r>
        <w:rPr>
          <w:spacing w:val="-4"/>
        </w:rPr>
        <w:t>管理局高新技术产业开发分局登记成立；公司统一社会信用代码： </w:t>
      </w:r>
      <w:r>
        <w:rPr>
          <w:rFonts w:ascii="Times New Roman" w:hAnsi="Times New Roman" w:cs="Times New Roman" w:eastAsia="Times New Roman" w:hint="default"/>
          <w:spacing w:val="-5"/>
        </w:rPr>
        <w:t>91430100MA4LUTCQ5Q</w:t>
      </w:r>
      <w:r>
        <w:rPr>
          <w:spacing w:val="-5"/>
        </w:rPr>
        <w:t>；公司类型：有限责任公司（非</w:t>
      </w:r>
      <w:r>
        <w:rPr>
          <w:spacing w:val="-15"/>
        </w:rPr>
        <w:t> </w:t>
      </w:r>
      <w:r>
        <w:rPr>
          <w:spacing w:val="-15"/>
        </w:rPr>
      </w:r>
      <w:r>
        <w:rPr>
          <w:spacing w:val="-4"/>
          <w:w w:val="101"/>
        </w:rPr>
        <w:t>自然人投资或控股的法人独资）；法定代表人：费耀平；住所：长沙高新开发区青山路</w:t>
      </w:r>
      <w:r>
        <w:rPr>
          <w:rFonts w:ascii="Times New Roman" w:hAnsi="Times New Roman" w:cs="Times New Roman" w:eastAsia="Times New Roman" w:hint="default"/>
          <w:spacing w:val="-4"/>
          <w:w w:val="101"/>
        </w:rPr>
        <w:t>678</w:t>
      </w:r>
      <w:r>
        <w:rPr>
          <w:spacing w:val="-4"/>
          <w:w w:val="101"/>
        </w:rPr>
        <w:t>号生产楼</w:t>
      </w:r>
      <w:r>
        <w:rPr>
          <w:rFonts w:ascii="Times New Roman" w:hAnsi="Times New Roman" w:cs="Times New Roman" w:eastAsia="Times New Roman" w:hint="default"/>
          <w:spacing w:val="-4"/>
          <w:w w:val="101"/>
        </w:rPr>
        <w:t>301</w:t>
      </w:r>
      <w:r>
        <w:rPr>
          <w:spacing w:val="-4"/>
          <w:w w:val="101"/>
        </w:rPr>
        <w:t>、</w:t>
      </w:r>
      <w:r>
        <w:rPr>
          <w:rFonts w:ascii="Times New Roman" w:hAnsi="Times New Roman" w:cs="Times New Roman" w:eastAsia="Times New Roman" w:hint="default"/>
          <w:spacing w:val="-4"/>
          <w:w w:val="101"/>
        </w:rPr>
        <w:t>401</w:t>
      </w:r>
      <w:r>
        <w:rPr>
          <w:spacing w:val="-4"/>
          <w:w w:val="101"/>
        </w:rPr>
        <w:t>室。</w:t>
      </w:r>
      <w:r>
        <w:rPr>
          <w:spacing w:val="-4"/>
        </w:rPr>
      </w:r>
    </w:p>
    <w:p>
      <w:pPr>
        <w:pStyle w:val="BodyText"/>
        <w:spacing w:line="240" w:lineRule="auto" w:before="133"/>
        <w:ind w:left="513" w:right="0"/>
        <w:jc w:val="left"/>
      </w:pPr>
      <w:r>
        <w:rPr>
          <w:spacing w:val="-3"/>
        </w:rPr>
        <w:t>该公司从成立之日起纳入合并。</w:t>
      </w:r>
    </w:p>
    <w:p>
      <w:pPr>
        <w:spacing w:line="240" w:lineRule="auto" w:before="0"/>
        <w:rPr>
          <w:rFonts w:ascii="宋体" w:hAnsi="宋体" w:cs="宋体" w:eastAsia="宋体" w:hint="default"/>
          <w:sz w:val="15"/>
          <w:szCs w:val="15"/>
        </w:rPr>
      </w:pPr>
    </w:p>
    <w:p>
      <w:pPr>
        <w:pStyle w:val="BodyText"/>
        <w:spacing w:line="415" w:lineRule="auto"/>
        <w:ind w:left="513" w:right="0"/>
        <w:jc w:val="left"/>
      </w:pPr>
      <w:r>
        <w:rPr>
          <w:rFonts w:ascii="Times New Roman" w:hAnsi="Times New Roman" w:cs="Times New Roman" w:eastAsia="Times New Roman" w:hint="default"/>
        </w:rPr>
        <w:t>2</w:t>
      </w:r>
      <w:r>
        <w:rPr/>
        <w:t>、清算子公司</w:t>
      </w:r>
      <w:r>
        <w:rPr>
          <w:spacing w:val="-85"/>
        </w:rPr>
        <w:t> </w:t>
      </w:r>
      <w:r>
        <w:rPr>
          <w:spacing w:val="-85"/>
        </w:rPr>
      </w:r>
      <w:r>
        <w:rPr>
          <w:spacing w:val="-3"/>
        </w:rPr>
        <w:t>湖南威斯理信息科技有限公司经由公司股东决定清算注销，已于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日前注销完毕，不再纳入合并。</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784" w:footer="1027" w:top="1100" w:bottom="1220" w:left="980" w:right="98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52,048,570.74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16.93%</w:t>
            </w:r>
          </w:p>
        </w:tc>
      </w:tr>
      <w:tr>
        <w:trPr>
          <w:trHeight w:val="710" w:hRule="exact"/>
        </w:trPr>
        <w:tc>
          <w:tcPr>
            <w:tcW w:w="4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大客户资料</w:t>
      </w:r>
      <w:r>
        <w:rPr/>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2"/>
        <w:gridCol w:w="2323"/>
        <w:gridCol w:w="3139"/>
      </w:tblGrid>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r>
              <w:rPr>
                <w:rFonts w:ascii="宋体" w:hAnsi="宋体" w:cs="宋体" w:eastAsia="宋体" w:hint="default"/>
                <w:sz w:val="18"/>
                <w:szCs w:val="18"/>
              </w:rPr>
            </w:r>
          </w:p>
        </w:tc>
      </w:tr>
      <w:tr>
        <w:trPr>
          <w:trHeight w:val="408"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第一名</w:t>
            </w:r>
            <w:r>
              <w:rPr>
                <w:rFonts w:ascii="宋体" w:hAnsi="宋体" w:cs="宋体" w:eastAsia="宋体" w:hint="default"/>
                <w:sz w:val="18"/>
                <w:szCs w:val="18"/>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14,667,776.27</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4.77%</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第二名</w:t>
            </w:r>
            <w:r>
              <w:rPr>
                <w:rFonts w:ascii="宋体" w:hAnsi="宋体" w:cs="宋体" w:eastAsia="宋体" w:hint="default"/>
                <w:sz w:val="18"/>
                <w:szCs w:val="18"/>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10,585,985.43</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第三名</w:t>
            </w:r>
            <w:r>
              <w:rPr>
                <w:rFonts w:ascii="宋体" w:hAnsi="宋体" w:cs="宋体" w:eastAsia="宋体" w:hint="default"/>
                <w:sz w:val="18"/>
                <w:szCs w:val="18"/>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10,320,957.24</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第四名</w:t>
            </w:r>
            <w:r>
              <w:rPr>
                <w:rFonts w:ascii="宋体" w:hAnsi="宋体" w:cs="宋体" w:eastAsia="宋体" w:hint="default"/>
                <w:sz w:val="18"/>
                <w:szCs w:val="18"/>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8,481,886.80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第五名</w:t>
            </w:r>
            <w:r>
              <w:rPr>
                <w:rFonts w:ascii="宋体" w:hAnsi="宋体" w:cs="宋体" w:eastAsia="宋体" w:hint="default"/>
                <w:sz w:val="18"/>
                <w:szCs w:val="18"/>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7,991,965.00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2.60%</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52,048,570.74</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16.93%</w:t>
            </w:r>
          </w:p>
        </w:tc>
      </w:tr>
    </w:tbl>
    <w:p>
      <w:pPr>
        <w:pStyle w:val="BodyText"/>
        <w:spacing w:line="240" w:lineRule="auto" w:before="53"/>
        <w:ind w:right="0"/>
        <w:jc w:val="left"/>
      </w:pPr>
      <w:r>
        <w:rPr/>
        <w:t>主要客户其他情况说明</w:t>
      </w:r>
    </w:p>
    <w:p>
      <w:pPr>
        <w:pStyle w:val="BodyText"/>
        <w:spacing w:line="357" w:lineRule="auto" w:before="119"/>
        <w:ind w:right="6689" w:hanging="1"/>
        <w:jc w:val="left"/>
      </w:pPr>
      <w:r>
        <w:rPr/>
        <w:t>□</w:t>
      </w:r>
      <w:r>
        <w:rPr>
          <w:spacing w:val="4"/>
        </w:rPr>
        <w:t> </w:t>
      </w:r>
      <w:r>
        <w:rPr>
          <w:spacing w:val="-3"/>
        </w:rPr>
        <w:t>适用</w:t>
      </w:r>
      <w:r>
        <w:rPr>
          <w:spacing w:val="-1"/>
        </w:rPr>
        <w:t> </w:t>
      </w:r>
      <w:r>
        <w:rPr/>
        <w:t>√</w:t>
      </w:r>
      <w:r>
        <w:rPr>
          <w:spacing w:val="4"/>
        </w:rPr>
        <w:t> </w:t>
      </w:r>
      <w:r>
        <w:rPr/>
        <w:t>不适用</w:t>
      </w:r>
      <w:r>
        <w:rPr>
          <w:spacing w:val="-87"/>
        </w:rPr>
        <w:t> </w:t>
      </w:r>
      <w:r>
        <w:rPr>
          <w:spacing w:val="-87"/>
        </w:rPr>
      </w:r>
      <w:r>
        <w:rPr>
          <w:spacing w:val="-3"/>
        </w:rPr>
        <w:t>公司主要供应商情况</w:t>
      </w:r>
      <w:r>
        <w:rPr/>
      </w: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r>
              <w:rPr>
                <w:rFonts w:ascii="宋体" w:hAnsi="宋体" w:cs="宋体" w:eastAsia="宋体" w:hint="default"/>
                <w:sz w:val="18"/>
                <w:szCs w:val="18"/>
              </w:rPr>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32,807,187.09</w:t>
            </w:r>
          </w:p>
        </w:tc>
      </w:tr>
      <w:tr>
        <w:trPr>
          <w:trHeight w:val="398" w:hRule="exact"/>
        </w:trPr>
        <w:tc>
          <w:tcPr>
            <w:tcW w:w="4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r>
              <w:rPr>
                <w:rFonts w:ascii="宋体" w:hAnsi="宋体" w:cs="宋体" w:eastAsia="宋体" w:hint="default"/>
                <w:sz w:val="18"/>
                <w:szCs w:val="18"/>
              </w:rPr>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24.65%</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4"/>
                <w:sz w:val="18"/>
                <w:szCs w:val="18"/>
              </w:rPr>
              <w:t>额比例</w:t>
            </w:r>
            <w:r>
              <w:rPr>
                <w:rFonts w:ascii="宋体" w:hAnsi="宋体" w:cs="宋体" w:eastAsia="宋体" w:hint="default"/>
                <w:sz w:val="18"/>
                <w:szCs w:val="18"/>
              </w:rPr>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70"/>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8"/>
        <w:gridCol w:w="2323"/>
        <w:gridCol w:w="3139"/>
      </w:tblGrid>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供应商名称</w:t>
            </w:r>
            <w:r>
              <w:rPr>
                <w:rFonts w:ascii="宋体" w:hAnsi="宋体" w:cs="宋体" w:eastAsia="宋体" w:hint="default"/>
                <w:sz w:val="18"/>
                <w:szCs w:val="18"/>
              </w:rPr>
            </w:r>
          </w:p>
        </w:tc>
        <w:tc>
          <w:tcPr>
            <w:tcW w:w="2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10,614,146.09</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7.98%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8,000,000.00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5,875,000.00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4,877,200.00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3.67%</w:t>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3,440,841.00</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32,807,187.09</w:t>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24.65%</w:t>
            </w:r>
          </w:p>
        </w:tc>
      </w:tr>
    </w:tbl>
    <w:p>
      <w:pPr>
        <w:pStyle w:val="BodyText"/>
        <w:spacing w:line="240" w:lineRule="auto" w:before="53"/>
        <w:ind w:right="0"/>
        <w:jc w:val="left"/>
      </w:pPr>
      <w:r>
        <w:rPr>
          <w:spacing w:val="-3"/>
        </w:rPr>
        <w:t>主要供应商其他情况说明</w:t>
      </w:r>
      <w:r>
        <w:rPr/>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59"/>
        <w:gridCol w:w="2918"/>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20,432,647.18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20,578,242.38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-0.71%</w:t>
            </w:r>
          </w:p>
        </w:tc>
        <w:tc>
          <w:tcPr>
            <w:tcW w:w="291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51,075,121.28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48,988,283.09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4.26%</w:t>
            </w:r>
          </w:p>
        </w:tc>
        <w:tc>
          <w:tcPr>
            <w:tcW w:w="291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2,558,774.29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1,633,022.98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56.69%</w:t>
            </w:r>
          </w:p>
        </w:tc>
        <w:tc>
          <w:tcPr>
            <w:tcW w:w="29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主要系利息支出增加所致</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left="512" w:right="2638" w:hanging="361"/>
        <w:jc w:val="left"/>
        <w:rPr>
          <w:rFonts w:ascii="宋体" w:hAnsi="宋体" w:cs="宋体" w:eastAsia="宋体" w:hint="default"/>
        </w:rPr>
      </w:pPr>
      <w:r>
        <w:rPr/>
        <w:t>√ </w:t>
      </w:r>
      <w:r>
        <w:rPr>
          <w:spacing w:val="-3"/>
        </w:rPr>
        <w:t>适用 </w:t>
      </w:r>
      <w:r>
        <w:rPr/>
        <w:t>□ 不适用</w:t>
      </w:r>
      <w:r>
        <w:rPr>
          <w:spacing w:val="-77"/>
        </w:rPr>
        <w:t> </w:t>
      </w:r>
      <w:r>
        <w:rPr>
          <w:spacing w:val="-77"/>
        </w:rPr>
      </w:r>
      <w:r>
        <w:rPr>
          <w:spacing w:val="-3"/>
        </w:rPr>
        <w:t>本期公司研发投入较上年增加</w:t>
      </w:r>
      <w:r>
        <w:rPr>
          <w:rFonts w:ascii="宋体" w:hAnsi="宋体" w:cs="宋体" w:eastAsia="宋体" w:hint="default"/>
          <w:spacing w:val="-3"/>
        </w:rPr>
        <w:t>1.5%</w:t>
      </w:r>
      <w:r>
        <w:rPr>
          <w:spacing w:val="-3"/>
        </w:rPr>
        <w:t>，报告期内研究开发支出在管理费用列支。</w:t>
      </w:r>
      <w:r>
        <w:rPr>
          <w:rFonts w:ascii="宋体" w:hAnsi="宋体" w:cs="宋体" w:eastAsia="宋体" w:hint="default"/>
        </w:rPr>
        <w:t> </w:t>
      </w:r>
    </w:p>
    <w:p>
      <w:pPr>
        <w:pStyle w:val="BodyText"/>
        <w:spacing w:line="316" w:lineRule="auto"/>
        <w:ind w:right="0" w:firstLine="359"/>
        <w:jc w:val="left"/>
        <w:rPr>
          <w:rFonts w:ascii="宋体" w:hAnsi="宋体" w:cs="宋体" w:eastAsia="宋体" w:hint="default"/>
        </w:rPr>
      </w:pPr>
      <w:r>
        <w:rPr>
          <w:spacing w:val="-5"/>
        </w:rPr>
        <w:t>公司始终坚持</w:t>
      </w:r>
      <w:r>
        <w:rPr>
          <w:rFonts w:ascii="宋体" w:hAnsi="宋体" w:cs="宋体" w:eastAsia="宋体" w:hint="default"/>
          <w:spacing w:val="-5"/>
        </w:rPr>
        <w:t>“</w:t>
      </w:r>
      <w:r>
        <w:rPr>
          <w:spacing w:val="-5"/>
        </w:rPr>
        <w:t>自主创新，需求驱动</w:t>
      </w:r>
      <w:r>
        <w:rPr>
          <w:rFonts w:ascii="宋体" w:hAnsi="宋体" w:cs="宋体" w:eastAsia="宋体" w:hint="default"/>
          <w:spacing w:val="-5"/>
        </w:rPr>
        <w:t>”</w:t>
      </w:r>
      <w:r>
        <w:rPr>
          <w:spacing w:val="-5"/>
        </w:rPr>
        <w:t>的研发理念，经过多年的研发投入，已经形成了较完善的研发体系，已拥有多项</w:t>
      </w:r>
      <w:r>
        <w:rPr>
          <w:w w:val="101"/>
        </w:rPr>
        <w:t> </w:t>
      </w:r>
      <w:r>
        <w:rPr>
          <w:spacing w:val="-4"/>
        </w:rPr>
        <w:t>国家发明专利与软件著作权，研发了多项核心技术支撑平台，并以此为基础，针对智慧政务及智慧企业不同领域开发了多类</w:t>
      </w:r>
      <w:r>
        <w:rPr>
          <w:spacing w:val="43"/>
        </w:rPr>
        <w:t> </w:t>
      </w:r>
      <w:r>
        <w:rPr>
          <w:spacing w:val="43"/>
        </w:rPr>
      </w:r>
      <w:r>
        <w:rPr>
          <w:spacing w:val="-3"/>
        </w:rPr>
        <w:t>应用。强大的团队研发能力和丰富的行业经验是公司获得客户支持和提高市场份额的保证。</w:t>
      </w:r>
      <w:r>
        <w:rPr>
          <w:rFonts w:ascii="宋体" w:hAnsi="宋体" w:cs="宋体" w:eastAsia="宋体" w:hint="default"/>
          <w:spacing w:val="-3"/>
        </w:rPr>
        <w:t>2017</w:t>
      </w:r>
      <w:r>
        <w:rPr>
          <w:spacing w:val="-3"/>
        </w:rPr>
        <w:t>年度，研发投入金额为</w:t>
      </w:r>
      <w:r>
        <w:rPr>
          <w:spacing w:val="58"/>
        </w:rPr>
        <w:t> </w:t>
      </w:r>
      <w:r>
        <w:rPr>
          <w:spacing w:val="58"/>
        </w:rPr>
      </w:r>
      <w:r>
        <w:rPr>
          <w:rFonts w:ascii="宋体" w:hAnsi="宋体" w:cs="宋体" w:eastAsia="宋体" w:hint="default"/>
          <w:spacing w:val="-3"/>
        </w:rPr>
        <w:t>2,204.5</w:t>
      </w:r>
      <w:r>
        <w:rPr>
          <w:spacing w:val="-3"/>
        </w:rPr>
        <w:t>万元，较上年同期有所增加。截止</w:t>
      </w:r>
      <w:r>
        <w:rPr>
          <w:rFonts w:ascii="宋体" w:hAnsi="宋体" w:cs="宋体" w:eastAsia="宋体" w:hint="default"/>
          <w:spacing w:val="-3"/>
        </w:rPr>
        <w:t>2017</w:t>
      </w:r>
      <w:r>
        <w:rPr>
          <w:spacing w:val="-3"/>
        </w:rPr>
        <w:t>年年底，公司共拥有软件著作权</w:t>
      </w:r>
      <w:r>
        <w:rPr>
          <w:rFonts w:ascii="宋体" w:hAnsi="宋体" w:cs="宋体" w:eastAsia="宋体" w:hint="default"/>
          <w:spacing w:val="-3"/>
        </w:rPr>
        <w:t>288</w:t>
      </w:r>
      <w:r>
        <w:rPr>
          <w:spacing w:val="-3"/>
        </w:rPr>
        <w:t>项，拥有软件产品登记证</w:t>
      </w:r>
      <w:r>
        <w:rPr>
          <w:rFonts w:ascii="宋体" w:hAnsi="宋体" w:cs="宋体" w:eastAsia="宋体" w:hint="default"/>
          <w:spacing w:val="-3"/>
        </w:rPr>
        <w:t>102</w:t>
      </w:r>
      <w:r>
        <w:rPr>
          <w:spacing w:val="-3"/>
        </w:rPr>
        <w:t>个，国家发</w:t>
      </w:r>
      <w:r>
        <w:rPr>
          <w:spacing w:val="-1"/>
        </w:rPr>
        <w:t> </w:t>
      </w:r>
      <w:r>
        <w:rPr>
          <w:spacing w:val="-1"/>
        </w:rPr>
      </w:r>
      <w:r>
        <w:rPr>
          <w:spacing w:val="-3"/>
        </w:rPr>
        <w:t>明专利</w:t>
      </w:r>
      <w:r>
        <w:rPr>
          <w:rFonts w:ascii="宋体" w:hAnsi="宋体" w:cs="宋体" w:eastAsia="宋体" w:hint="default"/>
          <w:spacing w:val="-3"/>
        </w:rPr>
        <w:t>2</w:t>
      </w:r>
      <w:r>
        <w:rPr>
          <w:spacing w:val="-3"/>
        </w:rPr>
        <w:t>项，实用新型专利</w:t>
      </w:r>
      <w:r>
        <w:rPr>
          <w:rFonts w:ascii="宋体" w:hAnsi="宋体" w:cs="宋体" w:eastAsia="宋体" w:hint="default"/>
          <w:spacing w:val="-3"/>
        </w:rPr>
        <w:t>2</w:t>
      </w:r>
      <w:r>
        <w:rPr>
          <w:spacing w:val="-3"/>
        </w:rPr>
        <w:t>项，注册商标</w:t>
      </w:r>
      <w:r>
        <w:rPr>
          <w:rFonts w:ascii="宋体" w:hAnsi="宋体" w:cs="宋体" w:eastAsia="宋体" w:hint="default"/>
          <w:spacing w:val="-3"/>
        </w:rPr>
        <w:t>3</w:t>
      </w:r>
      <w:r>
        <w:rPr>
          <w:spacing w:val="-3"/>
        </w:rPr>
        <w:t>项。</w:t>
      </w:r>
      <w:r>
        <w:rPr>
          <w:rFonts w:ascii="宋体" w:hAnsi="宋体" w:cs="宋体" w:eastAsia="宋体" w:hint="default"/>
        </w:rPr>
        <w:t> </w:t>
      </w:r>
    </w:p>
    <w:p>
      <w:pPr>
        <w:pStyle w:val="BodyText"/>
        <w:spacing w:line="240" w:lineRule="auto" w:before="19"/>
        <w:ind w:left="153" w:right="0"/>
        <w:jc w:val="left"/>
      </w:pPr>
      <w:r>
        <w:rPr>
          <w:spacing w:val="-3"/>
        </w:rPr>
        <w:t>近三年公司研发投入金额及占营业收入的比例</w:t>
      </w:r>
    </w:p>
    <w:p>
      <w:pPr>
        <w:spacing w:line="240" w:lineRule="auto" w:before="13"/>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r>
              <w:rPr>
                <w:rFonts w:ascii="宋体" w:hAnsi="宋体" w:cs="宋体" w:eastAsia="宋体" w:hint="default"/>
                <w:sz w:val="18"/>
                <w:szCs w:val="18"/>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185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21.74%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24.73%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r>
              <w:rPr>
                <w:rFonts w:ascii="宋体" w:hAnsi="宋体" w:cs="宋体" w:eastAsia="宋体" w:hint="default"/>
                <w:sz w:val="18"/>
                <w:szCs w:val="18"/>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22,045,032.76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21,718,362.36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20,190,494.00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r>
              <w:rPr>
                <w:rFonts w:ascii="宋体" w:hAnsi="宋体" w:cs="宋体" w:eastAsia="宋体" w:hint="default"/>
                <w:sz w:val="18"/>
                <w:szCs w:val="18"/>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8.09%</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支</w:t>
            </w:r>
            <w:r>
              <w:rPr>
                <w:rFonts w:ascii="宋体" w:hAnsi="宋体" w:cs="宋体" w:eastAsia="宋体" w:hint="default"/>
                <w:spacing w:val="-5"/>
                <w:w w:val="101"/>
                <w:sz w:val="18"/>
                <w:szCs w:val="18"/>
              </w:rPr>
              <w:t>出</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化</w:t>
            </w:r>
            <w:r>
              <w:rPr>
                <w:rFonts w:ascii="宋体" w:hAnsi="宋体" w:cs="宋体" w:eastAsia="宋体" w:hint="default"/>
                <w:spacing w:val="-5"/>
                <w:w w:val="101"/>
                <w:sz w:val="18"/>
                <w:szCs w:val="18"/>
              </w:rPr>
              <w:t>的</w:t>
            </w: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08"/>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的比例</w:t>
            </w:r>
            <w:r>
              <w:rPr>
                <w:rFonts w:ascii="宋体" w:hAnsi="宋体" w:cs="宋体" w:eastAsia="宋体" w:hint="default"/>
                <w:sz w:val="18"/>
                <w:szCs w:val="18"/>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08"/>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57" w:lineRule="auto" w:before="119"/>
        <w:ind w:right="5459" w:hanging="1"/>
        <w:jc w:val="left"/>
      </w:pPr>
      <w:r>
        <w:rPr/>
        <w:t>□ </w:t>
      </w:r>
      <w:r>
        <w:rPr>
          <w:spacing w:val="-3"/>
        </w:rPr>
        <w:t>适用 </w:t>
      </w:r>
      <w:r>
        <w:rPr/>
        <w:t>√ 不适用</w:t>
      </w:r>
      <w:r>
        <w:rPr>
          <w:spacing w:val="-77"/>
        </w:rPr>
        <w:t> </w:t>
      </w:r>
      <w:r>
        <w:rPr>
          <w:spacing w:val="-77"/>
        </w:rPr>
      </w:r>
      <w:r>
        <w:rPr>
          <w:spacing w:val="-3"/>
        </w:rPr>
        <w:t>研发投入资本化率大幅变动的原因及其合理性说明</w:t>
      </w:r>
    </w:p>
    <w:p>
      <w:pPr>
        <w:pStyle w:val="BodyText"/>
        <w:spacing w:line="240" w:lineRule="auto" w:before="26"/>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285,991,545.26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272,251,365.28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278,529,468.57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271,299,708.42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2.66%</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08"/>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7,462,076.69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951,656.86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684.11%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6,219,296.86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11,158,357.17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14,153,854.07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-21.16%</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08"/>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-11,158,357.17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-7,934,557.21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40.63%</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筹资活动现金流入小计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250,528,300.00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58,900,000.00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325.35%</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52,877,439.38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47,052,006.00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12.38%</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08"/>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197,650,860.62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11,847,994.00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1,568.22%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193,954,580.14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4,865,093.65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3,886.66%</w:t>
            </w:r>
          </w:p>
        </w:tc>
      </w:tr>
    </w:tbl>
    <w:p>
      <w:pPr>
        <w:pStyle w:val="BodyText"/>
        <w:spacing w:line="240" w:lineRule="auto" w:before="53"/>
        <w:ind w:right="0"/>
        <w:jc w:val="left"/>
      </w:pPr>
      <w:r>
        <w:rPr>
          <w:spacing w:val="-3"/>
        </w:rPr>
        <w:t>相关数据同比发生重大变动的主要影响因素说明</w:t>
      </w:r>
      <w:r>
        <w:rPr/>
      </w:r>
    </w:p>
    <w:p>
      <w:pPr>
        <w:pStyle w:val="BodyText"/>
        <w:spacing w:line="240" w:lineRule="auto" w:before="115"/>
        <w:ind w:right="0"/>
        <w:jc w:val="left"/>
      </w:pPr>
      <w:r>
        <w:rPr/>
        <w:t>√ </w:t>
      </w:r>
      <w:r>
        <w:rPr>
          <w:spacing w:val="-3"/>
        </w:rPr>
        <w:t>适用 </w:t>
      </w:r>
      <w:r>
        <w:rPr/>
        <w:t>□</w:t>
      </w:r>
      <w:r>
        <w:rPr>
          <w:spacing w:val="13"/>
        </w:rPr>
        <w:t> </w:t>
      </w:r>
      <w:r>
        <w:rPr/>
        <w:t>不适用</w:t>
      </w:r>
    </w:p>
    <w:p>
      <w:pPr>
        <w:pStyle w:val="BodyText"/>
        <w:spacing w:line="240" w:lineRule="auto" w:before="119"/>
        <w:ind w:right="0"/>
        <w:jc w:val="left"/>
      </w:pPr>
      <w:r>
        <w:rPr>
          <w:rFonts w:ascii="Times New Roman" w:hAnsi="Times New Roman" w:cs="Times New Roman" w:eastAsia="Times New Roman" w:hint="default"/>
          <w:spacing w:val="-3"/>
        </w:rPr>
        <w:t>1</w:t>
      </w:r>
      <w:r>
        <w:rPr>
          <w:spacing w:val="-3"/>
        </w:rPr>
        <w:t>、经营活动产生的现金流量净额较上年同期增加</w:t>
      </w:r>
      <w:r>
        <w:rPr>
          <w:rFonts w:ascii="Times New Roman" w:hAnsi="Times New Roman" w:cs="Times New Roman" w:eastAsia="Times New Roman" w:hint="default"/>
          <w:spacing w:val="-3"/>
        </w:rPr>
        <w:t>684.11%,</w:t>
      </w:r>
      <w:r>
        <w:rPr>
          <w:spacing w:val="-3"/>
        </w:rPr>
        <w:t>主要系报告期公司销售商品、提供劳务收到的现金增加所致。</w:t>
      </w:r>
      <w:r>
        <w:rPr/>
      </w:r>
    </w:p>
    <w:p>
      <w:pPr>
        <w:pStyle w:val="BodyText"/>
        <w:spacing w:line="304" w:lineRule="auto" w:before="96"/>
        <w:ind w:right="327"/>
        <w:jc w:val="left"/>
      </w:pPr>
      <w:r>
        <w:rPr>
          <w:rFonts w:ascii="Times New Roman" w:hAnsi="Times New Roman" w:cs="Times New Roman" w:eastAsia="Times New Roman" w:hint="default"/>
          <w:spacing w:val="-3"/>
        </w:rPr>
        <w:t>2</w:t>
      </w:r>
      <w:r>
        <w:rPr>
          <w:spacing w:val="-3"/>
        </w:rPr>
        <w:t>、投资活动现金流入小计较上年同期减少</w:t>
      </w:r>
      <w:r>
        <w:rPr>
          <w:rFonts w:ascii="Times New Roman" w:hAnsi="Times New Roman" w:cs="Times New Roman" w:eastAsia="Times New Roman" w:hint="default"/>
          <w:spacing w:val="-3"/>
        </w:rPr>
        <w:t>100%,</w:t>
      </w:r>
      <w:r>
        <w:rPr>
          <w:spacing w:val="-3"/>
        </w:rPr>
        <w:t>主要系</w:t>
      </w:r>
      <w:r>
        <w:rPr>
          <w:rFonts w:ascii="宋体" w:hAnsi="宋体" w:cs="宋体" w:eastAsia="宋体" w:hint="default"/>
          <w:spacing w:val="-3"/>
        </w:rPr>
        <w:t>2016</w:t>
      </w:r>
      <w:r>
        <w:rPr>
          <w:spacing w:val="-3"/>
        </w:rPr>
        <w:t>年年初公司利用暂时闲置资金进行理财，而</w:t>
      </w:r>
      <w:r>
        <w:rPr>
          <w:rFonts w:ascii="宋体" w:hAnsi="宋体" w:cs="宋体" w:eastAsia="宋体" w:hint="default"/>
          <w:spacing w:val="-3"/>
        </w:rPr>
        <w:t>2017</w:t>
      </w:r>
      <w:r>
        <w:rPr>
          <w:spacing w:val="-3"/>
        </w:rPr>
        <w:t>年没有理财所</w:t>
      </w:r>
      <w:r>
        <w:rPr>
          <w:spacing w:val="83"/>
        </w:rPr>
        <w:t> </w:t>
      </w:r>
      <w:r>
        <w:rPr>
          <w:spacing w:val="83"/>
        </w:rPr>
      </w:r>
      <w:r>
        <w:rPr/>
        <w:t>致。</w:t>
      </w:r>
    </w:p>
    <w:p>
      <w:pPr>
        <w:pStyle w:val="BodyText"/>
        <w:spacing w:line="240" w:lineRule="auto" w:before="66"/>
        <w:ind w:right="0"/>
        <w:jc w:val="left"/>
      </w:pPr>
      <w:r>
        <w:rPr>
          <w:rFonts w:ascii="Times New Roman" w:hAnsi="Times New Roman" w:cs="Times New Roman" w:eastAsia="Times New Roman" w:hint="default"/>
          <w:spacing w:val="-3"/>
        </w:rPr>
        <w:t>3</w:t>
      </w:r>
      <w:r>
        <w:rPr>
          <w:spacing w:val="-3"/>
        </w:rPr>
        <w:t>、筹资活动现金流入小计较上年同期增加</w:t>
      </w:r>
      <w:r>
        <w:rPr>
          <w:rFonts w:ascii="Times New Roman" w:hAnsi="Times New Roman" w:cs="Times New Roman" w:eastAsia="Times New Roman" w:hint="default"/>
          <w:spacing w:val="-3"/>
        </w:rPr>
        <w:t>325.35%,</w:t>
      </w:r>
      <w:r>
        <w:rPr>
          <w:spacing w:val="-3"/>
        </w:rPr>
        <w:t>主要系报告期公司首次公开发行股票募集资金到账所致。</w:t>
      </w:r>
      <w:r>
        <w:rPr/>
      </w:r>
    </w:p>
    <w:p>
      <w:pPr>
        <w:pStyle w:val="BodyText"/>
        <w:spacing w:line="240" w:lineRule="auto" w:before="106"/>
        <w:ind w:right="0"/>
        <w:jc w:val="left"/>
      </w:pPr>
      <w:r>
        <w:rPr>
          <w:rFonts w:ascii="Times New Roman" w:hAnsi="Times New Roman" w:cs="Times New Roman" w:eastAsia="Times New Roman" w:hint="default"/>
          <w:spacing w:val="-3"/>
        </w:rPr>
        <w:t>4</w:t>
      </w:r>
      <w:r>
        <w:rPr>
          <w:spacing w:val="-3"/>
        </w:rPr>
        <w:t>、筹资活动产生的现金流量净额较上年同期增加</w:t>
      </w:r>
      <w:r>
        <w:rPr>
          <w:rFonts w:ascii="Times New Roman" w:hAnsi="Times New Roman" w:cs="Times New Roman" w:eastAsia="Times New Roman" w:hint="default"/>
          <w:spacing w:val="-3"/>
        </w:rPr>
        <w:t>1568.22%,</w:t>
      </w:r>
      <w:r>
        <w:rPr>
          <w:spacing w:val="-3"/>
        </w:rPr>
        <w:t>主要系报告期公司首次公开发行股票募集资金到账所致。</w:t>
      </w:r>
    </w:p>
    <w:p>
      <w:pPr>
        <w:pStyle w:val="BodyText"/>
        <w:spacing w:line="304" w:lineRule="auto" w:before="96"/>
        <w:ind w:right="0"/>
        <w:jc w:val="left"/>
      </w:pPr>
      <w:r>
        <w:rPr>
          <w:rFonts w:ascii="Times New Roman" w:hAnsi="Times New Roman" w:cs="Times New Roman" w:eastAsia="Times New Roman" w:hint="default"/>
          <w:spacing w:val="-4"/>
        </w:rPr>
        <w:t>5</w:t>
      </w:r>
      <w:r>
        <w:rPr>
          <w:spacing w:val="-4"/>
        </w:rPr>
        <w:t>、现金及现金等价物净增加额较上年同期增加</w:t>
      </w:r>
      <w:r>
        <w:rPr>
          <w:rFonts w:ascii="Times New Roman" w:hAnsi="Times New Roman" w:cs="Times New Roman" w:eastAsia="Times New Roman" w:hint="default"/>
          <w:spacing w:val="-4"/>
        </w:rPr>
        <w:t>3886.66%,</w:t>
      </w:r>
      <w:r>
        <w:rPr>
          <w:spacing w:val="-4"/>
        </w:rPr>
        <w:t>主要系报告期公司首次公开发行股票募集资金到账及销售收入增加</w:t>
      </w:r>
      <w:r>
        <w:rPr>
          <w:spacing w:val="80"/>
        </w:rPr>
        <w:t> </w:t>
      </w:r>
      <w:r>
        <w:rPr>
          <w:spacing w:val="80"/>
        </w:rPr>
      </w:r>
      <w:r>
        <w:rPr>
          <w:spacing w:val="-4"/>
        </w:rPr>
        <w:t>所致。</w:t>
      </w:r>
      <w:r>
        <w:rPr/>
      </w:r>
    </w:p>
    <w:p>
      <w:pPr>
        <w:pStyle w:val="BodyText"/>
        <w:spacing w:line="240" w:lineRule="auto" w:before="61"/>
        <w:ind w:right="0"/>
        <w:jc w:val="left"/>
        <w:rPr>
          <w:rFonts w:ascii="宋体" w:hAnsi="宋体" w:cs="宋体" w:eastAsia="宋体" w:hint="default"/>
        </w:rPr>
      </w:pPr>
      <w:r>
        <w:rPr>
          <w:rFonts w:ascii="宋体"/>
          <w:w w:val="101"/>
        </w:rPr>
        <w:t> </w:t>
      </w:r>
      <w:r>
        <w:rPr>
          <w:rFonts w:ascii="宋体"/>
        </w:rPr>
      </w:r>
    </w:p>
    <w:p>
      <w:pPr>
        <w:pStyle w:val="BodyText"/>
        <w:spacing w:line="240" w:lineRule="auto" w:before="119"/>
        <w:ind w:right="0"/>
        <w:jc w:val="left"/>
      </w:pPr>
      <w:r>
        <w:rPr>
          <w:spacing w:val="-3"/>
        </w:rPr>
        <w:t>报告期内公司经营活动产生的现金净流量与本年度净利润存在重大差异的原因说明</w:t>
      </w:r>
      <w:r>
        <w:rPr/>
      </w:r>
    </w:p>
    <w:p>
      <w:pPr>
        <w:pStyle w:val="BodyText"/>
        <w:spacing w:line="352" w:lineRule="auto" w:before="119"/>
        <w:ind w:right="2638" w:hanging="1"/>
        <w:jc w:val="left"/>
        <w:rPr>
          <w:rFonts w:ascii="宋体" w:hAnsi="宋体" w:cs="宋体" w:eastAsia="宋体" w:hint="default"/>
        </w:rPr>
      </w:pPr>
      <w:r>
        <w:rPr/>
        <w:t>√ </w:t>
      </w:r>
      <w:r>
        <w:rPr>
          <w:spacing w:val="-3"/>
        </w:rPr>
        <w:t>适用 </w:t>
      </w:r>
      <w:r>
        <w:rPr/>
        <w:t>□ 不适用</w:t>
      </w:r>
      <w:r>
        <w:rPr>
          <w:spacing w:val="-77"/>
        </w:rPr>
        <w:t> </w:t>
      </w:r>
      <w:r>
        <w:rPr>
          <w:spacing w:val="-77"/>
        </w:rPr>
      </w:r>
      <w:r>
        <w:rPr>
          <w:spacing w:val="-3"/>
        </w:rPr>
        <w:t>经营活动产生的现金流量净额较净利润减少主要是由于报告期经营性应收项目增加所致。</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9"/>
        <w:gridCol w:w="1296"/>
        <w:gridCol w:w="840"/>
        <w:gridCol w:w="1531"/>
        <w:gridCol w:w="941"/>
        <w:gridCol w:w="845"/>
        <w:gridCol w:w="2659"/>
      </w:tblGrid>
      <w:tr>
        <w:trPr>
          <w:trHeight w:val="403" w:hRule="exact"/>
        </w:trPr>
        <w:tc>
          <w:tcPr>
            <w:tcW w:w="1459" w:type="dxa"/>
            <w:vMerge w:val="restart"/>
            <w:tcBorders>
              <w:top w:val="single" w:sz="4" w:space="0" w:color="000000"/>
              <w:left w:val="single" w:sz="4" w:space="0" w:color="000000"/>
              <w:right w:val="single" w:sz="4" w:space="0" w:color="000000"/>
            </w:tcBorders>
            <w:shd w:val="clear" w:color="auto" w:fill="D4D4D4"/>
          </w:tcPr>
          <w:p>
            <w:pPr/>
          </w:p>
        </w:tc>
        <w:tc>
          <w:tcPr>
            <w:tcW w:w="21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4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84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26" w:right="151" w:hanging="183"/>
              <w:jc w:val="left"/>
              <w:rPr>
                <w:rFonts w:ascii="宋体" w:hAnsi="宋体" w:cs="宋体" w:eastAsia="宋体" w:hint="default"/>
                <w:sz w:val="18"/>
                <w:szCs w:val="18"/>
              </w:rPr>
            </w:pPr>
            <w:r>
              <w:rPr>
                <w:rFonts w:ascii="宋体" w:hAnsi="宋体" w:cs="宋体" w:eastAsia="宋体" w:hint="default"/>
                <w:spacing w:val="-4"/>
                <w:sz w:val="18"/>
                <w:szCs w:val="18"/>
              </w:rPr>
              <w:t>比重增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减</w:t>
            </w:r>
          </w:p>
        </w:tc>
        <w:tc>
          <w:tcPr>
            <w:tcW w:w="2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8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459" w:type="dxa"/>
            <w:vMerge/>
            <w:tcBorders>
              <w:left w:val="single" w:sz="4" w:space="0" w:color="000000"/>
              <w:bottom w:val="single" w:sz="4" w:space="0" w:color="000000"/>
              <w:right w:val="single" w:sz="4" w:space="0" w:color="000000"/>
            </w:tcBorders>
            <w:shd w:val="clear" w:color="auto" w:fill="D4D4D4"/>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43" w:right="146"/>
              <w:jc w:val="left"/>
              <w:rPr>
                <w:rFonts w:ascii="宋体" w:hAnsi="宋体" w:cs="宋体" w:eastAsia="宋体" w:hint="default"/>
                <w:sz w:val="18"/>
                <w:szCs w:val="18"/>
              </w:rPr>
            </w:pPr>
            <w:r>
              <w:rPr>
                <w:rFonts w:ascii="宋体" w:hAnsi="宋体" w:cs="宋体" w:eastAsia="宋体" w:hint="default"/>
                <w:spacing w:val="-4"/>
                <w:sz w:val="18"/>
                <w:szCs w:val="18"/>
              </w:rPr>
              <w:t>占总资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产比例</w:t>
            </w:r>
            <w:r>
              <w:rPr>
                <w:rFonts w:ascii="宋体" w:hAnsi="宋体" w:cs="宋体" w:eastAsia="宋体"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87" w:right="98" w:hanging="183"/>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45" w:type="dxa"/>
            <w:vMerge/>
            <w:tcBorders>
              <w:left w:val="single" w:sz="4" w:space="0" w:color="000000"/>
              <w:bottom w:val="single" w:sz="4" w:space="0" w:color="000000"/>
              <w:right w:val="single" w:sz="4" w:space="0" w:color="000000"/>
            </w:tcBorders>
            <w:shd w:val="clear" w:color="auto" w:fill="D4D4D4"/>
          </w:tcPr>
          <w:p>
            <w:pPr/>
          </w:p>
        </w:tc>
        <w:tc>
          <w:tcPr>
            <w:tcW w:w="2659" w:type="dxa"/>
            <w:vMerge/>
            <w:tcBorders>
              <w:left w:val="single" w:sz="4" w:space="0" w:color="000000"/>
              <w:bottom w:val="single" w:sz="4" w:space="0" w:color="000000"/>
              <w:right w:val="single" w:sz="4" w:space="0" w:color="000000"/>
            </w:tcBorders>
            <w:shd w:val="clear" w:color="auto" w:fill="D4D4D4"/>
          </w:tcPr>
          <w:p>
            <w:pPr/>
          </w:p>
        </w:tc>
      </w:tr>
      <w:tr>
        <w:trPr>
          <w:trHeight w:val="1022" w:hRule="exact"/>
        </w:trPr>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316,170,312.6</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52.14%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2"/>
                <w:sz w:val="18"/>
              </w:rPr>
              <w:t>114,774,838.34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32.01%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20.13%</w:t>
            </w:r>
          </w:p>
        </w:tc>
        <w:tc>
          <w:tcPr>
            <w:tcW w:w="26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5" w:right="205"/>
              <w:jc w:val="both"/>
              <w:rPr>
                <w:rFonts w:ascii="宋体" w:hAnsi="宋体" w:cs="宋体" w:eastAsia="宋体" w:hint="default"/>
                <w:sz w:val="18"/>
                <w:szCs w:val="18"/>
              </w:rPr>
            </w:pPr>
            <w:r>
              <w:rPr>
                <w:rFonts w:ascii="宋体" w:hAnsi="宋体" w:cs="宋体" w:eastAsia="宋体" w:hint="default"/>
                <w:spacing w:val="-3"/>
                <w:sz w:val="18"/>
                <w:szCs w:val="18"/>
              </w:rPr>
              <w:t>主要系报告期公司首次发行股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票募集资金到账及销售收入增</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加所致</w:t>
            </w:r>
            <w:r>
              <w:rPr>
                <w:rFonts w:ascii="宋体" w:hAnsi="宋体" w:cs="宋体" w:eastAsia="宋体" w:hint="default"/>
                <w:sz w:val="18"/>
                <w:szCs w:val="18"/>
              </w:rPr>
            </w:r>
          </w:p>
        </w:tc>
      </w:tr>
      <w:tr>
        <w:trPr>
          <w:trHeight w:val="715" w:hRule="exact"/>
        </w:trPr>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106,812,607.6</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77,331,812.34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-3.96%</w:t>
            </w:r>
          </w:p>
        </w:tc>
        <w:tc>
          <w:tcPr>
            <w:tcW w:w="265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67,578,474.64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4"/>
                <w:sz w:val="18"/>
              </w:rPr>
              <w:t>11.14%</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61,284,269.34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17.09%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center"/>
              <w:rPr>
                <w:rFonts w:ascii="Times New Roman" w:hAnsi="Times New Roman" w:cs="Times New Roman" w:eastAsia="Times New Roman" w:hint="default"/>
                <w:sz w:val="18"/>
                <w:szCs w:val="18"/>
              </w:rPr>
            </w:pPr>
            <w:r>
              <w:rPr>
                <w:rFonts w:ascii="Times New Roman"/>
                <w:sz w:val="18"/>
              </w:rPr>
              <w:t>-5.95%</w:t>
            </w:r>
          </w:p>
        </w:tc>
        <w:tc>
          <w:tcPr>
            <w:tcW w:w="265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center"/>
              <w:rPr>
                <w:rFonts w:ascii="Times New Roman" w:hAnsi="Times New Roman" w:cs="Times New Roman" w:eastAsia="Times New Roman" w:hint="default"/>
                <w:sz w:val="18"/>
                <w:szCs w:val="18"/>
              </w:rPr>
            </w:pPr>
            <w:r>
              <w:rPr>
                <w:rFonts w:ascii="Times New Roman"/>
                <w:sz w:val="18"/>
              </w:rPr>
              <w:t>7,198,662.08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1.19%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7,413,090.34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center"/>
              <w:rPr>
                <w:rFonts w:ascii="Times New Roman" w:hAnsi="Times New Roman" w:cs="Times New Roman" w:eastAsia="Times New Roman" w:hint="default"/>
                <w:sz w:val="18"/>
                <w:szCs w:val="18"/>
              </w:rPr>
            </w:pPr>
            <w:r>
              <w:rPr>
                <w:rFonts w:ascii="Times New Roman"/>
                <w:sz w:val="18"/>
              </w:rPr>
              <w:t>-0.88%</w:t>
            </w:r>
          </w:p>
        </w:tc>
        <w:tc>
          <w:tcPr>
            <w:tcW w:w="2659"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459"/>
        <w:gridCol w:w="1296"/>
        <w:gridCol w:w="840"/>
        <w:gridCol w:w="1531"/>
        <w:gridCol w:w="941"/>
        <w:gridCol w:w="845"/>
        <w:gridCol w:w="2659"/>
      </w:tblGrid>
      <w:tr>
        <w:trPr>
          <w:trHeight w:val="403" w:hRule="exact"/>
        </w:trPr>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65,244,454.67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10.76%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69,395,712.05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-8.59%</w:t>
            </w:r>
          </w:p>
        </w:tc>
        <w:tc>
          <w:tcPr>
            <w:tcW w:w="265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98" w:hRule="exact"/>
        </w:trPr>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center"/>
              <w:rPr>
                <w:rFonts w:ascii="Times New Roman" w:hAnsi="Times New Roman" w:cs="Times New Roman" w:eastAsia="Times New Roman" w:hint="default"/>
                <w:sz w:val="18"/>
                <w:szCs w:val="18"/>
              </w:rPr>
            </w:pPr>
            <w:r>
              <w:rPr>
                <w:rFonts w:ascii="Times New Roman"/>
                <w:sz w:val="18"/>
              </w:rPr>
              <w:t>1,315,641.33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1,315,641.33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-0.15%</w:t>
            </w:r>
          </w:p>
        </w:tc>
        <w:tc>
          <w:tcPr>
            <w:tcW w:w="265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center"/>
              <w:rPr>
                <w:rFonts w:ascii="Times New Roman" w:hAnsi="Times New Roman" w:cs="Times New Roman" w:eastAsia="Times New Roman" w:hint="default"/>
                <w:sz w:val="18"/>
                <w:szCs w:val="18"/>
              </w:rPr>
            </w:pPr>
            <w:r>
              <w:rPr>
                <w:rFonts w:ascii="Times New Roman"/>
                <w:sz w:val="18"/>
              </w:rPr>
              <w:t>70,000,000.00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spacing w:val="-4"/>
                <w:sz w:val="18"/>
              </w:rPr>
              <w:t>11.54%</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38,900,000.00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10.85%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0.69%</w:t>
            </w:r>
          </w:p>
        </w:tc>
        <w:tc>
          <w:tcPr>
            <w:tcW w:w="2659"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12" w:right="0"/>
        <w:jc w:val="left"/>
        <w:rPr>
          <w:rFonts w:ascii="宋体" w:hAnsi="宋体" w:cs="宋体" w:eastAsia="宋体" w:hint="default"/>
        </w:rPr>
      </w:pPr>
      <w:r>
        <w:rPr>
          <w:spacing w:val="-3"/>
        </w:rPr>
        <w:t>截至报告期末，公司未执行完毕的银行抵押合同具体情况如下：</w:t>
      </w:r>
      <w:r>
        <w:rPr>
          <w:spacing w:val="-14"/>
        </w:rPr>
        <w:t> </w:t>
      </w:r>
      <w:r>
        <w:rPr>
          <w:rFonts w:ascii="宋体" w:hAnsi="宋体" w:cs="宋体" w:eastAsia="宋体" w:hint="default"/>
          <w:spacing w:val="-14"/>
        </w:rPr>
      </w:r>
      <w:r>
        <w:rPr>
          <w:rFonts w:ascii="宋体" w:hAnsi="宋体" w:cs="宋体" w:eastAsia="宋体" w:hint="default"/>
          <w:spacing w:val="-3"/>
        </w:rPr>
        <w:t>1</w:t>
      </w:r>
      <w:r>
        <w:rPr>
          <w:spacing w:val="-3"/>
        </w:rPr>
        <w:t>、公司与交通银行股份有限公司湖南省分（支）行于</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21</w:t>
      </w:r>
      <w:r>
        <w:rPr>
          <w:spacing w:val="-3"/>
        </w:rPr>
        <w:t>日签订的最高额抵押合同，合同期限为</w:t>
      </w: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21</w:t>
      </w:r>
    </w:p>
    <w:p>
      <w:pPr>
        <w:pStyle w:val="BodyText"/>
        <w:spacing w:line="240" w:lineRule="auto" w:before="19"/>
        <w:ind w:right="0"/>
        <w:jc w:val="left"/>
      </w:pP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21</w:t>
      </w:r>
      <w:r>
        <w:rPr>
          <w:spacing w:val="-3"/>
        </w:rPr>
        <w:t>日，抵押担保的最高债权额为</w:t>
      </w:r>
      <w:r>
        <w:rPr>
          <w:rFonts w:ascii="宋体" w:hAnsi="宋体" w:cs="宋体" w:eastAsia="宋体" w:hint="default"/>
          <w:spacing w:val="-3"/>
        </w:rPr>
        <w:t>4,000</w:t>
      </w:r>
      <w:r>
        <w:rPr>
          <w:spacing w:val="-3"/>
        </w:rPr>
        <w:t>万元，抵押物为公司生产楼</w:t>
      </w:r>
      <w:r>
        <w:rPr>
          <w:rFonts w:ascii="宋体" w:hAnsi="宋体" w:cs="宋体" w:eastAsia="宋体" w:hint="default"/>
          <w:spacing w:val="-3"/>
        </w:rPr>
        <w:t>10</w:t>
      </w:r>
      <w:r>
        <w:rPr>
          <w:spacing w:val="-3"/>
        </w:rPr>
        <w:t>套房产，产权证号为长房权证岳麓字第</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715108968</w:t>
      </w:r>
      <w:r>
        <w:rPr/>
        <w:t>号、长房权证岳麓字第</w:t>
      </w:r>
      <w:r>
        <w:rPr>
          <w:rFonts w:ascii="宋体" w:hAnsi="宋体" w:cs="宋体" w:eastAsia="宋体" w:hint="default"/>
        </w:rPr>
        <w:t>715108970-715108977</w:t>
      </w:r>
      <w:r>
        <w:rPr/>
        <w:t>号及长房权证岳麓字第</w:t>
      </w:r>
      <w:r>
        <w:rPr>
          <w:rFonts w:ascii="宋体" w:hAnsi="宋体" w:cs="宋体" w:eastAsia="宋体" w:hint="default"/>
        </w:rPr>
        <w:t>715108967</w:t>
      </w:r>
      <w:r>
        <w:rPr/>
        <w:t>号。</w:t>
      </w:r>
      <w:r>
        <w:rPr>
          <w:rFonts w:ascii="宋体" w:hAnsi="宋体" w:cs="宋体" w:eastAsia="宋体" w:hint="default"/>
        </w:rPr>
        <w:t> </w:t>
      </w:r>
    </w:p>
    <w:p>
      <w:pPr>
        <w:pStyle w:val="BodyText"/>
        <w:spacing w:line="316" w:lineRule="auto" w:before="76"/>
        <w:ind w:right="157" w:firstLine="360"/>
        <w:jc w:val="both"/>
        <w:rPr>
          <w:rFonts w:ascii="宋体" w:hAnsi="宋体" w:cs="宋体" w:eastAsia="宋体" w:hint="default"/>
        </w:rPr>
      </w:pPr>
      <w:r>
        <w:rPr>
          <w:rFonts w:ascii="宋体" w:hAnsi="宋体" w:cs="宋体" w:eastAsia="宋体" w:hint="default"/>
          <w:spacing w:val="-3"/>
        </w:rPr>
        <w:t>2</w:t>
      </w:r>
      <w:r>
        <w:rPr>
          <w:spacing w:val="-3"/>
        </w:rPr>
        <w:t>、公司与上海浦东发展银行股份有限公司长沙分行于</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18</w:t>
      </w:r>
      <w:r>
        <w:rPr>
          <w:spacing w:val="-3"/>
        </w:rPr>
        <w:t>日签订的最高额抵押合同，合同期限为</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18</w:t>
      </w:r>
      <w:r>
        <w:rPr>
          <w:rFonts w:ascii="宋体" w:hAnsi="宋体" w:cs="宋体" w:eastAsia="宋体" w:hint="default"/>
          <w:w w:val="101"/>
        </w:rPr>
        <w:t> </w:t>
      </w: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18</w:t>
      </w:r>
      <w:r>
        <w:rPr>
          <w:spacing w:val="-3"/>
        </w:rPr>
        <w:t>日，抵押担保最高债权额为</w:t>
      </w:r>
      <w:r>
        <w:rPr>
          <w:rFonts w:ascii="宋体" w:hAnsi="宋体" w:cs="宋体" w:eastAsia="宋体" w:hint="default"/>
          <w:spacing w:val="-3"/>
        </w:rPr>
        <w:t>2,641.94</w:t>
      </w:r>
      <w:r>
        <w:rPr>
          <w:spacing w:val="-3"/>
        </w:rPr>
        <w:t>万元，抵押物为公司生产楼、食堂及倒班宿舍共</w:t>
      </w:r>
      <w:r>
        <w:rPr>
          <w:rFonts w:ascii="宋体" w:hAnsi="宋体" w:cs="宋体" w:eastAsia="宋体" w:hint="default"/>
          <w:spacing w:val="-3"/>
        </w:rPr>
        <w:t>7</w:t>
      </w:r>
      <w:r>
        <w:rPr>
          <w:spacing w:val="-3"/>
        </w:rPr>
        <w:t>套房产，产权证号为</w:t>
      </w:r>
      <w:r>
        <w:rPr>
          <w:spacing w:val="5"/>
        </w:rPr>
        <w:t> </w:t>
      </w:r>
      <w:r>
        <w:rPr>
          <w:spacing w:val="5"/>
        </w:rPr>
      </w:r>
      <w:r>
        <w:rPr/>
        <w:t>长房权证岳麓字第</w:t>
      </w:r>
      <w:r>
        <w:rPr>
          <w:rFonts w:ascii="宋体" w:hAnsi="宋体" w:cs="宋体" w:eastAsia="宋体" w:hint="default"/>
        </w:rPr>
        <w:t>715108962</w:t>
      </w:r>
      <w:r>
        <w:rPr/>
        <w:t>号、长房权证岳麓字第</w:t>
      </w:r>
      <w:r>
        <w:rPr>
          <w:rFonts w:ascii="宋体" w:hAnsi="宋体" w:cs="宋体" w:eastAsia="宋体" w:hint="default"/>
        </w:rPr>
        <w:t>715108950-715108955</w:t>
      </w:r>
      <w:r>
        <w:rPr/>
        <w:t>号。</w:t>
      </w:r>
      <w:r>
        <w:rPr>
          <w:rFonts w:ascii="宋体" w:hAnsi="宋体" w:cs="宋体" w:eastAsia="宋体" w:hint="default"/>
        </w:rPr>
        <w:t> </w:t>
      </w:r>
    </w:p>
    <w:p>
      <w:pPr>
        <w:pStyle w:val="BodyText"/>
        <w:spacing w:line="240" w:lineRule="auto" w:before="19"/>
        <w:ind w:left="512" w:right="0"/>
        <w:jc w:val="left"/>
      </w:pPr>
      <w:r>
        <w:rPr>
          <w:rFonts w:ascii="宋体" w:hAnsi="宋体" w:cs="宋体" w:eastAsia="宋体" w:hint="default"/>
          <w:spacing w:val="-3"/>
        </w:rPr>
        <w:t>3</w:t>
      </w:r>
      <w:r>
        <w:rPr>
          <w:spacing w:val="-3"/>
        </w:rPr>
        <w:t>、公司与上海浦东发展银行股份有限公司长沙分行于</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11</w:t>
      </w:r>
      <w:r>
        <w:rPr>
          <w:spacing w:val="-3"/>
        </w:rPr>
        <w:t>日签订的最高额抵押合同，合同期限为</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w:t>
      </w:r>
    </w:p>
    <w:p>
      <w:pPr>
        <w:pStyle w:val="BodyText"/>
        <w:spacing w:line="316" w:lineRule="auto" w:before="76"/>
        <w:ind w:right="160" w:hanging="1"/>
        <w:jc w:val="left"/>
        <w:rPr>
          <w:rFonts w:ascii="宋体" w:hAnsi="宋体" w:cs="宋体" w:eastAsia="宋体" w:hint="default"/>
        </w:rPr>
      </w:pPr>
      <w:r>
        <w:rPr>
          <w:rFonts w:ascii="宋体" w:hAnsi="宋体" w:cs="宋体" w:eastAsia="宋体" w:hint="default"/>
          <w:spacing w:val="-3"/>
        </w:rPr>
        <w:t>11</w:t>
      </w:r>
      <w:r>
        <w:rPr>
          <w:spacing w:val="-3"/>
        </w:rPr>
        <w:t>日</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11</w:t>
      </w:r>
      <w:r>
        <w:rPr>
          <w:spacing w:val="-3"/>
        </w:rPr>
        <w:t>日，抵押担保最高债权额为</w:t>
      </w:r>
      <w:r>
        <w:rPr>
          <w:rFonts w:ascii="宋体" w:hAnsi="宋体" w:cs="宋体" w:eastAsia="宋体" w:hint="default"/>
          <w:spacing w:val="-3"/>
        </w:rPr>
        <w:t>816.40</w:t>
      </w:r>
      <w:r>
        <w:rPr>
          <w:spacing w:val="-3"/>
        </w:rPr>
        <w:t>万元，抵押物为公司波波天下城</w:t>
      </w:r>
      <w:r>
        <w:rPr>
          <w:rFonts w:ascii="宋体" w:hAnsi="宋体" w:cs="宋体" w:eastAsia="宋体" w:hint="default"/>
          <w:spacing w:val="-3"/>
        </w:rPr>
        <w:t>10</w:t>
      </w:r>
      <w:r>
        <w:rPr>
          <w:spacing w:val="-3"/>
        </w:rPr>
        <w:t>套房产，产权证号为长房权证天心</w:t>
      </w:r>
      <w:r>
        <w:rPr>
          <w:spacing w:val="3"/>
        </w:rPr>
        <w:t> </w:t>
      </w:r>
      <w:r>
        <w:rPr>
          <w:spacing w:val="3"/>
        </w:rPr>
      </w:r>
      <w:r>
        <w:rPr/>
        <w:t>字第</w:t>
      </w:r>
      <w:r>
        <w:rPr>
          <w:rFonts w:ascii="宋体" w:hAnsi="宋体" w:cs="宋体" w:eastAsia="宋体" w:hint="default"/>
        </w:rPr>
        <w:t>711053545-711053554</w:t>
      </w:r>
      <w:r>
        <w:rPr/>
        <w:t>号。</w:t>
      </w:r>
      <w:r>
        <w:rPr>
          <w:rFonts w:ascii="宋体" w:hAnsi="宋体" w:cs="宋体" w:eastAsia="宋体" w:hint="default"/>
        </w:rPr>
        <w:t> </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9"/>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6"/>
        <w:gridCol w:w="1118"/>
        <w:gridCol w:w="518"/>
        <w:gridCol w:w="778"/>
        <w:gridCol w:w="586"/>
        <w:gridCol w:w="653"/>
        <w:gridCol w:w="533"/>
        <w:gridCol w:w="614"/>
        <w:gridCol w:w="706"/>
        <w:gridCol w:w="586"/>
        <w:gridCol w:w="941"/>
        <w:gridCol w:w="614"/>
        <w:gridCol w:w="614"/>
        <w:gridCol w:w="610"/>
      </w:tblGrid>
      <w:tr>
        <w:trPr>
          <w:trHeight w:val="1334" w:hRule="exact"/>
        </w:trPr>
        <w:tc>
          <w:tcPr>
            <w:tcW w:w="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63" w:right="156"/>
              <w:jc w:val="both"/>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pacing w:val="-86"/>
                <w:sz w:val="18"/>
                <w:szCs w:val="18"/>
              </w:rPr>
              <w:t> </w:t>
            </w:r>
            <w:r>
              <w:rPr>
                <w:rFonts w:ascii="宋体" w:hAnsi="宋体" w:cs="宋体" w:eastAsia="宋体" w:hint="default"/>
                <w:sz w:val="18"/>
                <w:szCs w:val="18"/>
              </w:rPr>
              <w:t>资公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1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67" w:right="156"/>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式</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97" w:right="113" w:hanging="183"/>
              <w:jc w:val="left"/>
              <w:rPr>
                <w:rFonts w:ascii="宋体" w:hAnsi="宋体" w:cs="宋体" w:eastAsia="宋体" w:hint="default"/>
                <w:sz w:val="18"/>
                <w:szCs w:val="18"/>
              </w:rPr>
            </w:pPr>
            <w:r>
              <w:rPr>
                <w:rFonts w:ascii="宋体" w:hAnsi="宋体" w:cs="宋体" w:eastAsia="宋体" w:hint="default"/>
                <w:spacing w:val="-4"/>
                <w:sz w:val="18"/>
                <w:szCs w:val="18"/>
              </w:rPr>
              <w:t>投资金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0" w:right="98"/>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43" w:right="132"/>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2" w:right="167"/>
              <w:jc w:val="both"/>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作</w:t>
            </w:r>
            <w:r>
              <w:rPr>
                <w:rFonts w:ascii="宋体" w:hAnsi="宋体" w:cs="宋体" w:eastAsia="宋体" w:hint="default"/>
                <w:spacing w:val="-88"/>
                <w:sz w:val="18"/>
                <w:szCs w:val="18"/>
              </w:rPr>
              <w:t> </w:t>
            </w:r>
            <w:r>
              <w:rPr>
                <w:rFonts w:ascii="宋体" w:hAnsi="宋体" w:cs="宋体" w:eastAsia="宋体" w:hint="default"/>
                <w:sz w:val="18"/>
                <w:szCs w:val="18"/>
              </w:rPr>
              <w:t>方</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4" w:right="113"/>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67" w:right="161"/>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0" w:right="98"/>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87" w:right="98" w:hanging="183"/>
              <w:jc w:val="left"/>
              <w:rPr>
                <w:rFonts w:ascii="宋体" w:hAnsi="宋体" w:cs="宋体" w:eastAsia="宋体" w:hint="default"/>
                <w:sz w:val="18"/>
                <w:szCs w:val="18"/>
              </w:rPr>
            </w:pPr>
            <w:r>
              <w:rPr>
                <w:rFonts w:ascii="宋体" w:hAnsi="宋体" w:cs="宋体" w:eastAsia="宋体" w:hint="default"/>
                <w:sz w:val="18"/>
                <w:szCs w:val="18"/>
              </w:rPr>
              <w:t>本期投资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盈亏</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4" w:right="113"/>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涉诉</w:t>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3"/>
              <w:ind w:left="124" w:right="113"/>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p>
            <w:pPr>
              <w:pStyle w:val="TableParagraph"/>
              <w:spacing w:line="321" w:lineRule="auto" w:before="22"/>
              <w:ind w:left="124" w:right="113"/>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3"/>
              <w:ind w:left="120" w:right="113"/>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索引</w:t>
            </w:r>
          </w:p>
          <w:p>
            <w:pPr>
              <w:pStyle w:val="TableParagraph"/>
              <w:spacing w:line="321" w:lineRule="auto" w:before="22"/>
              <w:ind w:left="120" w:right="113"/>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r>
      <w:tr>
        <w:trPr>
          <w:trHeight w:val="2549" w:hRule="exact"/>
        </w:trPr>
        <w:tc>
          <w:tcPr>
            <w:tcW w:w="6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63" w:right="156"/>
              <w:jc w:val="both"/>
              <w:rPr>
                <w:rFonts w:ascii="宋体" w:hAnsi="宋体" w:cs="宋体" w:eastAsia="宋体" w:hint="default"/>
                <w:sz w:val="18"/>
                <w:szCs w:val="18"/>
              </w:rPr>
            </w:pPr>
            <w:r>
              <w:rPr>
                <w:rFonts w:ascii="宋体" w:hAnsi="宋体" w:cs="宋体" w:eastAsia="宋体" w:hint="default"/>
                <w:sz w:val="18"/>
                <w:szCs w:val="18"/>
              </w:rPr>
              <w:t>湖南</w:t>
            </w:r>
            <w:r>
              <w:rPr>
                <w:rFonts w:ascii="宋体" w:hAnsi="宋体" w:cs="宋体" w:eastAsia="宋体" w:hint="default"/>
                <w:spacing w:val="-86"/>
                <w:sz w:val="18"/>
                <w:szCs w:val="18"/>
              </w:rPr>
              <w:t> </w:t>
            </w:r>
            <w:r>
              <w:rPr>
                <w:rFonts w:ascii="宋体" w:hAnsi="宋体" w:cs="宋体" w:eastAsia="宋体" w:hint="default"/>
                <w:sz w:val="18"/>
                <w:szCs w:val="18"/>
              </w:rPr>
              <w:t>科创</w:t>
            </w:r>
            <w:r>
              <w:rPr>
                <w:rFonts w:ascii="宋体" w:hAnsi="宋体" w:cs="宋体" w:eastAsia="宋体" w:hint="default"/>
                <w:spacing w:val="-86"/>
                <w:sz w:val="18"/>
                <w:szCs w:val="18"/>
              </w:rPr>
              <w:t> </w:t>
            </w:r>
            <w:r>
              <w:rPr>
                <w:rFonts w:ascii="宋体" w:hAnsi="宋体" w:cs="宋体" w:eastAsia="宋体" w:hint="default"/>
                <w:sz w:val="18"/>
                <w:szCs w:val="18"/>
              </w:rPr>
              <w:t>信息</w:t>
            </w:r>
            <w:r>
              <w:rPr>
                <w:rFonts w:ascii="宋体" w:hAnsi="宋体" w:cs="宋体" w:eastAsia="宋体" w:hint="default"/>
                <w:spacing w:val="-86"/>
                <w:sz w:val="18"/>
                <w:szCs w:val="18"/>
              </w:rPr>
              <w:t> </w:t>
            </w:r>
            <w:r>
              <w:rPr>
                <w:rFonts w:ascii="宋体" w:hAnsi="宋体" w:cs="宋体" w:eastAsia="宋体" w:hint="default"/>
                <w:sz w:val="18"/>
                <w:szCs w:val="18"/>
              </w:rPr>
              <w:t>系统</w:t>
            </w:r>
            <w:r>
              <w:rPr>
                <w:rFonts w:ascii="宋体" w:hAnsi="宋体" w:cs="宋体" w:eastAsia="宋体" w:hint="default"/>
                <w:spacing w:val="-86"/>
                <w:sz w:val="18"/>
                <w:szCs w:val="18"/>
              </w:rPr>
              <w:t> </w:t>
            </w:r>
            <w:r>
              <w:rPr>
                <w:rFonts w:ascii="宋体" w:hAnsi="宋体" w:cs="宋体" w:eastAsia="宋体" w:hint="default"/>
                <w:sz w:val="18"/>
                <w:szCs w:val="18"/>
              </w:rPr>
              <w:t>集成</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1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8"/>
              <w:ind w:left="100" w:right="108"/>
              <w:jc w:val="center"/>
              <w:rPr>
                <w:rFonts w:ascii="宋体" w:hAnsi="宋体" w:cs="宋体" w:eastAsia="宋体" w:hint="default"/>
                <w:sz w:val="18"/>
                <w:szCs w:val="18"/>
              </w:rPr>
            </w:pPr>
            <w:r>
              <w:rPr>
                <w:rFonts w:ascii="宋体" w:hAnsi="宋体" w:cs="宋体" w:eastAsia="宋体" w:hint="default"/>
                <w:spacing w:val="-3"/>
                <w:sz w:val="18"/>
                <w:szCs w:val="18"/>
              </w:rPr>
              <w:t>信息系统集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成服务、软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件开发、软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件技术服</w:t>
            </w:r>
            <w:r>
              <w:rPr>
                <w:rFonts w:ascii="宋体" w:hAnsi="宋体" w:cs="宋体" w:eastAsia="宋体" w:hint="default"/>
                <w:w w:val="101"/>
                <w:sz w:val="18"/>
                <w:szCs w:val="18"/>
              </w:rPr>
              <w:t> </w:t>
            </w:r>
            <w:r>
              <w:rPr>
                <w:rFonts w:ascii="宋体" w:hAnsi="宋体" w:cs="宋体" w:eastAsia="宋体" w:hint="default"/>
                <w:spacing w:val="-3"/>
                <w:sz w:val="18"/>
                <w:szCs w:val="18"/>
              </w:rPr>
              <w:t>务，主要实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施政府相关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部门涉密的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集成及软件</w:t>
            </w:r>
            <w:r>
              <w:rPr>
                <w:rFonts w:ascii="宋体" w:hAnsi="宋体" w:cs="宋体" w:eastAsia="宋体" w:hint="default"/>
                <w:sz w:val="18"/>
                <w:szCs w:val="18"/>
              </w:rPr>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167" w:right="156"/>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143" w:right="132"/>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53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167" w:right="161"/>
              <w:jc w:val="both"/>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pacing w:val="-86"/>
                <w:sz w:val="18"/>
                <w:szCs w:val="18"/>
              </w:rPr>
              <w:t> </w:t>
            </w: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-304,068.</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83</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696"/>
        <w:gridCol w:w="1118"/>
        <w:gridCol w:w="518"/>
        <w:gridCol w:w="778"/>
        <w:gridCol w:w="586"/>
        <w:gridCol w:w="653"/>
        <w:gridCol w:w="533"/>
        <w:gridCol w:w="614"/>
        <w:gridCol w:w="706"/>
        <w:gridCol w:w="586"/>
        <w:gridCol w:w="943"/>
        <w:gridCol w:w="612"/>
        <w:gridCol w:w="614"/>
        <w:gridCol w:w="610"/>
      </w:tblGrid>
      <w:tr>
        <w:trPr>
          <w:trHeight w:val="360" w:hRule="exact"/>
        </w:trPr>
        <w:tc>
          <w:tcPr>
            <w:tcW w:w="6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开发项目</w:t>
            </w:r>
          </w:p>
        </w:tc>
        <w:tc>
          <w:tcPr>
            <w:tcW w:w="51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3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1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5" w:hRule="exact"/>
        </w:trPr>
        <w:tc>
          <w:tcPr>
            <w:tcW w:w="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-304,068.</w:t>
            </w:r>
          </w:p>
          <w:p>
            <w:pPr>
              <w:pStyle w:val="TableParagraph"/>
              <w:spacing w:line="240" w:lineRule="auto" w:before="86"/>
              <w:ind w:right="0"/>
              <w:jc w:val="center"/>
              <w:rPr>
                <w:rFonts w:ascii="Times New Roman" w:hAnsi="Times New Roman" w:cs="Times New Roman" w:eastAsia="Times New Roman" w:hint="default"/>
                <w:sz w:val="12"/>
                <w:szCs w:val="12"/>
              </w:rPr>
            </w:pPr>
            <w:r>
              <w:rPr>
                <w:rFonts w:ascii="Times New Roman"/>
                <w:sz w:val="18"/>
              </w:rPr>
              <w:t>83</w:t>
            </w:r>
            <w:r>
              <w:rPr>
                <w:rFonts w:ascii="Times New Roman"/>
                <w:color w:val="FF0000"/>
                <w:position w:val="8"/>
                <w:sz w:val="12"/>
              </w:rPr>
              <w:t>1</w:t>
            </w:r>
            <w:r>
              <w:rPr>
                <w:rFonts w:ascii="Times New Roman"/>
                <w:sz w:val="12"/>
              </w:rPr>
            </w:r>
          </w:p>
        </w:tc>
        <w:tc>
          <w:tcPr>
            <w:tcW w:w="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注：</w:t>
      </w:r>
      <w:r>
        <w:rPr>
          <w:rFonts w:ascii="Times New Roman" w:hAnsi="Times New Roman" w:cs="Times New Roman" w:eastAsia="Times New Roman" w:hint="default"/>
        </w:rPr>
        <w:t>1  </w:t>
      </w:r>
      <w:r>
        <w:rPr>
          <w:rFonts w:ascii="Times New Roman" w:hAnsi="Times New Roman" w:cs="Times New Roman" w:eastAsia="Times New Roman" w:hint="default"/>
          <w:spacing w:val="44"/>
        </w:rPr>
        <w:t> </w:t>
      </w:r>
      <w:r>
        <w:rPr>
          <w:spacing w:val="-3"/>
        </w:rPr>
        <w:t>本期投资盈亏为子公司湖南科创信息系统集成有限公司当期净利润。</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50"/>
        <w:jc w:val="right"/>
      </w:pPr>
      <w:r>
        <w:rPr>
          <w:spacing w:val="-3"/>
        </w:rPr>
        <w:t>单位：万元</w:t>
      </w:r>
      <w:r>
        <w:rPr/>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78"/>
        <w:gridCol w:w="955"/>
        <w:gridCol w:w="979"/>
        <w:gridCol w:w="763"/>
        <w:gridCol w:w="725"/>
        <w:gridCol w:w="941"/>
        <w:gridCol w:w="874"/>
        <w:gridCol w:w="941"/>
        <w:gridCol w:w="955"/>
        <w:gridCol w:w="898"/>
        <w:gridCol w:w="754"/>
      </w:tblGrid>
      <w:tr>
        <w:trPr>
          <w:trHeight w:val="1963"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297" w:right="113" w:hanging="183"/>
              <w:jc w:val="left"/>
              <w:rPr>
                <w:rFonts w:ascii="宋体" w:hAnsi="宋体" w:cs="宋体" w:eastAsia="宋体" w:hint="default"/>
                <w:sz w:val="18"/>
                <w:szCs w:val="18"/>
              </w:rPr>
            </w:pPr>
            <w:r>
              <w:rPr>
                <w:rFonts w:ascii="宋体" w:hAnsi="宋体" w:cs="宋体" w:eastAsia="宋体" w:hint="default"/>
                <w:spacing w:val="-4"/>
                <w:sz w:val="18"/>
                <w:szCs w:val="18"/>
              </w:rPr>
              <w:t>募集年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份</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9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10" w:right="103"/>
              <w:jc w:val="both"/>
              <w:rPr>
                <w:rFonts w:ascii="宋体" w:hAnsi="宋体" w:cs="宋体" w:eastAsia="宋体" w:hint="default"/>
                <w:sz w:val="18"/>
                <w:szCs w:val="18"/>
              </w:rPr>
            </w:pPr>
            <w:r>
              <w:rPr>
                <w:rFonts w:ascii="宋体" w:hAnsi="宋体" w:cs="宋体" w:eastAsia="宋体" w:hint="default"/>
                <w:spacing w:val="-4"/>
                <w:sz w:val="18"/>
                <w:szCs w:val="18"/>
              </w:rPr>
              <w:t>本期已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使用募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集资金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总额</w:t>
            </w:r>
          </w:p>
        </w:tc>
        <w:tc>
          <w:tcPr>
            <w:tcW w:w="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3"/>
              <w:ind w:left="177" w:right="170"/>
              <w:jc w:val="both"/>
              <w:rPr>
                <w:rFonts w:ascii="宋体" w:hAnsi="宋体" w:cs="宋体" w:eastAsia="宋体" w:hint="default"/>
                <w:sz w:val="18"/>
                <w:szCs w:val="18"/>
              </w:rPr>
            </w:pPr>
            <w:r>
              <w:rPr>
                <w:rFonts w:ascii="宋体" w:hAnsi="宋体" w:cs="宋体" w:eastAsia="宋体" w:hint="default"/>
                <w:sz w:val="18"/>
                <w:szCs w:val="18"/>
              </w:rPr>
              <w:t>已累</w:t>
            </w:r>
            <w:r>
              <w:rPr>
                <w:rFonts w:ascii="宋体" w:hAnsi="宋体" w:cs="宋体" w:eastAsia="宋体" w:hint="default"/>
                <w:spacing w:val="-86"/>
                <w:sz w:val="18"/>
                <w:szCs w:val="18"/>
              </w:rPr>
              <w:t> </w:t>
            </w:r>
            <w:r>
              <w:rPr>
                <w:rFonts w:ascii="宋体" w:hAnsi="宋体" w:cs="宋体" w:eastAsia="宋体" w:hint="default"/>
                <w:sz w:val="18"/>
                <w:szCs w:val="18"/>
              </w:rPr>
              <w:t>计使</w:t>
            </w:r>
            <w:r>
              <w:rPr>
                <w:rFonts w:ascii="宋体" w:hAnsi="宋体" w:cs="宋体" w:eastAsia="宋体" w:hint="default"/>
                <w:spacing w:val="-86"/>
                <w:sz w:val="18"/>
                <w:szCs w:val="18"/>
              </w:rPr>
              <w:t> </w:t>
            </w:r>
            <w:r>
              <w:rPr>
                <w:rFonts w:ascii="宋体" w:hAnsi="宋体" w:cs="宋体" w:eastAsia="宋体" w:hint="default"/>
                <w:sz w:val="18"/>
                <w:szCs w:val="18"/>
              </w:rPr>
              <w:t>用募</w:t>
            </w:r>
            <w:r>
              <w:rPr>
                <w:rFonts w:ascii="宋体" w:hAnsi="宋体" w:cs="宋体" w:eastAsia="宋体" w:hint="default"/>
                <w:spacing w:val="-86"/>
                <w:sz w:val="18"/>
                <w:szCs w:val="18"/>
              </w:rPr>
              <w:t> </w:t>
            </w:r>
            <w:r>
              <w:rPr>
                <w:rFonts w:ascii="宋体" w:hAnsi="宋体" w:cs="宋体" w:eastAsia="宋体" w:hint="default"/>
                <w:sz w:val="18"/>
                <w:szCs w:val="18"/>
              </w:rPr>
              <w:t>集资</w:t>
            </w:r>
            <w:r>
              <w:rPr>
                <w:rFonts w:ascii="宋体" w:hAnsi="宋体" w:cs="宋体" w:eastAsia="宋体" w:hint="default"/>
                <w:spacing w:val="-86"/>
                <w:sz w:val="18"/>
                <w:szCs w:val="18"/>
              </w:rPr>
              <w:t> </w:t>
            </w:r>
            <w:r>
              <w:rPr>
                <w:rFonts w:ascii="宋体" w:hAnsi="宋体" w:cs="宋体" w:eastAsia="宋体" w:hint="default"/>
                <w:sz w:val="18"/>
                <w:szCs w:val="18"/>
              </w:rPr>
              <w:t>金总</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8"/>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金总额</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3" w:right="161"/>
              <w:jc w:val="center"/>
              <w:rPr>
                <w:rFonts w:ascii="宋体" w:hAnsi="宋体" w:cs="宋体" w:eastAsia="宋体" w:hint="default"/>
                <w:sz w:val="18"/>
                <w:szCs w:val="18"/>
              </w:rPr>
            </w:pPr>
            <w:r>
              <w:rPr>
                <w:rFonts w:ascii="宋体" w:hAnsi="宋体" w:cs="宋体" w:eastAsia="宋体" w:hint="default"/>
                <w:spacing w:val="-4"/>
                <w:sz w:val="18"/>
                <w:szCs w:val="18"/>
              </w:rPr>
              <w:t>累计变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更用途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的募集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资金总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8"/>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额比例</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10" w:right="108"/>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77" w:right="170"/>
              <w:jc w:val="center"/>
              <w:rPr>
                <w:rFonts w:ascii="宋体" w:hAnsi="宋体" w:cs="宋体" w:eastAsia="宋体" w:hint="default"/>
                <w:sz w:val="18"/>
                <w:szCs w:val="18"/>
              </w:rPr>
            </w:pPr>
            <w:r>
              <w:rPr>
                <w:rFonts w:ascii="宋体" w:hAnsi="宋体" w:cs="宋体" w:eastAsia="宋体" w:hint="default"/>
                <w:spacing w:val="-4"/>
                <w:sz w:val="18"/>
                <w:szCs w:val="18"/>
              </w:rPr>
              <w:t>尚未使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用募集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资金用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途及去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向</w:t>
            </w:r>
          </w:p>
        </w:tc>
        <w:tc>
          <w:tcPr>
            <w:tcW w:w="7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3"/>
              <w:ind w:left="191" w:right="185"/>
              <w:jc w:val="both"/>
              <w:rPr>
                <w:rFonts w:ascii="宋体" w:hAnsi="宋体" w:cs="宋体" w:eastAsia="宋体" w:hint="default"/>
                <w:sz w:val="18"/>
                <w:szCs w:val="18"/>
              </w:rPr>
            </w:pPr>
            <w:r>
              <w:rPr>
                <w:rFonts w:ascii="宋体" w:hAnsi="宋体" w:cs="宋体" w:eastAsia="宋体" w:hint="default"/>
                <w:sz w:val="18"/>
                <w:szCs w:val="18"/>
              </w:rPr>
              <w:t>闲置</w:t>
            </w:r>
            <w:r>
              <w:rPr>
                <w:rFonts w:ascii="宋体" w:hAnsi="宋体" w:cs="宋体" w:eastAsia="宋体" w:hint="default"/>
                <w:spacing w:val="-86"/>
                <w:sz w:val="18"/>
                <w:szCs w:val="18"/>
              </w:rPr>
              <w:t> </w:t>
            </w:r>
            <w:r>
              <w:rPr>
                <w:rFonts w:ascii="宋体" w:hAnsi="宋体" w:cs="宋体" w:eastAsia="宋体" w:hint="default"/>
                <w:sz w:val="18"/>
                <w:szCs w:val="18"/>
              </w:rPr>
              <w:t>两年</w:t>
            </w:r>
            <w:r>
              <w:rPr>
                <w:rFonts w:ascii="宋体" w:hAnsi="宋体" w:cs="宋体" w:eastAsia="宋体" w:hint="default"/>
                <w:spacing w:val="-86"/>
                <w:sz w:val="18"/>
                <w:szCs w:val="18"/>
              </w:rPr>
              <w:t> </w:t>
            </w:r>
            <w:r>
              <w:rPr>
                <w:rFonts w:ascii="宋体" w:hAnsi="宋体" w:cs="宋体" w:eastAsia="宋体" w:hint="default"/>
                <w:sz w:val="18"/>
                <w:szCs w:val="18"/>
              </w:rPr>
              <w:t>以上</w:t>
            </w:r>
            <w:r>
              <w:rPr>
                <w:rFonts w:ascii="宋体" w:hAnsi="宋体" w:cs="宋体" w:eastAsia="宋体" w:hint="default"/>
                <w:spacing w:val="-86"/>
                <w:sz w:val="18"/>
                <w:szCs w:val="18"/>
              </w:rPr>
              <w:t> </w:t>
            </w: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金额</w:t>
            </w:r>
          </w:p>
        </w:tc>
      </w:tr>
      <w:tr>
        <w:trPr>
          <w:trHeight w:val="357" w:hRule="exact"/>
        </w:trPr>
        <w:tc>
          <w:tcPr>
            <w:tcW w:w="77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5" w:type="dxa"/>
            <w:tcBorders>
              <w:top w:val="single" w:sz="4" w:space="0" w:color="000000"/>
              <w:left w:val="single" w:sz="4" w:space="0" w:color="000000"/>
              <w:bottom w:val="nil" w:sz="6" w:space="0" w:color="auto"/>
              <w:right w:val="single" w:sz="4" w:space="0" w:color="000000"/>
            </w:tcBorders>
            <w:shd w:val="clear" w:color="auto" w:fill="C7EDCC"/>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763" w:type="dxa"/>
            <w:tcBorders>
              <w:top w:val="single" w:sz="4" w:space="0" w:color="000000"/>
              <w:left w:val="single" w:sz="4" w:space="0" w:color="000000"/>
              <w:bottom w:val="nil" w:sz="6" w:space="0" w:color="auto"/>
              <w:right w:val="single" w:sz="4" w:space="0" w:color="000000"/>
            </w:tcBorders>
          </w:tcPr>
          <w:p>
            <w:pPr/>
          </w:p>
        </w:tc>
        <w:tc>
          <w:tcPr>
            <w:tcW w:w="72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以活期</w:t>
            </w:r>
            <w:r>
              <w:rPr>
                <w:rFonts w:ascii="宋体" w:hAnsi="宋体" w:cs="宋体" w:eastAsia="宋体" w:hint="default"/>
                <w:sz w:val="18"/>
                <w:szCs w:val="18"/>
              </w:rPr>
            </w:r>
          </w:p>
        </w:tc>
        <w:tc>
          <w:tcPr>
            <w:tcW w:w="754"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778" w:type="dxa"/>
            <w:tcBorders>
              <w:top w:val="nil" w:sz="6" w:space="0" w:color="auto"/>
              <w:left w:val="single" w:sz="4" w:space="0" w:color="000000"/>
              <w:bottom w:val="nil" w:sz="6" w:space="0" w:color="auto"/>
              <w:right w:val="single" w:sz="4" w:space="0" w:color="000000"/>
            </w:tcBorders>
            <w:shd w:val="clear" w:color="auto" w:fill="C7EDCC"/>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79"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pacing w:val="-4"/>
                <w:sz w:val="18"/>
                <w:szCs w:val="18"/>
              </w:rPr>
              <w:t>存款方</w:t>
            </w:r>
            <w:r>
              <w:rPr>
                <w:rFonts w:ascii="宋体" w:hAnsi="宋体" w:cs="宋体" w:eastAsia="宋体" w:hint="default"/>
                <w:sz w:val="18"/>
                <w:szCs w:val="18"/>
              </w:rPr>
            </w:r>
          </w:p>
        </w:tc>
        <w:tc>
          <w:tcPr>
            <w:tcW w:w="754"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77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2017</w:t>
            </w:r>
          </w:p>
        </w:tc>
        <w:tc>
          <w:tcPr>
            <w:tcW w:w="95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6"/>
              <w:ind w:left="105" w:right="113"/>
              <w:jc w:val="left"/>
              <w:rPr>
                <w:rFonts w:ascii="宋体" w:hAnsi="宋体" w:cs="宋体" w:eastAsia="宋体" w:hint="default"/>
                <w:sz w:val="18"/>
                <w:szCs w:val="18"/>
              </w:rPr>
            </w:pPr>
            <w:r>
              <w:rPr>
                <w:rFonts w:ascii="宋体" w:hAnsi="宋体" w:cs="宋体" w:eastAsia="宋体" w:hint="default"/>
                <w:sz w:val="18"/>
                <w:szCs w:val="18"/>
              </w:rPr>
              <w:t>公开发行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股票</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16,265.29</w:t>
            </w:r>
          </w:p>
        </w:tc>
        <w:tc>
          <w:tcPr>
            <w:tcW w:w="7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16,268.44</w:t>
            </w:r>
          </w:p>
        </w:tc>
        <w:tc>
          <w:tcPr>
            <w:tcW w:w="8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105" w:right="242"/>
              <w:jc w:val="left"/>
              <w:rPr>
                <w:rFonts w:ascii="宋体" w:hAnsi="宋体" w:cs="宋体" w:eastAsia="宋体" w:hint="default"/>
                <w:sz w:val="18"/>
                <w:szCs w:val="18"/>
              </w:rPr>
            </w:pPr>
            <w:r>
              <w:rPr>
                <w:rFonts w:ascii="宋体" w:hAnsi="宋体" w:cs="宋体" w:eastAsia="宋体" w:hint="default"/>
                <w:spacing w:val="-4"/>
                <w:sz w:val="18"/>
                <w:szCs w:val="18"/>
              </w:rPr>
              <w:t>式存储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在募集</w:t>
            </w:r>
            <w:r>
              <w:rPr>
                <w:rFonts w:ascii="宋体" w:hAnsi="宋体" w:cs="宋体" w:eastAsia="宋体" w:hint="default"/>
                <w:sz w:val="18"/>
                <w:szCs w:val="18"/>
              </w:rPr>
            </w:r>
          </w:p>
        </w:tc>
        <w:tc>
          <w:tcPr>
            <w:tcW w:w="7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778" w:type="dxa"/>
            <w:tcBorders>
              <w:top w:val="nil" w:sz="6" w:space="0" w:color="auto"/>
              <w:left w:val="single" w:sz="4" w:space="0" w:color="000000"/>
              <w:bottom w:val="nil" w:sz="6" w:space="0" w:color="auto"/>
              <w:right w:val="single" w:sz="4" w:space="0" w:color="000000"/>
            </w:tcBorders>
            <w:shd w:val="clear" w:color="auto" w:fill="C7EDCC"/>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79"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874"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pacing w:val="-4"/>
                <w:sz w:val="18"/>
                <w:szCs w:val="18"/>
              </w:rPr>
              <w:t>资金专</w:t>
            </w:r>
            <w:r>
              <w:rPr>
                <w:rFonts w:ascii="宋体" w:hAnsi="宋体" w:cs="宋体" w:eastAsia="宋体" w:hint="default"/>
                <w:sz w:val="18"/>
                <w:szCs w:val="18"/>
              </w:rPr>
            </w:r>
          </w:p>
        </w:tc>
        <w:tc>
          <w:tcPr>
            <w:tcW w:w="75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77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5" w:type="dxa"/>
            <w:tcBorders>
              <w:top w:val="nil" w:sz="6" w:space="0" w:color="auto"/>
              <w:left w:val="single" w:sz="4" w:space="0" w:color="000000"/>
              <w:bottom w:val="single" w:sz="4" w:space="0" w:color="000000"/>
              <w:right w:val="single" w:sz="4" w:space="0" w:color="000000"/>
            </w:tcBorders>
            <w:shd w:val="clear" w:color="auto" w:fill="C7EDCC"/>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single" w:sz="4" w:space="0" w:color="000000"/>
            </w:tcBorders>
          </w:tcPr>
          <w:p>
            <w:pPr/>
          </w:p>
        </w:tc>
        <w:tc>
          <w:tcPr>
            <w:tcW w:w="72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户中</w:t>
            </w:r>
          </w:p>
        </w:tc>
        <w:tc>
          <w:tcPr>
            <w:tcW w:w="754"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16,265.29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16,268.44</w:t>
            </w:r>
          </w:p>
        </w:tc>
        <w:tc>
          <w:tcPr>
            <w:tcW w:w="8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6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275" w:hRule="exact"/>
        </w:trPr>
        <w:tc>
          <w:tcPr>
            <w:tcW w:w="9562"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[2017]2044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号》文的核准，公司于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月向社会公开发行境内上市人民币</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23,240,000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股，每股面值为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元，发行价格为人民币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194,286,400.00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扣</w:t>
            </w:r>
            <w:r>
              <w:rPr>
                <w:rFonts w:ascii="宋体" w:hAnsi="宋体" w:cs="宋体" w:eastAsia="宋体" w:hint="default"/>
                <w:spacing w:val="-5"/>
                <w:w w:val="101"/>
                <w:sz w:val="18"/>
                <w:szCs w:val="18"/>
              </w:rPr>
              <w:t>除</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费</w:t>
            </w:r>
            <w:r>
              <w:rPr>
                <w:rFonts w:ascii="宋体" w:hAnsi="宋体" w:cs="宋体" w:eastAsia="宋体" w:hint="default"/>
                <w:spacing w:val="-5"/>
                <w:w w:val="101"/>
                <w:sz w:val="18"/>
                <w:szCs w:val="18"/>
              </w:rPr>
              <w:t>用</w:t>
            </w:r>
            <w:r>
              <w:rPr>
                <w:rFonts w:ascii="宋体" w:hAnsi="宋体" w:cs="宋体" w:eastAsia="宋体" w:hint="default"/>
                <w:w w:val="101"/>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63</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含</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费</w:t>
            </w:r>
            <w:r>
              <w:rPr>
                <w:rFonts w:ascii="宋体" w:hAnsi="宋体" w:cs="宋体" w:eastAsia="宋体" w:hint="default"/>
                <w:spacing w:val="-5"/>
                <w:w w:val="101"/>
                <w:sz w:val="18"/>
                <w:szCs w:val="18"/>
              </w:rPr>
              <w:t>用</w:t>
            </w:r>
            <w:r>
              <w:rPr>
                <w:rFonts w:ascii="宋体" w:hAnsi="宋体" w:cs="宋体" w:eastAsia="宋体" w:hint="default"/>
                <w:w w:val="101"/>
                <w:sz w:val="18"/>
                <w:szCs w:val="18"/>
              </w:rPr>
              <w:t>的</w:t>
            </w:r>
            <w:r>
              <w:rPr>
                <w:rFonts w:ascii="宋体" w:hAnsi="宋体" w:cs="宋体" w:eastAsia="宋体" w:hint="default"/>
                <w:spacing w:val="-5"/>
                <w:w w:val="101"/>
                <w:sz w:val="18"/>
                <w:szCs w:val="18"/>
              </w:rPr>
              <w:t>可</w:t>
            </w:r>
            <w:r>
              <w:rPr>
                <w:rFonts w:ascii="宋体" w:hAnsi="宋体" w:cs="宋体" w:eastAsia="宋体" w:hint="default"/>
                <w:w w:val="101"/>
                <w:sz w:val="18"/>
                <w:szCs w:val="18"/>
              </w:rPr>
              <w:t>抵</w:t>
            </w:r>
            <w:r>
              <w:rPr>
                <w:rFonts w:ascii="宋体" w:hAnsi="宋体" w:cs="宋体" w:eastAsia="宋体" w:hint="default"/>
                <w:spacing w:val="-5"/>
                <w:w w:val="101"/>
                <w:sz w:val="18"/>
                <w:szCs w:val="18"/>
              </w:rPr>
              <w:t>扣</w:t>
            </w:r>
            <w:r>
              <w:rPr>
                <w:rFonts w:ascii="宋体" w:hAnsi="宋体" w:cs="宋体" w:eastAsia="宋体" w:hint="default"/>
                <w:w w:val="101"/>
                <w:sz w:val="18"/>
                <w:szCs w:val="18"/>
              </w:rPr>
              <w:t>增</w:t>
            </w:r>
            <w:r>
              <w:rPr>
                <w:rFonts w:ascii="宋体" w:hAnsi="宋体" w:cs="宋体" w:eastAsia="宋体" w:hint="default"/>
                <w:spacing w:val="-5"/>
                <w:w w:val="101"/>
                <w:sz w:val="18"/>
                <w:szCs w:val="18"/>
              </w:rPr>
              <w:t>值</w:t>
            </w:r>
            <w:r>
              <w:rPr>
                <w:rFonts w:ascii="宋体" w:hAnsi="宋体" w:cs="宋体" w:eastAsia="宋体" w:hint="default"/>
                <w:w w:val="101"/>
                <w:sz w:val="18"/>
                <w:szCs w:val="18"/>
              </w:rPr>
              <w:t>税</w:t>
            </w:r>
            <w:r>
              <w:rPr>
                <w:rFonts w:ascii="宋体" w:hAnsi="宋体" w:cs="宋体" w:eastAsia="宋体" w:hint="default"/>
                <w:spacing w:val="-5"/>
                <w:w w:val="101"/>
                <w:sz w:val="18"/>
                <w:szCs w:val="18"/>
              </w:rPr>
              <w:t>进</w:t>
            </w:r>
            <w:r>
              <w:rPr>
                <w:rFonts w:ascii="宋体" w:hAnsi="宋体" w:cs="宋体" w:eastAsia="宋体" w:hint="default"/>
                <w:w w:val="101"/>
                <w:sz w:val="18"/>
                <w:szCs w:val="18"/>
              </w:rPr>
              <w:t>项税额</w:t>
            </w:r>
            <w:r>
              <w:rPr>
                <w:rFonts w:ascii="宋体" w:hAnsi="宋体" w:cs="宋体" w:eastAsia="宋体" w:hint="default"/>
                <w:spacing w:val="-48"/>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98</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02</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净</w:t>
            </w:r>
            <w:r>
              <w:rPr>
                <w:rFonts w:ascii="宋体" w:hAnsi="宋体" w:cs="宋体" w:eastAsia="宋体" w:hint="default"/>
                <w:spacing w:val="-5"/>
                <w:w w:val="101"/>
                <w:sz w:val="18"/>
                <w:szCs w:val="18"/>
              </w:rPr>
              <w:t>额为</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162,652,900.00 </w:t>
            </w:r>
            <w:r>
              <w:rPr>
                <w:rFonts w:ascii="宋体" w:hAnsi="宋体" w:cs="宋体" w:eastAsia="宋体" w:hint="default"/>
                <w:spacing w:val="-3"/>
                <w:sz w:val="18"/>
                <w:szCs w:val="18"/>
              </w:rPr>
              <w:t>元。扣除主承销商西部证券股份有限公司的保荐及承销费用人民币 </w:t>
            </w:r>
            <w:r>
              <w:rPr>
                <w:rFonts w:ascii="Times New Roman" w:hAnsi="Times New Roman" w:cs="Times New Roman" w:eastAsia="Times New Roman" w:hint="default"/>
                <w:sz w:val="18"/>
                <w:szCs w:val="18"/>
              </w:rPr>
              <w:t>21,698,100.00</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元，余额人民币</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172,588,300.00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元已通过西部证券股份有限公司于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日全部汇入本公司上海浦东发展银行股份有限公司长</w:t>
            </w:r>
          </w:p>
          <w:p>
            <w:pPr>
              <w:pStyle w:val="TableParagraph"/>
              <w:spacing w:line="304" w:lineRule="auto" w:before="63"/>
              <w:ind w:left="105" w:right="175"/>
              <w:jc w:val="left"/>
              <w:rPr>
                <w:rFonts w:ascii="宋体" w:hAnsi="宋体" w:cs="宋体" w:eastAsia="宋体" w:hint="default"/>
                <w:sz w:val="18"/>
                <w:szCs w:val="18"/>
              </w:rPr>
            </w:pPr>
            <w:r>
              <w:rPr>
                <w:rFonts w:ascii="宋体" w:hAnsi="宋体" w:cs="宋体" w:eastAsia="宋体" w:hint="default"/>
                <w:sz w:val="18"/>
                <w:szCs w:val="18"/>
              </w:rPr>
              <w:t>沙分行科创新材料支行 </w:t>
            </w:r>
            <w:r>
              <w:rPr>
                <w:rFonts w:ascii="Times New Roman" w:hAnsi="Times New Roman" w:cs="Times New Roman" w:eastAsia="Times New Roman" w:hint="default"/>
                <w:sz w:val="18"/>
                <w:szCs w:val="18"/>
              </w:rPr>
              <w:t>66220078801200000155 </w:t>
            </w:r>
            <w:r>
              <w:rPr>
                <w:rFonts w:ascii="宋体" w:hAnsi="宋体" w:cs="宋体" w:eastAsia="宋体" w:hint="default"/>
                <w:spacing w:val="-3"/>
                <w:sz w:val="18"/>
                <w:szCs w:val="18"/>
              </w:rPr>
              <w:t>账号内。上述募集资金到位情况已经天职国际会计师事务所（特殊普通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w w:val="101"/>
                <w:sz w:val="18"/>
                <w:szCs w:val="18"/>
              </w:rPr>
              <w:t>合伙）审验、并出具</w:t>
            </w:r>
            <w:r>
              <w:rPr>
                <w:rFonts w:ascii="宋体" w:hAnsi="宋体" w:cs="宋体" w:eastAsia="宋体" w:hint="default"/>
                <w:spacing w:val="-2"/>
                <w:w w:val="101"/>
                <w:sz w:val="18"/>
                <w:szCs w:val="18"/>
              </w:rPr>
              <w:t>“</w:t>
            </w:r>
            <w:r>
              <w:rPr>
                <w:rFonts w:ascii="宋体" w:hAnsi="宋体" w:cs="宋体" w:eastAsia="宋体" w:hint="default"/>
                <w:spacing w:val="-2"/>
                <w:w w:val="101"/>
                <w:sz w:val="18"/>
                <w:szCs w:val="18"/>
              </w:rPr>
              <w:t>天职业字</w:t>
            </w:r>
            <w:r>
              <w:rPr>
                <w:rFonts w:ascii="Times New Roman" w:hAnsi="Times New Roman" w:cs="Times New Roman" w:eastAsia="Times New Roman" w:hint="default"/>
                <w:spacing w:val="-2"/>
                <w:w w:val="101"/>
                <w:sz w:val="18"/>
                <w:szCs w:val="18"/>
              </w:rPr>
              <w:t>[2017]18716</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3"/>
                <w:w w:val="101"/>
                <w:sz w:val="18"/>
                <w:szCs w:val="18"/>
              </w:rPr>
              <w:t>号《验资报告》</w:t>
            </w:r>
            <w:r>
              <w:rPr>
                <w:rFonts w:ascii="宋体" w:hAnsi="宋体" w:cs="宋体" w:eastAsia="宋体" w:hint="default"/>
                <w:spacing w:val="-23"/>
                <w:w w:val="101"/>
                <w:sz w:val="18"/>
                <w:szCs w:val="18"/>
              </w:rPr>
              <w:t>”</w:t>
            </w:r>
            <w:r>
              <w:rPr>
                <w:rFonts w:ascii="宋体" w:hAnsi="宋体" w:cs="宋体" w:eastAsia="宋体" w:hint="default"/>
                <w:spacing w:val="-23"/>
                <w:w w:val="101"/>
                <w:sz w:val="18"/>
                <w:szCs w:val="18"/>
              </w:rPr>
              <w:t>。</w:t>
            </w:r>
            <w:r>
              <w:rPr>
                <w:rFonts w:ascii="宋体" w:hAnsi="宋体" w:cs="宋体" w:eastAsia="宋体" w:hint="default"/>
                <w:spacing w:val="-23"/>
                <w:sz w:val="18"/>
                <w:szCs w:val="18"/>
              </w:rPr>
            </w:r>
          </w:p>
        </w:tc>
      </w:tr>
    </w:tbl>
    <w:p>
      <w:pPr>
        <w:spacing w:after="0" w:line="304"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12"/>
        <w:rPr>
          <w:rFonts w:ascii="宋体" w:hAnsi="宋体" w:cs="宋体" w:eastAsia="宋体" w:hint="default"/>
          <w:sz w:val="25"/>
          <w:szCs w:val="25"/>
        </w:rPr>
      </w:pPr>
    </w:p>
    <w:p>
      <w:pPr>
        <w:spacing w:line="672" w:lineRule="exact"/>
        <w:ind w:left="1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1pt;height:33.6pt;mso-position-horizontal-relative:char;mso-position-vertical-relative:line" type="#_x0000_t202" filled="true" fillcolor="#c7edcc" stroked="true" strokeweight=".48pt" strokecolor="#000000">
            <w10:anchorlock/>
            <v:textbox inset="0,0,0,0">
              <w:txbxContent>
                <w:p>
                  <w:pPr>
                    <w:pStyle w:val="BodyText"/>
                    <w:spacing w:line="240" w:lineRule="auto" w:before="10"/>
                    <w:ind w:left="105" w:right="0"/>
                    <w:jc w:val="left"/>
                  </w:pPr>
                  <w:r>
                    <w:rPr/>
                    <w:t>截至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日，募投项目累计使用募集资金</w:t>
                  </w:r>
                  <w:r>
                    <w:rPr>
                      <w:spacing w:val="-4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元；扣除发行费用</w:t>
                  </w:r>
                  <w:r>
                    <w:rPr>
                      <w:spacing w:val="-42"/>
                    </w:rPr>
                    <w:t> </w:t>
                  </w:r>
                  <w:r>
                    <w:rPr>
                      <w:rFonts w:ascii="Times New Roman" w:hAnsi="Times New Roman" w:cs="Times New Roman" w:eastAsia="Times New Roman" w:hint="default"/>
                    </w:rPr>
                    <w:t>9,935,400.00</w:t>
                  </w:r>
                  <w:r>
                    <w:rPr>
                      <w:rFonts w:ascii="Times New Roman" w:hAnsi="Times New Roman" w:cs="Times New Roman" w:eastAsia="Times New Roman" w:hint="default"/>
                      <w:spacing w:val="3"/>
                    </w:rPr>
                    <w:t> </w:t>
                  </w:r>
                  <w:r>
                    <w:rPr/>
                    <w:t>元，利息收入</w:t>
                  </w:r>
                  <w:r>
                    <w:rPr>
                      <w:spacing w:val="-42"/>
                    </w:rPr>
                    <w:t> </w:t>
                  </w:r>
                  <w:r>
                    <w:rPr>
                      <w:rFonts w:ascii="Times New Roman" w:hAnsi="Times New Roman" w:cs="Times New Roman" w:eastAsia="Times New Roman" w:hint="default"/>
                    </w:rPr>
                    <w:t>31,641.19</w:t>
                  </w:r>
                  <w:r>
                    <w:rPr>
                      <w:rFonts w:ascii="Times New Roman" w:hAnsi="Times New Roman" w:cs="Times New Roman" w:eastAsia="Times New Roman" w:hint="default"/>
                      <w:spacing w:val="3"/>
                    </w:rPr>
                    <w:t> </w:t>
                  </w:r>
                  <w:r>
                    <w:rPr/>
                    <w:t>元，银</w:t>
                  </w:r>
                </w:p>
                <w:p>
                  <w:pPr>
                    <w:pStyle w:val="BodyText"/>
                    <w:spacing w:line="240" w:lineRule="auto" w:before="67"/>
                    <w:ind w:left="105" w:right="0"/>
                    <w:jc w:val="left"/>
                  </w:pPr>
                  <w:r>
                    <w:rPr/>
                    <w:t>行手续费支出</w:t>
                  </w:r>
                  <w:r>
                    <w:rPr>
                      <w:spacing w:val="-27"/>
                    </w:rPr>
                    <w:t> </w:t>
                  </w:r>
                  <w:r>
                    <w:rPr>
                      <w:rFonts w:ascii="Times New Roman" w:hAnsi="Times New Roman" w:cs="Times New Roman" w:eastAsia="Times New Roman" w:hint="default"/>
                    </w:rPr>
                    <w:t>170</w:t>
                  </w:r>
                  <w:r>
                    <w:rPr>
                      <w:rFonts w:ascii="Times New Roman" w:hAnsi="Times New Roman" w:cs="Times New Roman" w:eastAsia="Times New Roman" w:hint="default"/>
                      <w:spacing w:val="10"/>
                    </w:rPr>
                    <w:t> </w:t>
                  </w:r>
                  <w:r>
                    <w:rPr/>
                    <w:t>元，募集资金余额</w:t>
                  </w:r>
                  <w:r>
                    <w:rPr>
                      <w:spacing w:val="-27"/>
                    </w:rPr>
                    <w:t> </w:t>
                  </w:r>
                  <w:r>
                    <w:rPr>
                      <w:rFonts w:ascii="Times New Roman" w:hAnsi="Times New Roman" w:cs="Times New Roman" w:eastAsia="Times New Roman" w:hint="default"/>
                    </w:rPr>
                    <w:t>162,684,371.19</w:t>
                  </w:r>
                  <w:r>
                    <w:rPr>
                      <w:rFonts w:ascii="Times New Roman" w:hAnsi="Times New Roman" w:cs="Times New Roman" w:eastAsia="Times New Roman" w:hint="default"/>
                      <w:spacing w:val="10"/>
                    </w:rPr>
                    <w:t> </w:t>
                  </w:r>
                  <w:r>
                    <w:rPr>
                      <w:spacing w:val="-3"/>
                    </w:rPr>
                    <w:t>元以活期存款方式存储在公司募集资金专户。</w:t>
                  </w:r>
                </w:p>
              </w:txbxContent>
            </v:textbox>
            <v:fill type="solid"/>
          </v:shape>
        </w:pict>
      </w:r>
      <w:r>
        <w:rPr>
          <w:rFonts w:ascii="宋体" w:hAnsi="宋体" w:cs="宋体" w:eastAsia="宋体" w:hint="default"/>
          <w:position w:val="-12"/>
          <w:sz w:val="20"/>
          <w:szCs w:val="20"/>
        </w:rPr>
      </w:r>
    </w:p>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50"/>
        <w:jc w:val="right"/>
      </w:pPr>
      <w:r>
        <w:rPr>
          <w:spacing w:val="-3"/>
        </w:rPr>
        <w:t>单位：万元</w:t>
      </w:r>
      <w:r>
        <w:rPr/>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917"/>
        <w:gridCol w:w="859"/>
        <w:gridCol w:w="696"/>
        <w:gridCol w:w="648"/>
        <w:gridCol w:w="778"/>
        <w:gridCol w:w="782"/>
        <w:gridCol w:w="778"/>
        <w:gridCol w:w="782"/>
        <w:gridCol w:w="778"/>
      </w:tblGrid>
      <w:tr>
        <w:trPr>
          <w:trHeight w:val="19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432" w:right="151" w:hanging="269"/>
              <w:jc w:val="left"/>
              <w:rPr>
                <w:rFonts w:ascii="宋体" w:hAnsi="宋体" w:cs="宋体" w:eastAsia="宋体" w:hint="default"/>
                <w:sz w:val="18"/>
                <w:szCs w:val="18"/>
              </w:rPr>
            </w:pPr>
            <w:r>
              <w:rPr>
                <w:rFonts w:ascii="宋体" w:hAnsi="宋体" w:cs="宋体" w:eastAsia="宋体" w:hint="default"/>
                <w:spacing w:val="-2"/>
                <w:sz w:val="18"/>
                <w:szCs w:val="18"/>
              </w:rPr>
              <w:t>承诺投资项目和超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募资金投向</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10" w:right="117"/>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是否已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pacing w:val="-4"/>
                <w:sz w:val="18"/>
                <w:szCs w:val="18"/>
              </w:rPr>
              <w:t>部分变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87" w:right="180"/>
              <w:jc w:val="center"/>
              <w:rPr>
                <w:rFonts w:ascii="宋体" w:hAnsi="宋体" w:cs="宋体" w:eastAsia="宋体" w:hint="default"/>
                <w:sz w:val="18"/>
                <w:szCs w:val="18"/>
              </w:rPr>
            </w:pPr>
            <w:r>
              <w:rPr>
                <w:rFonts w:ascii="宋体" w:hAnsi="宋体" w:cs="宋体" w:eastAsia="宋体" w:hint="default"/>
                <w:spacing w:val="-4"/>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金承诺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投资总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53" w:right="156"/>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调整后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投资总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额</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58" w:right="161"/>
              <w:jc w:val="both"/>
              <w:rPr>
                <w:rFonts w:ascii="宋体" w:hAnsi="宋体" w:cs="宋体" w:eastAsia="宋体" w:hint="default"/>
                <w:sz w:val="18"/>
                <w:szCs w:val="18"/>
              </w:rPr>
            </w:pPr>
            <w:r>
              <w:rPr>
                <w:rFonts w:ascii="宋体" w:hAnsi="宋体" w:cs="宋体" w:eastAsia="宋体" w:hint="default"/>
                <w:sz w:val="18"/>
                <w:szCs w:val="18"/>
              </w:rPr>
              <w:t>本报</w:t>
            </w:r>
            <w:r>
              <w:rPr>
                <w:rFonts w:ascii="宋体" w:hAnsi="宋体" w:cs="宋体" w:eastAsia="宋体" w:hint="default"/>
                <w:spacing w:val="-86"/>
                <w:sz w:val="18"/>
                <w:szCs w:val="18"/>
              </w:rPr>
              <w:t> </w:t>
            </w:r>
            <w:r>
              <w:rPr>
                <w:rFonts w:ascii="宋体" w:hAnsi="宋体" w:cs="宋体" w:eastAsia="宋体" w:hint="default"/>
                <w:sz w:val="18"/>
                <w:szCs w:val="18"/>
              </w:rPr>
              <w:t>告期</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6"/>
              <w:ind w:left="134" w:right="137"/>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6"/>
                <w:sz w:val="18"/>
                <w:szCs w:val="18"/>
              </w:rPr>
              <w:t> </w:t>
            </w: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累计</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240" w:lineRule="auto" w:before="66"/>
              <w:ind w:left="211" w:right="0"/>
              <w:jc w:val="both"/>
              <w:rPr>
                <w:rFonts w:ascii="Times New Roman" w:hAnsi="Times New Roman" w:cs="Times New Roman" w:eastAsia="Times New Roman" w:hint="default"/>
                <w:sz w:val="18"/>
                <w:szCs w:val="18"/>
              </w:rPr>
            </w:pPr>
            <w:r>
              <w:rPr>
                <w:rFonts w:ascii="Times New Roman"/>
                <w:sz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24" w:lineRule="auto"/>
              <w:ind w:left="115" w:right="113"/>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截至期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末投资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进度</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15" w:right="117"/>
              <w:jc w:val="center"/>
              <w:rPr>
                <w:rFonts w:ascii="宋体" w:hAnsi="宋体" w:cs="宋体" w:eastAsia="宋体" w:hint="default"/>
                <w:sz w:val="18"/>
                <w:szCs w:val="18"/>
              </w:rPr>
            </w:pPr>
            <w:r>
              <w:rPr>
                <w:rFonts w:ascii="宋体" w:hAnsi="宋体" w:cs="宋体" w:eastAsia="宋体" w:hint="default"/>
                <w:spacing w:val="-4"/>
                <w:sz w:val="18"/>
                <w:szCs w:val="18"/>
              </w:rPr>
              <w:t>项目达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到预定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可使用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状态日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15" w:right="113"/>
              <w:jc w:val="both"/>
              <w:rPr>
                <w:rFonts w:ascii="宋体" w:hAnsi="宋体" w:cs="宋体" w:eastAsia="宋体" w:hint="default"/>
                <w:sz w:val="18"/>
                <w:szCs w:val="18"/>
              </w:rPr>
            </w:pPr>
            <w:r>
              <w:rPr>
                <w:rFonts w:ascii="宋体" w:hAnsi="宋体" w:cs="宋体" w:eastAsia="宋体" w:hint="default"/>
                <w:spacing w:val="-4"/>
                <w:sz w:val="18"/>
                <w:szCs w:val="18"/>
              </w:rPr>
              <w:t>本报告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期实现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的效益</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14" w:right="117"/>
              <w:jc w:val="both"/>
              <w:rPr>
                <w:rFonts w:ascii="宋体" w:hAnsi="宋体" w:cs="宋体" w:eastAsia="宋体" w:hint="default"/>
                <w:sz w:val="18"/>
                <w:szCs w:val="18"/>
              </w:rPr>
            </w:pPr>
            <w:r>
              <w:rPr>
                <w:rFonts w:ascii="宋体" w:hAnsi="宋体" w:cs="宋体" w:eastAsia="宋体" w:hint="default"/>
                <w:spacing w:val="-4"/>
                <w:sz w:val="18"/>
                <w:szCs w:val="18"/>
              </w:rPr>
              <w:t>是否达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到预计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效益</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pacing w:val="-4"/>
                <w:sz w:val="18"/>
                <w:szCs w:val="18"/>
              </w:rPr>
              <w:t>项目可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行性是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否发生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化</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专有云平台技术升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级改造项目</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3,994.44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3,994.44</w:t>
            </w:r>
          </w:p>
        </w:tc>
        <w:tc>
          <w:tcPr>
            <w:tcW w:w="6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center"/>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大数据平台技术升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级及应用研发项目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4,670.23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4,670.23</w:t>
            </w:r>
          </w:p>
        </w:tc>
        <w:tc>
          <w:tcPr>
            <w:tcW w:w="6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center"/>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研发中心项目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4,807.72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4,807.72</w:t>
            </w:r>
          </w:p>
        </w:tc>
        <w:tc>
          <w:tcPr>
            <w:tcW w:w="6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22"/>
              <w:jc w:val="center"/>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营销网络建设项目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2,792.9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2,792.9</w:t>
            </w:r>
          </w:p>
        </w:tc>
        <w:tc>
          <w:tcPr>
            <w:tcW w:w="6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center"/>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16,265.2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16,265.2</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20"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16,265.2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16,265.2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022"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5" w:right="26"/>
              <w:jc w:val="left"/>
              <w:rPr>
                <w:rFonts w:ascii="宋体" w:hAnsi="宋体" w:cs="宋体" w:eastAsia="宋体" w:hint="default"/>
                <w:sz w:val="18"/>
                <w:szCs w:val="18"/>
              </w:rPr>
            </w:pPr>
            <w:r>
              <w:rPr>
                <w:rFonts w:ascii="宋体" w:hAnsi="宋体" w:cs="宋体" w:eastAsia="宋体" w:hint="default"/>
                <w:sz w:val="18"/>
                <w:szCs w:val="18"/>
              </w:rPr>
              <w:t>未达到计划进度或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预计收益的情况和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原因（分具体项目）</w:t>
            </w:r>
          </w:p>
        </w:tc>
        <w:tc>
          <w:tcPr>
            <w:tcW w:w="7795"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0"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209"/>
              <w:jc w:val="left"/>
              <w:rPr>
                <w:rFonts w:ascii="宋体" w:hAnsi="宋体" w:cs="宋体" w:eastAsia="宋体" w:hint="default"/>
                <w:sz w:val="18"/>
                <w:szCs w:val="18"/>
              </w:rPr>
            </w:pPr>
            <w:r>
              <w:rPr>
                <w:rFonts w:ascii="宋体" w:hAnsi="宋体" w:cs="宋体" w:eastAsia="宋体" w:hint="default"/>
                <w:spacing w:val="-2"/>
                <w:sz w:val="18"/>
                <w:szCs w:val="18"/>
              </w:rPr>
              <w:t>项目可行性发生重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大变化的情况说明</w:t>
            </w:r>
          </w:p>
        </w:tc>
        <w:tc>
          <w:tcPr>
            <w:tcW w:w="7795"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101"/>
              <w:ind w:left="105" w:right="93"/>
              <w:jc w:val="left"/>
              <w:rPr>
                <w:rFonts w:ascii="宋体" w:hAnsi="宋体" w:cs="宋体" w:eastAsia="宋体" w:hint="default"/>
                <w:sz w:val="18"/>
                <w:szCs w:val="18"/>
              </w:rPr>
            </w:pPr>
            <w:r>
              <w:rPr>
                <w:rFonts w:ascii="宋体" w:hAnsi="宋体" w:cs="宋体" w:eastAsia="宋体" w:hint="default"/>
                <w:spacing w:val="-10"/>
                <w:sz w:val="18"/>
                <w:szCs w:val="18"/>
              </w:rPr>
              <w:t>超募资金的金额、用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途及使用进展情况</w:t>
            </w:r>
          </w:p>
        </w:tc>
        <w:tc>
          <w:tcPr>
            <w:tcW w:w="779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403"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5"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79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771"/>
        <w:gridCol w:w="7795"/>
      </w:tblGrid>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7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实施方式调整情况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403" w:hRule="exact"/>
        </w:trPr>
        <w:tc>
          <w:tcPr>
            <w:tcW w:w="1771" w:type="dxa"/>
            <w:vMerge/>
            <w:tcBorders>
              <w:left w:val="single" w:sz="4" w:space="0" w:color="000000"/>
              <w:right w:val="single" w:sz="4" w:space="0" w:color="000000"/>
            </w:tcBorders>
            <w:shd w:val="clear" w:color="auto" w:fill="D4D4D4"/>
          </w:tcPr>
          <w:p>
            <w:pPr/>
          </w:p>
        </w:tc>
        <w:tc>
          <w:tcPr>
            <w:tcW w:w="77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5" w:right="209"/>
              <w:jc w:val="both"/>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先期投入及置换情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624"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8"/>
              <w:ind w:left="105" w:right="209"/>
              <w:jc w:val="both"/>
              <w:rPr>
                <w:rFonts w:ascii="宋体" w:hAnsi="宋体" w:cs="宋体" w:eastAsia="宋体" w:hint="default"/>
                <w:sz w:val="18"/>
                <w:szCs w:val="18"/>
              </w:rPr>
            </w:pPr>
            <w:r>
              <w:rPr>
                <w:rFonts w:ascii="宋体" w:hAnsi="宋体" w:cs="宋体" w:eastAsia="宋体" w:hint="default"/>
                <w:spacing w:val="-2"/>
                <w:sz w:val="18"/>
                <w:szCs w:val="18"/>
              </w:rPr>
              <w:t>用闲置募集资金暂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时补充流动资金情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624"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3"/>
              <w:ind w:left="105" w:right="209"/>
              <w:jc w:val="both"/>
              <w:rPr>
                <w:rFonts w:ascii="宋体" w:hAnsi="宋体" w:cs="宋体" w:eastAsia="宋体" w:hint="default"/>
                <w:sz w:val="18"/>
                <w:szCs w:val="18"/>
              </w:rPr>
            </w:pPr>
            <w:r>
              <w:rPr>
                <w:rFonts w:ascii="宋体" w:hAnsi="宋体" w:cs="宋体" w:eastAsia="宋体" w:hint="default"/>
                <w:spacing w:val="-2"/>
                <w:sz w:val="18"/>
                <w:szCs w:val="18"/>
              </w:rPr>
              <w:t>项目实施出现募集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资金结余的金额及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原因</w:t>
            </w:r>
          </w:p>
        </w:tc>
        <w:tc>
          <w:tcPr>
            <w:tcW w:w="7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624" w:hRule="exact"/>
        </w:trPr>
        <w:tc>
          <w:tcPr>
            <w:tcW w:w="1771" w:type="dxa"/>
            <w:vMerge/>
            <w:tcBorders>
              <w:left w:val="single" w:sz="4" w:space="0" w:color="000000"/>
              <w:bottom w:val="single" w:sz="4" w:space="0" w:color="000000"/>
              <w:right w:val="single" w:sz="4" w:space="0" w:color="000000"/>
            </w:tcBorders>
            <w:shd w:val="clear" w:color="auto" w:fill="D4D4D4"/>
          </w:tcPr>
          <w:p>
            <w:pPr/>
          </w:p>
        </w:tc>
        <w:tc>
          <w:tcPr>
            <w:tcW w:w="77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209"/>
              <w:jc w:val="left"/>
              <w:rPr>
                <w:rFonts w:ascii="宋体" w:hAnsi="宋体" w:cs="宋体" w:eastAsia="宋体" w:hint="default"/>
                <w:sz w:val="18"/>
                <w:szCs w:val="18"/>
              </w:rPr>
            </w:pPr>
            <w:r>
              <w:rPr>
                <w:rFonts w:ascii="宋体" w:hAnsi="宋体" w:cs="宋体" w:eastAsia="宋体" w:hint="default"/>
                <w:spacing w:val="-2"/>
                <w:sz w:val="18"/>
                <w:szCs w:val="18"/>
              </w:rPr>
              <w:t>尚未使用的募集资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金用途及去向</w:t>
            </w:r>
          </w:p>
        </w:tc>
        <w:tc>
          <w:tcPr>
            <w:tcW w:w="77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尚未使用的募集资金均以活期存款方式存储在公司募集资金专户中。</w:t>
            </w:r>
            <w:r>
              <w:rPr>
                <w:rFonts w:ascii="宋体" w:hAnsi="宋体" w:cs="宋体" w:eastAsia="宋体" w:hint="default"/>
                <w:sz w:val="18"/>
                <w:szCs w:val="18"/>
              </w:rPr>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209"/>
              <w:jc w:val="both"/>
              <w:rPr>
                <w:rFonts w:ascii="宋体" w:hAnsi="宋体" w:cs="宋体" w:eastAsia="宋体" w:hint="default"/>
                <w:sz w:val="18"/>
                <w:szCs w:val="18"/>
              </w:rPr>
            </w:pPr>
            <w:r>
              <w:rPr>
                <w:rFonts w:ascii="宋体" w:hAnsi="宋体" w:cs="宋体" w:eastAsia="宋体" w:hint="default"/>
                <w:spacing w:val="-2"/>
                <w:sz w:val="18"/>
                <w:szCs w:val="18"/>
              </w:rPr>
              <w:t>募集资金使用及披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露中存在的问题或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其他情况</w:t>
            </w:r>
          </w:p>
        </w:tc>
        <w:tc>
          <w:tcPr>
            <w:tcW w:w="77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459" w:hanging="1"/>
        <w:jc w:val="left"/>
      </w:pPr>
      <w:r>
        <w:rPr/>
        <w:t>□ </w:t>
      </w:r>
      <w:r>
        <w:rPr>
          <w:spacing w:val="-3"/>
        </w:rPr>
        <w:t>适用 </w:t>
      </w:r>
      <w:r>
        <w:rPr/>
        <w:t>√ 不适用</w:t>
      </w:r>
      <w:r>
        <w:rPr>
          <w:spacing w:val="-77"/>
        </w:rPr>
        <w:t> </w:t>
      </w:r>
      <w:r>
        <w:rPr>
          <w:spacing w:val="-77"/>
        </w:rPr>
      </w:r>
      <w:r>
        <w:rPr>
          <w:spacing w:val="-3"/>
        </w:rPr>
        <w:t>公司报告期不存在募集资金变更项目情况。</w:t>
      </w:r>
      <w:r>
        <w:rPr/>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6689"/>
        <w:jc w:val="left"/>
      </w:pPr>
      <w:r>
        <w:rPr/>
        <w:t>□ </w:t>
      </w:r>
      <w:r>
        <w:rPr>
          <w:spacing w:val="-3"/>
        </w:rPr>
        <w:t>适用 </w:t>
      </w:r>
      <w:r>
        <w:rPr/>
        <w:t>√ 不适用</w:t>
      </w:r>
      <w:r>
        <w:rPr>
          <w:spacing w:val="-77"/>
        </w:rPr>
        <w:t> </w:t>
      </w:r>
      <w:r>
        <w:rPr>
          <w:spacing w:val="-77"/>
        </w:rPr>
      </w:r>
      <w:r>
        <w:rPr>
          <w:spacing w:val="-3"/>
        </w:rPr>
        <w:t>公司报告期未出售重大资产。</w:t>
      </w:r>
      <w:r>
        <w:rPr/>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5459" w:hanging="1"/>
        <w:jc w:val="left"/>
      </w:pPr>
      <w:r>
        <w:rPr/>
        <w:t>□ </w:t>
      </w:r>
      <w:r>
        <w:rPr>
          <w:spacing w:val="-3"/>
        </w:rPr>
        <w:t>适用 </w:t>
      </w:r>
      <w:r>
        <w:rPr/>
        <w:t>√ 不适用</w:t>
      </w:r>
      <w:r>
        <w:rPr>
          <w:spacing w:val="-77"/>
        </w:rPr>
        <w:t> </w:t>
      </w:r>
      <w:r>
        <w:rPr>
          <w:spacing w:val="-77"/>
        </w:rPr>
      </w:r>
      <w:r>
        <w:rPr>
          <w:spacing w:val="-3"/>
        </w:rPr>
        <w:t>公司报告期内无应当披露的重要控股参股公司信息。</w:t>
      </w:r>
      <w:r>
        <w:rPr/>
      </w:r>
    </w:p>
    <w:p>
      <w:pPr>
        <w:spacing w:after="0" w:line="357" w:lineRule="auto"/>
        <w:jc w:val="left"/>
        <w:sectPr>
          <w:pgSz w:w="11910" w:h="16840"/>
          <w:pgMar w:header="784" w:footer="1027" w:top="1100" w:bottom="1220" w:left="980" w:right="98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Heading6"/>
        <w:spacing w:line="240" w:lineRule="auto" w:before="0"/>
        <w:ind w:right="0"/>
        <w:jc w:val="left"/>
        <w:rPr>
          <w:rFonts w:ascii="宋体" w:hAnsi="宋体" w:cs="宋体" w:eastAsia="宋体" w:hint="default"/>
          <w:b w:val="0"/>
          <w:bCs w:val="0"/>
        </w:rPr>
      </w:pPr>
      <w:r>
        <w:rPr>
          <w:rFonts w:ascii="宋体" w:hAnsi="宋体" w:cs="宋体" w:eastAsia="宋体" w:hint="default"/>
          <w:b w:val="0"/>
          <w:bCs w:val="0"/>
          <w:spacing w:val="-5"/>
          <w:w w:val="101"/>
        </w:rPr>
        <w:t> </w:t>
      </w:r>
      <w:r>
        <w:rPr/>
        <w:t>一、行业格局和发展趋势</w:t>
      </w:r>
      <w:r>
        <w:rPr>
          <w:rFonts w:ascii="宋体" w:hAnsi="宋体" w:cs="宋体" w:eastAsia="宋体" w:hint="default"/>
          <w:b w:val="0"/>
          <w:bCs w:val="0"/>
          <w:w w:val="101"/>
        </w:rPr>
        <w:t> </w:t>
      </w:r>
      <w:r>
        <w:rPr>
          <w:rFonts w:ascii="宋体" w:hAnsi="宋体" w:cs="宋体" w:eastAsia="宋体" w:hint="default"/>
          <w:b w:val="0"/>
          <w:bCs w:val="0"/>
        </w:rPr>
      </w:r>
    </w:p>
    <w:p>
      <w:pPr>
        <w:pStyle w:val="BodyText"/>
        <w:spacing w:line="240" w:lineRule="auto" w:before="76"/>
        <w:ind w:left="512" w:right="0"/>
        <w:jc w:val="left"/>
        <w:rPr>
          <w:rFonts w:ascii="宋体" w:hAnsi="宋体" w:cs="宋体" w:eastAsia="宋体" w:hint="default"/>
        </w:rPr>
      </w:pPr>
      <w:r>
        <w:rPr>
          <w:rFonts w:ascii="宋体" w:hAnsi="宋体" w:cs="宋体" w:eastAsia="宋体" w:hint="default"/>
          <w:w w:val="101"/>
        </w:rPr>
        <w:t> </w:t>
      </w:r>
      <w:r>
        <w:rPr>
          <w:rFonts w:ascii="宋体" w:hAnsi="宋体" w:cs="宋体" w:eastAsia="宋体" w:hint="default"/>
          <w:spacing w:val="-3"/>
        </w:rPr>
        <w:t>1</w:t>
      </w:r>
      <w:r>
        <w:rPr>
          <w:spacing w:val="-3"/>
        </w:rPr>
        <w:t>、大数据技术已进入深度应用阶段</w:t>
      </w:r>
      <w:r>
        <w:rPr>
          <w:rFonts w:ascii="宋体" w:hAnsi="宋体" w:cs="宋体" w:eastAsia="宋体" w:hint="default"/>
        </w:rPr>
        <w:t> </w:t>
      </w:r>
    </w:p>
    <w:p>
      <w:pPr>
        <w:pStyle w:val="BodyText"/>
        <w:spacing w:line="316" w:lineRule="auto" w:before="76"/>
        <w:ind w:right="0" w:firstLine="360"/>
        <w:jc w:val="left"/>
        <w:rPr>
          <w:rFonts w:ascii="宋体" w:hAnsi="宋体" w:cs="宋体" w:eastAsia="宋体" w:hint="default"/>
        </w:rPr>
      </w:pPr>
      <w:r>
        <w:rPr>
          <w:spacing w:val="-5"/>
        </w:rPr>
        <w:t>全球范围内，运用大数据推动经济发展、完善社会治理、提升政府服务和监管能力正成为趋势。目前，我国互联网、移</w:t>
      </w:r>
      <w:r>
        <w:rPr>
          <w:w w:val="101"/>
        </w:rPr>
        <w:t> </w:t>
      </w:r>
      <w:r>
        <w:rPr>
          <w:spacing w:val="-3"/>
        </w:rPr>
        <w:t>动互联网用户规模居全球第一，拥有丰富的数据资源和应用市场优势，大数据部分关键技术研发取得突破。国务院于</w:t>
      </w:r>
      <w:r>
        <w:rPr>
          <w:rFonts w:ascii="宋体" w:hAnsi="宋体" w:cs="宋体" w:eastAsia="宋体" w:hint="default"/>
          <w:spacing w:val="-3"/>
        </w:rPr>
        <w:t>2015</w:t>
      </w:r>
      <w:r>
        <w:rPr>
          <w:rFonts w:ascii="宋体" w:hAnsi="宋体" w:cs="宋体" w:eastAsia="宋体" w:hint="default"/>
          <w:spacing w:val="69"/>
        </w:rPr>
        <w:t> </w:t>
      </w:r>
      <w:r>
        <w:rPr>
          <w:rFonts w:ascii="宋体" w:hAnsi="宋体" w:cs="宋体" w:eastAsia="宋体" w:hint="default"/>
          <w:spacing w:val="69"/>
        </w:rPr>
      </w:r>
      <w:r>
        <w:rPr>
          <w:spacing w:val="-5"/>
          <w:w w:val="101"/>
        </w:rPr>
        <w:t>年制定了《促进大数据发展行动纲要》，提出十大工程和七大措施，通过打造三位一体的框架，实现五大目标，加快建设数</w:t>
      </w:r>
      <w:r>
        <w:rPr>
          <w:spacing w:val="-43"/>
          <w:w w:val="101"/>
        </w:rPr>
        <w:t> </w:t>
      </w:r>
      <w:r>
        <w:rPr>
          <w:spacing w:val="-43"/>
          <w:w w:val="101"/>
        </w:rPr>
      </w:r>
      <w:r>
        <w:rPr>
          <w:spacing w:val="-5"/>
          <w:w w:val="101"/>
        </w:rPr>
        <w:t>据强国的步伐；</w:t>
      </w:r>
      <w:r>
        <w:rPr>
          <w:rFonts w:ascii="宋体" w:hAnsi="宋体" w:cs="宋体" w:eastAsia="宋体" w:hint="default"/>
          <w:spacing w:val="-5"/>
          <w:w w:val="101"/>
        </w:rPr>
        <w:t>“</w:t>
      </w:r>
      <w:r>
        <w:rPr>
          <w:spacing w:val="-5"/>
          <w:w w:val="101"/>
        </w:rPr>
        <w:t>十三五</w:t>
      </w:r>
      <w:r>
        <w:rPr>
          <w:rFonts w:ascii="宋体" w:hAnsi="宋体" w:cs="宋体" w:eastAsia="宋体" w:hint="default"/>
          <w:spacing w:val="-5"/>
          <w:w w:val="101"/>
        </w:rPr>
        <w:t>”</w:t>
      </w:r>
      <w:r>
        <w:rPr>
          <w:spacing w:val="-5"/>
          <w:w w:val="101"/>
        </w:rPr>
        <w:t>规划纲要中提出要实施国家大数据战略，把大数据作为基础性战略资源，全面实施促进大数据发</w:t>
      </w:r>
      <w:r>
        <w:rPr>
          <w:spacing w:val="-49"/>
          <w:w w:val="101"/>
        </w:rPr>
        <w:t> </w:t>
      </w:r>
      <w:r>
        <w:rPr>
          <w:spacing w:val="-49"/>
          <w:w w:val="101"/>
        </w:rPr>
      </w:r>
      <w:r>
        <w:rPr>
          <w:spacing w:val="-3"/>
        </w:rPr>
        <w:t>展行动，加快推动数据资源共享开放和开发应用，助力产业转型升级和社会治理创新。</w:t>
      </w:r>
      <w:r>
        <w:rPr>
          <w:rFonts w:ascii="宋体" w:hAnsi="宋体" w:cs="宋体" w:eastAsia="宋体" w:hint="default"/>
        </w:rPr>
        <w:t> </w:t>
      </w:r>
    </w:p>
    <w:p>
      <w:pPr>
        <w:pStyle w:val="BodyText"/>
        <w:spacing w:line="240" w:lineRule="auto" w:before="19"/>
        <w:ind w:left="512" w:right="0"/>
        <w:jc w:val="left"/>
        <w:rPr>
          <w:rFonts w:ascii="宋体" w:hAnsi="宋体" w:cs="宋体" w:eastAsia="宋体" w:hint="default"/>
        </w:rPr>
      </w:pPr>
      <w:r>
        <w:rPr>
          <w:rFonts w:ascii="宋体" w:hAnsi="宋体" w:cs="宋体" w:eastAsia="宋体" w:hint="default"/>
          <w:w w:val="101"/>
        </w:rPr>
        <w:t> </w:t>
      </w:r>
      <w:r>
        <w:rPr>
          <w:rFonts w:ascii="宋体" w:hAnsi="宋体" w:cs="宋体" w:eastAsia="宋体" w:hint="default"/>
          <w:spacing w:val="-3"/>
        </w:rPr>
        <w:t>2</w:t>
      </w:r>
      <w:r>
        <w:rPr>
          <w:spacing w:val="-3"/>
        </w:rPr>
        <w:t>、新一代人工智能技术日益融入产业升级</w:t>
      </w:r>
      <w:r>
        <w:rPr>
          <w:rFonts w:ascii="宋体" w:hAnsi="宋体" w:cs="宋体" w:eastAsia="宋体" w:hint="default"/>
        </w:rPr>
        <w:t> </w:t>
      </w:r>
    </w:p>
    <w:p>
      <w:pPr>
        <w:pStyle w:val="BodyText"/>
        <w:spacing w:line="316" w:lineRule="auto" w:before="76"/>
        <w:ind w:right="204" w:firstLine="360"/>
        <w:jc w:val="both"/>
        <w:rPr>
          <w:rFonts w:ascii="宋体" w:hAnsi="宋体" w:cs="宋体" w:eastAsia="宋体" w:hint="default"/>
        </w:rPr>
      </w:pPr>
      <w:r>
        <w:rPr>
          <w:spacing w:val="-5"/>
        </w:rPr>
        <w:t>人工智能发展进入新阶段。经过多年的演进，特别是在移动互联网、大数据、超级计算、传感网、脑科学等新理论新技</w:t>
      </w:r>
      <w:r>
        <w:rPr>
          <w:w w:val="101"/>
        </w:rPr>
        <w:t> </w:t>
      </w:r>
      <w:r>
        <w:rPr>
          <w:spacing w:val="-5"/>
        </w:rPr>
        <w:t>术以及经济社会发展强烈需求的共同驱动下，人工智能加速发展，呈现出深度学习、跨界融合、人机协同、群智开放、自主</w:t>
      </w:r>
      <w:r>
        <w:rPr>
          <w:spacing w:val="-1"/>
        </w:rPr>
        <w:t> </w:t>
      </w:r>
      <w:r>
        <w:rPr>
          <w:spacing w:val="-1"/>
        </w:rPr>
      </w:r>
      <w:r>
        <w:rPr>
          <w:spacing w:val="-4"/>
        </w:rPr>
        <w:t>操控等新特征。大数据驱动知识学习、跨媒体协同处理、人机协同增强智能、群体集成智能、自主智能系统成为人工智能的</w:t>
      </w:r>
      <w:r>
        <w:rPr>
          <w:spacing w:val="40"/>
        </w:rPr>
        <w:t> </w:t>
      </w:r>
      <w:r>
        <w:rPr>
          <w:spacing w:val="40"/>
        </w:rPr>
      </w:r>
      <w:r>
        <w:rPr>
          <w:spacing w:val="-7"/>
          <w:w w:val="101"/>
        </w:rPr>
        <w:t>发展重点，受脑科学研究成果启发的类脑智能蓄势待发，芯片化硬件化平台化趋势更加明显，人工智能发展进入新阶段。</w:t>
      </w:r>
      <w:r>
        <w:rPr>
          <w:rFonts w:ascii="宋体" w:hAnsi="宋体" w:cs="宋体" w:eastAsia="宋体" w:hint="default"/>
          <w:spacing w:val="-7"/>
          <w:w w:val="101"/>
        </w:rPr>
        <w:t>2017</w:t>
      </w:r>
      <w:r>
        <w:rPr>
          <w:rFonts w:ascii="宋体" w:hAnsi="宋体" w:cs="宋体" w:eastAsia="宋体" w:hint="default"/>
          <w:w w:val="101"/>
        </w:rPr>
        <w:t> </w:t>
      </w:r>
      <w:r>
        <w:rPr>
          <w:spacing w:val="-5"/>
          <w:w w:val="101"/>
        </w:rPr>
        <w:t>年</w:t>
      </w:r>
      <w:r>
        <w:rPr>
          <w:rFonts w:ascii="宋体" w:hAnsi="宋体" w:cs="宋体" w:eastAsia="宋体" w:hint="default"/>
          <w:spacing w:val="-5"/>
          <w:w w:val="101"/>
        </w:rPr>
        <w:t>12</w:t>
      </w:r>
      <w:r>
        <w:rPr>
          <w:spacing w:val="-5"/>
          <w:w w:val="101"/>
        </w:rPr>
        <w:t>月，工信部印发《促进新一代人工智能产业发展三年行动计划（</w:t>
      </w:r>
      <w:r>
        <w:rPr>
          <w:rFonts w:ascii="宋体" w:hAnsi="宋体" w:cs="宋体" w:eastAsia="宋体" w:hint="default"/>
          <w:spacing w:val="-5"/>
          <w:w w:val="101"/>
        </w:rPr>
        <w:t>2018-2020</w:t>
      </w:r>
      <w:r>
        <w:rPr>
          <w:spacing w:val="-5"/>
          <w:w w:val="101"/>
        </w:rPr>
        <w:t>）》，提出</w:t>
      </w:r>
      <w:r>
        <w:rPr>
          <w:rFonts w:ascii="宋体" w:hAnsi="宋体" w:cs="宋体" w:eastAsia="宋体" w:hint="default"/>
          <w:spacing w:val="-5"/>
          <w:w w:val="101"/>
        </w:rPr>
        <w:t>“</w:t>
      </w:r>
      <w:r>
        <w:rPr>
          <w:spacing w:val="-5"/>
          <w:w w:val="101"/>
        </w:rPr>
        <w:t>力争到</w:t>
      </w:r>
      <w:r>
        <w:rPr>
          <w:rFonts w:ascii="宋体" w:hAnsi="宋体" w:cs="宋体" w:eastAsia="宋体" w:hint="default"/>
          <w:spacing w:val="-5"/>
          <w:w w:val="101"/>
        </w:rPr>
        <w:t>2020</w:t>
      </w:r>
      <w:r>
        <w:rPr>
          <w:spacing w:val="-5"/>
          <w:w w:val="101"/>
        </w:rPr>
        <w:t>年，一系列人工智能</w:t>
      </w:r>
      <w:r>
        <w:rPr>
          <w:w w:val="101"/>
        </w:rPr>
        <w:t> </w:t>
      </w:r>
      <w:r>
        <w:rPr>
          <w:spacing w:val="-4"/>
        </w:rPr>
        <w:t>标志性产品取得重要突破，在若干重点领域形成国际竞争优势，人工智能和实体经济融合进一步深化，产业发展环境进一步</w:t>
      </w:r>
      <w:r>
        <w:rPr>
          <w:spacing w:val="42"/>
        </w:rPr>
        <w:t> </w:t>
      </w:r>
      <w:r>
        <w:rPr>
          <w:spacing w:val="42"/>
        </w:rPr>
      </w:r>
      <w:r>
        <w:rPr>
          <w:spacing w:val="-25"/>
          <w:w w:val="101"/>
        </w:rPr>
        <w:t>优化。</w:t>
      </w:r>
      <w:r>
        <w:rPr>
          <w:rFonts w:ascii="宋体" w:hAnsi="宋体" w:cs="宋体" w:eastAsia="宋体" w:hint="default"/>
          <w:spacing w:val="-25"/>
          <w:w w:val="101"/>
        </w:rPr>
        <w:t>”</w:t>
      </w:r>
      <w:r>
        <w:rPr>
          <w:rFonts w:ascii="宋体" w:hAnsi="宋体" w:cs="宋体" w:eastAsia="宋体" w:hint="default"/>
          <w:w w:val="101"/>
        </w:rPr>
        <w:t> </w:t>
      </w:r>
      <w:r>
        <w:rPr>
          <w:rFonts w:ascii="宋体" w:hAnsi="宋体" w:cs="宋体" w:eastAsia="宋体" w:hint="default"/>
        </w:rPr>
      </w:r>
    </w:p>
    <w:p>
      <w:pPr>
        <w:pStyle w:val="BodyText"/>
        <w:spacing w:line="240" w:lineRule="auto" w:before="19"/>
        <w:ind w:left="513" w:right="0"/>
        <w:jc w:val="left"/>
        <w:rPr>
          <w:rFonts w:ascii="宋体" w:hAnsi="宋体" w:cs="宋体" w:eastAsia="宋体" w:hint="default"/>
        </w:rPr>
      </w:pPr>
      <w:r>
        <w:rPr>
          <w:rFonts w:ascii="宋体" w:hAnsi="宋体" w:cs="宋体" w:eastAsia="宋体" w:hint="default"/>
          <w:spacing w:val="-3"/>
        </w:rPr>
        <w:t>3</w:t>
      </w:r>
      <w:r>
        <w:rPr>
          <w:spacing w:val="-3"/>
        </w:rPr>
        <w:t>、智慧社会成为新型智慧城市发展的终极目标</w:t>
      </w:r>
      <w:r>
        <w:rPr>
          <w:rFonts w:ascii="宋体" w:hAnsi="宋体" w:cs="宋体" w:eastAsia="宋体" w:hint="default"/>
        </w:rPr>
        <w:t> </w:t>
      </w:r>
    </w:p>
    <w:p>
      <w:pPr>
        <w:pStyle w:val="BodyText"/>
        <w:spacing w:line="316" w:lineRule="auto" w:before="76"/>
        <w:ind w:left="153" w:right="204" w:firstLine="360"/>
        <w:jc w:val="both"/>
        <w:rPr>
          <w:rFonts w:ascii="宋体" w:hAnsi="宋体" w:cs="宋体" w:eastAsia="宋体" w:hint="default"/>
        </w:rPr>
      </w:pPr>
      <w:r>
        <w:rPr>
          <w:spacing w:val="-5"/>
          <w:w w:val="101"/>
        </w:rPr>
        <w:t>党的十九大报告明确提出：</w:t>
      </w:r>
      <w:r>
        <w:rPr>
          <w:rFonts w:ascii="宋体" w:hAnsi="宋体" w:cs="宋体" w:eastAsia="宋体" w:hint="default"/>
          <w:spacing w:val="-5"/>
          <w:w w:val="101"/>
        </w:rPr>
        <w:t>“</w:t>
      </w:r>
      <w:r>
        <w:rPr>
          <w:spacing w:val="-5"/>
          <w:w w:val="101"/>
        </w:rPr>
        <w:t>加强应用基础研究，拓展实施国家重大科技项目，突出关键共性技术、前沿引领技术、现 </w:t>
      </w:r>
      <w:r>
        <w:rPr>
          <w:spacing w:val="-4"/>
        </w:rPr>
        <w:t>代工程技术、颠覆性技术创新，为建设科技强国、质量强国、航天强国、网络强国、交通强国、数字中国、智慧社会提供有</w:t>
      </w:r>
      <w:r>
        <w:rPr>
          <w:spacing w:val="40"/>
        </w:rPr>
        <w:t> </w:t>
      </w:r>
      <w:r>
        <w:rPr>
          <w:spacing w:val="40"/>
        </w:rPr>
      </w:r>
      <w:r>
        <w:rPr>
          <w:spacing w:val="-21"/>
          <w:w w:val="101"/>
        </w:rPr>
        <w:t>力支撑。</w:t>
      </w:r>
      <w:r>
        <w:rPr>
          <w:rFonts w:ascii="宋体" w:hAnsi="宋体" w:cs="宋体" w:eastAsia="宋体" w:hint="default"/>
          <w:spacing w:val="-21"/>
          <w:w w:val="101"/>
        </w:rPr>
        <w:t>” </w:t>
      </w:r>
      <w:r>
        <w:rPr>
          <w:rFonts w:ascii="宋体" w:hAnsi="宋体" w:cs="宋体" w:eastAsia="宋体" w:hint="default"/>
          <w:w w:val="101"/>
        </w:rPr>
        <w:t> </w:t>
      </w:r>
      <w:r>
        <w:rPr>
          <w:rFonts w:ascii="宋体" w:hAnsi="宋体" w:cs="宋体" w:eastAsia="宋体" w:hint="default"/>
        </w:rPr>
      </w:r>
    </w:p>
    <w:p>
      <w:pPr>
        <w:pStyle w:val="BodyText"/>
        <w:spacing w:line="316" w:lineRule="auto" w:before="19"/>
        <w:ind w:left="153" w:right="0" w:firstLine="360"/>
        <w:jc w:val="left"/>
        <w:rPr>
          <w:rFonts w:ascii="宋体" w:hAnsi="宋体" w:cs="宋体" w:eastAsia="宋体" w:hint="default"/>
        </w:rPr>
      </w:pPr>
      <w:r>
        <w:rPr>
          <w:spacing w:val="-4"/>
        </w:rPr>
        <w:t>智慧社会是在智慧城市普遍发展的基础上，以不断满足人民日益增长的美好生活需要、逐步解决经济社会发展不平衡不</w:t>
      </w:r>
      <w:r>
        <w:rPr>
          <w:w w:val="101"/>
        </w:rPr>
        <w:t> </w:t>
      </w:r>
      <w:r>
        <w:rPr>
          <w:spacing w:val="-3"/>
        </w:rPr>
        <w:t>充分的一种新型社会形态。在智慧社会中，除了宽覆盖、高速率、安全可靠的信息基础设施，大数据、物联网、人工智能、</w:t>
      </w:r>
      <w:r>
        <w:rPr>
          <w:spacing w:val="61"/>
        </w:rPr>
        <w:t> </w:t>
      </w:r>
      <w:r>
        <w:rPr>
          <w:spacing w:val="61"/>
        </w:rPr>
      </w:r>
      <w:r>
        <w:rPr>
          <w:spacing w:val="-4"/>
        </w:rPr>
        <w:t>移动互联网、云计算、区块链等先进技术之外，更加突出人民的主体地位。我国虽然并非最早实施建设智慧城市的国家，但</w:t>
      </w:r>
      <w:r>
        <w:rPr>
          <w:spacing w:val="40"/>
        </w:rPr>
        <w:t> </w:t>
      </w:r>
      <w:r>
        <w:rPr>
          <w:spacing w:val="40"/>
        </w:rPr>
      </w:r>
      <w:r>
        <w:rPr>
          <w:spacing w:val="-4"/>
        </w:rPr>
        <w:t>建设速度和成效无疑是最显著的。目前，全国几乎所有的城市都明确提出或正在建设智慧城市。未来，智慧社会将在统一标</w:t>
      </w:r>
      <w:r>
        <w:rPr>
          <w:spacing w:val="40"/>
        </w:rPr>
        <w:t> </w:t>
      </w:r>
      <w:r>
        <w:rPr>
          <w:spacing w:val="40"/>
        </w:rPr>
      </w:r>
      <w:r>
        <w:rPr>
          <w:spacing w:val="-3"/>
        </w:rPr>
        <w:t>准、技术的基础上，强调基础设施和数据资源的共建共享，让智慧的产品与服务扩散到全国。</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rFonts w:ascii="宋体" w:hAnsi="宋体" w:cs="宋体" w:eastAsia="宋体" w:hint="default"/>
          <w:spacing w:val="-3"/>
        </w:rPr>
        <w:t>4</w:t>
      </w:r>
      <w:r>
        <w:rPr>
          <w:spacing w:val="-3"/>
        </w:rPr>
        <w:t>、工业互联网成为智慧制造的重要技术基础</w:t>
      </w:r>
      <w:r>
        <w:rPr>
          <w:rFonts w:ascii="宋体" w:hAnsi="宋体" w:cs="宋体" w:eastAsia="宋体" w:hint="default"/>
        </w:rPr>
        <w:t> </w:t>
      </w:r>
    </w:p>
    <w:p>
      <w:pPr>
        <w:pStyle w:val="BodyText"/>
        <w:spacing w:line="316" w:lineRule="auto" w:before="76"/>
        <w:ind w:left="153" w:right="0" w:firstLine="360"/>
        <w:jc w:val="left"/>
        <w:rPr>
          <w:rFonts w:ascii="宋体" w:hAnsi="宋体" w:cs="宋体" w:eastAsia="宋体" w:hint="default"/>
        </w:rPr>
      </w:pPr>
      <w:r>
        <w:rPr>
          <w:spacing w:val="-5"/>
          <w:w w:val="101"/>
        </w:rPr>
        <w:t>工业互联网是互联网和新一代信息技术与工业系统全方位深度融合所形成的产业和应用生态，是工业智能化发展的关键 </w:t>
      </w:r>
      <w:r>
        <w:rPr>
          <w:spacing w:val="-4"/>
        </w:rPr>
        <w:t>综合信息基础设施。智能制造是基于物联网、互联网、大数据、云计算等新一代信息技术，贯穿于设计、生产、管理、服务</w:t>
      </w:r>
      <w:r>
        <w:rPr>
          <w:spacing w:val="40"/>
        </w:rPr>
        <w:t> </w:t>
      </w:r>
      <w:r>
        <w:rPr>
          <w:spacing w:val="40"/>
        </w:rPr>
      </w:r>
      <w:r>
        <w:rPr>
          <w:spacing w:val="-6"/>
        </w:rPr>
        <w:t>等制造活动的各个环节，具有信息深度感知、智慧优化自决策、精准控制自执行等功能的先进制造过程、系统与模式的总称。</w:t>
      </w:r>
      <w:r>
        <w:rPr>
          <w:spacing w:val="69"/>
        </w:rPr>
        <w:t> </w:t>
      </w:r>
      <w:r>
        <w:rPr>
          <w:spacing w:val="69"/>
        </w:rPr>
      </w:r>
      <w:r>
        <w:rPr>
          <w:spacing w:val="-4"/>
        </w:rPr>
        <w:t>智能制造与工业互联网有着紧密的联系，智能制造的实现主要依托两方面基础能力，一是工业制造技术，包括先进设备、先</w:t>
      </w:r>
      <w:r>
        <w:rPr>
          <w:spacing w:val="40"/>
        </w:rPr>
        <w:t> </w:t>
      </w:r>
      <w:r>
        <w:rPr>
          <w:spacing w:val="40"/>
        </w:rPr>
      </w:r>
      <w:r>
        <w:rPr>
          <w:spacing w:val="-4"/>
        </w:rPr>
        <w:t>进材料和先进工艺等，是决定制造边界与制造成本的根本；二是工业互联网，包括智能传感控制软硬件、新型工业网络、工</w:t>
      </w:r>
      <w:r>
        <w:rPr>
          <w:spacing w:val="40"/>
        </w:rPr>
        <w:t> </w:t>
      </w:r>
      <w:r>
        <w:rPr>
          <w:spacing w:val="40"/>
        </w:rPr>
      </w:r>
      <w:r>
        <w:rPr>
          <w:spacing w:val="-5"/>
        </w:rPr>
        <w:t>业大数据平台等综合信息技术要素，是充分发挥工业装备、工业材料潜能，提高生产效率、优化资源配置效率、创造差异化</w:t>
      </w:r>
      <w:r>
        <w:rPr>
          <w:spacing w:val="2"/>
        </w:rPr>
        <w:t> </w:t>
      </w:r>
      <w:r>
        <w:rPr>
          <w:spacing w:val="2"/>
        </w:rPr>
      </w:r>
      <w:r>
        <w:rPr>
          <w:spacing w:val="-4"/>
        </w:rPr>
        <w:t>产品和实现服务增值的关键。因此，工业互联网是智能制造的关键基础，为其变革提供了必须的共性基础设施和能力，同时</w:t>
      </w:r>
      <w:r>
        <w:rPr>
          <w:spacing w:val="40"/>
        </w:rPr>
        <w:t> </w:t>
      </w:r>
      <w:r>
        <w:rPr>
          <w:spacing w:val="40"/>
        </w:rPr>
      </w:r>
      <w:r>
        <w:rPr>
          <w:spacing w:val="-3"/>
        </w:rPr>
        <w:t>也用于支撑其他产业的智能化发展。</w:t>
      </w:r>
      <w:r>
        <w:rPr>
          <w:rFonts w:ascii="宋体" w:hAnsi="宋体" w:cs="宋体" w:eastAsia="宋体" w:hint="default"/>
        </w:rPr>
        <w:t> </w:t>
      </w:r>
    </w:p>
    <w:p>
      <w:pPr>
        <w:pStyle w:val="Heading6"/>
        <w:spacing w:line="240" w:lineRule="auto" w:before="16"/>
        <w:ind w:right="0"/>
        <w:jc w:val="left"/>
        <w:rPr>
          <w:rFonts w:ascii="宋体" w:hAnsi="宋体" w:cs="宋体" w:eastAsia="宋体" w:hint="default"/>
          <w:b w:val="0"/>
          <w:bCs w:val="0"/>
        </w:rPr>
      </w:pPr>
      <w:r>
        <w:rPr/>
        <w:t>二、公司未来发展战略</w:t>
      </w:r>
      <w:r>
        <w:rPr>
          <w:rFonts w:ascii="宋体" w:hAnsi="宋体" w:cs="宋体" w:eastAsia="宋体" w:hint="default"/>
          <w:w w:val="100"/>
        </w:rPr>
        <w:t> </w:t>
      </w:r>
      <w:r>
        <w:rPr>
          <w:rFonts w:ascii="宋体" w:hAnsi="宋体" w:cs="宋体" w:eastAsia="宋体" w:hint="default"/>
          <w:b w:val="0"/>
          <w:bCs w:val="0"/>
          <w:w w:val="100"/>
        </w:rPr>
      </w:r>
    </w:p>
    <w:p>
      <w:pPr>
        <w:pStyle w:val="BodyText"/>
        <w:spacing w:line="240" w:lineRule="auto" w:before="76"/>
        <w:ind w:left="512" w:right="0"/>
        <w:jc w:val="left"/>
        <w:rPr>
          <w:rFonts w:ascii="宋体" w:hAnsi="宋体" w:cs="宋体" w:eastAsia="宋体" w:hint="default"/>
        </w:rPr>
      </w:pPr>
      <w:r>
        <w:rPr>
          <w:rFonts w:ascii="宋体" w:hAnsi="宋体" w:cs="宋体" w:eastAsia="宋体" w:hint="default"/>
          <w:w w:val="101"/>
        </w:rPr>
        <w:t> </w:t>
      </w:r>
      <w:r>
        <w:rPr>
          <w:rFonts w:ascii="宋体" w:hAnsi="宋体" w:cs="宋体" w:eastAsia="宋体" w:hint="default"/>
          <w:spacing w:val="-3"/>
        </w:rPr>
        <w:t>1</w:t>
      </w:r>
      <w:r>
        <w:rPr>
          <w:spacing w:val="-3"/>
        </w:rPr>
        <w:t>、以智慧政务业务为基础，成为新型智慧城市解决方案提供商</w:t>
      </w:r>
      <w:r>
        <w:rPr>
          <w:rFonts w:ascii="宋体" w:hAnsi="宋体" w:cs="宋体" w:eastAsia="宋体" w:hint="default"/>
        </w:rPr>
        <w:t> </w:t>
      </w:r>
    </w:p>
    <w:p>
      <w:pPr>
        <w:pStyle w:val="BodyText"/>
        <w:spacing w:line="316" w:lineRule="auto" w:before="76"/>
        <w:ind w:right="0" w:firstLine="359"/>
        <w:jc w:val="left"/>
        <w:rPr>
          <w:rFonts w:ascii="宋体" w:hAnsi="宋体" w:cs="宋体" w:eastAsia="宋体" w:hint="default"/>
        </w:rPr>
      </w:pPr>
      <w:r>
        <w:rPr>
          <w:spacing w:val="-3"/>
        </w:rPr>
        <w:t>新型城镇化建设已经上升为国家战略，而公司现有</w:t>
      </w:r>
      <w:r>
        <w:rPr>
          <w:rFonts w:ascii="宋体" w:hAnsi="宋体" w:cs="宋体" w:eastAsia="宋体" w:hint="default"/>
          <w:spacing w:val="-3"/>
        </w:rPr>
        <w:t>“</w:t>
      </w:r>
      <w:r>
        <w:rPr>
          <w:spacing w:val="-3"/>
        </w:rPr>
        <w:t>社会管理与政务服务</w:t>
      </w:r>
      <w:r>
        <w:rPr>
          <w:rFonts w:ascii="宋体" w:hAnsi="宋体" w:cs="宋体" w:eastAsia="宋体" w:hint="default"/>
          <w:spacing w:val="-3"/>
        </w:rPr>
        <w:t>”</w:t>
      </w:r>
      <w:r>
        <w:rPr>
          <w:spacing w:val="-3"/>
        </w:rPr>
        <w:t>业务正契合新型智慧城市建设的核心需求，</w:t>
      </w:r>
      <w:r>
        <w:rPr>
          <w:spacing w:val="-5"/>
          <w:w w:val="101"/>
        </w:rPr>
        <w:t> </w:t>
      </w:r>
      <w:r>
        <w:rPr>
          <w:spacing w:val="-4"/>
        </w:rPr>
        <w:t>为公司提供新型智慧城市解决方案：即以城市大数据中心建设为核心，以城市服务、社会治理两大类应用为抓手，综合运用</w:t>
      </w:r>
      <w:r>
        <w:rPr>
          <w:spacing w:val="40"/>
        </w:rPr>
        <w:t> </w:t>
      </w:r>
      <w:r>
        <w:rPr>
          <w:spacing w:val="40"/>
        </w:rPr>
      </w:r>
      <w:r>
        <w:rPr>
          <w:spacing w:val="-8"/>
          <w:w w:val="101"/>
        </w:rPr>
        <w:t>云计算、大数据、物联网、移动互联网等新兴技术，为城市提供了的便捷、高效、绿色、共享的智慧化应用体系奠定了基础。</w:t>
      </w:r>
      <w:r>
        <w:rPr>
          <w:rFonts w:ascii="宋体" w:hAnsi="宋体" w:cs="宋体" w:eastAsia="宋体" w:hint="default"/>
          <w:w w:val="101"/>
        </w:rPr>
        <w:t> </w:t>
      </w:r>
      <w:r>
        <w:rPr>
          <w:rFonts w:ascii="宋体" w:hAnsi="宋体" w:cs="宋体" w:eastAsia="宋体" w:hint="default"/>
        </w:rPr>
      </w:r>
    </w:p>
    <w:p>
      <w:pPr>
        <w:spacing w:after="0" w:line="316" w:lineRule="auto"/>
        <w:jc w:val="left"/>
        <w:rPr>
          <w:rFonts w:ascii="宋体" w:hAnsi="宋体" w:cs="宋体" w:eastAsia="宋体" w:hint="default"/>
        </w:rPr>
        <w:sectPr>
          <w:pgSz w:w="11910" w:h="16840"/>
          <w:pgMar w:header="784" w:footer="1027" w:top="1100" w:bottom="1220" w:left="980" w:right="920"/>
        </w:sectPr>
      </w:pPr>
    </w:p>
    <w:p>
      <w:pPr>
        <w:spacing w:line="240" w:lineRule="auto" w:before="10"/>
        <w:rPr>
          <w:rFonts w:ascii="宋体" w:hAnsi="宋体" w:cs="宋体" w:eastAsia="宋体" w:hint="default"/>
          <w:sz w:val="22"/>
          <w:szCs w:val="22"/>
        </w:rPr>
      </w:pPr>
    </w:p>
    <w:p>
      <w:pPr>
        <w:pStyle w:val="BodyText"/>
        <w:spacing w:line="316" w:lineRule="auto" w:before="46"/>
        <w:ind w:right="215" w:firstLine="360"/>
        <w:jc w:val="both"/>
        <w:rPr>
          <w:rFonts w:ascii="宋体" w:hAnsi="宋体" w:cs="宋体" w:eastAsia="宋体" w:hint="default"/>
        </w:rPr>
      </w:pPr>
      <w:r>
        <w:rPr>
          <w:w w:val="101"/>
        </w:rPr>
        <w:t>公</w:t>
      </w:r>
      <w:r>
        <w:rPr>
          <w:spacing w:val="-5"/>
          <w:w w:val="101"/>
        </w:rPr>
        <w:t>司</w:t>
      </w:r>
      <w:r>
        <w:rPr>
          <w:w w:val="101"/>
        </w:rPr>
        <w:t>将</w:t>
      </w:r>
      <w:r>
        <w:rPr>
          <w:spacing w:val="-15"/>
          <w:w w:val="101"/>
        </w:rPr>
        <w:t>在</w:t>
      </w:r>
      <w:r>
        <w:rPr>
          <w:rFonts w:ascii="宋体" w:hAnsi="宋体" w:cs="宋体" w:eastAsia="宋体" w:hint="default"/>
          <w:w w:val="101"/>
        </w:rPr>
        <w:t>“</w:t>
      </w:r>
      <w:r>
        <w:rPr>
          <w:spacing w:val="-5"/>
          <w:w w:val="101"/>
        </w:rPr>
        <w:t>云</w:t>
      </w:r>
      <w:r>
        <w:rPr>
          <w:w w:val="101"/>
        </w:rPr>
        <w:t>数</w:t>
      </w:r>
      <w:r>
        <w:rPr>
          <w:spacing w:val="-5"/>
          <w:w w:val="101"/>
        </w:rPr>
        <w:t>一体</w:t>
      </w:r>
      <w:r>
        <w:rPr>
          <w:rFonts w:ascii="宋体" w:hAnsi="宋体" w:cs="宋体" w:eastAsia="宋体" w:hint="default"/>
          <w:spacing w:val="-10"/>
          <w:w w:val="101"/>
        </w:rPr>
        <w:t>”</w:t>
      </w:r>
      <w:r>
        <w:rPr>
          <w:spacing w:val="-5"/>
          <w:w w:val="101"/>
        </w:rPr>
        <w:t>的</w:t>
      </w:r>
      <w:r>
        <w:rPr>
          <w:w w:val="101"/>
        </w:rPr>
        <w:t>大</w:t>
      </w:r>
      <w:r>
        <w:rPr>
          <w:spacing w:val="-5"/>
          <w:w w:val="101"/>
        </w:rPr>
        <w:t>数</w:t>
      </w:r>
      <w:r>
        <w:rPr>
          <w:w w:val="101"/>
        </w:rPr>
        <w:t>据</w:t>
      </w:r>
      <w:r>
        <w:rPr>
          <w:spacing w:val="-5"/>
          <w:w w:val="101"/>
        </w:rPr>
        <w:t>中</w:t>
      </w:r>
      <w:r>
        <w:rPr>
          <w:w w:val="101"/>
        </w:rPr>
        <w:t>心</w:t>
      </w:r>
      <w:r>
        <w:rPr>
          <w:spacing w:val="-106"/>
          <w:w w:val="101"/>
        </w:rPr>
        <w:t>、</w:t>
      </w:r>
      <w:r>
        <w:rPr>
          <w:rFonts w:ascii="宋体" w:hAnsi="宋体" w:cs="宋体" w:eastAsia="宋体" w:hint="default"/>
          <w:spacing w:val="-5"/>
          <w:w w:val="101"/>
        </w:rPr>
        <w:t>“</w:t>
      </w:r>
      <w:r>
        <w:rPr>
          <w:w w:val="101"/>
        </w:rPr>
        <w:t>互</w:t>
      </w:r>
      <w:r>
        <w:rPr>
          <w:spacing w:val="-5"/>
          <w:w w:val="101"/>
        </w:rPr>
        <w:t>联</w:t>
      </w:r>
      <w:r>
        <w:rPr>
          <w:w w:val="101"/>
        </w:rPr>
        <w:t>网</w:t>
      </w:r>
      <w:r>
        <w:rPr>
          <w:rFonts w:ascii="宋体" w:hAnsi="宋体" w:cs="宋体" w:eastAsia="宋体" w:hint="default"/>
          <w:spacing w:val="-5"/>
          <w:w w:val="101"/>
        </w:rPr>
        <w:t>+</w:t>
      </w:r>
      <w:r>
        <w:rPr>
          <w:rFonts w:ascii="宋体" w:hAnsi="宋体" w:cs="宋体" w:eastAsia="宋体" w:hint="default"/>
          <w:spacing w:val="-10"/>
          <w:w w:val="101"/>
        </w:rPr>
        <w:t>”</w:t>
      </w:r>
      <w:r>
        <w:rPr>
          <w:spacing w:val="-5"/>
          <w:w w:val="101"/>
        </w:rPr>
        <w:t>的</w:t>
      </w:r>
      <w:r>
        <w:rPr>
          <w:w w:val="101"/>
        </w:rPr>
        <w:t>城</w:t>
      </w:r>
      <w:r>
        <w:rPr>
          <w:spacing w:val="-5"/>
          <w:w w:val="101"/>
        </w:rPr>
        <w:t>市</w:t>
      </w:r>
      <w:r>
        <w:rPr>
          <w:w w:val="101"/>
        </w:rPr>
        <w:t>服</w:t>
      </w:r>
      <w:r>
        <w:rPr>
          <w:spacing w:val="-5"/>
          <w:w w:val="101"/>
        </w:rPr>
        <w:t>务</w:t>
      </w:r>
      <w:r>
        <w:rPr>
          <w:spacing w:val="-106"/>
          <w:w w:val="101"/>
        </w:rPr>
        <w:t>、</w:t>
      </w:r>
      <w:r>
        <w:rPr>
          <w:rFonts w:ascii="宋体" w:hAnsi="宋体" w:cs="宋体" w:eastAsia="宋体" w:hint="default"/>
          <w:w w:val="101"/>
        </w:rPr>
        <w:t>“</w:t>
      </w:r>
      <w:r>
        <w:rPr>
          <w:spacing w:val="-5"/>
          <w:w w:val="101"/>
        </w:rPr>
        <w:t>网</w:t>
      </w:r>
      <w:r>
        <w:rPr>
          <w:w w:val="101"/>
        </w:rPr>
        <w:t>格</w:t>
      </w:r>
      <w:r>
        <w:rPr>
          <w:spacing w:val="-5"/>
          <w:w w:val="101"/>
        </w:rPr>
        <w:t>化</w:t>
      </w:r>
      <w:r>
        <w:rPr>
          <w:rFonts w:ascii="宋体" w:hAnsi="宋体" w:cs="宋体" w:eastAsia="宋体" w:hint="default"/>
          <w:spacing w:val="-5"/>
          <w:w w:val="101"/>
        </w:rPr>
        <w:t>+</w:t>
      </w:r>
      <w:r>
        <w:rPr>
          <w:rFonts w:ascii="宋体" w:hAnsi="宋体" w:cs="宋体" w:eastAsia="宋体" w:hint="default"/>
          <w:spacing w:val="-10"/>
          <w:w w:val="101"/>
        </w:rPr>
        <w:t>”</w:t>
      </w:r>
      <w:r>
        <w:rPr>
          <w:spacing w:val="-5"/>
          <w:w w:val="101"/>
        </w:rPr>
        <w:t>的</w:t>
      </w:r>
      <w:r>
        <w:rPr>
          <w:w w:val="101"/>
        </w:rPr>
        <w:t>社</w:t>
      </w:r>
      <w:r>
        <w:rPr>
          <w:spacing w:val="-5"/>
          <w:w w:val="101"/>
        </w:rPr>
        <w:t>会</w:t>
      </w:r>
      <w:r>
        <w:rPr>
          <w:w w:val="101"/>
        </w:rPr>
        <w:t>治</w:t>
      </w:r>
      <w:r>
        <w:rPr>
          <w:spacing w:val="-5"/>
          <w:w w:val="101"/>
        </w:rPr>
        <w:t>理</w:t>
      </w:r>
      <w:r>
        <w:rPr>
          <w:w w:val="101"/>
        </w:rPr>
        <w:t>等</w:t>
      </w:r>
      <w:r>
        <w:rPr>
          <w:spacing w:val="-5"/>
          <w:w w:val="101"/>
        </w:rPr>
        <w:t>解</w:t>
      </w:r>
      <w:r>
        <w:rPr>
          <w:w w:val="101"/>
        </w:rPr>
        <w:t>决</w:t>
      </w:r>
      <w:r>
        <w:rPr>
          <w:spacing w:val="-5"/>
          <w:w w:val="101"/>
        </w:rPr>
        <w:t>方</w:t>
      </w:r>
      <w:r>
        <w:rPr>
          <w:w w:val="101"/>
        </w:rPr>
        <w:t>案</w:t>
      </w:r>
      <w:r>
        <w:rPr>
          <w:spacing w:val="-5"/>
          <w:w w:val="101"/>
        </w:rPr>
        <w:t>的</w:t>
      </w:r>
      <w:r>
        <w:rPr>
          <w:w w:val="101"/>
        </w:rPr>
        <w:t>基</w:t>
      </w:r>
      <w:r>
        <w:rPr>
          <w:spacing w:val="-5"/>
          <w:w w:val="101"/>
        </w:rPr>
        <w:t>础上</w:t>
      </w:r>
      <w:r>
        <w:rPr>
          <w:spacing w:val="-10"/>
          <w:w w:val="101"/>
        </w:rPr>
        <w:t>，</w:t>
      </w:r>
      <w:r>
        <w:rPr>
          <w:spacing w:val="-5"/>
          <w:w w:val="101"/>
        </w:rPr>
        <w:t>进</w:t>
      </w:r>
      <w:r>
        <w:rPr>
          <w:w w:val="101"/>
        </w:rPr>
        <w:t>一</w:t>
      </w:r>
      <w:r>
        <w:rPr>
          <w:spacing w:val="-5"/>
          <w:w w:val="101"/>
        </w:rPr>
        <w:t>步融</w:t>
      </w:r>
      <w:r>
        <w:rPr>
          <w:spacing w:val="-5"/>
          <w:w w:val="101"/>
        </w:rPr>
        <w:t> </w:t>
      </w:r>
      <w:r>
        <w:rPr>
          <w:w w:val="101"/>
        </w:rPr>
        <w:t>合</w:t>
      </w:r>
      <w:r>
        <w:rPr>
          <w:spacing w:val="-5"/>
          <w:w w:val="101"/>
        </w:rPr>
        <w:t>产</w:t>
      </w:r>
      <w:r>
        <w:rPr>
          <w:w w:val="101"/>
        </w:rPr>
        <w:t>业</w:t>
      </w:r>
      <w:r>
        <w:rPr>
          <w:spacing w:val="-5"/>
          <w:w w:val="101"/>
        </w:rPr>
        <w:t>链</w:t>
      </w:r>
      <w:r>
        <w:rPr>
          <w:w w:val="101"/>
        </w:rPr>
        <w:t>中</w:t>
      </w:r>
      <w:r>
        <w:rPr>
          <w:spacing w:val="-5"/>
          <w:w w:val="101"/>
        </w:rPr>
        <w:t>的</w:t>
      </w:r>
      <w:r>
        <w:rPr>
          <w:w w:val="101"/>
        </w:rPr>
        <w:t>相</w:t>
      </w:r>
      <w:r>
        <w:rPr>
          <w:spacing w:val="-5"/>
          <w:w w:val="101"/>
        </w:rPr>
        <w:t>关</w:t>
      </w:r>
      <w:r>
        <w:rPr>
          <w:w w:val="101"/>
        </w:rPr>
        <w:t>资</w:t>
      </w:r>
      <w:r>
        <w:rPr>
          <w:spacing w:val="-5"/>
          <w:w w:val="101"/>
        </w:rPr>
        <w:t>源</w:t>
      </w:r>
      <w:r>
        <w:rPr>
          <w:w w:val="101"/>
        </w:rPr>
        <w:t>，</w:t>
      </w:r>
      <w:r>
        <w:rPr>
          <w:spacing w:val="-5"/>
          <w:w w:val="101"/>
        </w:rPr>
        <w:t>逐</w:t>
      </w:r>
      <w:r>
        <w:rPr>
          <w:w w:val="101"/>
        </w:rPr>
        <w:t>步</w:t>
      </w:r>
      <w:r>
        <w:rPr>
          <w:spacing w:val="-5"/>
          <w:w w:val="101"/>
        </w:rPr>
        <w:t>构</w:t>
      </w:r>
      <w:r>
        <w:rPr>
          <w:w w:val="101"/>
        </w:rPr>
        <w:t>筑</w:t>
      </w:r>
      <w:r>
        <w:rPr>
          <w:spacing w:val="-5"/>
          <w:w w:val="101"/>
        </w:rPr>
        <w:t>与</w:t>
      </w:r>
      <w:r>
        <w:rPr>
          <w:w w:val="101"/>
        </w:rPr>
        <w:t>公</w:t>
      </w:r>
      <w:r>
        <w:rPr>
          <w:spacing w:val="-5"/>
          <w:w w:val="101"/>
        </w:rPr>
        <w:t>司</w:t>
      </w:r>
      <w:r>
        <w:rPr>
          <w:w w:val="101"/>
        </w:rPr>
        <w:t>自</w:t>
      </w:r>
      <w:r>
        <w:rPr>
          <w:spacing w:val="-5"/>
          <w:w w:val="101"/>
        </w:rPr>
        <w:t>身</w:t>
      </w:r>
      <w:r>
        <w:rPr>
          <w:w w:val="101"/>
        </w:rPr>
        <w:t>业</w:t>
      </w:r>
      <w:r>
        <w:rPr>
          <w:spacing w:val="-5"/>
          <w:w w:val="101"/>
        </w:rPr>
        <w:t>务</w:t>
      </w:r>
      <w:r>
        <w:rPr>
          <w:w w:val="101"/>
        </w:rPr>
        <w:t>相</w:t>
      </w:r>
      <w:r>
        <w:rPr>
          <w:spacing w:val="-5"/>
          <w:w w:val="101"/>
        </w:rPr>
        <w:t>匹</w:t>
      </w:r>
      <w:r>
        <w:rPr>
          <w:w w:val="101"/>
        </w:rPr>
        <w:t>配</w:t>
      </w:r>
      <w:r>
        <w:rPr>
          <w:spacing w:val="-6"/>
          <w:w w:val="101"/>
        </w:rPr>
        <w:t>的</w:t>
      </w:r>
      <w:r>
        <w:rPr>
          <w:rFonts w:ascii="宋体" w:hAnsi="宋体" w:cs="宋体" w:eastAsia="宋体" w:hint="default"/>
          <w:spacing w:val="-5"/>
          <w:w w:val="101"/>
        </w:rPr>
        <w:t>“</w:t>
      </w:r>
      <w:r>
        <w:rPr>
          <w:w w:val="101"/>
        </w:rPr>
        <w:t>新</w:t>
      </w:r>
      <w:r>
        <w:rPr>
          <w:spacing w:val="-5"/>
          <w:w w:val="101"/>
        </w:rPr>
        <w:t>型</w:t>
      </w:r>
      <w:r>
        <w:rPr>
          <w:w w:val="101"/>
        </w:rPr>
        <w:t>智</w:t>
      </w:r>
      <w:r>
        <w:rPr>
          <w:spacing w:val="-5"/>
          <w:w w:val="101"/>
        </w:rPr>
        <w:t>慧</w:t>
      </w:r>
      <w:r>
        <w:rPr>
          <w:w w:val="101"/>
        </w:rPr>
        <w:t>城</w:t>
      </w:r>
      <w:r>
        <w:rPr>
          <w:spacing w:val="-5"/>
          <w:w w:val="101"/>
        </w:rPr>
        <w:t>市</w:t>
      </w:r>
      <w:r>
        <w:rPr>
          <w:w w:val="101"/>
        </w:rPr>
        <w:t>产</w:t>
      </w:r>
      <w:r>
        <w:rPr>
          <w:spacing w:val="-5"/>
          <w:w w:val="101"/>
        </w:rPr>
        <w:t>业</w:t>
      </w:r>
      <w:r>
        <w:rPr>
          <w:w w:val="101"/>
        </w:rPr>
        <w:t>合</w:t>
      </w:r>
      <w:r>
        <w:rPr>
          <w:spacing w:val="-5"/>
          <w:w w:val="101"/>
        </w:rPr>
        <w:t>作</w:t>
      </w:r>
      <w:r>
        <w:rPr>
          <w:w w:val="101"/>
        </w:rPr>
        <w:t>微</w:t>
      </w:r>
      <w:r>
        <w:rPr>
          <w:spacing w:val="-5"/>
          <w:w w:val="101"/>
        </w:rPr>
        <w:t>生</w:t>
      </w:r>
      <w:r>
        <w:rPr>
          <w:spacing w:val="-1"/>
          <w:w w:val="101"/>
        </w:rPr>
        <w:t>态</w:t>
      </w:r>
      <w:r>
        <w:rPr>
          <w:rFonts w:ascii="宋体" w:hAnsi="宋体" w:cs="宋体" w:eastAsia="宋体" w:hint="default"/>
          <w:spacing w:val="-92"/>
          <w:w w:val="101"/>
        </w:rPr>
        <w:t>”</w:t>
      </w:r>
      <w:r>
        <w:rPr>
          <w:spacing w:val="-5"/>
          <w:w w:val="101"/>
        </w:rPr>
        <w:t>。</w:t>
      </w:r>
      <w:r>
        <w:rPr>
          <w:rFonts w:ascii="宋体" w:hAnsi="宋体" w:cs="宋体" w:eastAsia="宋体" w:hint="default"/>
          <w:w w:val="101"/>
        </w:rPr>
        <w:t> </w:t>
      </w:r>
      <w:r>
        <w:rPr>
          <w:rFonts w:ascii="宋体" w:hAnsi="宋体" w:cs="宋体" w:eastAsia="宋体" w:hint="default"/>
        </w:rPr>
      </w:r>
    </w:p>
    <w:p>
      <w:pPr>
        <w:pStyle w:val="BodyText"/>
        <w:spacing w:line="240" w:lineRule="auto" w:before="19"/>
        <w:ind w:left="512" w:right="0"/>
        <w:jc w:val="left"/>
        <w:rPr>
          <w:rFonts w:ascii="宋体" w:hAnsi="宋体" w:cs="宋体" w:eastAsia="宋体" w:hint="default"/>
        </w:rPr>
      </w:pPr>
      <w:r>
        <w:rPr>
          <w:rFonts w:ascii="宋体" w:hAnsi="宋体" w:cs="宋体" w:eastAsia="宋体" w:hint="default"/>
          <w:w w:val="101"/>
        </w:rPr>
        <w:t> </w:t>
      </w:r>
      <w:r>
        <w:rPr>
          <w:rFonts w:ascii="宋体" w:hAnsi="宋体" w:cs="宋体" w:eastAsia="宋体" w:hint="default"/>
          <w:spacing w:val="-3"/>
        </w:rPr>
        <w:t>2</w:t>
      </w:r>
      <w:r>
        <w:rPr>
          <w:spacing w:val="-3"/>
        </w:rPr>
        <w:t>、提升大数据平台支撑能力，推动行业深度应用</w:t>
      </w:r>
      <w:r>
        <w:rPr>
          <w:rFonts w:ascii="宋体" w:hAnsi="宋体" w:cs="宋体" w:eastAsia="宋体" w:hint="default"/>
        </w:rPr>
        <w:t> </w:t>
      </w:r>
    </w:p>
    <w:p>
      <w:pPr>
        <w:pStyle w:val="BodyText"/>
        <w:spacing w:line="316" w:lineRule="auto" w:before="76"/>
        <w:ind w:right="204" w:firstLine="360"/>
        <w:jc w:val="both"/>
        <w:rPr>
          <w:rFonts w:ascii="宋体" w:hAnsi="宋体" w:cs="宋体" w:eastAsia="宋体" w:hint="default"/>
        </w:rPr>
      </w:pPr>
      <w:r>
        <w:rPr>
          <w:spacing w:val="-5"/>
        </w:rPr>
        <w:t>公司</w:t>
      </w:r>
      <w:r>
        <w:rPr>
          <w:rFonts w:ascii="宋体" w:hAnsi="宋体" w:cs="宋体" w:eastAsia="宋体" w:hint="default"/>
          <w:spacing w:val="-5"/>
        </w:rPr>
        <w:t>“</w:t>
      </w:r>
      <w:r>
        <w:rPr>
          <w:spacing w:val="-5"/>
        </w:rPr>
        <w:t>智慧政务</w:t>
      </w:r>
      <w:r>
        <w:rPr>
          <w:rFonts w:ascii="宋体" w:hAnsi="宋体" w:cs="宋体" w:eastAsia="宋体" w:hint="default"/>
          <w:spacing w:val="-5"/>
        </w:rPr>
        <w:t>”</w:t>
      </w:r>
      <w:r>
        <w:rPr>
          <w:spacing w:val="-5"/>
        </w:rPr>
        <w:t>行业应用涉及较广，包括公安、税务、财政、工商、质检、食药、民政、医疗、教育等。在这些行业</w:t>
      </w:r>
      <w:r>
        <w:rPr>
          <w:spacing w:val="-5"/>
          <w:w w:val="101"/>
        </w:rPr>
        <w:t> </w:t>
      </w:r>
      <w:r>
        <w:rPr>
          <w:spacing w:val="-4"/>
        </w:rPr>
        <w:t>中，传统的以业务流程自动化为主要特征的信息化建设正逐步退出，新的业务发展需要利用大数据技术，对已有业务系统积</w:t>
      </w:r>
      <w:r>
        <w:rPr>
          <w:spacing w:val="43"/>
        </w:rPr>
        <w:t> </w:t>
      </w:r>
      <w:r>
        <w:rPr>
          <w:spacing w:val="43"/>
        </w:rPr>
      </w:r>
      <w:r>
        <w:rPr>
          <w:spacing w:val="-5"/>
          <w:w w:val="101"/>
        </w:rPr>
        <w:t>累的海量数据进行深入分析、挖掘，实现</w:t>
      </w:r>
      <w:r>
        <w:rPr>
          <w:rFonts w:ascii="宋体" w:hAnsi="宋体" w:cs="宋体" w:eastAsia="宋体" w:hint="default"/>
          <w:spacing w:val="-5"/>
          <w:w w:val="101"/>
        </w:rPr>
        <w:t>“</w:t>
      </w:r>
      <w:r>
        <w:rPr>
          <w:spacing w:val="-5"/>
          <w:w w:val="101"/>
        </w:rPr>
        <w:t>智慧型应用</w:t>
      </w:r>
      <w:r>
        <w:rPr>
          <w:rFonts w:ascii="宋体" w:hAnsi="宋体" w:cs="宋体" w:eastAsia="宋体" w:hint="default"/>
          <w:spacing w:val="-5"/>
          <w:w w:val="101"/>
        </w:rPr>
        <w:t>”</w:t>
      </w:r>
      <w:r>
        <w:rPr>
          <w:spacing w:val="-5"/>
          <w:w w:val="101"/>
        </w:rPr>
        <w:t>。由于大数据行业应用既具有一定的技术门槛，也具备一定的业务</w:t>
      </w:r>
      <w:r>
        <w:rPr>
          <w:spacing w:val="-50"/>
          <w:w w:val="101"/>
        </w:rPr>
        <w:t> </w:t>
      </w:r>
      <w:r>
        <w:rPr>
          <w:spacing w:val="-50"/>
          <w:w w:val="101"/>
        </w:rPr>
      </w:r>
      <w:r>
        <w:rPr>
          <w:spacing w:val="-3"/>
        </w:rPr>
        <w:t>门槛，因此对供应商的综合实力提出了更高的挑战。</w:t>
      </w:r>
      <w:r>
        <w:rPr>
          <w:rFonts w:ascii="宋体" w:hAnsi="宋体" w:cs="宋体" w:eastAsia="宋体" w:hint="default"/>
        </w:rPr>
        <w:t> </w:t>
      </w:r>
    </w:p>
    <w:p>
      <w:pPr>
        <w:pStyle w:val="BodyText"/>
        <w:spacing w:line="316" w:lineRule="auto" w:before="19"/>
        <w:ind w:left="153" w:right="205" w:firstLine="359"/>
        <w:jc w:val="both"/>
        <w:rPr>
          <w:rFonts w:ascii="宋体" w:hAnsi="宋体" w:cs="宋体" w:eastAsia="宋体" w:hint="default"/>
        </w:rPr>
      </w:pPr>
      <w:r>
        <w:rPr>
          <w:spacing w:val="-4"/>
        </w:rPr>
        <w:t>公司历来重视对核心技术平台的投入，始终按照</w:t>
      </w:r>
      <w:r>
        <w:rPr>
          <w:rFonts w:ascii="宋体" w:hAnsi="宋体" w:cs="宋体" w:eastAsia="宋体" w:hint="default"/>
          <w:spacing w:val="-4"/>
        </w:rPr>
        <w:t>“</w:t>
      </w:r>
      <w:r>
        <w:rPr>
          <w:spacing w:val="-4"/>
        </w:rPr>
        <w:t>平台</w:t>
      </w:r>
      <w:r>
        <w:rPr>
          <w:rFonts w:ascii="宋体" w:hAnsi="宋体" w:cs="宋体" w:eastAsia="宋体" w:hint="default"/>
          <w:spacing w:val="-4"/>
        </w:rPr>
        <w:t>+</w:t>
      </w:r>
      <w:r>
        <w:rPr>
          <w:spacing w:val="-4"/>
        </w:rPr>
        <w:t>业务</w:t>
      </w:r>
      <w:r>
        <w:rPr>
          <w:rFonts w:ascii="宋体" w:hAnsi="宋体" w:cs="宋体" w:eastAsia="宋体" w:hint="default"/>
          <w:spacing w:val="-4"/>
        </w:rPr>
        <w:t>+</w:t>
      </w:r>
      <w:r>
        <w:rPr>
          <w:spacing w:val="-4"/>
        </w:rPr>
        <w:t>应用</w:t>
      </w:r>
      <w:r>
        <w:rPr>
          <w:rFonts w:ascii="宋体" w:hAnsi="宋体" w:cs="宋体" w:eastAsia="宋体" w:hint="default"/>
          <w:spacing w:val="-4"/>
        </w:rPr>
        <w:t>”</w:t>
      </w:r>
      <w:r>
        <w:rPr>
          <w:spacing w:val="-4"/>
        </w:rPr>
        <w:t>的理念推进行业应用市场，而这种综合实力就是公</w:t>
      </w:r>
      <w:r>
        <w:rPr>
          <w:w w:val="101"/>
        </w:rPr>
        <w:t> </w:t>
      </w:r>
      <w:r>
        <w:rPr>
          <w:spacing w:val="-5"/>
          <w:w w:val="101"/>
        </w:rPr>
        <w:t>司参与新一轮以大数据技术为基础的行业应用竞争的优势。未来公司将进一步在已有的优势行业领域进行大数据综合应用的</w:t>
      </w:r>
      <w:r>
        <w:rPr>
          <w:spacing w:val="-44"/>
          <w:w w:val="101"/>
        </w:rPr>
        <w:t> </w:t>
      </w:r>
      <w:r>
        <w:rPr>
          <w:spacing w:val="-44"/>
          <w:w w:val="101"/>
        </w:rPr>
      </w:r>
      <w:r>
        <w:rPr>
          <w:spacing w:val="-3"/>
        </w:rPr>
        <w:t>研发与市场推广：</w:t>
      </w:r>
      <w:r>
        <w:rPr>
          <w:rFonts w:ascii="宋体" w:hAnsi="宋体" w:cs="宋体" w:eastAsia="宋体" w:hint="default"/>
        </w:rPr>
        <w:t> </w:t>
      </w:r>
    </w:p>
    <w:p>
      <w:pPr>
        <w:pStyle w:val="BodyText"/>
        <w:spacing w:line="316" w:lineRule="auto" w:before="19"/>
        <w:ind w:left="153" w:right="204" w:firstLine="360"/>
        <w:jc w:val="both"/>
        <w:rPr>
          <w:rFonts w:ascii="宋体" w:hAnsi="宋体" w:cs="宋体" w:eastAsia="宋体" w:hint="default"/>
        </w:rPr>
      </w:pPr>
      <w:r>
        <w:rPr>
          <w:spacing w:val="-3"/>
        </w:rPr>
        <w:t>（</w:t>
      </w:r>
      <w:r>
        <w:rPr>
          <w:rFonts w:ascii="宋体" w:hAnsi="宋体" w:cs="宋体" w:eastAsia="宋体" w:hint="default"/>
          <w:spacing w:val="-3"/>
        </w:rPr>
        <w:t>1</w:t>
      </w:r>
      <w:r>
        <w:rPr>
          <w:spacing w:val="-3"/>
        </w:rPr>
        <w:t>）公司将继续完善现有公安大数据综合应用产品，强化对重点客户的持续服务，争取结合当前</w:t>
      </w:r>
      <w:r>
        <w:rPr>
          <w:rFonts w:ascii="宋体" w:hAnsi="宋体" w:cs="宋体" w:eastAsia="宋体" w:hint="default"/>
          <w:spacing w:val="-3"/>
        </w:rPr>
        <w:t>“</w:t>
      </w:r>
      <w:r>
        <w:rPr>
          <w:spacing w:val="-3"/>
        </w:rPr>
        <w:t>警务机制改革</w:t>
      </w:r>
      <w:r>
        <w:rPr>
          <w:rFonts w:ascii="宋体" w:hAnsi="宋体" w:cs="宋体" w:eastAsia="宋体" w:hint="default"/>
          <w:spacing w:val="-3"/>
        </w:rPr>
        <w:t>”</w:t>
      </w:r>
      <w:r>
        <w:rPr>
          <w:spacing w:val="-3"/>
        </w:rPr>
        <w:t>的</w:t>
      </w:r>
      <w:r>
        <w:rPr>
          <w:w w:val="101"/>
        </w:rPr>
        <w:t> </w:t>
      </w:r>
      <w:r>
        <w:rPr>
          <w:spacing w:val="-4"/>
        </w:rPr>
        <w:t>有利时机，打造在全国具有影响力的警务大数据应用示范工程。同时，加大对省外市场的投入，开展全国公安信息化市场布</w:t>
      </w:r>
      <w:r>
        <w:rPr>
          <w:spacing w:val="40"/>
        </w:rPr>
        <w:t> </w:t>
      </w:r>
      <w:r>
        <w:rPr>
          <w:spacing w:val="40"/>
        </w:rPr>
      </w:r>
      <w:r>
        <w:rPr>
          <w:spacing w:val="-3"/>
        </w:rPr>
        <w:t>局，提升科创警务大数据解决方案在全国市场的占有率。</w:t>
      </w:r>
      <w:r>
        <w:rPr>
          <w:rFonts w:ascii="宋体" w:hAnsi="宋体" w:cs="宋体" w:eastAsia="宋体" w:hint="default"/>
        </w:rPr>
        <w:t> </w:t>
      </w:r>
    </w:p>
    <w:p>
      <w:pPr>
        <w:pStyle w:val="BodyText"/>
        <w:spacing w:line="316" w:lineRule="auto" w:before="19"/>
        <w:ind w:left="153" w:right="208" w:firstLine="360"/>
        <w:jc w:val="both"/>
        <w:rPr>
          <w:rFonts w:ascii="宋体" w:hAnsi="宋体" w:cs="宋体" w:eastAsia="宋体" w:hint="default"/>
        </w:rPr>
      </w:pPr>
      <w:r>
        <w:rPr>
          <w:spacing w:val="-3"/>
        </w:rPr>
        <w:t>（</w:t>
      </w:r>
      <w:r>
        <w:rPr>
          <w:rFonts w:ascii="宋体" w:hAnsi="宋体" w:cs="宋体" w:eastAsia="宋体" w:hint="default"/>
          <w:spacing w:val="-3"/>
        </w:rPr>
        <w:t>2</w:t>
      </w:r>
      <w:r>
        <w:rPr>
          <w:spacing w:val="-3"/>
        </w:rPr>
        <w:t>）公司将基于人口健康信息平台提供分级诊疗大数据解决方案。通过汇聚、共享、交换区域内各医院、基层卫生服</w:t>
      </w:r>
      <w:r>
        <w:rPr>
          <w:spacing w:val="-5"/>
          <w:w w:val="101"/>
        </w:rPr>
        <w:t> </w:t>
      </w:r>
      <w:r>
        <w:rPr>
          <w:spacing w:val="-5"/>
        </w:rPr>
        <w:t>务机构产生的以健康档案为核心的业务、服务等信息资源，实现医疗资源利用的最大化，实现社区与大、中型医院间、区域</w:t>
      </w:r>
      <w:r>
        <w:rPr>
          <w:spacing w:val="4"/>
        </w:rPr>
        <w:t> </w:t>
      </w:r>
      <w:r>
        <w:rPr>
          <w:spacing w:val="4"/>
        </w:rPr>
      </w:r>
      <w:r>
        <w:rPr>
          <w:spacing w:val="-3"/>
        </w:rPr>
        <w:t>内不同级别医疗机构的互动，互认，实现大小医院间的转诊，实现同级医院检查检验结果互认等。</w:t>
      </w:r>
      <w:r>
        <w:rPr>
          <w:rFonts w:ascii="宋体" w:hAnsi="宋体" w:cs="宋体" w:eastAsia="宋体" w:hint="default"/>
        </w:rPr>
        <w:t> </w:t>
      </w:r>
    </w:p>
    <w:p>
      <w:pPr>
        <w:pStyle w:val="BodyText"/>
        <w:spacing w:line="316" w:lineRule="auto" w:before="19"/>
        <w:ind w:left="153" w:right="0" w:firstLine="359"/>
        <w:jc w:val="left"/>
        <w:rPr>
          <w:rFonts w:ascii="宋体" w:hAnsi="宋体" w:cs="宋体" w:eastAsia="宋体" w:hint="default"/>
        </w:rPr>
      </w:pPr>
      <w:r>
        <w:rPr>
          <w:spacing w:val="-3"/>
        </w:rPr>
        <w:t>目前，公司在市场监管领域已经形成完整的大数据应用解决方案，并在湖南省工商局得到应用。另外，在相关的质检、</w:t>
      </w:r>
      <w:r>
        <w:rPr>
          <w:spacing w:val="-5"/>
          <w:w w:val="101"/>
        </w:rPr>
        <w:t> </w:t>
      </w:r>
      <w:r>
        <w:rPr>
          <w:spacing w:val="-4"/>
        </w:rPr>
        <w:t>食药监、安监、环保、税务等多领域都已形成配套的解决方案，已具备了相对完备的分析技术和分析模型。公司将通过参与</w:t>
      </w:r>
      <w:r>
        <w:rPr>
          <w:spacing w:val="40"/>
        </w:rPr>
        <w:t> </w:t>
      </w:r>
      <w:r>
        <w:rPr>
          <w:spacing w:val="40"/>
        </w:rPr>
      </w:r>
      <w:r>
        <w:rPr>
          <w:spacing w:val="-3"/>
        </w:rPr>
        <w:t>新型智慧城市建设，获取区域内的相关数据运营权，最终成为面向市场主体的专题数据运营服务供应商。</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rFonts w:ascii="宋体" w:hAnsi="宋体" w:cs="宋体" w:eastAsia="宋体" w:hint="default"/>
          <w:spacing w:val="-3"/>
        </w:rPr>
        <w:t>3</w:t>
      </w:r>
      <w:r>
        <w:rPr>
          <w:spacing w:val="-3"/>
        </w:rPr>
        <w:t>、融合智慧企业业务，成为智能制造解决方案提供商</w:t>
      </w:r>
      <w:r>
        <w:rPr>
          <w:rFonts w:ascii="宋体" w:hAnsi="宋体" w:cs="宋体" w:eastAsia="宋体" w:hint="default"/>
        </w:rPr>
        <w:t> </w:t>
      </w:r>
    </w:p>
    <w:p>
      <w:pPr>
        <w:pStyle w:val="BodyText"/>
        <w:spacing w:line="316" w:lineRule="auto" w:before="76"/>
        <w:ind w:left="153" w:right="214" w:firstLine="359"/>
        <w:jc w:val="both"/>
        <w:rPr>
          <w:rFonts w:ascii="宋体" w:hAnsi="宋体" w:cs="宋体" w:eastAsia="宋体" w:hint="default"/>
        </w:rPr>
      </w:pPr>
      <w:r>
        <w:rPr>
          <w:rFonts w:ascii="宋体" w:hAnsi="宋体" w:cs="宋体" w:eastAsia="宋体" w:hint="default"/>
          <w:w w:val="101"/>
        </w:rPr>
        <w:t> </w:t>
      </w:r>
      <w:r>
        <w:rPr>
          <w:rFonts w:ascii="宋体" w:hAnsi="宋体" w:cs="宋体" w:eastAsia="宋体" w:hint="default"/>
          <w:spacing w:val="-3"/>
        </w:rPr>
        <w:t>“</w:t>
      </w:r>
      <w:r>
        <w:rPr>
          <w:spacing w:val="-3"/>
        </w:rPr>
        <w:t>十三五</w:t>
      </w:r>
      <w:r>
        <w:rPr>
          <w:rFonts w:ascii="宋体" w:hAnsi="宋体" w:cs="宋体" w:eastAsia="宋体" w:hint="default"/>
          <w:spacing w:val="-3"/>
        </w:rPr>
        <w:t>”</w:t>
      </w:r>
      <w:r>
        <w:rPr>
          <w:spacing w:val="-3"/>
        </w:rPr>
        <w:t>时期是由</w:t>
      </w:r>
      <w:r>
        <w:rPr>
          <w:rFonts w:ascii="宋体" w:hAnsi="宋体" w:cs="宋体" w:eastAsia="宋体" w:hint="default"/>
          <w:spacing w:val="-3"/>
        </w:rPr>
        <w:t>“</w:t>
      </w:r>
      <w:r>
        <w:rPr>
          <w:spacing w:val="-3"/>
        </w:rPr>
        <w:t>中国制造</w:t>
      </w:r>
      <w:r>
        <w:rPr>
          <w:rFonts w:ascii="宋体" w:hAnsi="宋体" w:cs="宋体" w:eastAsia="宋体" w:hint="default"/>
          <w:spacing w:val="-3"/>
        </w:rPr>
        <w:t>”</w:t>
      </w:r>
      <w:r>
        <w:rPr>
          <w:spacing w:val="-3"/>
        </w:rPr>
        <w:t>向</w:t>
      </w:r>
      <w:r>
        <w:rPr>
          <w:rFonts w:ascii="宋体" w:hAnsi="宋体" w:cs="宋体" w:eastAsia="宋体" w:hint="default"/>
          <w:spacing w:val="-3"/>
        </w:rPr>
        <w:t>“</w:t>
      </w:r>
      <w:r>
        <w:rPr>
          <w:spacing w:val="-3"/>
        </w:rPr>
        <w:t>中国智造</w:t>
      </w:r>
      <w:r>
        <w:rPr>
          <w:rFonts w:ascii="宋体" w:hAnsi="宋体" w:cs="宋体" w:eastAsia="宋体" w:hint="default"/>
          <w:spacing w:val="-3"/>
        </w:rPr>
        <w:t>”</w:t>
      </w:r>
      <w:r>
        <w:rPr>
          <w:spacing w:val="-3"/>
        </w:rPr>
        <w:t>转型升级的关键时期。湖南省长沙市第十三次党代会上提出</w:t>
      </w:r>
      <w:r>
        <w:rPr>
          <w:rFonts w:ascii="宋体" w:hAnsi="宋体" w:cs="宋体" w:eastAsia="宋体" w:hint="default"/>
          <w:spacing w:val="-3"/>
        </w:rPr>
        <w:t>“</w:t>
      </w:r>
      <w:r>
        <w:rPr>
          <w:spacing w:val="-3"/>
        </w:rPr>
        <w:t>建设</w:t>
      </w:r>
      <w:r>
        <w:rPr>
          <w:spacing w:val="-5"/>
          <w:w w:val="101"/>
        </w:rPr>
        <w:t> </w:t>
      </w:r>
      <w:r>
        <w:rPr>
          <w:spacing w:val="-4"/>
          <w:w w:val="101"/>
        </w:rPr>
        <w:t>国家中心城市、实现基本现代化</w:t>
      </w:r>
      <w:r>
        <w:rPr>
          <w:rFonts w:ascii="宋体" w:hAnsi="宋体" w:cs="宋体" w:eastAsia="宋体" w:hint="default"/>
          <w:spacing w:val="-4"/>
          <w:w w:val="101"/>
        </w:rPr>
        <w:t>”</w:t>
      </w:r>
      <w:r>
        <w:rPr>
          <w:spacing w:val="-4"/>
          <w:w w:val="101"/>
        </w:rPr>
        <w:t>的战略目标，公司于</w:t>
      </w:r>
      <w:r>
        <w:rPr>
          <w:rFonts w:ascii="宋体" w:hAnsi="宋体" w:cs="宋体" w:eastAsia="宋体" w:hint="default"/>
          <w:spacing w:val="-4"/>
          <w:w w:val="101"/>
        </w:rPr>
        <w:t>2016</w:t>
      </w:r>
      <w:r>
        <w:rPr>
          <w:spacing w:val="-4"/>
          <w:w w:val="101"/>
        </w:rPr>
        <w:t>年入选长沙</w:t>
      </w:r>
      <w:r>
        <w:rPr>
          <w:rFonts w:ascii="宋体" w:hAnsi="宋体" w:cs="宋体" w:eastAsia="宋体" w:hint="default"/>
          <w:spacing w:val="-4"/>
          <w:w w:val="101"/>
        </w:rPr>
        <w:t>“</w:t>
      </w:r>
      <w:r>
        <w:rPr>
          <w:spacing w:val="-4"/>
          <w:w w:val="101"/>
        </w:rPr>
        <w:t>智能制造示范企业</w:t>
      </w:r>
      <w:r>
        <w:rPr>
          <w:rFonts w:ascii="宋体" w:hAnsi="宋体" w:cs="宋体" w:eastAsia="宋体" w:hint="default"/>
          <w:spacing w:val="-4"/>
          <w:w w:val="101"/>
        </w:rPr>
        <w:t>”</w:t>
      </w:r>
      <w:r>
        <w:rPr>
          <w:spacing w:val="-4"/>
          <w:w w:val="101"/>
        </w:rPr>
        <w:t>，为公司开拓智能制造领域提</w:t>
      </w:r>
      <w:r>
        <w:rPr>
          <w:w w:val="101"/>
        </w:rPr>
        <w:t> </w:t>
      </w:r>
      <w:r>
        <w:rPr>
          <w:spacing w:val="-3"/>
        </w:rPr>
        <w:t>供了良好的战略机遇。目前，公司在智慧企业领域的业务积累为转型成为智能制造解决方案提供商奠定了良好基础。</w:t>
      </w:r>
      <w:r>
        <w:rPr>
          <w:rFonts w:ascii="宋体" w:hAnsi="宋体" w:cs="宋体" w:eastAsia="宋体" w:hint="default"/>
        </w:rPr>
        <w:t> </w:t>
      </w:r>
    </w:p>
    <w:p>
      <w:pPr>
        <w:pStyle w:val="BodyText"/>
        <w:spacing w:line="316" w:lineRule="auto" w:before="19"/>
        <w:ind w:left="153" w:right="204" w:firstLine="359"/>
        <w:jc w:val="both"/>
        <w:rPr>
          <w:rFonts w:ascii="宋体" w:hAnsi="宋体" w:cs="宋体" w:eastAsia="宋体" w:hint="default"/>
        </w:rPr>
      </w:pPr>
      <w:r>
        <w:rPr>
          <w:spacing w:val="-8"/>
        </w:rPr>
        <w:t>公司智能检测产品目前主要应用于玻璃行业的生产领域，未来，将逐步扩展到玻璃深加工领域。从发展趋势上看，在</w:t>
      </w:r>
      <w:r>
        <w:rPr>
          <w:rFonts w:ascii="宋体" w:hAnsi="宋体" w:cs="宋体" w:eastAsia="宋体" w:hint="default"/>
          <w:spacing w:val="-8"/>
        </w:rPr>
        <w:t>“</w:t>
      </w:r>
      <w:r>
        <w:rPr>
          <w:spacing w:val="-8"/>
        </w:rPr>
        <w:t>十</w:t>
      </w:r>
      <w:r>
        <w:rPr>
          <w:w w:val="101"/>
        </w:rPr>
        <w:t> </w:t>
      </w:r>
      <w:r>
        <w:rPr>
          <w:spacing w:val="-4"/>
        </w:rPr>
        <w:t>二五</w:t>
      </w:r>
      <w:r>
        <w:rPr>
          <w:rFonts w:ascii="宋体" w:hAnsi="宋体" w:cs="宋体" w:eastAsia="宋体" w:hint="default"/>
          <w:spacing w:val="-4"/>
        </w:rPr>
        <w:t>”</w:t>
      </w:r>
      <w:r>
        <w:rPr>
          <w:spacing w:val="-4"/>
        </w:rPr>
        <w:t>至</w:t>
      </w:r>
      <w:r>
        <w:rPr>
          <w:rFonts w:ascii="宋体" w:hAnsi="宋体" w:cs="宋体" w:eastAsia="宋体" w:hint="default"/>
          <w:spacing w:val="-4"/>
        </w:rPr>
        <w:t>“</w:t>
      </w:r>
      <w:r>
        <w:rPr>
          <w:spacing w:val="-4"/>
        </w:rPr>
        <w:t>十三五</w:t>
      </w:r>
      <w:r>
        <w:rPr>
          <w:rFonts w:ascii="宋体" w:hAnsi="宋体" w:cs="宋体" w:eastAsia="宋体" w:hint="default"/>
          <w:spacing w:val="-4"/>
        </w:rPr>
        <w:t>”</w:t>
      </w:r>
      <w:r>
        <w:rPr>
          <w:spacing w:val="-4"/>
        </w:rPr>
        <w:t>期间，我国工业化、城镇化的进程将持续加快，建筑、汽车、家电、机车等玻璃深加工制品下游行业的</w:t>
      </w:r>
      <w:r>
        <w:rPr>
          <w:spacing w:val="40"/>
        </w:rPr>
        <w:t> </w:t>
      </w:r>
      <w:r>
        <w:rPr>
          <w:spacing w:val="40"/>
        </w:rPr>
      </w:r>
      <w:r>
        <w:rPr>
          <w:spacing w:val="-3"/>
        </w:rPr>
        <w:t>规模也不断扩大，对玻璃深加工环节的智能化检测设备需求将更加旺盛、市场前景更加广阔。</w:t>
      </w:r>
      <w:r>
        <w:rPr>
          <w:rFonts w:ascii="宋体" w:hAnsi="宋体" w:cs="宋体" w:eastAsia="宋体" w:hint="default"/>
        </w:rPr>
        <w:t> </w:t>
      </w:r>
    </w:p>
    <w:p>
      <w:pPr>
        <w:pStyle w:val="BodyText"/>
        <w:spacing w:line="316" w:lineRule="auto" w:before="19"/>
        <w:ind w:left="153" w:right="203" w:firstLine="360"/>
        <w:jc w:val="both"/>
        <w:rPr>
          <w:rFonts w:ascii="宋体" w:hAnsi="宋体" w:cs="宋体" w:eastAsia="宋体" w:hint="default"/>
        </w:rPr>
      </w:pPr>
      <w:r>
        <w:rPr>
          <w:spacing w:val="-4"/>
        </w:rPr>
        <w:t>在向玻璃深加工企业提供智能检测设备的基础上，公司将整合已有企业管理和电子渠道现有系列产品，形成面向玻璃深</w:t>
      </w:r>
      <w:r>
        <w:rPr>
          <w:w w:val="101"/>
        </w:rPr>
        <w:t> </w:t>
      </w:r>
      <w:r>
        <w:rPr>
          <w:spacing w:val="-3"/>
        </w:rPr>
        <w:t>加工企业的一体化智能制造解决方案。</w:t>
      </w:r>
      <w:r>
        <w:rPr>
          <w:rFonts w:ascii="宋体" w:hAnsi="宋体" w:cs="宋体" w:eastAsia="宋体" w:hint="default"/>
        </w:rPr>
        <w:t> </w:t>
      </w:r>
    </w:p>
    <w:p>
      <w:pPr>
        <w:spacing w:line="316" w:lineRule="auto" w:before="16"/>
        <w:ind w:left="512" w:right="6683" w:firstLine="0"/>
        <w:jc w:val="left"/>
        <w:rPr>
          <w:rFonts w:ascii="宋体" w:hAnsi="宋体" w:cs="宋体" w:eastAsia="宋体" w:hint="default"/>
          <w:sz w:val="18"/>
          <w:szCs w:val="18"/>
        </w:rPr>
      </w:pPr>
      <w:r>
        <w:rPr>
          <w:rFonts w:ascii="宋体" w:hAnsi="宋体" w:cs="宋体" w:eastAsia="宋体" w:hint="default"/>
          <w:b/>
          <w:bCs/>
          <w:sz w:val="18"/>
          <w:szCs w:val="18"/>
        </w:rPr>
        <w:t>三、公司年度发展计划</w:t>
      </w:r>
      <w:r>
        <w:rPr>
          <w:rFonts w:ascii="宋体" w:hAnsi="宋体" w:cs="宋体" w:eastAsia="宋体" w:hint="default"/>
          <w:b/>
          <w:bCs/>
          <w:w w:val="100"/>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、迅速扩大大数据行业市场应用</w:t>
      </w:r>
      <w:r>
        <w:rPr>
          <w:rFonts w:ascii="宋体" w:hAnsi="宋体" w:cs="宋体" w:eastAsia="宋体" w:hint="default"/>
          <w:sz w:val="18"/>
          <w:szCs w:val="18"/>
        </w:rPr>
        <w:t> </w:t>
      </w:r>
    </w:p>
    <w:p>
      <w:pPr>
        <w:pStyle w:val="BodyText"/>
        <w:spacing w:line="316" w:lineRule="auto" w:before="19"/>
        <w:ind w:right="204" w:firstLine="360"/>
        <w:jc w:val="both"/>
        <w:rPr>
          <w:rFonts w:ascii="宋体" w:hAnsi="宋体" w:cs="宋体" w:eastAsia="宋体" w:hint="default"/>
        </w:rPr>
      </w:pPr>
      <w:r>
        <w:rPr>
          <w:spacing w:val="-4"/>
        </w:rPr>
        <w:t>以工商、交管大数据应用为基础，结合国家市场监管和城市公共安全领域的热点应用需求，进一步完善公司市场监管大</w:t>
      </w:r>
      <w:r>
        <w:rPr>
          <w:w w:val="101"/>
        </w:rPr>
        <w:t> </w:t>
      </w:r>
      <w:r>
        <w:rPr>
          <w:spacing w:val="-5"/>
        </w:rPr>
        <w:t>数据解决方案、警务大数据解决方案，力争进入大数据解决方案</w:t>
      </w:r>
      <w:r>
        <w:rPr>
          <w:rFonts w:ascii="宋体" w:hAnsi="宋体" w:cs="宋体" w:eastAsia="宋体" w:hint="default"/>
          <w:spacing w:val="-5"/>
        </w:rPr>
        <w:t>“</w:t>
      </w:r>
      <w:r>
        <w:rPr>
          <w:spacing w:val="-5"/>
        </w:rPr>
        <w:t>国家队</w:t>
      </w:r>
      <w:r>
        <w:rPr>
          <w:rFonts w:ascii="宋体" w:hAnsi="宋体" w:cs="宋体" w:eastAsia="宋体" w:hint="default"/>
          <w:spacing w:val="-5"/>
        </w:rPr>
        <w:t>”</w:t>
      </w:r>
      <w:r>
        <w:rPr>
          <w:spacing w:val="-5"/>
        </w:rPr>
        <w:t>行列，实现省外大数据行业应用解决方案销售的</w:t>
      </w:r>
      <w:r>
        <w:rPr>
          <w:spacing w:val="3"/>
        </w:rPr>
        <w:t> </w:t>
      </w:r>
      <w:r>
        <w:rPr>
          <w:spacing w:val="3"/>
        </w:rPr>
      </w:r>
      <w:r>
        <w:rPr>
          <w:spacing w:val="-3"/>
        </w:rPr>
        <w:t>快速增长。</w:t>
      </w:r>
      <w:r>
        <w:rPr>
          <w:rFonts w:ascii="宋体" w:hAnsi="宋体" w:cs="宋体" w:eastAsia="宋体" w:hint="default"/>
        </w:rPr>
        <w:t> </w:t>
      </w:r>
    </w:p>
    <w:p>
      <w:pPr>
        <w:pStyle w:val="BodyText"/>
        <w:spacing w:line="240" w:lineRule="auto" w:before="19"/>
        <w:ind w:left="512" w:right="0"/>
        <w:jc w:val="left"/>
        <w:rPr>
          <w:rFonts w:ascii="宋体" w:hAnsi="宋体" w:cs="宋体" w:eastAsia="宋体" w:hint="default"/>
        </w:rPr>
      </w:pPr>
      <w:r>
        <w:rPr>
          <w:rFonts w:ascii="宋体" w:hAnsi="宋体" w:cs="宋体" w:eastAsia="宋体" w:hint="default"/>
          <w:spacing w:val="-3"/>
        </w:rPr>
        <w:t>2</w:t>
      </w:r>
      <w:r>
        <w:rPr>
          <w:spacing w:val="-3"/>
        </w:rPr>
        <w:t>、强化人工智能技术研发，提升传统产品智能化水平</w:t>
      </w:r>
      <w:r>
        <w:rPr>
          <w:rFonts w:ascii="宋体" w:hAnsi="宋体" w:cs="宋体" w:eastAsia="宋体" w:hint="default"/>
        </w:rPr>
        <w:t> </w:t>
      </w:r>
    </w:p>
    <w:p>
      <w:pPr>
        <w:pStyle w:val="BodyText"/>
        <w:spacing w:line="316" w:lineRule="auto" w:before="76"/>
        <w:ind w:right="0" w:firstLine="360"/>
        <w:jc w:val="left"/>
        <w:rPr>
          <w:rFonts w:ascii="宋体" w:hAnsi="宋体" w:cs="宋体" w:eastAsia="宋体" w:hint="default"/>
        </w:rPr>
      </w:pPr>
      <w:r>
        <w:rPr>
          <w:spacing w:val="-9"/>
          <w:w w:val="101"/>
        </w:rPr>
        <w:t>以语义分析、文本挖掘、信息抽取、信息检索等技术的研发为重点，突破自然语言处理技术与</w:t>
      </w:r>
      <w:r>
        <w:rPr>
          <w:rFonts w:ascii="宋体" w:hAnsi="宋体" w:cs="宋体" w:eastAsia="宋体" w:hint="default"/>
          <w:spacing w:val="-9"/>
          <w:w w:val="101"/>
        </w:rPr>
        <w:t>“</w:t>
      </w:r>
      <w:r>
        <w:rPr>
          <w:spacing w:val="-9"/>
          <w:w w:val="101"/>
        </w:rPr>
        <w:t>互联网</w:t>
      </w:r>
      <w:r>
        <w:rPr>
          <w:rFonts w:ascii="宋体" w:hAnsi="宋体" w:cs="宋体" w:eastAsia="宋体" w:hint="default"/>
          <w:spacing w:val="-9"/>
          <w:w w:val="101"/>
        </w:rPr>
        <w:t>+</w:t>
      </w:r>
      <w:r>
        <w:rPr>
          <w:spacing w:val="-9"/>
          <w:w w:val="101"/>
        </w:rPr>
        <w:t>政务服务</w:t>
      </w:r>
      <w:r>
        <w:rPr>
          <w:rFonts w:ascii="宋体" w:hAnsi="宋体" w:cs="宋体" w:eastAsia="宋体" w:hint="default"/>
          <w:spacing w:val="-9"/>
          <w:w w:val="101"/>
        </w:rPr>
        <w:t>”</w:t>
      </w:r>
      <w:r>
        <w:rPr>
          <w:spacing w:val="-9"/>
          <w:w w:val="101"/>
        </w:rPr>
        <w:t>、</w:t>
      </w:r>
      <w:r>
        <w:rPr>
          <w:rFonts w:ascii="宋体" w:hAnsi="宋体" w:cs="宋体" w:eastAsia="宋体" w:hint="default"/>
          <w:spacing w:val="-9"/>
          <w:w w:val="101"/>
        </w:rPr>
        <w:t>“</w:t>
      </w:r>
      <w:r>
        <w:rPr>
          <w:spacing w:val="-9"/>
          <w:w w:val="101"/>
        </w:rPr>
        <w:t>警</w:t>
      </w:r>
      <w:r>
        <w:rPr>
          <w:w w:val="101"/>
        </w:rPr>
        <w:t> </w:t>
      </w:r>
      <w:r>
        <w:rPr>
          <w:spacing w:val="-15"/>
          <w:w w:val="101"/>
        </w:rPr>
        <w:t>务综合平台</w:t>
      </w:r>
      <w:r>
        <w:rPr>
          <w:rFonts w:ascii="宋体" w:hAnsi="宋体" w:cs="宋体" w:eastAsia="宋体" w:hint="default"/>
          <w:spacing w:val="-15"/>
          <w:w w:val="101"/>
        </w:rPr>
        <w:t>”</w:t>
      </w:r>
      <w:r>
        <w:rPr>
          <w:spacing w:val="-15"/>
          <w:w w:val="101"/>
        </w:rPr>
        <w:t>、</w:t>
      </w:r>
      <w:r>
        <w:rPr>
          <w:rFonts w:ascii="宋体" w:hAnsi="宋体" w:cs="宋体" w:eastAsia="宋体" w:hint="default"/>
          <w:spacing w:val="-15"/>
          <w:w w:val="101"/>
        </w:rPr>
        <w:t>“</w:t>
      </w:r>
      <w:r>
        <w:rPr>
          <w:spacing w:val="-15"/>
          <w:w w:val="101"/>
        </w:rPr>
        <w:t>医疗电子病历系统</w:t>
      </w:r>
      <w:r>
        <w:rPr>
          <w:rFonts w:ascii="宋体" w:hAnsi="宋体" w:cs="宋体" w:eastAsia="宋体" w:hint="default"/>
          <w:spacing w:val="-15"/>
          <w:w w:val="101"/>
        </w:rPr>
        <w:t>”</w:t>
      </w:r>
      <w:r>
        <w:rPr>
          <w:spacing w:val="-15"/>
          <w:w w:val="101"/>
        </w:rPr>
        <w:t>等现有</w:t>
      </w:r>
      <w:r>
        <w:rPr>
          <w:rFonts w:ascii="宋体" w:hAnsi="宋体" w:cs="宋体" w:eastAsia="宋体" w:hint="default"/>
          <w:spacing w:val="-15"/>
          <w:w w:val="101"/>
        </w:rPr>
        <w:t>“</w:t>
      </w:r>
      <w:r>
        <w:rPr>
          <w:spacing w:val="-15"/>
          <w:w w:val="101"/>
        </w:rPr>
        <w:t>智慧政务</w:t>
      </w:r>
      <w:r>
        <w:rPr>
          <w:rFonts w:ascii="宋体" w:hAnsi="宋体" w:cs="宋体" w:eastAsia="宋体" w:hint="default"/>
          <w:spacing w:val="-15"/>
          <w:w w:val="101"/>
        </w:rPr>
        <w:t>”</w:t>
      </w:r>
      <w:r>
        <w:rPr>
          <w:spacing w:val="-15"/>
          <w:w w:val="101"/>
        </w:rPr>
        <w:t>应用的深度融合，形成</w:t>
      </w:r>
      <w:r>
        <w:rPr>
          <w:rFonts w:ascii="宋体" w:hAnsi="宋体" w:cs="宋体" w:eastAsia="宋体" w:hint="default"/>
          <w:spacing w:val="-15"/>
          <w:w w:val="101"/>
        </w:rPr>
        <w:t>“</w:t>
      </w:r>
      <w:r>
        <w:rPr>
          <w:spacing w:val="-15"/>
          <w:w w:val="101"/>
        </w:rPr>
        <w:t>智能填表</w:t>
      </w:r>
      <w:r>
        <w:rPr>
          <w:rFonts w:ascii="宋体" w:hAnsi="宋体" w:cs="宋体" w:eastAsia="宋体" w:hint="default"/>
          <w:spacing w:val="-15"/>
          <w:w w:val="101"/>
        </w:rPr>
        <w:t>”</w:t>
      </w:r>
      <w:r>
        <w:rPr>
          <w:spacing w:val="-15"/>
          <w:w w:val="101"/>
        </w:rPr>
        <w:t>、</w:t>
      </w:r>
      <w:r>
        <w:rPr>
          <w:rFonts w:ascii="宋体" w:hAnsi="宋体" w:cs="宋体" w:eastAsia="宋体" w:hint="default"/>
          <w:spacing w:val="-15"/>
          <w:w w:val="101"/>
        </w:rPr>
        <w:t>“</w:t>
      </w:r>
      <w:r>
        <w:rPr>
          <w:spacing w:val="-15"/>
          <w:w w:val="101"/>
        </w:rPr>
        <w:t>智能问答</w:t>
      </w:r>
      <w:r>
        <w:rPr>
          <w:rFonts w:ascii="宋体" w:hAnsi="宋体" w:cs="宋体" w:eastAsia="宋体" w:hint="default"/>
          <w:spacing w:val="-15"/>
          <w:w w:val="101"/>
        </w:rPr>
        <w:t>”</w:t>
      </w:r>
      <w:r>
        <w:rPr>
          <w:spacing w:val="-15"/>
          <w:w w:val="101"/>
        </w:rPr>
        <w:t>、</w:t>
      </w:r>
      <w:r>
        <w:rPr>
          <w:rFonts w:ascii="宋体" w:hAnsi="宋体" w:cs="宋体" w:eastAsia="宋体" w:hint="default"/>
          <w:spacing w:val="-15"/>
          <w:w w:val="101"/>
        </w:rPr>
        <w:t>“</w:t>
      </w:r>
      <w:r>
        <w:rPr>
          <w:spacing w:val="-15"/>
          <w:w w:val="101"/>
        </w:rPr>
        <w:t>串并案分析</w:t>
      </w:r>
      <w:r>
        <w:rPr>
          <w:rFonts w:ascii="宋体" w:hAnsi="宋体" w:cs="宋体" w:eastAsia="宋体" w:hint="default"/>
          <w:spacing w:val="-15"/>
          <w:w w:val="101"/>
        </w:rPr>
        <w:t>”</w:t>
      </w:r>
      <w:r>
        <w:rPr>
          <w:spacing w:val="-15"/>
          <w:w w:val="101"/>
        </w:rPr>
        <w:t>、</w:t>
      </w:r>
      <w:r>
        <w:rPr>
          <w:spacing w:val="-84"/>
          <w:w w:val="101"/>
        </w:rPr>
        <w:t> </w:t>
      </w:r>
      <w:r>
        <w:rPr>
          <w:rFonts w:ascii="宋体" w:hAnsi="宋体" w:cs="宋体" w:eastAsia="宋体" w:hint="default"/>
          <w:spacing w:val="-3"/>
        </w:rPr>
        <w:t>“</w:t>
      </w:r>
      <w:r>
        <w:rPr>
          <w:spacing w:val="-3"/>
        </w:rPr>
        <w:t>病历智能检索</w:t>
      </w:r>
      <w:r>
        <w:rPr>
          <w:rFonts w:ascii="宋体" w:hAnsi="宋体" w:cs="宋体" w:eastAsia="宋体" w:hint="default"/>
          <w:spacing w:val="-3"/>
        </w:rPr>
        <w:t>”</w:t>
      </w:r>
      <w:r>
        <w:rPr>
          <w:spacing w:val="-3"/>
        </w:rPr>
        <w:t>等通用智能化组件，提升现有智慧政务产品的智能化水平，改进用户体验。</w:t>
      </w:r>
      <w:r>
        <w:rPr>
          <w:rFonts w:ascii="宋体" w:hAnsi="宋体" w:cs="宋体" w:eastAsia="宋体" w:hint="default"/>
        </w:rPr>
        <w:t> </w:t>
      </w:r>
    </w:p>
    <w:p>
      <w:pPr>
        <w:pStyle w:val="BodyText"/>
        <w:spacing w:line="240" w:lineRule="auto" w:before="19"/>
        <w:ind w:left="512" w:right="0"/>
        <w:jc w:val="left"/>
        <w:rPr>
          <w:rFonts w:ascii="宋体" w:hAnsi="宋体" w:cs="宋体" w:eastAsia="宋体" w:hint="default"/>
        </w:rPr>
      </w:pPr>
      <w:r>
        <w:rPr>
          <w:rFonts w:ascii="宋体" w:hAnsi="宋体" w:cs="宋体" w:eastAsia="宋体" w:hint="default"/>
          <w:spacing w:val="-3"/>
        </w:rPr>
        <w:t>3</w:t>
      </w:r>
      <w:r>
        <w:rPr>
          <w:spacing w:val="-3"/>
        </w:rPr>
        <w:t>、持续推动新型智慧城市解决方案的融合与推广</w:t>
      </w:r>
      <w:r>
        <w:rPr>
          <w:rFonts w:ascii="宋体" w:hAnsi="宋体" w:cs="宋体" w:eastAsia="宋体" w:hint="default"/>
        </w:rPr>
        <w:t> </w:t>
      </w:r>
    </w:p>
    <w:p>
      <w:pPr>
        <w:pStyle w:val="BodyText"/>
        <w:spacing w:line="316" w:lineRule="auto" w:before="76"/>
        <w:ind w:right="204" w:firstLine="360"/>
        <w:jc w:val="both"/>
        <w:rPr>
          <w:rFonts w:ascii="宋体" w:hAnsi="宋体" w:cs="宋体" w:eastAsia="宋体" w:hint="default"/>
        </w:rPr>
      </w:pPr>
      <w:r>
        <w:rPr>
          <w:spacing w:val="-8"/>
          <w:w w:val="101"/>
        </w:rPr>
        <w:t>以</w:t>
      </w:r>
      <w:r>
        <w:rPr>
          <w:rFonts w:ascii="宋体" w:hAnsi="宋体" w:cs="宋体" w:eastAsia="宋体" w:hint="default"/>
          <w:spacing w:val="-8"/>
          <w:w w:val="101"/>
        </w:rPr>
        <w:t>“</w:t>
      </w:r>
      <w:r>
        <w:rPr>
          <w:spacing w:val="-8"/>
          <w:w w:val="101"/>
        </w:rPr>
        <w:t>互联网</w:t>
      </w:r>
      <w:r>
        <w:rPr>
          <w:rFonts w:ascii="宋体" w:hAnsi="宋体" w:cs="宋体" w:eastAsia="宋体" w:hint="default"/>
          <w:spacing w:val="-8"/>
          <w:w w:val="101"/>
        </w:rPr>
        <w:t>+</w:t>
      </w:r>
      <w:r>
        <w:rPr>
          <w:spacing w:val="-8"/>
          <w:w w:val="101"/>
        </w:rPr>
        <w:t>政务服务</w:t>
      </w:r>
      <w:r>
        <w:rPr>
          <w:rFonts w:ascii="宋体" w:hAnsi="宋体" w:cs="宋体" w:eastAsia="宋体" w:hint="default"/>
          <w:spacing w:val="-8"/>
          <w:w w:val="101"/>
        </w:rPr>
        <w:t>”</w:t>
      </w:r>
      <w:r>
        <w:rPr>
          <w:spacing w:val="-8"/>
          <w:w w:val="101"/>
        </w:rPr>
        <w:t>、</w:t>
      </w:r>
      <w:r>
        <w:rPr>
          <w:rFonts w:ascii="宋体" w:hAnsi="宋体" w:cs="宋体" w:eastAsia="宋体" w:hint="default"/>
          <w:spacing w:val="-8"/>
          <w:w w:val="101"/>
        </w:rPr>
        <w:t>“</w:t>
      </w:r>
      <w:r>
        <w:rPr>
          <w:spacing w:val="-8"/>
          <w:w w:val="101"/>
        </w:rPr>
        <w:t>网格化</w:t>
      </w:r>
      <w:r>
        <w:rPr>
          <w:rFonts w:ascii="宋体" w:hAnsi="宋体" w:cs="宋体" w:eastAsia="宋体" w:hint="default"/>
          <w:spacing w:val="-8"/>
          <w:w w:val="101"/>
        </w:rPr>
        <w:t>+</w:t>
      </w:r>
      <w:r>
        <w:rPr>
          <w:spacing w:val="-8"/>
          <w:w w:val="101"/>
        </w:rPr>
        <w:t>社会治理</w:t>
      </w:r>
      <w:r>
        <w:rPr>
          <w:rFonts w:ascii="宋体" w:hAnsi="宋体" w:cs="宋体" w:eastAsia="宋体" w:hint="default"/>
          <w:spacing w:val="-8"/>
          <w:w w:val="101"/>
        </w:rPr>
        <w:t>”</w:t>
      </w:r>
      <w:r>
        <w:rPr>
          <w:spacing w:val="-8"/>
          <w:w w:val="101"/>
        </w:rPr>
        <w:t>等现有成熟产品为基础，按照</w:t>
      </w:r>
      <w:r>
        <w:rPr>
          <w:rFonts w:ascii="宋体" w:hAnsi="宋体" w:cs="宋体" w:eastAsia="宋体" w:hint="default"/>
          <w:spacing w:val="-8"/>
          <w:w w:val="101"/>
        </w:rPr>
        <w:t>“</w:t>
      </w:r>
      <w:r>
        <w:rPr>
          <w:spacing w:val="-8"/>
          <w:w w:val="101"/>
        </w:rPr>
        <w:t>自主推广</w:t>
      </w:r>
      <w:r>
        <w:rPr>
          <w:rFonts w:ascii="宋体" w:hAnsi="宋体" w:cs="宋体" w:eastAsia="宋体" w:hint="default"/>
          <w:spacing w:val="-8"/>
          <w:w w:val="101"/>
        </w:rPr>
        <w:t>”</w:t>
      </w:r>
      <w:r>
        <w:rPr>
          <w:spacing w:val="-8"/>
          <w:w w:val="101"/>
        </w:rPr>
        <w:t>和</w:t>
      </w:r>
      <w:r>
        <w:rPr>
          <w:rFonts w:ascii="宋体" w:hAnsi="宋体" w:cs="宋体" w:eastAsia="宋体" w:hint="default"/>
          <w:spacing w:val="-8"/>
          <w:w w:val="101"/>
        </w:rPr>
        <w:t>“</w:t>
      </w:r>
      <w:r>
        <w:rPr>
          <w:spacing w:val="-8"/>
          <w:w w:val="101"/>
        </w:rPr>
        <w:t>被集成</w:t>
      </w:r>
      <w:r>
        <w:rPr>
          <w:rFonts w:ascii="宋体" w:hAnsi="宋体" w:cs="宋体" w:eastAsia="宋体" w:hint="default"/>
          <w:spacing w:val="-8"/>
          <w:w w:val="101"/>
        </w:rPr>
        <w:t>”</w:t>
      </w:r>
      <w:r>
        <w:rPr>
          <w:spacing w:val="-8"/>
          <w:w w:val="101"/>
        </w:rPr>
        <w:t>两种模式，同步</w:t>
      </w:r>
      <w:r>
        <w:rPr>
          <w:w w:val="101"/>
        </w:rPr>
        <w:t> </w:t>
      </w:r>
      <w:r>
        <w:rPr>
          <w:spacing w:val="-4"/>
        </w:rPr>
        <w:t>推进新型智慧城市解决方案的推广。同时，积极开拓智慧旅游、智慧农业等解决方案的生态合作体系，形成解决方案合作联</w:t>
      </w:r>
      <w:r>
        <w:rPr>
          <w:spacing w:val="40"/>
        </w:rPr>
        <w:t> </w:t>
      </w:r>
      <w:r>
        <w:rPr>
          <w:spacing w:val="40"/>
        </w:rPr>
      </w:r>
      <w:r>
        <w:rPr>
          <w:spacing w:val="-3"/>
        </w:rPr>
        <w:t>盟，力争实现</w:t>
      </w:r>
      <w:r>
        <w:rPr>
          <w:rFonts w:ascii="宋体" w:hAnsi="宋体" w:cs="宋体" w:eastAsia="宋体" w:hint="default"/>
          <w:spacing w:val="-3"/>
        </w:rPr>
        <w:t>2-3</w:t>
      </w:r>
      <w:r>
        <w:rPr>
          <w:spacing w:val="-3"/>
        </w:rPr>
        <w:t>个地级市、</w:t>
      </w:r>
      <w:r>
        <w:rPr>
          <w:rFonts w:ascii="宋体" w:hAnsi="宋体" w:cs="宋体" w:eastAsia="宋体" w:hint="default"/>
          <w:spacing w:val="-3"/>
        </w:rPr>
        <w:t>3-5</w:t>
      </w:r>
      <w:r>
        <w:rPr>
          <w:spacing w:val="-3"/>
        </w:rPr>
        <w:t>个县级市智慧城市建设项目的成功推广。</w:t>
      </w:r>
      <w:r>
        <w:rPr>
          <w:rFonts w:ascii="宋体" w:hAnsi="宋体" w:cs="宋体" w:eastAsia="宋体" w:hint="default"/>
        </w:rPr>
        <w:t> </w:t>
      </w:r>
    </w:p>
    <w:p>
      <w:pPr>
        <w:pStyle w:val="BodyText"/>
        <w:spacing w:line="240" w:lineRule="auto" w:before="19"/>
        <w:ind w:left="512" w:right="0"/>
        <w:jc w:val="left"/>
        <w:rPr>
          <w:rFonts w:ascii="宋体" w:hAnsi="宋体" w:cs="宋体" w:eastAsia="宋体" w:hint="default"/>
        </w:rPr>
      </w:pPr>
      <w:r>
        <w:rPr>
          <w:rFonts w:ascii="宋体" w:hAnsi="宋体" w:cs="宋体" w:eastAsia="宋体" w:hint="default"/>
          <w:spacing w:val="-3"/>
        </w:rPr>
        <w:t>4</w:t>
      </w:r>
      <w:r>
        <w:rPr>
          <w:spacing w:val="-3"/>
        </w:rPr>
        <w:t>、持续推进智慧制造解决方案的融合与推广</w:t>
      </w:r>
      <w:r>
        <w:rPr>
          <w:rFonts w:ascii="宋体" w:hAnsi="宋体" w:cs="宋体" w:eastAsia="宋体" w:hint="default"/>
        </w:rPr>
        <w:t> </w:t>
      </w:r>
    </w:p>
    <w:p>
      <w:pPr>
        <w:pStyle w:val="BodyText"/>
        <w:spacing w:line="316" w:lineRule="auto" w:before="76"/>
        <w:ind w:right="204" w:firstLine="360"/>
        <w:jc w:val="both"/>
      </w:pPr>
      <w:r>
        <w:rPr>
          <w:spacing w:val="-5"/>
        </w:rPr>
        <w:t>在继续完善、提升电子渠道、企业软件、机器视觉等业务现有产品线的基础上，以玻璃、烟草行业龙头企业为突破，实</w:t>
      </w:r>
      <w:r>
        <w:rPr>
          <w:w w:val="101"/>
        </w:rPr>
        <w:t> </w:t>
      </w:r>
      <w:r>
        <w:rPr>
          <w:spacing w:val="-4"/>
        </w:rPr>
        <w:t>现生产检测系统与经营管理系统的数据集成与综合分析、市场营销与经营管理系统的业务对接和数据共享，逐步形成从产品</w:t>
      </w:r>
    </w:p>
    <w:p>
      <w:pPr>
        <w:spacing w:after="0" w:line="316" w:lineRule="auto"/>
        <w:jc w:val="both"/>
        <w:sectPr>
          <w:pgSz w:w="11910" w:h="16840"/>
          <w:pgMar w:header="784" w:footer="1027" w:top="1100" w:bottom="1220" w:left="980" w:right="920"/>
        </w:sectPr>
      </w:pPr>
    </w:p>
    <w:p>
      <w:pPr>
        <w:spacing w:line="240" w:lineRule="auto" w:before="10"/>
        <w:rPr>
          <w:rFonts w:ascii="宋体" w:hAnsi="宋体" w:cs="宋体" w:eastAsia="宋体" w:hint="default"/>
          <w:sz w:val="22"/>
          <w:szCs w:val="22"/>
        </w:rPr>
      </w:pPr>
    </w:p>
    <w:p>
      <w:pPr>
        <w:pStyle w:val="BodyText"/>
        <w:spacing w:line="316" w:lineRule="auto" w:before="46"/>
        <w:ind w:left="512" w:right="5152" w:hanging="361"/>
        <w:jc w:val="left"/>
        <w:rPr>
          <w:rFonts w:ascii="宋体" w:hAnsi="宋体" w:cs="宋体" w:eastAsia="宋体" w:hint="default"/>
        </w:rPr>
      </w:pPr>
      <w:r>
        <w:rPr>
          <w:spacing w:val="-3"/>
        </w:rPr>
        <w:t>制造到市场营销一体化的智慧制造整体解决方案。</w:t>
      </w:r>
      <w:r>
        <w:rPr>
          <w:spacing w:val="-28"/>
        </w:rPr>
        <w:t> </w:t>
      </w:r>
      <w:r>
        <w:rPr>
          <w:rFonts w:ascii="宋体" w:hAnsi="宋体" w:cs="宋体" w:eastAsia="宋体" w:hint="default"/>
          <w:spacing w:val="-28"/>
        </w:rPr>
      </w:r>
      <w:r>
        <w:rPr>
          <w:rFonts w:ascii="宋体" w:hAnsi="宋体" w:cs="宋体" w:eastAsia="宋体" w:hint="default"/>
          <w:spacing w:val="-3"/>
        </w:rPr>
        <w:t>5</w:t>
      </w:r>
      <w:r>
        <w:rPr>
          <w:spacing w:val="-3"/>
        </w:rPr>
        <w:t>、继续围绕战略主航道，利用资本工具促进主业发展</w:t>
      </w:r>
      <w:r>
        <w:rPr>
          <w:rFonts w:ascii="宋体" w:hAnsi="宋体" w:cs="宋体" w:eastAsia="宋体" w:hint="default"/>
        </w:rPr>
        <w:t> </w:t>
      </w:r>
    </w:p>
    <w:p>
      <w:pPr>
        <w:pStyle w:val="BodyText"/>
        <w:spacing w:line="316" w:lineRule="auto" w:before="19"/>
        <w:ind w:right="184" w:firstLine="360"/>
        <w:jc w:val="both"/>
        <w:rPr>
          <w:rFonts w:ascii="宋体" w:hAnsi="宋体" w:cs="宋体" w:eastAsia="宋体" w:hint="default"/>
        </w:rPr>
      </w:pPr>
      <w:r>
        <w:rPr>
          <w:spacing w:val="-5"/>
        </w:rPr>
        <w:t>围绕公司战略目标，结合公司具体运营需求，通过投资、并购等方式，达到公司加快行业资源整合的目的。深化推进战</w:t>
      </w:r>
      <w:r>
        <w:rPr>
          <w:w w:val="101"/>
        </w:rPr>
        <w:t> </w:t>
      </w:r>
      <w:r>
        <w:rPr>
          <w:spacing w:val="-3"/>
        </w:rPr>
        <w:t>略管理，强化协同和资源配置，推动公司快速成长。</w:t>
      </w:r>
      <w:r>
        <w:rPr>
          <w:rFonts w:ascii="宋体" w:hAnsi="宋体" w:cs="宋体" w:eastAsia="宋体" w:hint="default"/>
        </w:rPr>
        <w:t> </w:t>
      </w:r>
    </w:p>
    <w:p>
      <w:pPr>
        <w:spacing w:line="316" w:lineRule="auto" w:before="18"/>
        <w:ind w:left="512" w:right="6663" w:firstLine="0"/>
        <w:jc w:val="left"/>
        <w:rPr>
          <w:rFonts w:ascii="宋体" w:hAnsi="宋体" w:cs="宋体" w:eastAsia="宋体" w:hint="default"/>
          <w:sz w:val="18"/>
          <w:szCs w:val="18"/>
        </w:rPr>
      </w:pPr>
      <w:r>
        <w:rPr>
          <w:rFonts w:ascii="宋体" w:hAnsi="宋体" w:cs="宋体" w:eastAsia="宋体" w:hint="default"/>
          <w:b/>
          <w:bCs/>
          <w:sz w:val="18"/>
          <w:szCs w:val="18"/>
        </w:rPr>
        <w:t>四、未来可能面临的风险</w:t>
      </w:r>
      <w:r>
        <w:rPr>
          <w:rFonts w:ascii="宋体" w:hAnsi="宋体" w:cs="宋体" w:eastAsia="宋体" w:hint="default"/>
          <w:b/>
          <w:bCs/>
          <w:w w:val="100"/>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、市场竞争加剧风险</w:t>
      </w:r>
      <w:r>
        <w:rPr>
          <w:rFonts w:ascii="宋体" w:hAnsi="宋体" w:cs="宋体" w:eastAsia="宋体" w:hint="default"/>
          <w:sz w:val="18"/>
          <w:szCs w:val="18"/>
        </w:rPr>
        <w:t> </w:t>
      </w:r>
    </w:p>
    <w:p>
      <w:pPr>
        <w:pStyle w:val="BodyText"/>
        <w:spacing w:line="316" w:lineRule="auto" w:before="19"/>
        <w:ind w:right="0" w:firstLine="360"/>
        <w:jc w:val="left"/>
        <w:rPr>
          <w:rFonts w:ascii="宋体" w:hAnsi="宋体" w:cs="宋体" w:eastAsia="宋体" w:hint="default"/>
        </w:rPr>
      </w:pPr>
      <w:r>
        <w:rPr>
          <w:spacing w:val="-5"/>
        </w:rPr>
        <w:t>近年来，在国家政策重点扶持及众多行业利好消息的出台等影响下，智慧城市、智慧制造吸引了社会各类资本进入，原</w:t>
      </w:r>
      <w:r>
        <w:rPr>
          <w:w w:val="101"/>
        </w:rPr>
        <w:t> </w:t>
      </w:r>
      <w:r>
        <w:rPr>
          <w:spacing w:val="-3"/>
        </w:rPr>
        <w:t>有的设备制造商、系统集成商乃至其他实体服务提供商纷纷进入信息化领域，使整个领域的竞争从单纯的技术和服务竞争，</w:t>
      </w:r>
      <w:r>
        <w:rPr>
          <w:spacing w:val="61"/>
        </w:rPr>
        <w:t> </w:t>
      </w:r>
      <w:r>
        <w:rPr>
          <w:spacing w:val="61"/>
        </w:rPr>
      </w:r>
      <w:r>
        <w:rPr>
          <w:spacing w:val="-3"/>
        </w:rPr>
        <w:t>升级为资本和资源整合的综合竞争，行业竞争进一步加剧。</w:t>
      </w:r>
      <w:r>
        <w:rPr>
          <w:rFonts w:ascii="宋体" w:hAnsi="宋体" w:cs="宋体" w:eastAsia="宋体" w:hint="default"/>
          <w:spacing w:val="-6"/>
        </w:rPr>
        <w:t> </w:t>
      </w:r>
      <w:r>
        <w:rPr>
          <w:rFonts w:ascii="宋体" w:hAnsi="宋体" w:cs="宋体" w:eastAsia="宋体" w:hint="default"/>
        </w:rPr>
        <w:t> </w:t>
      </w:r>
    </w:p>
    <w:p>
      <w:pPr>
        <w:pStyle w:val="BodyText"/>
        <w:spacing w:line="316" w:lineRule="auto" w:before="19"/>
        <w:ind w:right="184" w:firstLine="359"/>
        <w:jc w:val="both"/>
        <w:rPr>
          <w:rFonts w:ascii="宋体" w:hAnsi="宋体" w:cs="宋体" w:eastAsia="宋体" w:hint="default"/>
        </w:rPr>
      </w:pPr>
      <w:r>
        <w:rPr>
          <w:spacing w:val="-5"/>
        </w:rPr>
        <w:t>针对行业竞争的升级，公司独特的</w:t>
      </w:r>
      <w:r>
        <w:rPr>
          <w:rFonts w:ascii="宋体" w:hAnsi="宋体" w:cs="宋体" w:eastAsia="宋体" w:hint="default"/>
          <w:spacing w:val="-5"/>
        </w:rPr>
        <w:t>“</w:t>
      </w:r>
      <w:r>
        <w:rPr>
          <w:spacing w:val="-5"/>
        </w:rPr>
        <w:t>平台</w:t>
      </w:r>
      <w:r>
        <w:rPr>
          <w:rFonts w:ascii="宋体" w:hAnsi="宋体" w:cs="宋体" w:eastAsia="宋体" w:hint="default"/>
          <w:spacing w:val="-5"/>
        </w:rPr>
        <w:t>+</w:t>
      </w:r>
      <w:r>
        <w:rPr>
          <w:spacing w:val="-5"/>
        </w:rPr>
        <w:t>应用</w:t>
      </w:r>
      <w:r>
        <w:rPr>
          <w:rFonts w:ascii="宋体" w:hAnsi="宋体" w:cs="宋体" w:eastAsia="宋体" w:hint="default"/>
          <w:spacing w:val="-5"/>
        </w:rPr>
        <w:t>+</w:t>
      </w:r>
      <w:r>
        <w:rPr>
          <w:spacing w:val="-5"/>
        </w:rPr>
        <w:t>定制服务</w:t>
      </w:r>
      <w:r>
        <w:rPr>
          <w:rFonts w:ascii="宋体" w:hAnsi="宋体" w:cs="宋体" w:eastAsia="宋体" w:hint="default"/>
          <w:spacing w:val="-5"/>
        </w:rPr>
        <w:t>”</w:t>
      </w:r>
      <w:r>
        <w:rPr>
          <w:spacing w:val="-5"/>
        </w:rPr>
        <w:t>的模式具备了资源协同的优势，且随着各板块布局的日趋成</w:t>
      </w:r>
      <w:r>
        <w:rPr>
          <w:spacing w:val="-5"/>
          <w:w w:val="101"/>
        </w:rPr>
        <w:t> </w:t>
      </w:r>
      <w:r>
        <w:rPr>
          <w:spacing w:val="-4"/>
        </w:rPr>
        <w:t>熟和融合，协同效应将逐步凸显，从而能有效提升公司核心竞争力。但若公司对行业发展趋势判断失误或应对市场竞争的措</w:t>
      </w:r>
      <w:r>
        <w:rPr>
          <w:spacing w:val="43"/>
        </w:rPr>
        <w:t> </w:t>
      </w:r>
      <w:r>
        <w:rPr>
          <w:spacing w:val="43"/>
        </w:rPr>
      </w:r>
      <w:r>
        <w:rPr>
          <w:spacing w:val="-3"/>
        </w:rPr>
        <w:t>施严重失当，将对公司未来的经营发展产生不利的影响。</w:t>
      </w:r>
      <w:r>
        <w:rPr>
          <w:rFonts w:ascii="宋体" w:hAnsi="宋体" w:cs="宋体" w:eastAsia="宋体" w:hint="default"/>
        </w:rPr>
        <w:t> </w:t>
      </w:r>
    </w:p>
    <w:p>
      <w:pPr>
        <w:pStyle w:val="BodyText"/>
        <w:spacing w:line="240" w:lineRule="auto" w:before="19"/>
        <w:ind w:left="512" w:right="6663"/>
        <w:jc w:val="left"/>
        <w:rPr>
          <w:rFonts w:ascii="宋体" w:hAnsi="宋体" w:cs="宋体" w:eastAsia="宋体" w:hint="default"/>
        </w:rPr>
      </w:pPr>
      <w:r>
        <w:rPr>
          <w:rFonts w:ascii="宋体" w:hAnsi="宋体" w:cs="宋体" w:eastAsia="宋体" w:hint="default"/>
          <w:spacing w:val="-3"/>
        </w:rPr>
        <w:t>2</w:t>
      </w:r>
      <w:r>
        <w:rPr>
          <w:spacing w:val="-3"/>
        </w:rPr>
        <w:t>、收入季节性波动风险</w:t>
      </w:r>
      <w:r>
        <w:rPr>
          <w:rFonts w:ascii="宋体" w:hAnsi="宋体" w:cs="宋体" w:eastAsia="宋体" w:hint="default"/>
        </w:rPr>
        <w:t> </w:t>
      </w:r>
    </w:p>
    <w:p>
      <w:pPr>
        <w:pStyle w:val="BodyText"/>
        <w:spacing w:line="316" w:lineRule="auto" w:before="76"/>
        <w:ind w:right="184" w:firstLine="360"/>
        <w:jc w:val="both"/>
        <w:rPr>
          <w:rFonts w:ascii="宋体" w:hAnsi="宋体" w:cs="宋体" w:eastAsia="宋体" w:hint="default"/>
        </w:rPr>
      </w:pPr>
      <w:r>
        <w:rPr>
          <w:spacing w:val="-4"/>
        </w:rPr>
        <w:t>公司主要客户为政府及机关事业单位，该部分政企客户通常实行预算管理及集中采购制度，采购招标及结算具有明显的</w:t>
      </w:r>
      <w:r>
        <w:rPr>
          <w:w w:val="101"/>
        </w:rPr>
        <w:t> </w:t>
      </w:r>
      <w:r>
        <w:rPr>
          <w:spacing w:val="-4"/>
        </w:rPr>
        <w:t>季节性特征，导致公司较多项目集中在第四季进行终验。由于公司软件开发及系统集成业务以终验为收入确认时点，因而公</w:t>
      </w:r>
      <w:r>
        <w:rPr>
          <w:spacing w:val="43"/>
        </w:rPr>
        <w:t> </w:t>
      </w:r>
      <w:r>
        <w:rPr>
          <w:spacing w:val="43"/>
        </w:rPr>
      </w:r>
      <w:r>
        <w:rPr>
          <w:spacing w:val="-4"/>
        </w:rPr>
        <w:t>司营业收入主要集中在第四季度确认，</w:t>
      </w:r>
      <w:r>
        <w:rPr>
          <w:rFonts w:ascii="宋体" w:hAnsi="宋体" w:cs="宋体" w:eastAsia="宋体" w:hint="default"/>
          <w:spacing w:val="-4"/>
        </w:rPr>
        <w:t>2015</w:t>
      </w:r>
      <w:r>
        <w:rPr>
          <w:spacing w:val="-4"/>
        </w:rPr>
        <w:t>年、</w:t>
      </w:r>
      <w:r>
        <w:rPr>
          <w:rFonts w:ascii="宋体" w:hAnsi="宋体" w:cs="宋体" w:eastAsia="宋体" w:hint="default"/>
          <w:spacing w:val="-4"/>
        </w:rPr>
        <w:t>2016</w:t>
      </w:r>
      <w:r>
        <w:rPr>
          <w:spacing w:val="-4"/>
        </w:rPr>
        <w:t>年和</w:t>
      </w:r>
      <w:r>
        <w:rPr>
          <w:rFonts w:ascii="宋体" w:hAnsi="宋体" w:cs="宋体" w:eastAsia="宋体" w:hint="default"/>
          <w:spacing w:val="-4"/>
        </w:rPr>
        <w:t>2017</w:t>
      </w:r>
      <w:r>
        <w:rPr>
          <w:spacing w:val="-4"/>
        </w:rPr>
        <w:t>年公司第四季度实现的主营业务收入分别占当年主营业务收入</w:t>
      </w:r>
      <w:r>
        <w:rPr>
          <w:spacing w:val="55"/>
        </w:rPr>
        <w:t> </w:t>
      </w:r>
      <w:r>
        <w:rPr>
          <w:spacing w:val="55"/>
        </w:rPr>
      </w:r>
      <w:r>
        <w:rPr/>
        <w:t>的</w:t>
      </w:r>
      <w:r>
        <w:rPr>
          <w:rFonts w:ascii="宋体" w:hAnsi="宋体" w:cs="宋体" w:eastAsia="宋体" w:hint="default"/>
        </w:rPr>
        <w:t>63.40%</w:t>
      </w:r>
      <w:r>
        <w:rPr/>
        <w:t>、</w:t>
      </w:r>
      <w:r>
        <w:rPr>
          <w:rFonts w:ascii="宋体" w:hAnsi="宋体" w:cs="宋体" w:eastAsia="宋体" w:hint="default"/>
        </w:rPr>
        <w:t>63.00%</w:t>
      </w:r>
      <w:r>
        <w:rPr/>
        <w:t>及</w:t>
      </w:r>
      <w:r>
        <w:rPr>
          <w:rFonts w:ascii="宋体" w:hAnsi="宋体" w:cs="宋体" w:eastAsia="宋体" w:hint="default"/>
        </w:rPr>
        <w:t>58.30%</w:t>
      </w:r>
      <w:r>
        <w:rPr/>
        <w:t>，公司营业收入存在较强季节性波动风险。</w:t>
      </w:r>
      <w:r>
        <w:rPr>
          <w:rFonts w:ascii="宋体" w:hAnsi="宋体" w:cs="宋体" w:eastAsia="宋体" w:hint="default"/>
        </w:rPr>
        <w:t> </w:t>
      </w:r>
    </w:p>
    <w:p>
      <w:pPr>
        <w:pStyle w:val="BodyText"/>
        <w:spacing w:line="240" w:lineRule="auto" w:before="19"/>
        <w:ind w:left="512" w:right="6663"/>
        <w:jc w:val="left"/>
        <w:rPr>
          <w:rFonts w:ascii="宋体" w:hAnsi="宋体" w:cs="宋体" w:eastAsia="宋体" w:hint="default"/>
        </w:rPr>
      </w:pPr>
      <w:r>
        <w:rPr>
          <w:rFonts w:ascii="宋体" w:hAnsi="宋体" w:cs="宋体" w:eastAsia="宋体" w:hint="default"/>
          <w:spacing w:val="-3"/>
        </w:rPr>
        <w:t>3</w:t>
      </w:r>
      <w:r>
        <w:rPr>
          <w:spacing w:val="-3"/>
        </w:rPr>
        <w:t>、募集资金投资项目的实施风险</w:t>
      </w:r>
      <w:r>
        <w:rPr>
          <w:rFonts w:ascii="宋体" w:hAnsi="宋体" w:cs="宋体" w:eastAsia="宋体" w:hint="default"/>
        </w:rPr>
        <w:t> </w:t>
      </w:r>
    </w:p>
    <w:p>
      <w:pPr>
        <w:pStyle w:val="BodyText"/>
        <w:spacing w:line="316" w:lineRule="auto" w:before="76"/>
        <w:ind w:right="189" w:firstLine="359"/>
        <w:jc w:val="both"/>
        <w:rPr>
          <w:rFonts w:ascii="宋体" w:hAnsi="宋体" w:cs="宋体" w:eastAsia="宋体" w:hint="default"/>
        </w:rPr>
      </w:pPr>
      <w:r>
        <w:rPr>
          <w:spacing w:val="-5"/>
          <w:w w:val="101"/>
        </w:rPr>
        <w:t>公司募投项目的实施进度和盈利情况将对公司未来的经营业绩产生重要影响。虽然公司对募投项目的必要性及可行性方 </w:t>
      </w:r>
      <w:r>
        <w:rPr>
          <w:spacing w:val="-5"/>
        </w:rPr>
        <w:t>面经过了严密的论证和探讨，也在技术研发、人才储备、市场拓展方面进行了详细的规划，但仍存在因不可抗力的客观因素</w:t>
      </w:r>
      <w:r>
        <w:rPr>
          <w:spacing w:val="4"/>
        </w:rPr>
        <w:t> </w:t>
      </w:r>
      <w:r>
        <w:rPr>
          <w:spacing w:val="4"/>
        </w:rPr>
      </w:r>
      <w:r>
        <w:rPr>
          <w:spacing w:val="-3"/>
        </w:rPr>
        <w:t>或政策环境、技术或市场等发生不利变化，导致项目无法按照预计的进度进行或者未能达到预期收益水平的风险。</w:t>
      </w:r>
      <w:r>
        <w:rPr>
          <w:rFonts w:ascii="宋体" w:hAnsi="宋体" w:cs="宋体" w:eastAsia="宋体" w:hint="default"/>
        </w:rPr>
        <w:t> </w:t>
      </w:r>
    </w:p>
    <w:p>
      <w:pPr>
        <w:pStyle w:val="BodyText"/>
        <w:spacing w:line="240" w:lineRule="auto" w:before="19"/>
        <w:ind w:left="512" w:right="6663"/>
        <w:jc w:val="left"/>
        <w:rPr>
          <w:rFonts w:ascii="宋体" w:hAnsi="宋体" w:cs="宋体" w:eastAsia="宋体" w:hint="default"/>
        </w:rPr>
      </w:pPr>
      <w:r>
        <w:rPr>
          <w:rFonts w:ascii="宋体" w:hAnsi="宋体" w:cs="宋体" w:eastAsia="宋体" w:hint="default"/>
          <w:spacing w:val="-3"/>
        </w:rPr>
        <w:t>4</w:t>
      </w:r>
      <w:r>
        <w:rPr>
          <w:spacing w:val="-3"/>
        </w:rPr>
        <w:t>、经营管理风险</w:t>
      </w:r>
      <w:r>
        <w:rPr>
          <w:rFonts w:ascii="宋体" w:hAnsi="宋体" w:cs="宋体" w:eastAsia="宋体" w:hint="default"/>
        </w:rPr>
        <w:t> </w:t>
      </w:r>
    </w:p>
    <w:p>
      <w:pPr>
        <w:pStyle w:val="BodyText"/>
        <w:spacing w:line="316" w:lineRule="auto" w:before="76"/>
        <w:ind w:right="184" w:firstLine="360"/>
        <w:jc w:val="both"/>
        <w:rPr>
          <w:rFonts w:ascii="宋体" w:hAnsi="宋体" w:cs="宋体" w:eastAsia="宋体" w:hint="default"/>
        </w:rPr>
      </w:pPr>
      <w:r>
        <w:rPr>
          <w:spacing w:val="-4"/>
        </w:rPr>
        <w:t>为不断提高公司产品市场占有率，公司将不断增加分支机构及人员数量，并通过并购手段加大对行业价值链上核心资源</w:t>
      </w:r>
      <w:r>
        <w:rPr>
          <w:w w:val="101"/>
        </w:rPr>
        <w:t> </w:t>
      </w:r>
      <w:r>
        <w:rPr>
          <w:spacing w:val="-5"/>
        </w:rPr>
        <w:t>的战略布局，这在整体调控、资源整合、产品开发、市场扩展以及内部控制等方面对公司管理层提出了更大挑战。为此，公</w:t>
      </w:r>
      <w:r>
        <w:rPr>
          <w:spacing w:val="77"/>
        </w:rPr>
        <w:t> </w:t>
      </w:r>
      <w:r>
        <w:rPr>
          <w:spacing w:val="77"/>
        </w:rPr>
      </w:r>
      <w:r>
        <w:rPr>
          <w:spacing w:val="-3"/>
        </w:rPr>
        <w:t>司充分考虑设置事业群架构，加强管控，并在财务、人力等管理关键点加强内部控制及跟踪机制，避免管理风险。</w:t>
      </w:r>
      <w:r>
        <w:rPr>
          <w:rFonts w:ascii="宋体" w:hAnsi="宋体" w:cs="宋体" w:eastAsia="宋体" w:hint="default"/>
        </w:rPr>
        <w:t> </w:t>
      </w:r>
    </w:p>
    <w:p>
      <w:pPr>
        <w:pStyle w:val="BodyText"/>
        <w:spacing w:line="240" w:lineRule="auto" w:before="19"/>
        <w:ind w:left="512" w:right="6663"/>
        <w:jc w:val="left"/>
        <w:rPr>
          <w:rFonts w:ascii="宋体" w:hAnsi="宋体" w:cs="宋体" w:eastAsia="宋体" w:hint="default"/>
        </w:rPr>
      </w:pPr>
      <w:r>
        <w:rPr>
          <w:rFonts w:ascii="宋体" w:hAnsi="宋体" w:cs="宋体" w:eastAsia="宋体" w:hint="default"/>
          <w:spacing w:val="-3"/>
        </w:rPr>
        <w:t>5</w:t>
      </w:r>
      <w:r>
        <w:rPr>
          <w:spacing w:val="-3"/>
        </w:rPr>
        <w:t>、机器视觉应用拓展风险</w:t>
      </w:r>
      <w:r>
        <w:rPr>
          <w:rFonts w:ascii="宋体" w:hAnsi="宋体" w:cs="宋体" w:eastAsia="宋体" w:hint="default"/>
        </w:rPr>
        <w:t> </w:t>
      </w:r>
    </w:p>
    <w:p>
      <w:pPr>
        <w:pStyle w:val="BodyText"/>
        <w:spacing w:line="316" w:lineRule="auto" w:before="76"/>
        <w:ind w:right="194" w:firstLine="360"/>
        <w:jc w:val="both"/>
        <w:rPr>
          <w:rFonts w:ascii="宋体" w:hAnsi="宋体" w:cs="宋体" w:eastAsia="宋体" w:hint="default"/>
        </w:rPr>
      </w:pPr>
      <w:r>
        <w:rPr>
          <w:spacing w:val="-5"/>
          <w:w w:val="101"/>
        </w:rPr>
        <w:t>公司在机器视觉领域尤其在浮法玻璃生产检测领域已取得多项专利与核心技术，但由于浮法玻璃初加工检测市场容量有 </w:t>
      </w:r>
      <w:r>
        <w:rPr>
          <w:spacing w:val="-3"/>
        </w:rPr>
        <w:t>限，且国内玻璃行业产能过剩，该领域未来市场空间存在较大不确定性。</w:t>
      </w:r>
      <w:r>
        <w:rPr>
          <w:rFonts w:ascii="宋体" w:hAnsi="宋体" w:cs="宋体" w:eastAsia="宋体" w:hint="default"/>
        </w:rPr>
        <w:t> </w:t>
      </w:r>
    </w:p>
    <w:p>
      <w:pPr>
        <w:pStyle w:val="BodyText"/>
        <w:spacing w:line="316" w:lineRule="auto" w:before="19"/>
        <w:ind w:right="184" w:firstLine="360"/>
        <w:jc w:val="both"/>
        <w:rPr>
          <w:rFonts w:ascii="宋体" w:hAnsi="宋体" w:cs="宋体" w:eastAsia="宋体" w:hint="default"/>
        </w:rPr>
      </w:pPr>
      <w:r>
        <w:rPr>
          <w:spacing w:val="-4"/>
        </w:rPr>
        <w:t>目前公司正积极向手机屏、平板电脑屏等玻璃深加工领域及其他行业的视觉检测领域进行技术研发与应用拓展，但由于</w:t>
      </w:r>
      <w:r>
        <w:rPr>
          <w:w w:val="101"/>
        </w:rPr>
        <w:t> </w:t>
      </w:r>
      <w:r>
        <w:rPr>
          <w:spacing w:val="-3"/>
        </w:rPr>
        <w:t>相关领域及行业进入时间较短，同时，需要投入的资源较多，公司机器视觉应用领域拓展存在一定风险。</w:t>
      </w:r>
      <w:r>
        <w:rPr>
          <w:rFonts w:ascii="宋体" w:hAnsi="宋体" w:cs="宋体" w:eastAsia="宋体" w:hint="default"/>
        </w:rPr>
        <w:t> </w:t>
      </w:r>
    </w:p>
    <w:p>
      <w:pPr>
        <w:pStyle w:val="BodyText"/>
        <w:spacing w:line="240" w:lineRule="auto" w:before="19"/>
        <w:ind w:left="512" w:right="6663"/>
        <w:jc w:val="left"/>
        <w:rPr>
          <w:rFonts w:ascii="宋体" w:hAnsi="宋体" w:cs="宋体" w:eastAsia="宋体" w:hint="default"/>
        </w:rPr>
      </w:pPr>
      <w:r>
        <w:rPr>
          <w:rFonts w:ascii="宋体" w:hAnsi="宋体" w:cs="宋体" w:eastAsia="宋体" w:hint="default"/>
          <w:spacing w:val="-3"/>
        </w:rPr>
        <w:t>6</w:t>
      </w:r>
      <w:r>
        <w:rPr>
          <w:spacing w:val="-3"/>
        </w:rPr>
        <w:t>、核心人才流失的风险</w:t>
      </w:r>
      <w:r>
        <w:rPr>
          <w:rFonts w:ascii="宋体" w:hAnsi="宋体" w:cs="宋体" w:eastAsia="宋体" w:hint="default"/>
        </w:rPr>
        <w:t> </w:t>
      </w:r>
    </w:p>
    <w:p>
      <w:pPr>
        <w:pStyle w:val="BodyText"/>
        <w:spacing w:line="316" w:lineRule="auto" w:before="76"/>
        <w:ind w:right="184" w:firstLine="360"/>
        <w:jc w:val="both"/>
        <w:rPr>
          <w:rFonts w:ascii="宋体" w:hAnsi="宋体" w:cs="宋体" w:eastAsia="宋体" w:hint="default"/>
        </w:rPr>
      </w:pPr>
      <w:r>
        <w:rPr>
          <w:spacing w:val="-4"/>
        </w:rPr>
        <w:t>近年来，公司业绩的持续增长和核心技术的不断升级离不开公司各类专业人才的贡献。公司历来重视核心人才的培养与</w:t>
      </w:r>
      <w:r>
        <w:rPr>
          <w:w w:val="101"/>
        </w:rPr>
        <w:t> </w:t>
      </w:r>
      <w:r>
        <w:rPr>
          <w:spacing w:val="-4"/>
        </w:rPr>
        <w:t>储备，通过完善核心技术人员的绩效考核与激励制度、塑造富有凝聚力与向心力的企业文化、灵活的岗位设置、改善办公环</w:t>
      </w:r>
      <w:r>
        <w:rPr>
          <w:spacing w:val="40"/>
        </w:rPr>
        <w:t> </w:t>
      </w:r>
      <w:r>
        <w:rPr>
          <w:spacing w:val="40"/>
        </w:rPr>
      </w:r>
      <w:r>
        <w:rPr>
          <w:spacing w:val="-4"/>
        </w:rPr>
        <w:t>境等措施来稳固现有核心技术团队，并不断招募各类高端技术与研发人才，但由于公司所处的行业市场竞争不断加剧，行业</w:t>
      </w:r>
      <w:r>
        <w:rPr>
          <w:spacing w:val="43"/>
        </w:rPr>
        <w:t> </w:t>
      </w:r>
      <w:r>
        <w:rPr>
          <w:spacing w:val="43"/>
        </w:rPr>
      </w:r>
      <w:r>
        <w:rPr>
          <w:spacing w:val="-4"/>
        </w:rPr>
        <w:t>内对高端专业人才的需求与日俱增，如果公司未来不能提供更具有竞争力的薪酬及良好的职业发展预期，公司仍存在核心技</w:t>
      </w:r>
      <w:r>
        <w:rPr>
          <w:spacing w:val="43"/>
        </w:rPr>
        <w:t> </w:t>
      </w:r>
      <w:r>
        <w:rPr>
          <w:spacing w:val="43"/>
        </w:rPr>
      </w:r>
      <w:r>
        <w:rPr>
          <w:spacing w:val="-3"/>
        </w:rPr>
        <w:t>术人员流失的风险。</w:t>
      </w:r>
      <w:r>
        <w:rPr>
          <w:rFonts w:ascii="宋体" w:hAnsi="宋体" w:cs="宋体" w:eastAsia="宋体" w:hint="default"/>
        </w:rPr>
        <w:t> </w:t>
      </w:r>
    </w:p>
    <w:p>
      <w:pPr>
        <w:pStyle w:val="BodyText"/>
        <w:spacing w:line="240" w:lineRule="auto" w:before="19"/>
        <w:ind w:left="512" w:right="6663"/>
        <w:jc w:val="left"/>
        <w:rPr>
          <w:rFonts w:ascii="宋体" w:hAnsi="宋体" w:cs="宋体" w:eastAsia="宋体" w:hint="default"/>
        </w:rPr>
      </w:pPr>
      <w:r>
        <w:rPr>
          <w:rFonts w:ascii="宋体" w:hAnsi="宋体" w:cs="宋体" w:eastAsia="宋体" w:hint="default"/>
          <w:spacing w:val="-3"/>
        </w:rPr>
        <w:t>7</w:t>
      </w:r>
      <w:r>
        <w:rPr>
          <w:spacing w:val="-3"/>
        </w:rPr>
        <w:t>、技术泄密或被侵权的风险</w:t>
      </w:r>
      <w:r>
        <w:rPr>
          <w:rFonts w:ascii="宋体" w:hAnsi="宋体" w:cs="宋体" w:eastAsia="宋体" w:hint="default"/>
        </w:rPr>
        <w:t> </w:t>
      </w:r>
    </w:p>
    <w:p>
      <w:pPr>
        <w:pStyle w:val="BodyText"/>
        <w:spacing w:line="316" w:lineRule="auto" w:before="76"/>
        <w:ind w:right="194" w:firstLine="360"/>
        <w:jc w:val="both"/>
        <w:rPr>
          <w:rFonts w:ascii="宋体" w:hAnsi="宋体" w:cs="宋体" w:eastAsia="宋体" w:hint="default"/>
        </w:rPr>
      </w:pPr>
      <w:r>
        <w:rPr>
          <w:spacing w:val="-5"/>
          <w:w w:val="101"/>
        </w:rPr>
        <w:t>公司所处的软件及信息技术服务行业属于知识密集型产业，持续的研发投入与技术创新是该领域企业取得持续竞争优势 </w:t>
      </w:r>
      <w:r>
        <w:rPr>
          <w:spacing w:val="-3"/>
        </w:rPr>
        <w:t>的基础，因而核心技术的保护对于企业未来发展尤为重要。</w:t>
      </w:r>
      <w:r>
        <w:rPr>
          <w:rFonts w:ascii="宋体" w:hAnsi="宋体" w:cs="宋体" w:eastAsia="宋体" w:hint="default"/>
        </w:rPr>
        <w:t> </w:t>
      </w:r>
    </w:p>
    <w:p>
      <w:pPr>
        <w:pStyle w:val="BodyText"/>
        <w:spacing w:line="316" w:lineRule="auto" w:before="19"/>
        <w:ind w:right="184" w:firstLine="360"/>
        <w:jc w:val="both"/>
        <w:rPr>
          <w:rFonts w:ascii="宋体" w:hAnsi="宋体" w:cs="宋体" w:eastAsia="宋体" w:hint="default"/>
        </w:rPr>
      </w:pPr>
      <w:r>
        <w:rPr>
          <w:spacing w:val="-4"/>
        </w:rPr>
        <w:t>公司高度重视核心技术的保护，通过建立核心技术保密机制、及时将研发成果申请专利或软件著作权、与知悉核心技术</w:t>
      </w:r>
      <w:r>
        <w:rPr>
          <w:w w:val="101"/>
        </w:rPr>
        <w:t> </w:t>
      </w:r>
      <w:r>
        <w:rPr>
          <w:spacing w:val="-4"/>
        </w:rPr>
        <w:t>的相关人员签订保密协议等措施，来确保公司核心技术不受侵害。虽然报告期内公司拥有的专利技术和计算机软件著作权未</w:t>
      </w:r>
      <w:r>
        <w:rPr>
          <w:spacing w:val="43"/>
        </w:rPr>
        <w:t> </w:t>
      </w:r>
      <w:r>
        <w:rPr>
          <w:spacing w:val="43"/>
        </w:rPr>
      </w:r>
      <w:r>
        <w:rPr>
          <w:spacing w:val="-3"/>
        </w:rPr>
        <w:t>受到侵权，但未来仍存在由于非法竞争或人员流失等不利因素导致公司技术泄密或知识产权受到侵害的风险。</w:t>
      </w:r>
      <w:r>
        <w:rPr>
          <w:rFonts w:ascii="宋体" w:hAnsi="宋体" w:cs="宋体" w:eastAsia="宋体" w:hint="default"/>
        </w:rPr>
        <w:t> </w:t>
      </w:r>
    </w:p>
    <w:p>
      <w:pPr>
        <w:pStyle w:val="BodyText"/>
        <w:spacing w:line="240" w:lineRule="auto" w:before="19"/>
        <w:ind w:left="512" w:right="6663"/>
        <w:jc w:val="left"/>
        <w:rPr>
          <w:rFonts w:ascii="宋体" w:hAnsi="宋体" w:cs="宋体" w:eastAsia="宋体" w:hint="default"/>
        </w:rPr>
      </w:pPr>
      <w:r>
        <w:rPr>
          <w:rFonts w:ascii="宋体" w:hAnsi="宋体" w:cs="宋体" w:eastAsia="宋体" w:hint="default"/>
          <w:spacing w:val="-3"/>
        </w:rPr>
        <w:t>8</w:t>
      </w:r>
      <w:r>
        <w:rPr>
          <w:spacing w:val="-3"/>
        </w:rPr>
        <w:t>、政府机构调整的风险</w:t>
      </w:r>
      <w:r>
        <w:rPr>
          <w:rFonts w:ascii="宋体" w:hAnsi="宋体" w:cs="宋体" w:eastAsia="宋体" w:hint="default"/>
          <w:spacing w:val="-5"/>
        </w:rPr>
        <w:t> </w:t>
      </w:r>
      <w:r>
        <w:rPr>
          <w:rFonts w:ascii="宋体" w:hAnsi="宋体" w:cs="宋体" w:eastAsia="宋体" w:hint="default"/>
        </w:rPr>
        <w:t> </w:t>
      </w:r>
    </w:p>
    <w:p>
      <w:pPr>
        <w:pStyle w:val="BodyText"/>
        <w:spacing w:line="240" w:lineRule="auto" w:before="76"/>
        <w:ind w:left="512" w:right="0"/>
        <w:jc w:val="left"/>
      </w:pPr>
      <w:r>
        <w:rPr>
          <w:spacing w:val="-4"/>
        </w:rPr>
        <w:t>随着</w:t>
      </w:r>
      <w:r>
        <w:rPr>
          <w:rFonts w:ascii="宋体" w:hAnsi="宋体" w:cs="宋体" w:eastAsia="宋体" w:hint="default"/>
          <w:spacing w:val="-4"/>
        </w:rPr>
        <w:t>2018</w:t>
      </w:r>
      <w:r>
        <w:rPr>
          <w:spacing w:val="-4"/>
        </w:rPr>
        <w:t>年党和国家机构改革方案的发布，与公司智慧政务相关的部分政府机构面临调整的局面。根据以往的经验，政</w:t>
      </w:r>
    </w:p>
    <w:p>
      <w:pPr>
        <w:spacing w:after="0" w:line="240" w:lineRule="auto"/>
        <w:jc w:val="left"/>
        <w:sectPr>
          <w:pgSz w:w="11910" w:h="16840"/>
          <w:pgMar w:header="784" w:footer="1027" w:top="1100" w:bottom="1220" w:left="980" w:right="940"/>
        </w:sectPr>
      </w:pPr>
    </w:p>
    <w:p>
      <w:pPr>
        <w:spacing w:line="240" w:lineRule="auto" w:before="10"/>
        <w:rPr>
          <w:rFonts w:ascii="宋体" w:hAnsi="宋体" w:cs="宋体" w:eastAsia="宋体" w:hint="default"/>
          <w:sz w:val="22"/>
          <w:szCs w:val="22"/>
        </w:rPr>
      </w:pPr>
    </w:p>
    <w:p>
      <w:pPr>
        <w:pStyle w:val="BodyText"/>
        <w:spacing w:line="316" w:lineRule="auto" w:before="46"/>
        <w:ind w:left="512" w:right="0" w:hanging="361"/>
        <w:jc w:val="left"/>
      </w:pPr>
      <w:r>
        <w:rPr>
          <w:spacing w:val="-3"/>
        </w:rPr>
        <w:t>府机构调整会暂停部分信息化项目的采购工作，对公司部分业务的推广造成一定的不确定性。</w:t>
      </w:r>
      <w:r>
        <w:rPr>
          <w:spacing w:val="29"/>
        </w:rPr>
        <w:t> </w:t>
      </w:r>
      <w:r>
        <w:rPr>
          <w:rFonts w:ascii="宋体" w:hAnsi="宋体" w:cs="宋体" w:eastAsia="宋体" w:hint="default"/>
          <w:spacing w:val="29"/>
        </w:rPr>
      </w:r>
      <w:r>
        <w:rPr>
          <w:spacing w:val="-4"/>
        </w:rPr>
        <w:t>本轮政府机构调整总体的思路是理顺公共事务管理思路，避免多头共管的局面，涉及面有限，而公司的智慧政务业务客</w:t>
      </w:r>
    </w:p>
    <w:p>
      <w:pPr>
        <w:pStyle w:val="BodyText"/>
        <w:spacing w:line="240" w:lineRule="auto" w:before="19"/>
        <w:ind w:right="0"/>
        <w:jc w:val="left"/>
        <w:rPr>
          <w:rFonts w:ascii="宋体" w:hAnsi="宋体" w:cs="宋体" w:eastAsia="宋体" w:hint="default"/>
        </w:rPr>
      </w:pPr>
      <w:r>
        <w:rPr>
          <w:spacing w:val="-3"/>
        </w:rPr>
        <w:t>户群体广泛，公司通过发掘不同层级客户、不同机构的个性化需求，力争避免针对机构调整带来的市场波动。</w:t>
      </w:r>
      <w:r>
        <w:rPr>
          <w:rFonts w:ascii="宋体" w:hAnsi="宋体" w:cs="宋体" w:eastAsia="宋体" w:hint="default"/>
        </w:rPr>
        <w:t> </w:t>
      </w:r>
    </w:p>
    <w:p>
      <w:pPr>
        <w:pStyle w:val="BodyText"/>
        <w:spacing w:line="240" w:lineRule="auto" w:before="76"/>
        <w:ind w:right="0"/>
        <w:jc w:val="left"/>
        <w:rPr>
          <w:rFonts w:ascii="宋体" w:hAnsi="宋体" w:cs="宋体" w:eastAsia="宋体" w:hint="default"/>
        </w:rPr>
      </w:pPr>
      <w:r>
        <w:rPr>
          <w:rFonts w:ascii="宋体"/>
          <w:w w:val="101"/>
        </w:rPr>
        <w:t> </w:t>
      </w:r>
      <w:r>
        <w:rPr>
          <w:rFonts w:ascii="宋体"/>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459" w:hanging="1"/>
        <w:jc w:val="left"/>
      </w:pPr>
      <w:r>
        <w:rPr/>
        <w:t>□ </w:t>
      </w:r>
      <w:r>
        <w:rPr>
          <w:spacing w:val="-3"/>
        </w:rPr>
        <w:t>适用 </w:t>
      </w:r>
      <w:r>
        <w:rPr/>
        <w:t>√ 不适用</w:t>
      </w:r>
      <w:r>
        <w:rPr>
          <w:spacing w:val="-77"/>
        </w:rPr>
        <w:t> </w:t>
      </w:r>
      <w:r>
        <w:rPr>
          <w:spacing w:val="-77"/>
        </w:rPr>
      </w:r>
      <w:r>
        <w:rPr>
          <w:spacing w:val="-3"/>
        </w:rPr>
        <w:t>公司报告期内未发生接待调研、沟通、采访等活动。</w:t>
      </w:r>
      <w:r>
        <w:rPr/>
      </w:r>
    </w:p>
    <w:p>
      <w:pPr>
        <w:spacing w:after="0" w:line="357" w:lineRule="auto"/>
        <w:jc w:val="left"/>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422"/>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1"/>
        </w:rPr>
        <w:t> </w:t>
      </w:r>
      <w:r>
        <w:rPr/>
        <w:t>重要事项</w:t>
      </w:r>
      <w:r>
        <w:rPr>
          <w:b w:val="0"/>
          <w:bCs w:val="0"/>
        </w:rPr>
      </w:r>
    </w:p>
    <w:p>
      <w:pPr>
        <w:spacing w:line="240" w:lineRule="auto" w:before="3"/>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r>
        <w:rPr/>
      </w:r>
    </w:p>
    <w:p>
      <w:pPr>
        <w:pStyle w:val="BodyText"/>
        <w:spacing w:line="357" w:lineRule="auto" w:before="115"/>
        <w:ind w:right="1136" w:hanging="1"/>
        <w:jc w:val="left"/>
      </w:pPr>
      <w:r>
        <w:rPr/>
        <w:t>□ </w:t>
      </w:r>
      <w:r>
        <w:rPr>
          <w:spacing w:val="-3"/>
        </w:rPr>
        <w:t>适用 </w:t>
      </w:r>
      <w:r>
        <w:rPr/>
        <w:t>√ 不适用</w:t>
      </w:r>
      <w:r>
        <w:rPr>
          <w:spacing w:val="-77"/>
        </w:rPr>
        <w:t> </w:t>
      </w:r>
      <w:r>
        <w:rPr>
          <w:spacing w:val="-77"/>
        </w:rPr>
      </w:r>
      <w:r>
        <w:rPr>
          <w:spacing w:val="-3"/>
        </w:rPr>
        <w:t>公司报告期利润分配预案及资本公积金转增股本预案与公司章程和分红管理办法等的相关规定一致</w:t>
      </w:r>
    </w:p>
    <w:p>
      <w:pPr>
        <w:pStyle w:val="BodyText"/>
        <w:spacing w:line="357" w:lineRule="auto" w:before="31"/>
        <w:ind w:left="153" w:right="2638" w:hanging="1"/>
        <w:jc w:val="left"/>
      </w:pPr>
      <w:r>
        <w:rPr/>
        <w:t>√</w:t>
      </w:r>
      <w:r>
        <w:rPr>
          <w:spacing w:val="1"/>
        </w:rPr>
        <w:t> </w:t>
      </w:r>
      <w:r>
        <w:rPr/>
        <w:t>是</w:t>
      </w:r>
      <w:r>
        <w:rPr>
          <w:spacing w:val="-4"/>
        </w:rPr>
        <w:t> </w:t>
      </w:r>
      <w:r>
        <w:rPr/>
        <w:t>□</w:t>
      </w:r>
      <w:r>
        <w:rPr>
          <w:spacing w:val="-4"/>
        </w:rPr>
        <w:t> </w:t>
      </w:r>
      <w:r>
        <w:rPr/>
        <w:t>否</w:t>
      </w:r>
      <w:r>
        <w:rPr>
          <w:spacing w:val="-4"/>
        </w:rPr>
        <w:t> </w:t>
      </w:r>
      <w:r>
        <w:rPr/>
        <w:t>□</w:t>
      </w:r>
      <w:r>
        <w:rPr>
          <w:spacing w:val="1"/>
        </w:rPr>
        <w:t> </w:t>
      </w:r>
      <w:r>
        <w:rPr/>
        <w:t>不适用</w:t>
      </w:r>
      <w:r>
        <w:rPr>
          <w:spacing w:val="-78"/>
        </w:rPr>
        <w:t> </w:t>
      </w:r>
      <w:r>
        <w:rPr>
          <w:spacing w:val="-78"/>
        </w:rPr>
      </w:r>
      <w:r>
        <w:rPr>
          <w:spacing w:val="-3"/>
        </w:rPr>
        <w:t>公司报告期利润分配预案及资本公积金转增股本预案符合公司章程等的相关规定。</w:t>
      </w:r>
      <w:r>
        <w:rPr>
          <w:spacing w:val="8"/>
        </w:rPr>
        <w:t> </w:t>
      </w:r>
      <w:r>
        <w:rPr>
          <w:spacing w:val="8"/>
        </w:rPr>
      </w:r>
      <w:r>
        <w:rPr>
          <w:spacing w:val="-3"/>
        </w:rPr>
        <w:t>本年度利润分配及资本公积金转增股本预案</w:t>
      </w:r>
      <w:r>
        <w:rPr/>
      </w:r>
    </w:p>
    <w:tbl>
      <w:tblPr>
        <w:tblW w:w="0" w:type="auto"/>
        <w:jc w:val="left"/>
        <w:tblInd w:w="148" w:type="dxa"/>
        <w:tblLayout w:type="fixed"/>
        <w:tblCellMar>
          <w:top w:w="0" w:type="dxa"/>
          <w:left w:w="0" w:type="dxa"/>
          <w:bottom w:w="0" w:type="dxa"/>
          <w:right w:w="0" w:type="dxa"/>
        </w:tblCellMar>
        <w:tblLook w:val="01E0"/>
      </w:tblPr>
      <w:tblGrid>
        <w:gridCol w:w="3715"/>
        <w:gridCol w:w="5851"/>
      </w:tblGrid>
      <w:tr>
        <w:trPr>
          <w:trHeight w:val="398" w:hRule="exact"/>
        </w:trPr>
        <w:tc>
          <w:tcPr>
            <w:tcW w:w="3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股转增数（股）</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92,945,999</w:t>
            </w:r>
          </w:p>
        </w:tc>
      </w:tr>
      <w:tr>
        <w:trPr>
          <w:trHeight w:val="398" w:hRule="exact"/>
        </w:trPr>
        <w:tc>
          <w:tcPr>
            <w:tcW w:w="3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9,294,599.90</w:t>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119,830,978.30</w:t>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889"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r>
              <w:rPr>
                <w:rFonts w:ascii="宋体" w:hAnsi="宋体" w:cs="宋体" w:eastAsia="宋体" w:hint="default"/>
                <w:sz w:val="18"/>
                <w:szCs w:val="18"/>
              </w:rPr>
            </w:r>
          </w:p>
        </w:tc>
      </w:tr>
      <w:tr>
        <w:trPr>
          <w:trHeight w:val="1027"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按照母公司</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pacing w:val="-6"/>
                <w:sz w:val="18"/>
                <w:szCs w:val="18"/>
              </w:rPr>
              <w:t>年度实现净利润（经审计）的</w:t>
            </w:r>
            <w:r>
              <w:rPr>
                <w:rFonts w:ascii="宋体" w:hAnsi="宋体" w:cs="宋体" w:eastAsia="宋体" w:hint="default"/>
                <w:spacing w:val="-27"/>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提取法定盈余公积，公司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年度可供股东分配的利润为</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11,983.10</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万元。以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日公司总股本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92,945,999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股为基数，向全体股东每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元（含税）</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并以资本</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公积金向全体股东每</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股转增</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股。本议案尚需提交股东大会审议。</w:t>
            </w:r>
          </w:p>
        </w:tc>
      </w:tr>
    </w:tbl>
    <w:p>
      <w:pPr>
        <w:pStyle w:val="BodyText"/>
        <w:spacing w:line="240" w:lineRule="auto" w:before="70"/>
        <w:ind w:right="0"/>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pStyle w:val="Heading6"/>
        <w:spacing w:line="240" w:lineRule="auto" w:before="101"/>
        <w:ind w:right="0"/>
        <w:jc w:val="left"/>
        <w:rPr>
          <w:rFonts w:ascii="宋体" w:hAnsi="宋体" w:cs="宋体" w:eastAsia="宋体" w:hint="default"/>
          <w:b w:val="0"/>
          <w:bCs w:val="0"/>
        </w:rPr>
      </w:pPr>
      <w:r>
        <w:rPr>
          <w:rFonts w:ascii="宋体" w:hAnsi="宋体" w:cs="宋体" w:eastAsia="宋体" w:hint="default"/>
        </w:rPr>
        <w:t>1</w:t>
      </w:r>
      <w:r>
        <w:rPr/>
        <w:t>、</w:t>
      </w:r>
      <w:r>
        <w:rPr>
          <w:rFonts w:ascii="宋体" w:hAnsi="宋体" w:cs="宋体" w:eastAsia="宋体" w:hint="default"/>
        </w:rPr>
        <w:t>2015</w:t>
      </w:r>
      <w:r>
        <w:rPr/>
        <w:t>年度利润分配方案</w:t>
      </w:r>
      <w:r>
        <w:rPr>
          <w:rFonts w:ascii="宋体" w:hAnsi="宋体" w:cs="宋体" w:eastAsia="宋体" w:hint="default"/>
          <w:w w:val="100"/>
        </w:rPr>
        <w:t> </w:t>
      </w:r>
      <w:r>
        <w:rPr>
          <w:rFonts w:ascii="宋体" w:hAnsi="宋体" w:cs="宋体" w:eastAsia="宋体" w:hint="default"/>
          <w:b w:val="0"/>
          <w:bCs w:val="0"/>
          <w:w w:val="100"/>
        </w:rPr>
      </w:r>
    </w:p>
    <w:p>
      <w:pPr>
        <w:pStyle w:val="BodyText"/>
        <w:spacing w:line="316" w:lineRule="auto" w:before="76"/>
        <w:ind w:right="145" w:firstLine="360"/>
        <w:jc w:val="both"/>
        <w:rPr>
          <w:rFonts w:ascii="宋体" w:hAnsi="宋体" w:cs="宋体" w:eastAsia="宋体" w:hint="default"/>
        </w:rPr>
      </w:pPr>
      <w:r>
        <w:rPr>
          <w:rFonts w:ascii="宋体" w:hAnsi="宋体" w:cs="宋体" w:eastAsia="宋体" w:hint="default"/>
          <w:spacing w:val="-5"/>
          <w:w w:val="101"/>
        </w:rPr>
        <w:t>2016</w:t>
      </w:r>
      <w:r>
        <w:rPr>
          <w:spacing w:val="-5"/>
          <w:w w:val="101"/>
        </w:rPr>
        <w:t>年</w:t>
      </w:r>
      <w:r>
        <w:rPr>
          <w:rFonts w:ascii="宋体" w:hAnsi="宋体" w:cs="宋体" w:eastAsia="宋体" w:hint="default"/>
          <w:spacing w:val="-5"/>
          <w:w w:val="101"/>
        </w:rPr>
        <w:t>5</w:t>
      </w:r>
      <w:r>
        <w:rPr>
          <w:spacing w:val="-5"/>
          <w:w w:val="101"/>
        </w:rPr>
        <w:t>月</w:t>
      </w:r>
      <w:r>
        <w:rPr>
          <w:rFonts w:ascii="宋体" w:hAnsi="宋体" w:cs="宋体" w:eastAsia="宋体" w:hint="default"/>
          <w:spacing w:val="-5"/>
          <w:w w:val="101"/>
        </w:rPr>
        <w:t>16</w:t>
      </w:r>
      <w:r>
        <w:rPr>
          <w:spacing w:val="-5"/>
          <w:w w:val="101"/>
        </w:rPr>
        <w:t>日，公司</w:t>
      </w:r>
      <w:r>
        <w:rPr>
          <w:rFonts w:ascii="宋体" w:hAnsi="宋体" w:cs="宋体" w:eastAsia="宋体" w:hint="default"/>
          <w:spacing w:val="-5"/>
          <w:w w:val="101"/>
        </w:rPr>
        <w:t>2015</w:t>
      </w:r>
      <w:r>
        <w:rPr>
          <w:spacing w:val="-5"/>
          <w:w w:val="101"/>
        </w:rPr>
        <w:t>年年度股东大会审议通过了《关于公司</w:t>
      </w:r>
      <w:r>
        <w:rPr>
          <w:rFonts w:ascii="宋体" w:hAnsi="宋体" w:cs="宋体" w:eastAsia="宋体" w:hint="default"/>
          <w:spacing w:val="-5"/>
          <w:w w:val="101"/>
        </w:rPr>
        <w:t>2015</w:t>
      </w:r>
      <w:r>
        <w:rPr>
          <w:spacing w:val="-5"/>
          <w:w w:val="101"/>
        </w:rPr>
        <w:t>年度利润分配的议案》，公司本次利润分配以派发</w:t>
      </w:r>
      <w:r>
        <w:rPr>
          <w:w w:val="101"/>
        </w:rPr>
        <w:t> </w:t>
      </w:r>
      <w:r>
        <w:rPr>
          <w:spacing w:val="-3"/>
        </w:rPr>
        <w:t>现金股利的形式进行股利分配，方案具体内容为：按照母公司</w:t>
      </w:r>
      <w:r>
        <w:rPr>
          <w:rFonts w:ascii="宋体" w:hAnsi="宋体" w:cs="宋体" w:eastAsia="宋体" w:hint="default"/>
          <w:spacing w:val="-3"/>
        </w:rPr>
        <w:t>2015</w:t>
      </w:r>
      <w:r>
        <w:rPr>
          <w:spacing w:val="-3"/>
        </w:rPr>
        <w:t>年度实现净利润（经审计）的</w:t>
      </w:r>
      <w:r>
        <w:rPr>
          <w:rFonts w:ascii="宋体" w:hAnsi="宋体" w:cs="宋体" w:eastAsia="宋体" w:hint="default"/>
          <w:spacing w:val="-3"/>
        </w:rPr>
        <w:t>10%</w:t>
      </w:r>
      <w:r>
        <w:rPr>
          <w:spacing w:val="-3"/>
        </w:rPr>
        <w:t>提取法定盈余公积，公</w:t>
      </w:r>
      <w:r>
        <w:rPr>
          <w:spacing w:val="77"/>
        </w:rPr>
        <w:t> </w:t>
      </w:r>
      <w:r>
        <w:rPr>
          <w:spacing w:val="77"/>
        </w:rPr>
      </w:r>
      <w:r>
        <w:rPr>
          <w:spacing w:val="-4"/>
        </w:rPr>
        <w:t>司</w:t>
      </w:r>
      <w:r>
        <w:rPr>
          <w:rFonts w:ascii="宋体" w:hAnsi="宋体" w:cs="宋体" w:eastAsia="宋体" w:hint="default"/>
          <w:spacing w:val="-4"/>
        </w:rPr>
        <w:t>2015</w:t>
      </w:r>
      <w:r>
        <w:rPr>
          <w:spacing w:val="-4"/>
        </w:rPr>
        <w:t>年度可供股东分配的利润为</w:t>
      </w:r>
      <w:r>
        <w:rPr>
          <w:rFonts w:ascii="宋体" w:hAnsi="宋体" w:cs="宋体" w:eastAsia="宋体" w:hint="default"/>
          <w:spacing w:val="-4"/>
        </w:rPr>
        <w:t>5,976.57</w:t>
      </w:r>
      <w:r>
        <w:rPr>
          <w:spacing w:val="-4"/>
        </w:rPr>
        <w:t>万元。以</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日公司总股本</w:t>
      </w:r>
      <w:r>
        <w:rPr>
          <w:rFonts w:ascii="宋体" w:hAnsi="宋体" w:cs="宋体" w:eastAsia="宋体" w:hint="default"/>
          <w:spacing w:val="-4"/>
        </w:rPr>
        <w:t>69,705,999</w:t>
      </w:r>
      <w:r>
        <w:rPr>
          <w:spacing w:val="-4"/>
        </w:rPr>
        <w:t>股为基数，向全体股东每</w:t>
      </w:r>
      <w:r>
        <w:rPr>
          <w:rFonts w:ascii="宋体" w:hAnsi="宋体" w:cs="宋体" w:eastAsia="宋体" w:hint="default"/>
          <w:spacing w:val="-4"/>
        </w:rPr>
        <w:t>10</w:t>
      </w:r>
      <w:r>
        <w:rPr>
          <w:spacing w:val="-4"/>
        </w:rPr>
        <w:t>股派</w:t>
      </w:r>
      <w:r>
        <w:rPr>
          <w:spacing w:val="17"/>
        </w:rPr>
        <w:t> </w:t>
      </w:r>
      <w:r>
        <w:rPr>
          <w:spacing w:val="-9"/>
          <w:w w:val="101"/>
        </w:rPr>
        <w:t>发现金红利</w:t>
      </w:r>
      <w:r>
        <w:rPr>
          <w:rFonts w:ascii="宋体" w:hAnsi="宋体" w:cs="宋体" w:eastAsia="宋体" w:hint="default"/>
          <w:spacing w:val="-9"/>
          <w:w w:val="101"/>
        </w:rPr>
        <w:t>1.2</w:t>
      </w:r>
      <w:r>
        <w:rPr>
          <w:spacing w:val="-9"/>
          <w:w w:val="101"/>
        </w:rPr>
        <w:t>元（含税）。</w:t>
      </w:r>
      <w:r>
        <w:rPr>
          <w:rFonts w:ascii="宋体" w:hAnsi="宋体" w:cs="宋体" w:eastAsia="宋体" w:hint="default"/>
          <w:w w:val="101"/>
        </w:rPr>
        <w:t> </w:t>
      </w:r>
      <w:r>
        <w:rPr>
          <w:rFonts w:ascii="宋体" w:hAnsi="宋体" w:cs="宋体" w:eastAsia="宋体" w:hint="default"/>
        </w:rPr>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rFonts w:ascii="宋体" w:hAnsi="宋体" w:cs="宋体" w:eastAsia="宋体" w:hint="default"/>
        </w:rPr>
        <w:t>2016</w:t>
      </w:r>
      <w:r>
        <w:rPr/>
        <w:t>年度利润分配方案</w:t>
      </w:r>
      <w:r>
        <w:rPr>
          <w:rFonts w:ascii="宋体" w:hAnsi="宋体" w:cs="宋体" w:eastAsia="宋体" w:hint="default"/>
          <w:w w:val="100"/>
        </w:rPr>
        <w:t> </w:t>
      </w:r>
      <w:r>
        <w:rPr>
          <w:rFonts w:ascii="宋体" w:hAnsi="宋体" w:cs="宋体" w:eastAsia="宋体" w:hint="default"/>
          <w:b w:val="0"/>
          <w:bCs w:val="0"/>
          <w:w w:val="100"/>
        </w:rPr>
      </w:r>
    </w:p>
    <w:p>
      <w:pPr>
        <w:pStyle w:val="BodyText"/>
        <w:spacing w:line="316" w:lineRule="auto" w:before="76"/>
        <w:ind w:right="145" w:firstLine="360"/>
        <w:jc w:val="both"/>
        <w:rPr>
          <w:rFonts w:ascii="宋体" w:hAnsi="宋体" w:cs="宋体" w:eastAsia="宋体" w:hint="default"/>
        </w:rPr>
      </w:pPr>
      <w:r>
        <w:rPr>
          <w:rFonts w:ascii="宋体" w:hAnsi="宋体" w:cs="宋体" w:eastAsia="宋体" w:hint="default"/>
          <w:spacing w:val="-5"/>
          <w:w w:val="101"/>
        </w:rPr>
        <w:t>2017</w:t>
      </w:r>
      <w:r>
        <w:rPr>
          <w:spacing w:val="-5"/>
          <w:w w:val="101"/>
        </w:rPr>
        <w:t>年</w:t>
      </w:r>
      <w:r>
        <w:rPr>
          <w:rFonts w:ascii="宋体" w:hAnsi="宋体" w:cs="宋体" w:eastAsia="宋体" w:hint="default"/>
          <w:spacing w:val="-5"/>
          <w:w w:val="101"/>
        </w:rPr>
        <w:t>4</w:t>
      </w:r>
      <w:r>
        <w:rPr>
          <w:spacing w:val="-5"/>
          <w:w w:val="101"/>
        </w:rPr>
        <w:t>月</w:t>
      </w:r>
      <w:r>
        <w:rPr>
          <w:rFonts w:ascii="宋体" w:hAnsi="宋体" w:cs="宋体" w:eastAsia="宋体" w:hint="default"/>
          <w:spacing w:val="-5"/>
          <w:w w:val="101"/>
        </w:rPr>
        <w:t>27</w:t>
      </w:r>
      <w:r>
        <w:rPr>
          <w:spacing w:val="-5"/>
          <w:w w:val="101"/>
        </w:rPr>
        <w:t>日，公司</w:t>
      </w:r>
      <w:r>
        <w:rPr>
          <w:rFonts w:ascii="宋体" w:hAnsi="宋体" w:cs="宋体" w:eastAsia="宋体" w:hint="default"/>
          <w:spacing w:val="-5"/>
          <w:w w:val="101"/>
        </w:rPr>
        <w:t>2016</w:t>
      </w:r>
      <w:r>
        <w:rPr>
          <w:spacing w:val="-5"/>
          <w:w w:val="101"/>
        </w:rPr>
        <w:t>年年度股东大会审议通过了《关于公司</w:t>
      </w:r>
      <w:r>
        <w:rPr>
          <w:rFonts w:ascii="宋体" w:hAnsi="宋体" w:cs="宋体" w:eastAsia="宋体" w:hint="default"/>
          <w:spacing w:val="-5"/>
          <w:w w:val="101"/>
        </w:rPr>
        <w:t>2016</w:t>
      </w:r>
      <w:r>
        <w:rPr>
          <w:spacing w:val="-5"/>
          <w:w w:val="101"/>
        </w:rPr>
        <w:t>年度利润分配的议案》，公司本次利润分配以派发</w:t>
      </w:r>
      <w:r>
        <w:rPr>
          <w:w w:val="101"/>
        </w:rPr>
        <w:t> </w:t>
      </w:r>
      <w:r>
        <w:rPr>
          <w:spacing w:val="-3"/>
        </w:rPr>
        <w:t>现金股利的形式进行股利分配，方案具体内容为：按照母公司</w:t>
      </w:r>
      <w:r>
        <w:rPr>
          <w:rFonts w:ascii="宋体" w:hAnsi="宋体" w:cs="宋体" w:eastAsia="宋体" w:hint="default"/>
          <w:spacing w:val="-3"/>
        </w:rPr>
        <w:t>2016</w:t>
      </w:r>
      <w:r>
        <w:rPr>
          <w:spacing w:val="-3"/>
        </w:rPr>
        <w:t>年度实现净利润（经审计）的</w:t>
      </w:r>
      <w:r>
        <w:rPr>
          <w:rFonts w:ascii="宋体" w:hAnsi="宋体" w:cs="宋体" w:eastAsia="宋体" w:hint="default"/>
          <w:spacing w:val="-3"/>
        </w:rPr>
        <w:t>10%</w:t>
      </w:r>
      <w:r>
        <w:rPr>
          <w:spacing w:val="-3"/>
        </w:rPr>
        <w:t>提取法定盈余公积，公</w:t>
      </w:r>
      <w:r>
        <w:rPr>
          <w:spacing w:val="77"/>
        </w:rPr>
        <w:t> </w:t>
      </w:r>
      <w:r>
        <w:rPr>
          <w:spacing w:val="77"/>
        </w:rPr>
      </w:r>
      <w:r>
        <w:rPr>
          <w:spacing w:val="-4"/>
        </w:rPr>
        <w:t>司</w:t>
      </w:r>
      <w:r>
        <w:rPr>
          <w:rFonts w:ascii="宋体" w:hAnsi="宋体" w:cs="宋体" w:eastAsia="宋体" w:hint="default"/>
          <w:spacing w:val="-4"/>
        </w:rPr>
        <w:t>2016</w:t>
      </w:r>
      <w:r>
        <w:rPr>
          <w:spacing w:val="-4"/>
        </w:rPr>
        <w:t>年度可供股东分配的利润为</w:t>
      </w:r>
      <w:r>
        <w:rPr>
          <w:rFonts w:ascii="宋体" w:hAnsi="宋体" w:cs="宋体" w:eastAsia="宋体" w:hint="default"/>
          <w:spacing w:val="-4"/>
        </w:rPr>
        <w:t>8,521.91</w:t>
      </w:r>
      <w:r>
        <w:rPr>
          <w:spacing w:val="-4"/>
        </w:rPr>
        <w:t>万元。以</w:t>
      </w:r>
      <w:r>
        <w:rPr>
          <w:rFonts w:ascii="宋体" w:hAnsi="宋体" w:cs="宋体" w:eastAsia="宋体" w:hint="default"/>
          <w:spacing w:val="-4"/>
        </w:rPr>
        <w:t>2016</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日公司总股本</w:t>
      </w:r>
      <w:r>
        <w:rPr>
          <w:rFonts w:ascii="宋体" w:hAnsi="宋体" w:cs="宋体" w:eastAsia="宋体" w:hint="default"/>
          <w:spacing w:val="-4"/>
        </w:rPr>
        <w:t>69,705,999</w:t>
      </w:r>
      <w:r>
        <w:rPr>
          <w:spacing w:val="-4"/>
        </w:rPr>
        <w:t>股为基数，向全体股东每</w:t>
      </w:r>
      <w:r>
        <w:rPr>
          <w:rFonts w:ascii="宋体" w:hAnsi="宋体" w:cs="宋体" w:eastAsia="宋体" w:hint="default"/>
          <w:spacing w:val="-4"/>
        </w:rPr>
        <w:t>10</w:t>
      </w:r>
      <w:r>
        <w:rPr>
          <w:spacing w:val="-4"/>
        </w:rPr>
        <w:t>股派</w:t>
      </w:r>
      <w:r>
        <w:rPr>
          <w:spacing w:val="16"/>
        </w:rPr>
        <w:t> </w:t>
      </w:r>
      <w:r>
        <w:rPr>
          <w:spacing w:val="-9"/>
          <w:w w:val="101"/>
        </w:rPr>
        <w:t>发现金红利</w:t>
      </w:r>
      <w:r>
        <w:rPr>
          <w:rFonts w:ascii="宋体" w:hAnsi="宋体" w:cs="宋体" w:eastAsia="宋体" w:hint="default"/>
          <w:spacing w:val="-9"/>
          <w:w w:val="101"/>
        </w:rPr>
        <w:t>0.8</w:t>
      </w:r>
      <w:r>
        <w:rPr>
          <w:spacing w:val="-9"/>
          <w:w w:val="101"/>
        </w:rPr>
        <w:t>元（含税）。</w:t>
      </w:r>
      <w:r>
        <w:rPr>
          <w:rFonts w:ascii="宋体" w:hAnsi="宋体" w:cs="宋体" w:eastAsia="宋体" w:hint="default"/>
          <w:w w:val="101"/>
        </w:rPr>
        <w:t> </w:t>
      </w:r>
      <w:r>
        <w:rPr>
          <w:rFonts w:ascii="宋体" w:hAnsi="宋体" w:cs="宋体" w:eastAsia="宋体" w:hint="default"/>
        </w:rPr>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rFonts w:ascii="宋体" w:hAnsi="宋体" w:cs="宋体" w:eastAsia="宋体" w:hint="default"/>
        </w:rPr>
        <w:t>2017</w:t>
      </w:r>
      <w:r>
        <w:rPr/>
        <w:t>年度利润分配预案</w:t>
      </w:r>
      <w:r>
        <w:rPr>
          <w:rFonts w:ascii="宋体" w:hAnsi="宋体" w:cs="宋体" w:eastAsia="宋体" w:hint="default"/>
          <w:w w:val="100"/>
        </w:rPr>
        <w:t> </w:t>
      </w:r>
      <w:r>
        <w:rPr>
          <w:rFonts w:ascii="宋体" w:hAnsi="宋体" w:cs="宋体" w:eastAsia="宋体" w:hint="default"/>
          <w:b w:val="0"/>
          <w:bCs w:val="0"/>
          <w:w w:val="100"/>
        </w:rPr>
      </w:r>
    </w:p>
    <w:p>
      <w:pPr>
        <w:pStyle w:val="BodyText"/>
        <w:spacing w:line="316" w:lineRule="auto" w:before="76"/>
        <w:ind w:right="145" w:firstLine="360"/>
        <w:jc w:val="both"/>
      </w:pPr>
      <w:r>
        <w:rPr>
          <w:rFonts w:ascii="宋体" w:hAnsi="宋体" w:cs="宋体" w:eastAsia="宋体" w:hint="default"/>
          <w:spacing w:val="-6"/>
          <w:w w:val="101"/>
        </w:rPr>
        <w:t>2018</w:t>
      </w:r>
      <w:r>
        <w:rPr>
          <w:spacing w:val="-6"/>
          <w:w w:val="101"/>
        </w:rPr>
        <w:t>年</w:t>
      </w:r>
      <w:r>
        <w:rPr>
          <w:rFonts w:ascii="宋体" w:hAnsi="宋体" w:cs="宋体" w:eastAsia="宋体" w:hint="default"/>
          <w:spacing w:val="-6"/>
          <w:w w:val="101"/>
        </w:rPr>
        <w:t>4</w:t>
      </w:r>
      <w:r>
        <w:rPr>
          <w:spacing w:val="-6"/>
          <w:w w:val="101"/>
        </w:rPr>
        <w:t>月</w:t>
      </w:r>
      <w:r>
        <w:rPr>
          <w:rFonts w:ascii="宋体" w:hAnsi="宋体" w:cs="宋体" w:eastAsia="宋体" w:hint="default"/>
          <w:spacing w:val="-6"/>
          <w:w w:val="101"/>
        </w:rPr>
        <w:t>19</w:t>
      </w:r>
      <w:r>
        <w:rPr>
          <w:spacing w:val="-6"/>
          <w:w w:val="101"/>
        </w:rPr>
        <w:t>日，公司第四届董事会第九次会议审议通过了《关于公司</w:t>
      </w:r>
      <w:r>
        <w:rPr>
          <w:rFonts w:ascii="宋体" w:hAnsi="宋体" w:cs="宋体" w:eastAsia="宋体" w:hint="default"/>
          <w:spacing w:val="-6"/>
          <w:w w:val="101"/>
        </w:rPr>
        <w:t>2017</w:t>
      </w:r>
      <w:r>
        <w:rPr>
          <w:spacing w:val="-6"/>
          <w:w w:val="101"/>
        </w:rPr>
        <w:t>年度利润分配的预案》，公司本次利润分配拟</w:t>
      </w:r>
      <w:r>
        <w:rPr>
          <w:w w:val="101"/>
        </w:rPr>
        <w:t> </w:t>
      </w:r>
      <w:r>
        <w:rPr>
          <w:spacing w:val="-3"/>
        </w:rPr>
        <w:t>以派发现金股利的形式进行股利分配，方案具体内容为：按照母公司</w:t>
      </w:r>
      <w:r>
        <w:rPr>
          <w:rFonts w:ascii="宋体" w:hAnsi="宋体" w:cs="宋体" w:eastAsia="宋体" w:hint="default"/>
          <w:spacing w:val="-3"/>
        </w:rPr>
        <w:t>2017</w:t>
      </w:r>
      <w:r>
        <w:rPr>
          <w:spacing w:val="-3"/>
        </w:rPr>
        <w:t>年度实现净利润（经审计）的</w:t>
      </w:r>
      <w:r>
        <w:rPr>
          <w:rFonts w:ascii="宋体" w:hAnsi="宋体" w:cs="宋体" w:eastAsia="宋体" w:hint="default"/>
          <w:spacing w:val="-3"/>
        </w:rPr>
        <w:t>10%</w:t>
      </w:r>
      <w:r>
        <w:rPr>
          <w:spacing w:val="-3"/>
        </w:rPr>
        <w:t>提取法定盈余公</w:t>
      </w:r>
      <w:r>
        <w:rPr>
          <w:spacing w:val="77"/>
        </w:rPr>
        <w:t> </w:t>
      </w:r>
      <w:r>
        <w:rPr>
          <w:spacing w:val="77"/>
        </w:rPr>
      </w:r>
      <w:r>
        <w:rPr>
          <w:spacing w:val="-2"/>
        </w:rPr>
        <w:t>积，公司</w:t>
      </w:r>
      <w:r>
        <w:rPr>
          <w:rFonts w:ascii="宋体" w:hAnsi="宋体" w:cs="宋体" w:eastAsia="宋体" w:hint="default"/>
          <w:spacing w:val="-2"/>
        </w:rPr>
        <w:t>2017</w:t>
      </w:r>
      <w:r>
        <w:rPr>
          <w:spacing w:val="-2"/>
        </w:rPr>
        <w:t>年度可供股东分配的利润为</w:t>
      </w:r>
      <w:r>
        <w:rPr>
          <w:rFonts w:ascii="宋体" w:hAnsi="宋体" w:cs="宋体" w:eastAsia="宋体" w:hint="default"/>
          <w:spacing w:val="-2"/>
        </w:rPr>
        <w:t>11,983.10</w:t>
      </w:r>
      <w:r>
        <w:rPr>
          <w:spacing w:val="-2"/>
        </w:rPr>
        <w:t>万元。以</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92,945,999</w:t>
      </w:r>
      <w:r>
        <w:rPr>
          <w:spacing w:val="-2"/>
        </w:rPr>
        <w:t>股为基数，向全体股东</w:t>
      </w:r>
    </w:p>
    <w:p>
      <w:pPr>
        <w:spacing w:after="0" w:line="316" w:lineRule="auto"/>
        <w:jc w:val="both"/>
        <w:sectPr>
          <w:pgSz w:w="11910" w:h="16840"/>
          <w:pgMar w:header="784" w:footer="1027" w:top="1100" w:bottom="1220" w:left="980" w:right="980"/>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4" w:footer="1027" w:top="1100" w:bottom="1220" w:left="980" w:right="980"/>
        </w:sectPr>
      </w:pPr>
    </w:p>
    <w:p>
      <w:pPr>
        <w:pStyle w:val="BodyText"/>
        <w:spacing w:line="343" w:lineRule="auto" w:before="46"/>
        <w:ind w:right="0" w:hanging="1"/>
        <w:jc w:val="left"/>
      </w:pPr>
      <w:r>
        <w:rPr>
          <w:spacing w:val="-3"/>
        </w:rPr>
        <w:t>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1</w:t>
      </w:r>
      <w:r>
        <w:rPr>
          <w:spacing w:val="-3"/>
        </w:rPr>
        <w:t>元（含税）</w:t>
      </w:r>
      <w:r>
        <w:rPr>
          <w:rFonts w:ascii="宋体" w:hAnsi="宋体" w:cs="宋体" w:eastAsia="宋体" w:hint="default"/>
          <w:spacing w:val="-3"/>
        </w:rPr>
        <w:t>,</w:t>
      </w:r>
      <w:r>
        <w:rPr>
          <w:spacing w:val="-3"/>
        </w:rPr>
        <w:t>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股。本议案尚需提交股东大会审议。</w:t>
      </w:r>
      <w:r>
        <w:rPr>
          <w:spacing w:val="55"/>
        </w:rPr>
        <w:t> </w:t>
      </w:r>
      <w:r>
        <w:rPr>
          <w:rFonts w:ascii="宋体" w:hAnsi="宋体" w:cs="宋体" w:eastAsia="宋体" w:hint="default"/>
          <w:spacing w:val="55"/>
        </w:rPr>
      </w:r>
      <w:r>
        <w:rPr>
          <w:spacing w:val="-3"/>
        </w:rPr>
        <w:t>公司近三年（包括本报告期）普通股现金分红情况表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60" w:right="0"/>
        <w:jc w:val="left"/>
      </w:pPr>
      <w:r>
        <w:rPr/>
        <w:t>单位：元</w:t>
      </w:r>
    </w:p>
    <w:p>
      <w:pPr>
        <w:spacing w:after="0" w:line="240" w:lineRule="auto"/>
        <w:jc w:val="left"/>
        <w:sectPr>
          <w:type w:val="continuous"/>
          <w:pgSz w:w="11910" w:h="16840"/>
          <w:pgMar w:top="1100" w:bottom="1220" w:left="980" w:right="980"/>
          <w:cols w:num="2" w:equalWidth="0">
            <w:col w:w="8972" w:space="40"/>
            <w:col w:w="93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1339"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09" w:right="103" w:hanging="509"/>
              <w:jc w:val="left"/>
              <w:rPr>
                <w:rFonts w:ascii="宋体" w:hAnsi="宋体" w:cs="宋体" w:eastAsia="宋体" w:hint="default"/>
                <w:sz w:val="18"/>
                <w:szCs w:val="18"/>
              </w:rPr>
            </w:pPr>
            <w:r>
              <w:rPr>
                <w:rFonts w:ascii="宋体" w:hAnsi="宋体" w:cs="宋体" w:eastAsia="宋体" w:hint="default"/>
                <w:spacing w:val="-11"/>
                <w:sz w:val="18"/>
                <w:szCs w:val="18"/>
              </w:rPr>
              <w:t>现金分红金额（含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税）</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58" w:right="165"/>
              <w:jc w:val="center"/>
              <w:rPr>
                <w:rFonts w:ascii="宋体" w:hAnsi="宋体" w:cs="宋体" w:eastAsia="宋体" w:hint="default"/>
                <w:sz w:val="18"/>
                <w:szCs w:val="18"/>
              </w:rPr>
            </w:pPr>
            <w:r>
              <w:rPr>
                <w:rFonts w:ascii="宋体" w:hAnsi="宋体" w:cs="宋体" w:eastAsia="宋体" w:hint="default"/>
                <w:spacing w:val="-3"/>
                <w:sz w:val="18"/>
                <w:szCs w:val="18"/>
              </w:rPr>
              <w:t>分红年度合并报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表中归属于上市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公司普通股股东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58" w:right="165"/>
              <w:jc w:val="center"/>
              <w:rPr>
                <w:rFonts w:ascii="宋体" w:hAnsi="宋体" w:cs="宋体" w:eastAsia="宋体" w:hint="default"/>
                <w:sz w:val="18"/>
                <w:szCs w:val="18"/>
              </w:rPr>
            </w:pPr>
            <w:r>
              <w:rPr>
                <w:rFonts w:ascii="宋体" w:hAnsi="宋体" w:cs="宋体" w:eastAsia="宋体" w:hint="default"/>
                <w:spacing w:val="-3"/>
                <w:sz w:val="18"/>
                <w:szCs w:val="18"/>
              </w:rPr>
              <w:t>占合并报表中归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属于上市公司普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通股股东的净利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40" w:right="165" w:hanging="183"/>
              <w:jc w:val="left"/>
              <w:rPr>
                <w:rFonts w:ascii="宋体" w:hAnsi="宋体" w:cs="宋体" w:eastAsia="宋体" w:hint="default"/>
                <w:sz w:val="18"/>
                <w:szCs w:val="18"/>
              </w:rPr>
            </w:pPr>
            <w:r>
              <w:rPr>
                <w:rFonts w:ascii="宋体" w:hAnsi="宋体" w:cs="宋体" w:eastAsia="宋体" w:hint="default"/>
                <w:spacing w:val="-3"/>
                <w:sz w:val="18"/>
                <w:szCs w:val="18"/>
              </w:rPr>
              <w:t>以其他方式现金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分红的金额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45" w:right="160" w:hanging="183"/>
              <w:jc w:val="left"/>
              <w:rPr>
                <w:rFonts w:ascii="宋体" w:hAnsi="宋体" w:cs="宋体" w:eastAsia="宋体" w:hint="default"/>
                <w:sz w:val="18"/>
                <w:szCs w:val="18"/>
              </w:rPr>
            </w:pPr>
            <w:r>
              <w:rPr>
                <w:rFonts w:ascii="宋体" w:hAnsi="宋体" w:cs="宋体" w:eastAsia="宋体" w:hint="default"/>
                <w:spacing w:val="-3"/>
                <w:sz w:val="18"/>
                <w:szCs w:val="18"/>
              </w:rPr>
              <w:t>以其他方式现金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分红的比例</w:t>
            </w:r>
            <w:r>
              <w:rPr>
                <w:rFonts w:ascii="宋体" w:hAnsi="宋体" w:cs="宋体" w:eastAsia="宋体" w:hint="default"/>
                <w:sz w:val="18"/>
                <w:szCs w:val="18"/>
              </w:rPr>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9,294,599.90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44,494,787.97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20.89%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5,576,479.92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37,490,815.73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14.87%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8,364,719.88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34,339,305.54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公司报告期内盈利且母公司可供普通股股东分配利润为正但未提出普通股现金红利分配预案</w:t>
      </w:r>
      <w:r>
        <w:rPr/>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25"/>
          <w:szCs w:val="25"/>
        </w:rPr>
      </w:pPr>
    </w:p>
    <w:p>
      <w:pPr>
        <w:pStyle w:val="Heading4"/>
        <w:spacing w:line="254"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78"/>
        <w:gridCol w:w="859"/>
        <w:gridCol w:w="658"/>
        <w:gridCol w:w="5194"/>
        <w:gridCol w:w="845"/>
        <w:gridCol w:w="629"/>
        <w:gridCol w:w="605"/>
      </w:tblGrid>
      <w:tr>
        <w:trPr>
          <w:trHeight w:val="715"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297" w:right="113" w:hanging="183"/>
              <w:jc w:val="left"/>
              <w:rPr>
                <w:rFonts w:ascii="宋体" w:hAnsi="宋体" w:cs="宋体" w:eastAsia="宋体" w:hint="default"/>
                <w:sz w:val="18"/>
                <w:szCs w:val="18"/>
              </w:rPr>
            </w:pPr>
            <w:r>
              <w:rPr>
                <w:rFonts w:ascii="宋体" w:hAnsi="宋体" w:cs="宋体" w:eastAsia="宋体" w:hint="default"/>
                <w:spacing w:val="-4"/>
                <w:sz w:val="18"/>
                <w:szCs w:val="18"/>
              </w:rPr>
              <w:t>承诺来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源</w:t>
            </w:r>
          </w:p>
        </w:tc>
        <w:tc>
          <w:tcPr>
            <w:tcW w:w="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4"/>
                <w:sz w:val="18"/>
                <w:szCs w:val="18"/>
              </w:rPr>
              <w:t>承诺方</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43" w:right="137"/>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5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331" w:right="146" w:hanging="183"/>
              <w:jc w:val="left"/>
              <w:rPr>
                <w:rFonts w:ascii="宋体" w:hAnsi="宋体" w:cs="宋体" w:eastAsia="宋体" w:hint="default"/>
                <w:sz w:val="18"/>
                <w:szCs w:val="18"/>
              </w:rPr>
            </w:pPr>
            <w:r>
              <w:rPr>
                <w:rFonts w:ascii="宋体" w:hAnsi="宋体" w:cs="宋体" w:eastAsia="宋体" w:hint="default"/>
                <w:spacing w:val="-4"/>
                <w:sz w:val="18"/>
                <w:szCs w:val="18"/>
              </w:rPr>
              <w:t>承诺时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间</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29" w:right="122"/>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6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15" w:right="113"/>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情况</w:t>
            </w:r>
          </w:p>
        </w:tc>
      </w:tr>
      <w:tr>
        <w:trPr>
          <w:trHeight w:val="1963"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3"/>
              <w:ind w:left="105" w:right="122"/>
              <w:jc w:val="both"/>
              <w:rPr>
                <w:rFonts w:ascii="宋体" w:hAnsi="宋体" w:cs="宋体" w:eastAsia="宋体" w:hint="default"/>
                <w:sz w:val="18"/>
                <w:szCs w:val="18"/>
              </w:rPr>
            </w:pPr>
            <w:r>
              <w:rPr>
                <w:rFonts w:ascii="宋体" w:hAnsi="宋体" w:cs="宋体" w:eastAsia="宋体" w:hint="default"/>
                <w:spacing w:val="-4"/>
                <w:sz w:val="18"/>
                <w:szCs w:val="18"/>
              </w:rPr>
              <w:t>收购报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告书或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权益变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动报告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书中所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作承诺</w:t>
            </w:r>
            <w:r>
              <w:rPr>
                <w:rFonts w:ascii="宋体" w:hAnsi="宋体" w:cs="宋体" w:eastAsia="宋体" w:hint="default"/>
                <w:sz w:val="18"/>
                <w:szCs w:val="18"/>
              </w:rPr>
            </w: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7"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22"/>
              <w:jc w:val="both"/>
              <w:rPr>
                <w:rFonts w:ascii="宋体" w:hAnsi="宋体" w:cs="宋体" w:eastAsia="宋体" w:hint="default"/>
                <w:sz w:val="18"/>
                <w:szCs w:val="18"/>
              </w:rPr>
            </w:pPr>
            <w:r>
              <w:rPr>
                <w:rFonts w:ascii="宋体" w:hAnsi="宋体" w:cs="宋体" w:eastAsia="宋体" w:hint="default"/>
                <w:spacing w:val="-4"/>
                <w:sz w:val="18"/>
                <w:szCs w:val="18"/>
              </w:rPr>
              <w:t>资产重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组时所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作承诺</w:t>
            </w:r>
            <w:r>
              <w:rPr>
                <w:rFonts w:ascii="宋体" w:hAnsi="宋体" w:cs="宋体" w:eastAsia="宋体" w:hint="default"/>
                <w:sz w:val="18"/>
                <w:szCs w:val="18"/>
              </w:rPr>
            </w: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480"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05" w:right="122"/>
              <w:jc w:val="both"/>
              <w:rPr>
                <w:rFonts w:ascii="宋体" w:hAnsi="宋体" w:cs="宋体" w:eastAsia="宋体" w:hint="default"/>
                <w:sz w:val="18"/>
                <w:szCs w:val="18"/>
              </w:rPr>
            </w:pPr>
            <w:r>
              <w:rPr>
                <w:rFonts w:ascii="宋体" w:hAnsi="宋体" w:cs="宋体" w:eastAsia="宋体" w:hint="default"/>
                <w:spacing w:val="-4"/>
                <w:sz w:val="18"/>
                <w:szCs w:val="18"/>
              </w:rPr>
              <w:t>首次公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开发行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或再融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资时所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作承诺</w:t>
            </w:r>
            <w:r>
              <w:rPr>
                <w:rFonts w:ascii="宋体" w:hAnsi="宋体" w:cs="宋体" w:eastAsia="宋体" w:hint="default"/>
                <w:sz w:val="18"/>
                <w:szCs w:val="18"/>
              </w:rPr>
            </w: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105" w:right="17"/>
              <w:jc w:val="left"/>
              <w:rPr>
                <w:rFonts w:ascii="宋体" w:hAnsi="宋体" w:cs="宋体" w:eastAsia="宋体" w:hint="default"/>
                <w:sz w:val="18"/>
                <w:szCs w:val="18"/>
              </w:rPr>
            </w:pPr>
            <w:r>
              <w:rPr>
                <w:rFonts w:ascii="宋体" w:hAnsi="宋体" w:cs="宋体" w:eastAsia="宋体" w:hint="default"/>
                <w:sz w:val="18"/>
                <w:szCs w:val="18"/>
              </w:rPr>
              <w:t>费耀平、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0"/>
                <w:w w:val="101"/>
                <w:sz w:val="18"/>
                <w:szCs w:val="18"/>
              </w:rPr>
              <w:t>李杰、李</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建华、刘</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星沙、刘</w:t>
            </w:r>
            <w:r>
              <w:rPr>
                <w:rFonts w:ascii="宋体" w:hAnsi="宋体" w:cs="宋体" w:eastAsia="宋体" w:hint="default"/>
                <w:spacing w:val="-77"/>
                <w:w w:val="101"/>
                <w:sz w:val="18"/>
                <w:szCs w:val="18"/>
              </w:rPr>
              <w:t> </w:t>
            </w:r>
            <w:r>
              <w:rPr>
                <w:rFonts w:ascii="宋体" w:hAnsi="宋体" w:cs="宋体" w:eastAsia="宋体" w:hint="default"/>
                <w:sz w:val="18"/>
                <w:szCs w:val="18"/>
              </w:rPr>
              <w:t>应龙</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6"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3"/>
              <w:ind w:left="100" w:right="98"/>
              <w:jc w:val="left"/>
              <w:rPr>
                <w:rFonts w:ascii="宋体" w:hAnsi="宋体" w:cs="宋体" w:eastAsia="宋体" w:hint="default"/>
                <w:sz w:val="18"/>
                <w:szCs w:val="18"/>
              </w:rPr>
            </w:pPr>
            <w:r>
              <w:rPr>
                <w:rFonts w:ascii="宋体" w:hAnsi="宋体" w:cs="宋体" w:eastAsia="宋体" w:hint="default"/>
                <w:spacing w:val="-5"/>
                <w:sz w:val="18"/>
                <w:szCs w:val="18"/>
              </w:rPr>
              <w:t>本人直接或间接持有的科创信息股份，自科创信息股票上市之日</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起三十六个月内不转让或者委托他人管理本人在本次公开发行</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前直接或间接持有的科创信息的股份，也不由科创信息回购本人</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持有的股份。若本人在锁定期满后两年内减持的，减持价格将不</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低于公司股票首次公开发行价格（若发生除权、除息事项的，减</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13"/>
                <w:w w:val="101"/>
                <w:sz w:val="18"/>
                <w:szCs w:val="18"/>
              </w:rPr>
              <w:t>持价格作相应调整）；公司上市后</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6 </w:t>
            </w:r>
            <w:r>
              <w:rPr>
                <w:rFonts w:ascii="宋体" w:hAnsi="宋体" w:cs="宋体" w:eastAsia="宋体" w:hint="default"/>
                <w:spacing w:val="-2"/>
                <w:w w:val="101"/>
                <w:sz w:val="18"/>
                <w:szCs w:val="18"/>
              </w:rPr>
              <w:t>个月内如公司股票连续</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6"/>
                <w:w w:val="101"/>
                <w:sz w:val="18"/>
                <w:szCs w:val="18"/>
              </w:rPr>
              <w:t> </w:t>
            </w:r>
            <w:r>
              <w:rPr>
                <w:rFonts w:ascii="宋体" w:hAnsi="宋体" w:cs="宋体" w:eastAsia="宋体" w:hint="default"/>
                <w:w w:val="101"/>
                <w:sz w:val="18"/>
                <w:szCs w:val="18"/>
              </w:rPr>
              <w:t>个 </w:t>
            </w:r>
            <w:r>
              <w:rPr>
                <w:rFonts w:ascii="宋体" w:hAnsi="宋体" w:cs="宋体" w:eastAsia="宋体" w:hint="default"/>
                <w:spacing w:val="-5"/>
                <w:sz w:val="18"/>
                <w:szCs w:val="18"/>
              </w:rPr>
              <w:t>交易日的收盘价均低于公司首次公开发行股票时的发行价，或者</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上市后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个月期末收盘价低于公司首次公开发行股票时的发行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价，则本人持有的科创信息首次公开发行股票之前已发行的股份</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锁定期限自动延长</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pacing w:val="-6"/>
                <w:sz w:val="18"/>
                <w:szCs w:val="18"/>
              </w:rPr>
              <w:t>个月。若公司股票在此期间发生除权、除息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的，发行价格将作相应调整。本人承诺除前述锁定期外，在科创</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00" w:lineRule="auto"/>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6"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bl>
    <w:p>
      <w:pPr>
        <w:spacing w:after="0" w:line="316" w:lineRule="auto"/>
        <w:jc w:val="both"/>
        <w:rPr>
          <w:rFonts w:ascii="宋体" w:hAnsi="宋体" w:cs="宋体" w:eastAsia="宋体" w:hint="default"/>
          <w:sz w:val="18"/>
          <w:szCs w:val="18"/>
        </w:rPr>
        <w:sectPr>
          <w:type w:val="continuous"/>
          <w:pgSz w:w="11910" w:h="16840"/>
          <w:pgMar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78"/>
        <w:gridCol w:w="859"/>
        <w:gridCol w:w="658"/>
        <w:gridCol w:w="5194"/>
        <w:gridCol w:w="845"/>
        <w:gridCol w:w="629"/>
        <w:gridCol w:w="605"/>
      </w:tblGrid>
      <w:tr>
        <w:trPr>
          <w:trHeight w:val="2856" w:hRule="exact"/>
        </w:trPr>
        <w:tc>
          <w:tcPr>
            <w:tcW w:w="778" w:type="dxa"/>
            <w:vMerge w:val="restart"/>
            <w:tcBorders>
              <w:top w:val="single" w:sz="4" w:space="0" w:color="000000"/>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3"/>
                <w:sz w:val="18"/>
                <w:szCs w:val="18"/>
              </w:rPr>
              <w:t>信息任职期间每年转让的股份不得超过转让时所直接或间接持</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有科创信息的股份总数的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；离职后半年内，不转让本人所直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接或间接持有的科创信息的股份。若本人在科创信息股票在深圳</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证券交易所上市之日起六个月内（含第六个月）申报离职的，自</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申报离职之日起十八个月内不转让本人直接或间接持有的科创</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信息股份；若本人在科创信息股票在深圳证券交易所上市之日起</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第七个月至第十二个月之间（含第七个月、第十二个月）申报离</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5"/>
                <w:sz w:val="18"/>
                <w:szCs w:val="18"/>
              </w:rPr>
              <w:t>职的，自申报离职之日起十二个月内不转让本人直接或间接持有</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的科创信息股份。</w:t>
            </w: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6019" w:hRule="exact"/>
        </w:trPr>
        <w:tc>
          <w:tcPr>
            <w:tcW w:w="778" w:type="dxa"/>
            <w:vMerge/>
            <w:tcBorders>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105" w:right="17"/>
              <w:jc w:val="both"/>
              <w:rPr>
                <w:rFonts w:ascii="宋体" w:hAnsi="宋体" w:cs="宋体" w:eastAsia="宋体" w:hint="default"/>
                <w:sz w:val="18"/>
                <w:szCs w:val="18"/>
              </w:rPr>
            </w:pPr>
            <w:r>
              <w:rPr>
                <w:rFonts w:ascii="宋体" w:hAnsi="宋体" w:cs="宋体" w:eastAsia="宋体" w:hint="default"/>
                <w:sz w:val="18"/>
                <w:szCs w:val="18"/>
              </w:rPr>
              <w:t>罗昔军、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金卓钧、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谢石伟</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45"/>
              <w:jc w:val="left"/>
              <w:rPr>
                <w:rFonts w:ascii="宋体" w:hAnsi="宋体" w:cs="宋体" w:eastAsia="宋体" w:hint="default"/>
                <w:sz w:val="18"/>
                <w:szCs w:val="18"/>
              </w:rPr>
            </w:pPr>
            <w:r>
              <w:rPr>
                <w:rFonts w:ascii="宋体" w:hAnsi="宋体" w:cs="宋体" w:eastAsia="宋体" w:hint="default"/>
                <w:spacing w:val="-3"/>
                <w:sz w:val="18"/>
                <w:szCs w:val="18"/>
              </w:rPr>
              <w:t>自科创信息股票上市之日起二十四个月内不转让或者委托他人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管理本人在本次公开发行前直接或间接持有的科创信息的股份，</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5"/>
                <w:sz w:val="18"/>
                <w:szCs w:val="18"/>
              </w:rPr>
              <w:t>也不由科创信息回购本人直接或间接持有的股份。本人承诺除前</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述锁定期外，在科创信息任职期间每年转让的股份不得超过转让</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时所直接或间接持有科创信息的股份总数的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；离职后半年</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5"/>
                <w:sz w:val="18"/>
                <w:szCs w:val="18"/>
              </w:rPr>
              <w:t>内，不转让本人所直接或间接持有的科创信息的股份。若本人在</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科创信息股票在深圳证券交易所上市之日起六个月内（含第六个</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月）申报离职的，自申报离职之日起十八个月内不转让本人直接</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或间接持有的科创信息股份；若本人在科创信息股票在深圳证券</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交易所上市之日起第七个月至第十二个月之间（含第七个月、第</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十二个月）申报离职的，自申报离职之日起十二个月内不转让本</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人直接或间接持有的科创信息股份。若本人在锁定期满后两年内</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减持的，减持价格将不低于公司股票首次公开发行价格（若发生</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6"/>
                <w:w w:val="101"/>
                <w:sz w:val="18"/>
                <w:szCs w:val="18"/>
              </w:rPr>
              <w:t>除权、除息事项的，减持价格作相应调整）；公司上市后</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个月</w:t>
            </w:r>
            <w:r>
              <w:rPr>
                <w:rFonts w:ascii="宋体" w:hAnsi="宋体" w:cs="宋体" w:eastAsia="宋体" w:hint="default"/>
                <w:sz w:val="18"/>
                <w:szCs w:val="18"/>
              </w:rPr>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内如公司股票连续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个交易日的收盘价均低于公司首次公开发</w:t>
            </w:r>
            <w:r>
              <w:rPr>
                <w:rFonts w:ascii="宋体" w:hAnsi="宋体" w:cs="宋体" w:eastAsia="宋体" w:hint="default"/>
                <w:sz w:val="18"/>
                <w:szCs w:val="18"/>
              </w:rPr>
            </w:r>
          </w:p>
          <w:p>
            <w:pPr>
              <w:pStyle w:val="TableParagraph"/>
              <w:spacing w:line="307" w:lineRule="auto" w:before="63"/>
              <w:ind w:left="100" w:right="102"/>
              <w:jc w:val="both"/>
              <w:rPr>
                <w:rFonts w:ascii="宋体" w:hAnsi="宋体" w:cs="宋体" w:eastAsia="宋体" w:hint="default"/>
                <w:sz w:val="18"/>
                <w:szCs w:val="18"/>
              </w:rPr>
            </w:pPr>
            <w:r>
              <w:rPr>
                <w:rFonts w:ascii="宋体" w:hAnsi="宋体" w:cs="宋体" w:eastAsia="宋体" w:hint="default"/>
                <w:spacing w:val="-7"/>
                <w:sz w:val="18"/>
                <w:szCs w:val="18"/>
              </w:rPr>
              <w:t>行股票时的发行价，或者上市后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个月期末收盘价低于公司首次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公开发行股票时的发行价，则本人持有的科创信息首次公开发行</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股票之前已发行的股份锁定期限自动延长 </w:t>
            </w:r>
            <w:r>
              <w:rPr>
                <w:rFonts w:ascii="Times New Roman" w:hAnsi="Times New Roman" w:cs="Times New Roman" w:eastAsia="Times New Roman" w:hint="default"/>
                <w:sz w:val="18"/>
                <w:szCs w:val="18"/>
              </w:rPr>
              <w:t>6 </w:t>
            </w:r>
            <w:r>
              <w:rPr>
                <w:rFonts w:ascii="宋体" w:hAnsi="宋体" w:cs="宋体" w:eastAsia="宋体" w:hint="default"/>
                <w:spacing w:val="-10"/>
                <w:sz w:val="18"/>
                <w:szCs w:val="18"/>
              </w:rPr>
              <w:t>个月。若公司股票在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此期间发生除权、除息的，发行价格将作相应调整。</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00" w:lineRule="auto"/>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5045" w:hRule="exact"/>
        </w:trPr>
        <w:tc>
          <w:tcPr>
            <w:tcW w:w="778" w:type="dxa"/>
            <w:vMerge/>
            <w:tcBorders>
              <w:left w:val="single" w:sz="4" w:space="0" w:color="000000"/>
              <w:bottom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98"/>
              <w:jc w:val="left"/>
              <w:rPr>
                <w:rFonts w:ascii="宋体" w:hAnsi="宋体" w:cs="宋体" w:eastAsia="宋体" w:hint="default"/>
                <w:sz w:val="18"/>
                <w:szCs w:val="18"/>
              </w:rPr>
            </w:pPr>
            <w:r>
              <w:rPr>
                <w:rFonts w:ascii="宋体" w:hAnsi="宋体" w:cs="宋体" w:eastAsia="宋体" w:hint="default"/>
                <w:spacing w:val="-3"/>
                <w:sz w:val="18"/>
                <w:szCs w:val="18"/>
              </w:rPr>
              <w:t>自科创信息股票上市之日起十二个月内不转让或者委托他人管</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理本人在本次公开发行前直接或间接持有的科创信息的股份，也</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不由科创信息回购本人直接或间接持有的股份。若本人在锁定期</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满后两年内减持的，减持价格将不低于公司股票首次公开发行价</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6"/>
                <w:w w:val="101"/>
                <w:sz w:val="18"/>
                <w:szCs w:val="18"/>
              </w:rPr>
              <w:t>格（若发生除权、除息事项的，减持价格作相应调整）；公司上</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市后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个交易日的收盘价均低于公司</w:t>
            </w:r>
            <w:r>
              <w:rPr>
                <w:rFonts w:ascii="宋体" w:hAnsi="宋体" w:cs="宋体" w:eastAsia="宋体" w:hint="default"/>
                <w:sz w:val="18"/>
                <w:szCs w:val="18"/>
              </w:rPr>
            </w:r>
          </w:p>
          <w:p>
            <w:pPr>
              <w:pStyle w:val="TableParagraph"/>
              <w:spacing w:line="312" w:lineRule="auto"/>
              <w:ind w:left="100" w:right="26"/>
              <w:jc w:val="left"/>
              <w:rPr>
                <w:rFonts w:ascii="宋体" w:hAnsi="宋体" w:cs="宋体" w:eastAsia="宋体" w:hint="default"/>
                <w:sz w:val="18"/>
                <w:szCs w:val="18"/>
              </w:rPr>
            </w:pPr>
            <w:r>
              <w:rPr>
                <w:rFonts w:ascii="宋体" w:hAnsi="宋体" w:cs="宋体" w:eastAsia="宋体" w:hint="default"/>
                <w:spacing w:val="-6"/>
                <w:sz w:val="18"/>
                <w:szCs w:val="18"/>
              </w:rPr>
              <w:t>首次公开发行股票时的发行价，或者上市后 </w:t>
            </w:r>
            <w:r>
              <w:rPr>
                <w:rFonts w:ascii="Times New Roman" w:hAnsi="Times New Roman" w:cs="Times New Roman" w:eastAsia="Times New Roman" w:hint="default"/>
                <w:sz w:val="18"/>
                <w:szCs w:val="18"/>
              </w:rPr>
              <w:t>6 </w:t>
            </w:r>
            <w:r>
              <w:rPr>
                <w:rFonts w:ascii="宋体" w:hAnsi="宋体" w:cs="宋体" w:eastAsia="宋体" w:hint="default"/>
                <w:spacing w:val="-4"/>
                <w:sz w:val="18"/>
                <w:szCs w:val="18"/>
              </w:rPr>
              <w:t>个月期末收盘价低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于公司首次公开发行股票时的发行价，则本人持有的科创信息首</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次公开发行股票之前已发行的股份锁定期限自动延长 </w:t>
            </w:r>
            <w:r>
              <w:rPr>
                <w:rFonts w:ascii="Times New Roman" w:hAnsi="Times New Roman" w:cs="Times New Roman" w:eastAsia="Times New Roman" w:hint="default"/>
                <w:sz w:val="18"/>
                <w:szCs w:val="18"/>
              </w:rPr>
              <w:t>6 </w:t>
            </w:r>
            <w:r>
              <w:rPr>
                <w:rFonts w:ascii="宋体" w:hAnsi="宋体" w:cs="宋体" w:eastAsia="宋体" w:hint="default"/>
                <w:spacing w:val="-17"/>
                <w:sz w:val="18"/>
                <w:szCs w:val="18"/>
              </w:rPr>
              <w:t>个月。若</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公司股票在此期间发生除权、除息的，发行价格将作相应调整。</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5"/>
                <w:sz w:val="18"/>
                <w:szCs w:val="18"/>
              </w:rPr>
              <w:t>本人承诺除前述锁定期外，在科创信息任职期间每年转让的股份</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不得超过转让时所直接或间接持有科创信息的股份总数的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51"/>
                <w:sz w:val="18"/>
                <w:szCs w:val="18"/>
              </w:rPr>
              <w:t> </w:t>
            </w:r>
            <w:r>
              <w:rPr>
                <w:rFonts w:ascii="宋体" w:hAnsi="宋体" w:cs="宋体" w:eastAsia="宋体" w:hint="default"/>
                <w:spacing w:val="-3"/>
                <w:sz w:val="18"/>
                <w:szCs w:val="18"/>
              </w:rPr>
              <w:t>离职后半年内，不转让本人所直接或间接持有的科创信息的股</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份。若本人在科创信息股票在深圳证券交易所上市之日起六个月</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内（含第六个月）申报离职的，自申报离职之日起十八个月内不</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转让本人直接或间接持有的科创信息股份；若本人在科创信息股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8"/>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bl>
    <w:p>
      <w:pPr>
        <w:spacing w:after="0" w:line="316" w:lineRule="auto"/>
        <w:jc w:val="both"/>
        <w:rPr>
          <w:rFonts w:ascii="宋体" w:hAnsi="宋体" w:cs="宋体" w:eastAsia="宋体"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78"/>
        <w:gridCol w:w="859"/>
        <w:gridCol w:w="658"/>
        <w:gridCol w:w="5194"/>
        <w:gridCol w:w="845"/>
        <w:gridCol w:w="629"/>
        <w:gridCol w:w="605"/>
      </w:tblGrid>
      <w:tr>
        <w:trPr>
          <w:trHeight w:val="984" w:hRule="exact"/>
        </w:trPr>
        <w:tc>
          <w:tcPr>
            <w:tcW w:w="778" w:type="dxa"/>
            <w:vMerge w:val="restart"/>
            <w:tcBorders>
              <w:top w:val="single" w:sz="4" w:space="0" w:color="000000"/>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100" w:right="102"/>
              <w:jc w:val="both"/>
              <w:rPr>
                <w:rFonts w:ascii="宋体" w:hAnsi="宋体" w:cs="宋体" w:eastAsia="宋体" w:hint="default"/>
                <w:sz w:val="18"/>
                <w:szCs w:val="18"/>
              </w:rPr>
            </w:pPr>
            <w:r>
              <w:rPr>
                <w:rFonts w:ascii="宋体" w:hAnsi="宋体" w:cs="宋体" w:eastAsia="宋体" w:hint="default"/>
                <w:spacing w:val="-5"/>
                <w:sz w:val="18"/>
                <w:szCs w:val="18"/>
              </w:rPr>
              <w:t>票在深圳证券交易所上市之日起第七个月至第十二个月之间（含</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第七个月、第十二个月）申报离职的，自申报离职之日起十二个</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月内不转让本人直接或间接持有的科创信息股份。</w:t>
            </w: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6019" w:hRule="exact"/>
        </w:trPr>
        <w:tc>
          <w:tcPr>
            <w:tcW w:w="778" w:type="dxa"/>
            <w:vMerge/>
            <w:tcBorders>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3"/>
              <w:ind w:left="105" w:right="17"/>
              <w:jc w:val="left"/>
              <w:rPr>
                <w:rFonts w:ascii="宋体" w:hAnsi="宋体" w:cs="宋体" w:eastAsia="宋体" w:hint="default"/>
                <w:sz w:val="18"/>
                <w:szCs w:val="18"/>
              </w:rPr>
            </w:pPr>
            <w:r>
              <w:rPr>
                <w:rFonts w:ascii="宋体" w:hAnsi="宋体" w:cs="宋体" w:eastAsia="宋体" w:hint="default"/>
                <w:sz w:val="18"/>
                <w:szCs w:val="18"/>
              </w:rPr>
              <w:t>罗建国、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0"/>
                <w:w w:val="101"/>
                <w:sz w:val="18"/>
                <w:szCs w:val="18"/>
              </w:rPr>
              <w:t>魏伟、魏</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永森、何</w:t>
            </w:r>
            <w:r>
              <w:rPr>
                <w:rFonts w:ascii="宋体" w:hAnsi="宋体" w:cs="宋体" w:eastAsia="宋体" w:hint="default"/>
                <w:spacing w:val="-77"/>
                <w:w w:val="101"/>
                <w:sz w:val="18"/>
                <w:szCs w:val="18"/>
              </w:rPr>
              <w:t> </w:t>
            </w:r>
            <w:r>
              <w:rPr>
                <w:rFonts w:ascii="宋体" w:hAnsi="宋体" w:cs="宋体" w:eastAsia="宋体" w:hint="default"/>
                <w:spacing w:val="-21"/>
                <w:w w:val="101"/>
                <w:sz w:val="18"/>
                <w:szCs w:val="18"/>
              </w:rPr>
              <w:t>超、陈安</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定、谭立</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球、蔡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薇、龚春</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泉、禹勇</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平、龙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仲、祝明</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先、李典</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斌、肖国</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荣、马中</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峰、陈尚</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慧、唐宇</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光、苏黎</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虹、李中</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立、刘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顺、张鹏</w:t>
            </w:r>
            <w:r>
              <w:rPr>
                <w:rFonts w:ascii="宋体" w:hAnsi="宋体" w:cs="宋体" w:eastAsia="宋体" w:hint="default"/>
                <w:spacing w:val="-21"/>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100" w:right="98"/>
              <w:jc w:val="left"/>
              <w:rPr>
                <w:rFonts w:ascii="宋体" w:hAnsi="宋体" w:cs="宋体" w:eastAsia="宋体" w:hint="default"/>
                <w:sz w:val="18"/>
                <w:szCs w:val="18"/>
              </w:rPr>
            </w:pPr>
            <w:r>
              <w:rPr>
                <w:rFonts w:ascii="宋体" w:hAnsi="宋体" w:cs="宋体" w:eastAsia="宋体" w:hint="default"/>
                <w:spacing w:val="-3"/>
                <w:sz w:val="18"/>
                <w:szCs w:val="18"/>
              </w:rPr>
              <w:t>自科创信息股票上市之日起二十四个月内不转让或者委托他人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管理本公司本次公开发行前持有的科创信息的股份，也不由科创</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信息回购本公司持有的股份。</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00" w:lineRule="auto"/>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6917" w:hRule="exact"/>
        </w:trPr>
        <w:tc>
          <w:tcPr>
            <w:tcW w:w="778" w:type="dxa"/>
            <w:vMerge/>
            <w:tcBorders>
              <w:left w:val="single" w:sz="4" w:space="0" w:color="000000"/>
              <w:bottom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pacing w:val="-4"/>
                <w:sz w:val="18"/>
                <w:szCs w:val="18"/>
              </w:rPr>
              <w:t>湖南中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科岳麓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创业投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资有限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0"/>
                <w:w w:val="101"/>
                <w:sz w:val="18"/>
                <w:szCs w:val="18"/>
              </w:rPr>
              <w:t>公司、长</w:t>
            </w:r>
            <w:r>
              <w:rPr>
                <w:rFonts w:ascii="宋体" w:hAnsi="宋体" w:cs="宋体" w:eastAsia="宋体" w:hint="default"/>
                <w:spacing w:val="-77"/>
                <w:w w:val="101"/>
                <w:sz w:val="18"/>
                <w:szCs w:val="18"/>
              </w:rPr>
              <w:t> </w:t>
            </w:r>
            <w:r>
              <w:rPr>
                <w:rFonts w:ascii="宋体" w:hAnsi="宋体" w:cs="宋体" w:eastAsia="宋体" w:hint="default"/>
                <w:spacing w:val="-4"/>
                <w:sz w:val="18"/>
                <w:szCs w:val="18"/>
              </w:rPr>
              <w:t>沙金信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置业投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资有限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0"/>
                <w:w w:val="101"/>
                <w:sz w:val="18"/>
                <w:szCs w:val="18"/>
              </w:rPr>
              <w:t>公司、吕</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雅莉、谷</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士文、梁</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习锋、姚</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振强、夏</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明伟、陈</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松乔、杨</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建宇、柳</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子尤、刘</w:t>
            </w:r>
            <w:r>
              <w:rPr>
                <w:rFonts w:ascii="宋体" w:hAnsi="宋体" w:cs="宋体" w:eastAsia="宋体" w:hint="default"/>
                <w:spacing w:val="-77"/>
                <w:w w:val="101"/>
                <w:sz w:val="18"/>
                <w:szCs w:val="18"/>
              </w:rPr>
              <w:t> </w:t>
            </w:r>
            <w:r>
              <w:rPr>
                <w:rFonts w:ascii="宋体" w:hAnsi="宋体" w:cs="宋体" w:eastAsia="宋体" w:hint="default"/>
                <w:spacing w:val="-21"/>
                <w:w w:val="101"/>
                <w:sz w:val="18"/>
                <w:szCs w:val="18"/>
              </w:rPr>
              <w:t>慧、潘伟</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林、王美</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云、刘新</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整、黄家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林、王</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0" w:right="102"/>
              <w:jc w:val="left"/>
              <w:rPr>
                <w:rFonts w:ascii="宋体" w:hAnsi="宋体" w:cs="宋体" w:eastAsia="宋体" w:hint="default"/>
                <w:sz w:val="18"/>
                <w:szCs w:val="18"/>
              </w:rPr>
            </w:pPr>
            <w:r>
              <w:rPr>
                <w:rFonts w:ascii="宋体" w:hAnsi="宋体" w:cs="宋体" w:eastAsia="宋体" w:hint="default"/>
                <w:spacing w:val="-3"/>
                <w:sz w:val="18"/>
                <w:szCs w:val="18"/>
              </w:rPr>
              <w:t>自科创信息股票上市之日起十二个月内不转让或者委托他人管</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理本人在本次公开发行前持有的科创信息的股份，也不由科创信</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息回购本人持有的股份。</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00" w:lineRule="auto"/>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bl>
    <w:p>
      <w:pPr>
        <w:spacing w:after="0" w:line="316" w:lineRule="auto"/>
        <w:jc w:val="both"/>
        <w:rPr>
          <w:rFonts w:ascii="宋体" w:hAnsi="宋体" w:cs="宋体" w:eastAsia="宋体"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78"/>
        <w:gridCol w:w="859"/>
        <w:gridCol w:w="658"/>
        <w:gridCol w:w="5194"/>
        <w:gridCol w:w="845"/>
        <w:gridCol w:w="629"/>
        <w:gridCol w:w="605"/>
      </w:tblGrid>
      <w:tr>
        <w:trPr>
          <w:trHeight w:val="6912" w:hRule="exact"/>
        </w:trPr>
        <w:tc>
          <w:tcPr>
            <w:tcW w:w="778" w:type="dxa"/>
            <w:vMerge w:val="restart"/>
            <w:tcBorders>
              <w:top w:val="single" w:sz="4" w:space="0" w:color="000000"/>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105" w:right="93"/>
              <w:jc w:val="left"/>
              <w:rPr>
                <w:rFonts w:ascii="宋体" w:hAnsi="宋体" w:cs="宋体" w:eastAsia="宋体" w:hint="default"/>
                <w:sz w:val="18"/>
                <w:szCs w:val="18"/>
              </w:rPr>
            </w:pPr>
            <w:r>
              <w:rPr>
                <w:rFonts w:ascii="宋体" w:hAnsi="宋体" w:cs="宋体" w:eastAsia="宋体" w:hint="default"/>
                <w:spacing w:val="-21"/>
                <w:w w:val="101"/>
                <w:sz w:val="18"/>
                <w:szCs w:val="18"/>
              </w:rPr>
              <w:t>斌、宋文</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功、王玺</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功、罗丽</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珺、肖立</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英、林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云、周永</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强、杨尚</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真、罗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岚、李红</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波、曾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瑶、向雁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鸣、陈忠</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威、柳璞</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虞、彭富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民、伍华</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力、聂智</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1"/>
                <w:w w:val="101"/>
                <w:sz w:val="18"/>
                <w:szCs w:val="18"/>
              </w:rPr>
              <w:t>威、石劲</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柏、刘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昕、文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达、史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毅、朱建</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平</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9" w:hRule="exact"/>
        </w:trPr>
        <w:tc>
          <w:tcPr>
            <w:tcW w:w="778" w:type="dxa"/>
            <w:vMerge/>
            <w:tcBorders>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3"/>
              <w:ind w:left="105" w:right="204"/>
              <w:jc w:val="both"/>
              <w:rPr>
                <w:rFonts w:ascii="宋体" w:hAnsi="宋体" w:cs="宋体" w:eastAsia="宋体" w:hint="default"/>
                <w:sz w:val="18"/>
                <w:szCs w:val="18"/>
              </w:rPr>
            </w:pPr>
            <w:r>
              <w:rPr>
                <w:rFonts w:ascii="宋体" w:hAnsi="宋体" w:cs="宋体" w:eastAsia="宋体" w:hint="default"/>
                <w:spacing w:val="-4"/>
                <w:sz w:val="18"/>
                <w:szCs w:val="18"/>
              </w:rPr>
              <w:t>中南大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学资产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经营有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锁定</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102"/>
              <w:jc w:val="left"/>
              <w:rPr>
                <w:rFonts w:ascii="宋体" w:hAnsi="宋体" w:cs="宋体" w:eastAsia="宋体" w:hint="default"/>
                <w:sz w:val="18"/>
                <w:szCs w:val="18"/>
              </w:rPr>
            </w:pPr>
            <w:r>
              <w:rPr>
                <w:rFonts w:ascii="宋体" w:hAnsi="宋体" w:cs="宋体" w:eastAsia="宋体" w:hint="default"/>
                <w:spacing w:val="-3"/>
                <w:sz w:val="18"/>
                <w:szCs w:val="18"/>
              </w:rPr>
              <w:t>自科创信息股票上市之日起三十六个月内不转让或者委托他人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管理本公司在本次公开发行前持有的科创信息的股份，也不由科</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创信息回购本公司持有的股份。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8"/>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4147" w:hRule="exact"/>
        </w:trPr>
        <w:tc>
          <w:tcPr>
            <w:tcW w:w="778" w:type="dxa"/>
            <w:vMerge/>
            <w:tcBorders>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105" w:right="17"/>
              <w:jc w:val="left"/>
              <w:rPr>
                <w:rFonts w:ascii="宋体" w:hAnsi="宋体" w:cs="宋体" w:eastAsia="宋体" w:hint="default"/>
                <w:sz w:val="18"/>
                <w:szCs w:val="18"/>
              </w:rPr>
            </w:pPr>
            <w:r>
              <w:rPr>
                <w:rFonts w:ascii="宋体" w:hAnsi="宋体" w:cs="宋体" w:eastAsia="宋体" w:hint="default"/>
                <w:sz w:val="18"/>
                <w:szCs w:val="18"/>
              </w:rPr>
              <w:t>费耀平、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0"/>
                <w:w w:val="101"/>
                <w:sz w:val="18"/>
                <w:szCs w:val="18"/>
              </w:rPr>
              <w:t>李杰、李</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建华、刘</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星沙、刘</w:t>
            </w:r>
            <w:r>
              <w:rPr>
                <w:rFonts w:ascii="宋体" w:hAnsi="宋体" w:cs="宋体" w:eastAsia="宋体" w:hint="default"/>
                <w:spacing w:val="-77"/>
                <w:w w:val="101"/>
                <w:sz w:val="18"/>
                <w:szCs w:val="18"/>
              </w:rPr>
              <w:t> </w:t>
            </w:r>
            <w:r>
              <w:rPr>
                <w:rFonts w:ascii="宋体" w:hAnsi="宋体" w:cs="宋体" w:eastAsia="宋体" w:hint="default"/>
                <w:sz w:val="18"/>
                <w:szCs w:val="18"/>
              </w:rPr>
              <w:t>应龙</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减持</w:t>
            </w:r>
            <w:r>
              <w:rPr>
                <w:rFonts w:ascii="宋体" w:hAnsi="宋体" w:cs="宋体" w:eastAsia="宋体" w:hint="default"/>
                <w:spacing w:val="-86"/>
                <w:sz w:val="18"/>
                <w:szCs w:val="18"/>
              </w:rPr>
              <w:t> </w:t>
            </w:r>
            <w:r>
              <w:rPr>
                <w:rFonts w:ascii="宋体" w:hAnsi="宋体" w:cs="宋体" w:eastAsia="宋体" w:hint="default"/>
                <w:sz w:val="18"/>
                <w:szCs w:val="18"/>
              </w:rPr>
              <w:t>意向</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3"/>
              <w:ind w:left="100" w:right="12"/>
              <w:jc w:val="left"/>
              <w:rPr>
                <w:rFonts w:ascii="宋体" w:hAnsi="宋体" w:cs="宋体" w:eastAsia="宋体" w:hint="default"/>
                <w:sz w:val="18"/>
                <w:szCs w:val="18"/>
              </w:rPr>
            </w:pPr>
            <w:r>
              <w:rPr>
                <w:rFonts w:ascii="宋体" w:hAnsi="宋体" w:cs="宋体" w:eastAsia="宋体" w:hint="default"/>
                <w:spacing w:val="-5"/>
                <w:sz w:val="18"/>
                <w:szCs w:val="18"/>
              </w:rPr>
              <w:t>本人拟长期持有公司股票。如果在锁定期满后，本人拟减持股票</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的，将认真遵守中国证监会、证券交易所关于股东减持的相关规</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定，结合公司稳定股价、开展经营、资本运作的需要，审慎制定</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股票减持计划，在股票锁定期满后逐步减持。本人减持公司股份</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应符合相关法律、法规、规章的规定，具体方式包括但不限于交</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5"/>
                <w:sz w:val="18"/>
                <w:szCs w:val="18"/>
              </w:rPr>
              <w:t>易所集中竞价交易方式、大宗交易方式、协议转让方式等。本人</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减持公司股份前，应提前 </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个交易日向公司提交减持原因、减持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数量、未来减持计划、减持对公司治理结构及持续经营影响的说</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17"/>
                <w:w w:val="101"/>
                <w:sz w:val="18"/>
                <w:szCs w:val="18"/>
              </w:rPr>
              <w:t>明，并提前</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6"/>
                <w:w w:val="101"/>
                <w:sz w:val="18"/>
                <w:szCs w:val="18"/>
              </w:rPr>
              <w:t>个交易日予以公告，并按照证券交易所的规则及时、</w:t>
            </w:r>
            <w:r>
              <w:rPr>
                <w:rFonts w:ascii="宋体" w:hAnsi="宋体" w:cs="宋体" w:eastAsia="宋体" w:hint="default"/>
                <w:w w:val="101"/>
                <w:sz w:val="18"/>
                <w:szCs w:val="18"/>
              </w:rPr>
              <w:t> </w:t>
            </w:r>
            <w:r>
              <w:rPr>
                <w:rFonts w:ascii="宋体" w:hAnsi="宋体" w:cs="宋体" w:eastAsia="宋体" w:hint="default"/>
                <w:spacing w:val="-3"/>
                <w:sz w:val="18"/>
                <w:szCs w:val="18"/>
              </w:rPr>
              <w:t>准确地履行信息披露义务（本人持有公司股份低于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以下时除</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6"/>
                <w:w w:val="101"/>
                <w:sz w:val="18"/>
                <w:szCs w:val="18"/>
              </w:rPr>
              <w:t>外）。如果本人所持科创信息首次公开发行股票之前已发行的股</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5"/>
                <w:sz w:val="18"/>
                <w:szCs w:val="18"/>
              </w:rPr>
              <w:t>份在锁定期满后两年内减持的，本人减持价格将不低于科创信息</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首次公开发行股票的发行价。</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1339" w:hRule="exact"/>
        </w:trPr>
        <w:tc>
          <w:tcPr>
            <w:tcW w:w="778" w:type="dxa"/>
            <w:vMerge/>
            <w:tcBorders>
              <w:left w:val="single" w:sz="4" w:space="0" w:color="000000"/>
              <w:bottom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5" w:right="204"/>
              <w:jc w:val="both"/>
              <w:rPr>
                <w:rFonts w:ascii="宋体" w:hAnsi="宋体" w:cs="宋体" w:eastAsia="宋体" w:hint="default"/>
                <w:sz w:val="18"/>
                <w:szCs w:val="18"/>
              </w:rPr>
            </w:pPr>
            <w:r>
              <w:rPr>
                <w:rFonts w:ascii="宋体" w:hAnsi="宋体" w:cs="宋体" w:eastAsia="宋体" w:hint="default"/>
                <w:spacing w:val="-4"/>
                <w:sz w:val="18"/>
                <w:szCs w:val="18"/>
              </w:rPr>
              <w:t>中南大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学资产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经营有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5" w:right="175"/>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减持</w:t>
            </w:r>
            <w:r>
              <w:rPr>
                <w:rFonts w:ascii="宋体" w:hAnsi="宋体" w:cs="宋体" w:eastAsia="宋体" w:hint="default"/>
                <w:spacing w:val="-86"/>
                <w:sz w:val="18"/>
                <w:szCs w:val="18"/>
              </w:rPr>
              <w:t> </w:t>
            </w:r>
            <w:r>
              <w:rPr>
                <w:rFonts w:ascii="宋体" w:hAnsi="宋体" w:cs="宋体" w:eastAsia="宋体" w:hint="default"/>
                <w:sz w:val="18"/>
                <w:szCs w:val="18"/>
              </w:rPr>
              <w:t>意向</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4" w:lineRule="auto" w:before="73"/>
              <w:ind w:left="100" w:right="98"/>
              <w:jc w:val="both"/>
              <w:rPr>
                <w:rFonts w:ascii="宋体" w:hAnsi="宋体" w:cs="宋体" w:eastAsia="宋体" w:hint="default"/>
                <w:sz w:val="18"/>
                <w:szCs w:val="18"/>
              </w:rPr>
            </w:pPr>
            <w:r>
              <w:rPr>
                <w:rFonts w:ascii="宋体" w:hAnsi="宋体" w:cs="宋体" w:eastAsia="宋体" w:hint="default"/>
                <w:spacing w:val="-3"/>
                <w:sz w:val="18"/>
                <w:szCs w:val="18"/>
              </w:rPr>
              <w:t>本公司减持科创信息股份前，应提前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个交易日向科创信息提</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交减持原因、减持数量、未来减持计划、减持对公司治理结构及</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持续经营影响的说明，并提前</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个交易日予以公告，并按照证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券交易所的规则及时、准确地履行信息披露义务（本公司持有科</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bl>
    <w:p>
      <w:pPr>
        <w:spacing w:after="0" w:line="319" w:lineRule="auto"/>
        <w:jc w:val="both"/>
        <w:rPr>
          <w:rFonts w:ascii="宋体" w:hAnsi="宋体" w:cs="宋体" w:eastAsia="宋体"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78"/>
        <w:gridCol w:w="859"/>
        <w:gridCol w:w="658"/>
        <w:gridCol w:w="5194"/>
        <w:gridCol w:w="845"/>
        <w:gridCol w:w="629"/>
        <w:gridCol w:w="605"/>
      </w:tblGrid>
      <w:tr>
        <w:trPr>
          <w:trHeight w:val="1608" w:hRule="exact"/>
        </w:trPr>
        <w:tc>
          <w:tcPr>
            <w:tcW w:w="778" w:type="dxa"/>
            <w:vMerge w:val="restart"/>
            <w:tcBorders>
              <w:top w:val="single" w:sz="4" w:space="0" w:color="000000"/>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10"/>
              <w:ind w:left="100" w:right="45"/>
              <w:jc w:val="both"/>
              <w:rPr>
                <w:rFonts w:ascii="宋体" w:hAnsi="宋体" w:cs="宋体" w:eastAsia="宋体" w:hint="default"/>
                <w:sz w:val="18"/>
                <w:szCs w:val="18"/>
              </w:rPr>
            </w:pPr>
            <w:r>
              <w:rPr>
                <w:rFonts w:ascii="宋体" w:hAnsi="宋体" w:cs="宋体" w:eastAsia="宋体" w:hint="default"/>
                <w:spacing w:val="-2"/>
                <w:w w:val="101"/>
                <w:sz w:val="18"/>
                <w:szCs w:val="18"/>
              </w:rPr>
              <w:t>创信息股份低于</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11"/>
                <w:w w:val="101"/>
                <w:sz w:val="18"/>
                <w:szCs w:val="18"/>
              </w:rPr>
              <w:t>5%</w:t>
            </w:r>
            <w:r>
              <w:rPr>
                <w:rFonts w:ascii="宋体" w:hAnsi="宋体" w:cs="宋体" w:eastAsia="宋体" w:hint="default"/>
                <w:spacing w:val="-11"/>
                <w:w w:val="101"/>
                <w:sz w:val="18"/>
                <w:szCs w:val="18"/>
              </w:rPr>
              <w:t>以下时除外）。锁定期满后，本公司减持股份</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5"/>
                <w:sz w:val="18"/>
                <w:szCs w:val="18"/>
              </w:rPr>
              <w:t>应符合相关法律、法规、规章的规定，具体方式包括但不限于交</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5"/>
                <w:sz w:val="18"/>
                <w:szCs w:val="18"/>
              </w:rPr>
              <w:t>易所集中竞价交易方式、大宗交易方式、协议转让方式等；减持</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股份的价格根据当时的二级市场价格确定，并应符合相关法律、</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法规及证券交易所规则的要求。</w:t>
            </w: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5707" w:hRule="exact"/>
        </w:trPr>
        <w:tc>
          <w:tcPr>
            <w:tcW w:w="778" w:type="dxa"/>
            <w:vMerge/>
            <w:tcBorders>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105" w:right="17"/>
              <w:jc w:val="left"/>
              <w:rPr>
                <w:rFonts w:ascii="宋体" w:hAnsi="宋体" w:cs="宋体" w:eastAsia="宋体" w:hint="default"/>
                <w:sz w:val="18"/>
                <w:szCs w:val="18"/>
              </w:rPr>
            </w:pPr>
            <w:r>
              <w:rPr>
                <w:rFonts w:ascii="宋体" w:hAnsi="宋体" w:cs="宋体" w:eastAsia="宋体" w:hint="default"/>
                <w:sz w:val="18"/>
                <w:szCs w:val="18"/>
              </w:rPr>
              <w:t>费耀平、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0"/>
                <w:w w:val="101"/>
                <w:sz w:val="18"/>
                <w:szCs w:val="18"/>
              </w:rPr>
              <w:t>李杰、李</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建华、刘</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星沙、刘</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应龙、中</w:t>
            </w:r>
            <w:r>
              <w:rPr>
                <w:rFonts w:ascii="宋体" w:hAnsi="宋体" w:cs="宋体" w:eastAsia="宋体" w:hint="default"/>
                <w:spacing w:val="-77"/>
                <w:w w:val="101"/>
                <w:sz w:val="18"/>
                <w:szCs w:val="18"/>
              </w:rPr>
              <w:t> </w:t>
            </w:r>
            <w:r>
              <w:rPr>
                <w:rFonts w:ascii="宋体" w:hAnsi="宋体" w:cs="宋体" w:eastAsia="宋体" w:hint="default"/>
                <w:sz w:val="18"/>
                <w:szCs w:val="18"/>
              </w:rPr>
              <w:t>南资产、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中科岳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麓、金信</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0"/>
                <w:w w:val="101"/>
                <w:sz w:val="18"/>
                <w:szCs w:val="18"/>
              </w:rPr>
              <w:t>置业、吕</w:t>
            </w:r>
            <w:r>
              <w:rPr>
                <w:rFonts w:ascii="宋体" w:hAnsi="宋体" w:cs="宋体" w:eastAsia="宋体" w:hint="default"/>
                <w:spacing w:val="-77"/>
                <w:w w:val="101"/>
                <w:sz w:val="18"/>
                <w:szCs w:val="18"/>
              </w:rPr>
              <w:t> </w:t>
            </w:r>
            <w:r>
              <w:rPr>
                <w:rFonts w:ascii="宋体" w:hAnsi="宋体" w:cs="宋体" w:eastAsia="宋体" w:hint="default"/>
                <w:sz w:val="18"/>
                <w:szCs w:val="18"/>
              </w:rPr>
              <w:t>雅莉</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5" w:right="175"/>
              <w:jc w:val="both"/>
              <w:rPr>
                <w:rFonts w:ascii="宋体" w:hAnsi="宋体" w:cs="宋体" w:eastAsia="宋体" w:hint="default"/>
                <w:sz w:val="18"/>
                <w:szCs w:val="18"/>
              </w:rPr>
            </w:pPr>
            <w:r>
              <w:rPr>
                <w:rFonts w:ascii="宋体" w:hAnsi="宋体" w:cs="宋体" w:eastAsia="宋体" w:hint="default"/>
                <w:sz w:val="18"/>
                <w:szCs w:val="18"/>
              </w:rPr>
              <w:t>避免</w:t>
            </w:r>
            <w:r>
              <w:rPr>
                <w:rFonts w:ascii="宋体" w:hAnsi="宋体" w:cs="宋体" w:eastAsia="宋体" w:hint="default"/>
                <w:spacing w:val="-86"/>
                <w:sz w:val="18"/>
                <w:szCs w:val="18"/>
              </w:rPr>
              <w:t> </w:t>
            </w:r>
            <w:r>
              <w:rPr>
                <w:rFonts w:ascii="宋体" w:hAnsi="宋体" w:cs="宋体" w:eastAsia="宋体" w:hint="default"/>
                <w:sz w:val="18"/>
                <w:szCs w:val="18"/>
              </w:rPr>
              <w:t>同业</w:t>
            </w:r>
            <w:r>
              <w:rPr>
                <w:rFonts w:ascii="宋体" w:hAnsi="宋体" w:cs="宋体" w:eastAsia="宋体" w:hint="default"/>
                <w:spacing w:val="-86"/>
                <w:sz w:val="18"/>
                <w:szCs w:val="18"/>
              </w:rPr>
              <w:t> </w:t>
            </w:r>
            <w:r>
              <w:rPr>
                <w:rFonts w:ascii="宋体" w:hAnsi="宋体" w:cs="宋体" w:eastAsia="宋体" w:hint="default"/>
                <w:sz w:val="18"/>
                <w:szCs w:val="18"/>
              </w:rPr>
              <w:t>竞争</w:t>
            </w:r>
            <w:r>
              <w:rPr>
                <w:rFonts w:ascii="宋体" w:hAnsi="宋体" w:cs="宋体" w:eastAsia="宋体" w:hint="default"/>
                <w:spacing w:val="-86"/>
                <w:sz w:val="18"/>
                <w:szCs w:val="18"/>
              </w:rPr>
              <w:t> </w:t>
            </w:r>
            <w:r>
              <w:rPr>
                <w:rFonts w:ascii="宋体" w:hAnsi="宋体" w:cs="宋体" w:eastAsia="宋体" w:hint="default"/>
                <w:sz w:val="18"/>
                <w:szCs w:val="18"/>
              </w:rPr>
              <w:t>的承</w:t>
            </w:r>
            <w:r>
              <w:rPr>
                <w:rFonts w:ascii="宋体" w:hAnsi="宋体" w:cs="宋体" w:eastAsia="宋体" w:hint="default"/>
                <w:spacing w:val="-86"/>
                <w:sz w:val="18"/>
                <w:szCs w:val="18"/>
              </w:rPr>
              <w:t> </w:t>
            </w:r>
            <w:r>
              <w:rPr>
                <w:rFonts w:ascii="宋体" w:hAnsi="宋体" w:cs="宋体" w:eastAsia="宋体" w:hint="default"/>
                <w:sz w:val="18"/>
                <w:szCs w:val="18"/>
              </w:rPr>
              <w:t>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3"/>
              <w:ind w:left="100" w:right="1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、在本承诺函签署之日，本公司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本人及所控制的公司和拥有权</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益的公司均未生产、开发任何与科创信息产品构成竞争或可能竞</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争的产品，未直接或间接经营任何与科创信息经营的业务构成竞</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争或可能竞争的业务，也未参与投资任何与科创信息生产的产品</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或经营的业务构成竞争或可能竞争的其他企业。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、自本承诺函</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签署之日起，本公司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本人及所控制的公司和拥有权益的公司将</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不生产、开发任何与科创信息产品构成竞争或可能竞争的产品，</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不直接或间接经营任何与科创信息经营的业务构成竞争或可能</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5"/>
                <w:sz w:val="18"/>
                <w:szCs w:val="18"/>
              </w:rPr>
              <w:t>竞争的业务，不参与投资任何与科创信息生产的产品或经营的业</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w w:val="101"/>
                <w:sz w:val="18"/>
                <w:szCs w:val="18"/>
              </w:rPr>
              <w:t>务构成竞争或可能竞争的其他企业。</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5"/>
                <w:w w:val="101"/>
                <w:sz w:val="18"/>
                <w:szCs w:val="18"/>
              </w:rPr>
              <w:t>、自本承诺函签署之日起，</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如科创信息进一步拓展其产品和业务范围，本公司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本人及所控</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制的公司和拥有权益的公司将不与科创信息拓展后的产品和业</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务相竞争；若与科创信息拓展后的产品和业务相竞争，本公司</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本人及所控制的公司和拥有权益的公司将采取以下方式避免同</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11"/>
                <w:w w:val="101"/>
                <w:sz w:val="18"/>
                <w:szCs w:val="18"/>
              </w:rPr>
              <w:t>业竞争：（</w:t>
            </w:r>
            <w:r>
              <w:rPr>
                <w:rFonts w:ascii="Times New Roman" w:hAnsi="Times New Roman" w:cs="Times New Roman" w:eastAsia="Times New Roman" w:hint="default"/>
                <w:spacing w:val="-11"/>
                <w:w w:val="101"/>
                <w:sz w:val="18"/>
                <w:szCs w:val="18"/>
              </w:rPr>
              <w:t>1</w:t>
            </w:r>
            <w:r>
              <w:rPr>
                <w:rFonts w:ascii="宋体" w:hAnsi="宋体" w:cs="宋体" w:eastAsia="宋体" w:hint="default"/>
                <w:spacing w:val="-11"/>
                <w:w w:val="101"/>
                <w:sz w:val="18"/>
                <w:szCs w:val="18"/>
              </w:rPr>
              <w:t>）停止生产或经营相竞争的产品和业务；（</w:t>
            </w:r>
            <w:r>
              <w:rPr>
                <w:rFonts w:ascii="Times New Roman" w:hAnsi="Times New Roman" w:cs="Times New Roman" w:eastAsia="Times New Roman" w:hint="default"/>
                <w:spacing w:val="-11"/>
                <w:w w:val="101"/>
                <w:sz w:val="18"/>
                <w:szCs w:val="18"/>
              </w:rPr>
              <w:t>2</w:t>
            </w:r>
            <w:r>
              <w:rPr>
                <w:rFonts w:ascii="宋体" w:hAnsi="宋体" w:cs="宋体" w:eastAsia="宋体" w:hint="default"/>
                <w:spacing w:val="-11"/>
                <w:w w:val="101"/>
                <w:sz w:val="18"/>
                <w:szCs w:val="18"/>
              </w:rPr>
              <w:t>）将相竞</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8"/>
                <w:w w:val="101"/>
                <w:sz w:val="18"/>
                <w:szCs w:val="18"/>
              </w:rPr>
              <w:t>争的业务纳入科创信息经营；（</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）向无关联关系的第三方转让该</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z w:val="18"/>
                <w:szCs w:val="18"/>
              </w:rPr>
              <w:t>业务。 </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、如本承诺函未被遵守，将向科创信息赔偿一切直接或</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间接损失。</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3835" w:hRule="exact"/>
        </w:trPr>
        <w:tc>
          <w:tcPr>
            <w:tcW w:w="778" w:type="dxa"/>
            <w:vMerge/>
            <w:tcBorders>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3"/>
              <w:ind w:left="105" w:right="17"/>
              <w:jc w:val="left"/>
              <w:rPr>
                <w:rFonts w:ascii="宋体" w:hAnsi="宋体" w:cs="宋体" w:eastAsia="宋体" w:hint="default"/>
                <w:sz w:val="18"/>
                <w:szCs w:val="18"/>
              </w:rPr>
            </w:pPr>
            <w:r>
              <w:rPr>
                <w:rFonts w:ascii="宋体" w:hAnsi="宋体" w:cs="宋体" w:eastAsia="宋体" w:hint="default"/>
                <w:spacing w:val="-40"/>
                <w:w w:val="101"/>
                <w:sz w:val="18"/>
                <w:szCs w:val="18"/>
              </w:rPr>
              <w:t>公司、共</w:t>
            </w:r>
            <w:r>
              <w:rPr>
                <w:rFonts w:ascii="宋体" w:hAnsi="宋体" w:cs="宋体" w:eastAsia="宋体" w:hint="default"/>
                <w:spacing w:val="-77"/>
                <w:w w:val="101"/>
                <w:sz w:val="18"/>
                <w:szCs w:val="18"/>
              </w:rPr>
              <w:t> </w:t>
            </w:r>
            <w:r>
              <w:rPr>
                <w:rFonts w:ascii="宋体" w:hAnsi="宋体" w:cs="宋体" w:eastAsia="宋体" w:hint="default"/>
                <w:spacing w:val="-4"/>
                <w:sz w:val="18"/>
                <w:szCs w:val="18"/>
              </w:rPr>
              <w:t>同实际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控制人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费耀平、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0"/>
                <w:w w:val="101"/>
                <w:sz w:val="18"/>
                <w:szCs w:val="18"/>
              </w:rPr>
              <w:t>李杰、李</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建华、刘</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星沙、刘</w:t>
            </w:r>
            <w:r>
              <w:rPr>
                <w:rFonts w:ascii="宋体" w:hAnsi="宋体" w:cs="宋体" w:eastAsia="宋体" w:hint="default"/>
                <w:spacing w:val="-77"/>
                <w:w w:val="101"/>
                <w:sz w:val="18"/>
                <w:szCs w:val="18"/>
              </w:rPr>
              <w:t> </w:t>
            </w:r>
            <w:r>
              <w:rPr>
                <w:rFonts w:ascii="宋体" w:hAnsi="宋体" w:cs="宋体" w:eastAsia="宋体" w:hint="default"/>
                <w:spacing w:val="-4"/>
                <w:sz w:val="18"/>
                <w:szCs w:val="18"/>
              </w:rPr>
              <w:t>应龙及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公司董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事及高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级管理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人员</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both"/>
              <w:rPr>
                <w:rFonts w:ascii="Times New Roman" w:hAnsi="Times New Roman" w:cs="Times New Roman" w:eastAsia="Times New Roman" w:hint="default"/>
                <w:sz w:val="18"/>
                <w:szCs w:val="18"/>
              </w:rPr>
            </w:pPr>
            <w:r>
              <w:rPr>
                <w:rFonts w:ascii="Times New Roman"/>
                <w:spacing w:val="-4"/>
                <w:sz w:val="18"/>
              </w:rPr>
              <w:t>IPO</w:t>
            </w:r>
          </w:p>
          <w:p>
            <w:pPr>
              <w:pStyle w:val="TableParagraph"/>
              <w:spacing w:line="319" w:lineRule="auto" w:before="63"/>
              <w:ind w:left="105" w:right="175"/>
              <w:jc w:val="both"/>
              <w:rPr>
                <w:rFonts w:ascii="宋体" w:hAnsi="宋体" w:cs="宋体" w:eastAsia="宋体" w:hint="default"/>
                <w:sz w:val="18"/>
                <w:szCs w:val="18"/>
              </w:rPr>
            </w:pPr>
            <w:r>
              <w:rPr>
                <w:rFonts w:ascii="宋体" w:hAnsi="宋体" w:cs="宋体" w:eastAsia="宋体" w:hint="default"/>
                <w:sz w:val="18"/>
                <w:szCs w:val="18"/>
              </w:rPr>
              <w:t>稳定</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股价</w:t>
            </w:r>
            <w:r>
              <w:rPr>
                <w:rFonts w:ascii="宋体" w:hAnsi="宋体" w:cs="宋体" w:eastAsia="宋体" w:hint="default"/>
                <w:spacing w:val="-86"/>
                <w:sz w:val="18"/>
                <w:szCs w:val="18"/>
              </w:rPr>
              <w:t> </w:t>
            </w:r>
            <w:r>
              <w:rPr>
                <w:rFonts w:ascii="宋体" w:hAnsi="宋体" w:cs="宋体" w:eastAsia="宋体" w:hint="default"/>
                <w:sz w:val="18"/>
                <w:szCs w:val="18"/>
              </w:rPr>
              <w:t>的承</w:t>
            </w:r>
            <w:r>
              <w:rPr>
                <w:rFonts w:ascii="宋体" w:hAnsi="宋体" w:cs="宋体" w:eastAsia="宋体" w:hint="default"/>
                <w:spacing w:val="-86"/>
                <w:sz w:val="18"/>
                <w:szCs w:val="18"/>
              </w:rPr>
              <w:t> </w:t>
            </w:r>
            <w:r>
              <w:rPr>
                <w:rFonts w:ascii="宋体" w:hAnsi="宋体" w:cs="宋体" w:eastAsia="宋体" w:hint="default"/>
                <w:sz w:val="18"/>
                <w:szCs w:val="18"/>
              </w:rPr>
              <w:t>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07" w:lineRule="auto"/>
              <w:ind w:left="100" w:right="98"/>
              <w:jc w:val="both"/>
              <w:rPr>
                <w:rFonts w:ascii="宋体" w:hAnsi="宋体" w:cs="宋体" w:eastAsia="宋体" w:hint="default"/>
                <w:sz w:val="18"/>
                <w:szCs w:val="18"/>
              </w:rPr>
            </w:pPr>
            <w:r>
              <w:rPr>
                <w:rFonts w:ascii="宋体" w:hAnsi="宋体" w:cs="宋体" w:eastAsia="宋体" w:hint="default"/>
                <w:spacing w:val="-4"/>
                <w:sz w:val="18"/>
                <w:szCs w:val="18"/>
              </w:rPr>
              <w:t>公司首次公开发行人民币普通股（</w:t>
            </w:r>
            <w:r>
              <w:rPr>
                <w:rFonts w:ascii="Times New Roman" w:hAnsi="Times New Roman" w:cs="Times New Roman" w:eastAsia="Times New Roman" w:hint="default"/>
                <w:spacing w:val="-4"/>
                <w:sz w:val="18"/>
                <w:szCs w:val="18"/>
              </w:rPr>
              <w:t>A </w:t>
            </w:r>
            <w:r>
              <w:rPr>
                <w:rFonts w:ascii="宋体" w:hAnsi="宋体" w:cs="宋体" w:eastAsia="宋体" w:hint="default"/>
                <w:spacing w:val="-5"/>
                <w:sz w:val="18"/>
                <w:szCs w:val="18"/>
              </w:rPr>
              <w:t>股）并在深圳证券交易所创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业板上市后三年内股价出现连续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个交易日收盘价均低于公司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上一个会计年度经审计的每股净资产，公司将按照稳定股价预案</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启动稳定股价措施。</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4" w:lineRule="auto"/>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2275" w:hRule="exact"/>
        </w:trPr>
        <w:tc>
          <w:tcPr>
            <w:tcW w:w="778" w:type="dxa"/>
            <w:vMerge/>
            <w:tcBorders>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5" w:right="93"/>
              <w:jc w:val="left"/>
              <w:rPr>
                <w:rFonts w:ascii="宋体" w:hAnsi="宋体" w:cs="宋体" w:eastAsia="宋体" w:hint="default"/>
                <w:sz w:val="18"/>
                <w:szCs w:val="18"/>
              </w:rPr>
            </w:pPr>
            <w:r>
              <w:rPr>
                <w:rFonts w:ascii="宋体" w:hAnsi="宋体" w:cs="宋体" w:eastAsia="宋体" w:hint="default"/>
                <w:spacing w:val="-4"/>
                <w:sz w:val="18"/>
                <w:szCs w:val="18"/>
              </w:rPr>
              <w:t>公司董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1"/>
                <w:w w:val="101"/>
                <w:sz w:val="18"/>
                <w:szCs w:val="18"/>
              </w:rPr>
              <w:t>事、高级</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4"/>
                <w:sz w:val="18"/>
                <w:szCs w:val="18"/>
              </w:rPr>
              <w:t>管理人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员</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5" w:right="175"/>
              <w:jc w:val="both"/>
              <w:rPr>
                <w:rFonts w:ascii="宋体" w:hAnsi="宋体" w:cs="宋体" w:eastAsia="宋体" w:hint="default"/>
                <w:sz w:val="18"/>
                <w:szCs w:val="18"/>
              </w:rPr>
            </w:pPr>
            <w:r>
              <w:rPr>
                <w:rFonts w:ascii="宋体" w:hAnsi="宋体" w:cs="宋体" w:eastAsia="宋体" w:hint="default"/>
                <w:sz w:val="18"/>
                <w:szCs w:val="18"/>
              </w:rPr>
              <w:t>填补</w:t>
            </w:r>
            <w:r>
              <w:rPr>
                <w:rFonts w:ascii="宋体" w:hAnsi="宋体" w:cs="宋体" w:eastAsia="宋体" w:hint="default"/>
                <w:spacing w:val="-86"/>
                <w:sz w:val="18"/>
                <w:szCs w:val="18"/>
              </w:rPr>
              <w:t> </w:t>
            </w:r>
            <w:r>
              <w:rPr>
                <w:rFonts w:ascii="宋体" w:hAnsi="宋体" w:cs="宋体" w:eastAsia="宋体" w:hint="default"/>
                <w:sz w:val="18"/>
                <w:szCs w:val="18"/>
              </w:rPr>
              <w:t>被摊</w:t>
            </w:r>
            <w:r>
              <w:rPr>
                <w:rFonts w:ascii="宋体" w:hAnsi="宋体" w:cs="宋体" w:eastAsia="宋体" w:hint="default"/>
                <w:spacing w:val="-86"/>
                <w:sz w:val="18"/>
                <w:szCs w:val="18"/>
              </w:rPr>
              <w:t> </w:t>
            </w:r>
            <w:r>
              <w:rPr>
                <w:rFonts w:ascii="宋体" w:hAnsi="宋体" w:cs="宋体" w:eastAsia="宋体" w:hint="default"/>
                <w:sz w:val="18"/>
                <w:szCs w:val="18"/>
              </w:rPr>
              <w:t>薄即</w:t>
            </w:r>
            <w:r>
              <w:rPr>
                <w:rFonts w:ascii="宋体" w:hAnsi="宋体" w:cs="宋体" w:eastAsia="宋体" w:hint="default"/>
                <w:spacing w:val="-86"/>
                <w:sz w:val="18"/>
                <w:szCs w:val="18"/>
              </w:rPr>
              <w:t> </w:t>
            </w:r>
            <w:r>
              <w:rPr>
                <w:rFonts w:ascii="宋体" w:hAnsi="宋体" w:cs="宋体" w:eastAsia="宋体" w:hint="default"/>
                <w:sz w:val="18"/>
                <w:szCs w:val="18"/>
              </w:rPr>
              <w:t>期回</w:t>
            </w:r>
            <w:r>
              <w:rPr>
                <w:rFonts w:ascii="宋体" w:hAnsi="宋体" w:cs="宋体" w:eastAsia="宋体" w:hint="default"/>
                <w:spacing w:val="-86"/>
                <w:sz w:val="18"/>
                <w:szCs w:val="18"/>
              </w:rPr>
              <w:t> </w:t>
            </w:r>
            <w:r>
              <w:rPr>
                <w:rFonts w:ascii="宋体" w:hAnsi="宋体" w:cs="宋体" w:eastAsia="宋体" w:hint="default"/>
                <w:sz w:val="18"/>
                <w:szCs w:val="18"/>
              </w:rPr>
              <w:t>报的</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3"/>
              <w:ind w:left="100" w:right="9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、不无偿或以不公平条件向其他单位或者个人输送利益，也不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采用其他方式损害公司利益。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、对自身的职务消费行为进行约</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、不动用公司资产从事与自身履行职责无关的投资、消费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、由公司董事会或提名与薪酬委员会制订的薪酬制度与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公司填补回报措施的执行情况相挂钩。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、如公司未来实施股权</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5"/>
                <w:sz w:val="18"/>
                <w:szCs w:val="18"/>
              </w:rPr>
              <w:t>激励方案，则未来股权激励方案的行权条件将与公司填补回报措</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施的执行情况相挂钩。</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4" w:lineRule="auto"/>
              <w:ind w:left="105"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389" w:hRule="exact"/>
        </w:trPr>
        <w:tc>
          <w:tcPr>
            <w:tcW w:w="778" w:type="dxa"/>
            <w:vMerge/>
            <w:tcBorders>
              <w:left w:val="single" w:sz="4" w:space="0" w:color="000000"/>
              <w:bottom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3"/>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、截至本承诺出具之日，除已经披露的情形外，本人及所投资</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长期</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z w:val="18"/>
                <w:szCs w:val="18"/>
              </w:rPr>
              <w:t>正常</w:t>
            </w:r>
          </w:p>
        </w:tc>
      </w:tr>
    </w:tbl>
    <w:p>
      <w:pPr>
        <w:spacing w:after="0" w:line="240"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778"/>
        <w:gridCol w:w="859"/>
        <w:gridCol w:w="658"/>
        <w:gridCol w:w="5194"/>
        <w:gridCol w:w="845"/>
        <w:gridCol w:w="629"/>
        <w:gridCol w:w="605"/>
      </w:tblGrid>
      <w:tr>
        <w:trPr>
          <w:trHeight w:val="4728" w:hRule="exact"/>
        </w:trPr>
        <w:tc>
          <w:tcPr>
            <w:tcW w:w="778" w:type="dxa"/>
            <w:vMerge w:val="restart"/>
            <w:tcBorders>
              <w:top w:val="single" w:sz="4" w:space="0" w:color="000000"/>
              <w:left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105" w:right="170"/>
              <w:jc w:val="both"/>
              <w:rPr>
                <w:rFonts w:ascii="宋体" w:hAnsi="宋体" w:cs="宋体" w:eastAsia="宋体" w:hint="default"/>
                <w:sz w:val="18"/>
                <w:szCs w:val="18"/>
              </w:rPr>
            </w:pPr>
            <w:r>
              <w:rPr>
                <w:rFonts w:ascii="宋体" w:hAnsi="宋体" w:cs="宋体" w:eastAsia="宋体" w:hint="default"/>
                <w:spacing w:val="-40"/>
                <w:w w:val="101"/>
                <w:sz w:val="18"/>
                <w:szCs w:val="18"/>
              </w:rPr>
              <w:t>李杰、李</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建华、刘</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星沙、刘</w:t>
            </w:r>
            <w:r>
              <w:rPr>
                <w:rFonts w:ascii="宋体" w:hAnsi="宋体" w:cs="宋体" w:eastAsia="宋体" w:hint="default"/>
                <w:spacing w:val="-77"/>
                <w:w w:val="101"/>
                <w:sz w:val="18"/>
                <w:szCs w:val="18"/>
              </w:rPr>
              <w:t> </w:t>
            </w:r>
            <w:r>
              <w:rPr>
                <w:rFonts w:ascii="宋体" w:hAnsi="宋体" w:cs="宋体" w:eastAsia="宋体" w:hint="default"/>
                <w:sz w:val="18"/>
                <w:szCs w:val="18"/>
              </w:rPr>
              <w:t>应龙</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105" w:right="175"/>
              <w:jc w:val="both"/>
              <w:rPr>
                <w:rFonts w:ascii="宋体" w:hAnsi="宋体" w:cs="宋体" w:eastAsia="宋体" w:hint="default"/>
                <w:sz w:val="18"/>
                <w:szCs w:val="18"/>
              </w:rPr>
            </w:pPr>
            <w:r>
              <w:rPr>
                <w:rFonts w:ascii="宋体" w:hAnsi="宋体" w:cs="宋体" w:eastAsia="宋体" w:hint="default"/>
                <w:sz w:val="18"/>
                <w:szCs w:val="18"/>
              </w:rPr>
              <w:t>和规</w:t>
            </w:r>
            <w:r>
              <w:rPr>
                <w:rFonts w:ascii="宋体" w:hAnsi="宋体" w:cs="宋体" w:eastAsia="宋体" w:hint="default"/>
                <w:spacing w:val="-86"/>
                <w:sz w:val="18"/>
                <w:szCs w:val="18"/>
              </w:rPr>
              <w:t> </w:t>
            </w:r>
            <w:r>
              <w:rPr>
                <w:rFonts w:ascii="宋体" w:hAnsi="宋体" w:cs="宋体" w:eastAsia="宋体" w:hint="default"/>
                <w:sz w:val="18"/>
                <w:szCs w:val="18"/>
              </w:rPr>
              <w:t>范关</w:t>
            </w:r>
            <w:r>
              <w:rPr>
                <w:rFonts w:ascii="宋体" w:hAnsi="宋体" w:cs="宋体" w:eastAsia="宋体" w:hint="default"/>
                <w:spacing w:val="-86"/>
                <w:sz w:val="18"/>
                <w:szCs w:val="18"/>
              </w:rPr>
              <w:t> </w:t>
            </w:r>
            <w:r>
              <w:rPr>
                <w:rFonts w:ascii="宋体" w:hAnsi="宋体" w:cs="宋体" w:eastAsia="宋体" w:hint="default"/>
                <w:sz w:val="18"/>
                <w:szCs w:val="18"/>
              </w:rPr>
              <w:t>联交</w:t>
            </w:r>
            <w:r>
              <w:rPr>
                <w:rFonts w:ascii="宋体" w:hAnsi="宋体" w:cs="宋体" w:eastAsia="宋体" w:hint="default"/>
                <w:spacing w:val="-86"/>
                <w:sz w:val="18"/>
                <w:szCs w:val="18"/>
              </w:rPr>
              <w:t> </w:t>
            </w:r>
            <w:r>
              <w:rPr>
                <w:rFonts w:ascii="宋体" w:hAnsi="宋体" w:cs="宋体" w:eastAsia="宋体" w:hint="default"/>
                <w:sz w:val="18"/>
                <w:szCs w:val="18"/>
              </w:rPr>
              <w:t>易的</w:t>
            </w:r>
            <w:r>
              <w:rPr>
                <w:rFonts w:ascii="宋体" w:hAnsi="宋体" w:cs="宋体" w:eastAsia="宋体" w:hint="default"/>
                <w:spacing w:val="-86"/>
                <w:sz w:val="18"/>
                <w:szCs w:val="18"/>
              </w:rPr>
              <w:t> </w:t>
            </w:r>
            <w:r>
              <w:rPr>
                <w:rFonts w:ascii="宋体" w:hAnsi="宋体" w:cs="宋体" w:eastAsia="宋体" w:hint="default"/>
                <w:sz w:val="18"/>
                <w:szCs w:val="18"/>
              </w:rPr>
              <w:t>承诺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100" w:right="16"/>
              <w:jc w:val="left"/>
              <w:rPr>
                <w:rFonts w:ascii="宋体" w:hAnsi="宋体" w:cs="宋体" w:eastAsia="宋体" w:hint="default"/>
                <w:sz w:val="18"/>
                <w:szCs w:val="18"/>
              </w:rPr>
            </w:pPr>
            <w:r>
              <w:rPr>
                <w:rFonts w:ascii="宋体" w:hAnsi="宋体" w:cs="宋体" w:eastAsia="宋体" w:hint="default"/>
                <w:spacing w:val="-3"/>
                <w:sz w:val="18"/>
                <w:szCs w:val="18"/>
              </w:rPr>
              <w:t>或控制的其他企业与科创信息不存在其他重大关联交易。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w:t>
            </w:r>
            <w:r>
              <w:rPr>
                <w:rFonts w:ascii="宋体" w:hAnsi="宋体" w:cs="宋体" w:eastAsia="宋体" w:hint="default"/>
                <w:spacing w:val="-11"/>
                <w:sz w:val="18"/>
                <w:szCs w:val="18"/>
              </w:rPr>
              <w:t> </w:t>
            </w:r>
            <w:r>
              <w:rPr>
                <w:rFonts w:ascii="宋体" w:hAnsi="宋体" w:cs="宋体" w:eastAsia="宋体" w:hint="default"/>
                <w:spacing w:val="-3"/>
                <w:sz w:val="18"/>
                <w:szCs w:val="18"/>
              </w:rPr>
              <w:t>人及本人控制的除科创信息以外的其他企业将尽量避免与科创</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信息之间发生关联交易；对于确有必要且无法回避的关联交易，</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5"/>
                <w:sz w:val="18"/>
                <w:szCs w:val="18"/>
              </w:rPr>
              <w:t>均按照公平、公允和等价有偿的原则进行，交易价格按市场公认</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的合理价格确定，并按相关法律、法规以及规范性文件的规定履</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行交易审批程序及信息披露义务，切实保护科创信息及中小股东</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利益。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、本人保证严格遵守法律法规和中国证券监督管理委员</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sz w:val="18"/>
                <w:szCs w:val="18"/>
              </w:rPr>
              <w:t>会、证券交易所有关规范性文件及《湖南科创信息技术股份有限</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公司公司章程》和《湖南科创信息技术股份有限公司关联交易管</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8"/>
                <w:sz w:val="18"/>
                <w:szCs w:val="18"/>
              </w:rPr>
              <w:t>理制度》等管理制度的规定，决不以委托管理、借款、代偿债务、</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5"/>
                <w:sz w:val="18"/>
                <w:szCs w:val="18"/>
              </w:rPr>
              <w:t>代垫款项或者其他任何方式占用科创信息的资金或其他资产，不</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利用实际控制人的地位谋取不当的利益，不进行有损科创信息及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其他股东的关联交易。如违反上述承诺与科创信息及其控股子公</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司进行交易，而给科创信息及其控股子公司造成损失，由本人承</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担赔偿责任。</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10"/>
              <w:ind w:left="100" w:right="127"/>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1963" w:hRule="exact"/>
        </w:trPr>
        <w:tc>
          <w:tcPr>
            <w:tcW w:w="778" w:type="dxa"/>
            <w:vMerge/>
            <w:tcBorders>
              <w:left w:val="single" w:sz="4" w:space="0" w:color="000000"/>
              <w:bottom w:val="single" w:sz="4" w:space="0" w:color="000000"/>
              <w:right w:val="single" w:sz="4" w:space="0" w:color="000000"/>
            </w:tcBorders>
            <w:shd w:val="clear" w:color="auto" w:fill="D4D4D4"/>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7"/>
              <w:jc w:val="left"/>
              <w:rPr>
                <w:rFonts w:ascii="宋体" w:hAnsi="宋体" w:cs="宋体" w:eastAsia="宋体" w:hint="default"/>
                <w:sz w:val="18"/>
                <w:szCs w:val="18"/>
              </w:rPr>
            </w:pPr>
            <w:r>
              <w:rPr>
                <w:rFonts w:ascii="宋体" w:hAnsi="宋体" w:cs="宋体" w:eastAsia="宋体" w:hint="default"/>
                <w:sz w:val="18"/>
                <w:szCs w:val="18"/>
              </w:rPr>
              <w:t>费耀平、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0"/>
                <w:w w:val="101"/>
                <w:sz w:val="18"/>
                <w:szCs w:val="18"/>
              </w:rPr>
              <w:t>李杰、李</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建华、刘</w:t>
            </w:r>
            <w:r>
              <w:rPr>
                <w:rFonts w:ascii="宋体" w:hAnsi="宋体" w:cs="宋体" w:eastAsia="宋体" w:hint="default"/>
                <w:spacing w:val="-77"/>
                <w:w w:val="101"/>
                <w:sz w:val="18"/>
                <w:szCs w:val="18"/>
              </w:rPr>
              <w:t> </w:t>
            </w:r>
            <w:r>
              <w:rPr>
                <w:rFonts w:ascii="宋体" w:hAnsi="宋体" w:cs="宋体" w:eastAsia="宋体" w:hint="default"/>
                <w:spacing w:val="-40"/>
                <w:w w:val="101"/>
                <w:sz w:val="18"/>
                <w:szCs w:val="18"/>
              </w:rPr>
              <w:t>星沙、刘</w:t>
            </w:r>
            <w:r>
              <w:rPr>
                <w:rFonts w:ascii="宋体" w:hAnsi="宋体" w:cs="宋体" w:eastAsia="宋体" w:hint="default"/>
                <w:spacing w:val="-77"/>
                <w:w w:val="101"/>
                <w:sz w:val="18"/>
                <w:szCs w:val="18"/>
              </w:rPr>
              <w:t> </w:t>
            </w:r>
            <w:r>
              <w:rPr>
                <w:rFonts w:ascii="宋体" w:hAnsi="宋体" w:cs="宋体" w:eastAsia="宋体" w:hint="default"/>
                <w:sz w:val="18"/>
                <w:szCs w:val="18"/>
              </w:rPr>
              <w:t>应龙</w:t>
            </w: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75"/>
              <w:jc w:val="both"/>
              <w:rPr>
                <w:rFonts w:ascii="宋体" w:hAnsi="宋体" w:cs="宋体" w:eastAsia="宋体" w:hint="default"/>
                <w:sz w:val="18"/>
                <w:szCs w:val="18"/>
              </w:rPr>
            </w:pPr>
            <w:r>
              <w:rPr>
                <w:rFonts w:ascii="宋体" w:hAnsi="宋体" w:cs="宋体" w:eastAsia="宋体" w:hint="default"/>
                <w:sz w:val="18"/>
                <w:szCs w:val="18"/>
              </w:rPr>
              <w:t>避免</w:t>
            </w:r>
            <w:r>
              <w:rPr>
                <w:rFonts w:ascii="宋体" w:hAnsi="宋体" w:cs="宋体" w:eastAsia="宋体" w:hint="default"/>
                <w:spacing w:val="-86"/>
                <w:sz w:val="18"/>
                <w:szCs w:val="18"/>
              </w:rPr>
              <w:t> </w:t>
            </w: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占用</w:t>
            </w:r>
            <w:r>
              <w:rPr>
                <w:rFonts w:ascii="宋体" w:hAnsi="宋体" w:cs="宋体" w:eastAsia="宋体" w:hint="default"/>
                <w:spacing w:val="-86"/>
                <w:sz w:val="18"/>
                <w:szCs w:val="18"/>
              </w:rPr>
              <w:t> </w:t>
            </w:r>
            <w:r>
              <w:rPr>
                <w:rFonts w:ascii="宋体" w:hAnsi="宋体" w:cs="宋体" w:eastAsia="宋体" w:hint="default"/>
                <w:sz w:val="18"/>
                <w:szCs w:val="18"/>
              </w:rPr>
              <w:t>的承</w:t>
            </w:r>
            <w:r>
              <w:rPr>
                <w:rFonts w:ascii="宋体" w:hAnsi="宋体" w:cs="宋体" w:eastAsia="宋体" w:hint="default"/>
                <w:spacing w:val="-86"/>
                <w:sz w:val="18"/>
                <w:szCs w:val="18"/>
              </w:rPr>
              <w:t> </w:t>
            </w:r>
            <w:r>
              <w:rPr>
                <w:rFonts w:ascii="宋体" w:hAnsi="宋体" w:cs="宋体" w:eastAsia="宋体" w:hint="default"/>
                <w:sz w:val="18"/>
                <w:szCs w:val="18"/>
              </w:rPr>
              <w:t>诺</w:t>
            </w: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3"/>
              <w:ind w:left="100" w:right="9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、本人保证严格遵守法律法规和中国证监会、证券交易所有关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5"/>
                <w:sz w:val="18"/>
                <w:szCs w:val="18"/>
              </w:rPr>
              <w:t>规范性文件及科创信息公司章程等管理制度的规定，决不以委托</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管理、借款、代偿债务、代垫款项或其他任何方式占用科创信息</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的资金或其他资产。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、如本人违反上述承诺，占用科创信息及</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5"/>
                <w:sz w:val="18"/>
                <w:szCs w:val="18"/>
              </w:rPr>
              <w:t>其控股子公司的资金或其他资产，而给科创信息及其控股子公司</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造成损失，由本人承担赔偿责任。</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0" w:right="127"/>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715"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22"/>
              <w:jc w:val="left"/>
              <w:rPr>
                <w:rFonts w:ascii="宋体" w:hAnsi="宋体" w:cs="宋体" w:eastAsia="宋体" w:hint="default"/>
                <w:sz w:val="18"/>
                <w:szCs w:val="18"/>
              </w:rPr>
            </w:pPr>
            <w:r>
              <w:rPr>
                <w:rFonts w:ascii="宋体" w:hAnsi="宋体" w:cs="宋体" w:eastAsia="宋体" w:hint="default"/>
                <w:spacing w:val="-4"/>
                <w:sz w:val="18"/>
                <w:szCs w:val="18"/>
              </w:rPr>
              <w:t>股权激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励承诺</w:t>
            </w:r>
            <w:r>
              <w:rPr>
                <w:rFonts w:ascii="宋体" w:hAnsi="宋体" w:cs="宋体" w:eastAsia="宋体" w:hint="default"/>
                <w:sz w:val="18"/>
                <w:szCs w:val="18"/>
              </w:rPr>
            </w: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51"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22"/>
              <w:jc w:val="both"/>
              <w:rPr>
                <w:rFonts w:ascii="宋体" w:hAnsi="宋体" w:cs="宋体" w:eastAsia="宋体" w:hint="default"/>
                <w:sz w:val="18"/>
                <w:szCs w:val="18"/>
              </w:rPr>
            </w:pPr>
            <w:r>
              <w:rPr>
                <w:rFonts w:ascii="宋体" w:hAnsi="宋体" w:cs="宋体" w:eastAsia="宋体" w:hint="default"/>
                <w:spacing w:val="-4"/>
                <w:sz w:val="18"/>
                <w:szCs w:val="18"/>
              </w:rPr>
              <w:t>其他对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公司中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小股东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所作承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诺</w:t>
            </w:r>
          </w:p>
        </w:tc>
        <w:tc>
          <w:tcPr>
            <w:tcW w:w="8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0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2"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22"/>
              <w:jc w:val="both"/>
              <w:rPr>
                <w:rFonts w:ascii="宋体" w:hAnsi="宋体" w:cs="宋体" w:eastAsia="宋体" w:hint="default"/>
                <w:sz w:val="18"/>
                <w:szCs w:val="18"/>
              </w:rPr>
            </w:pPr>
            <w:r>
              <w:rPr>
                <w:rFonts w:ascii="宋体" w:hAnsi="宋体" w:cs="宋体" w:eastAsia="宋体" w:hint="default"/>
                <w:spacing w:val="-4"/>
                <w:sz w:val="18"/>
                <w:szCs w:val="18"/>
              </w:rPr>
              <w:t>承诺是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否按时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履行</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1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797" w:hRule="exact"/>
        </w:trPr>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22"/>
              <w:jc w:val="both"/>
              <w:rPr>
                <w:rFonts w:ascii="宋体" w:hAnsi="宋体" w:cs="宋体" w:eastAsia="宋体" w:hint="default"/>
                <w:sz w:val="18"/>
                <w:szCs w:val="18"/>
              </w:rPr>
            </w:pPr>
            <w:r>
              <w:rPr>
                <w:rFonts w:ascii="宋体" w:hAnsi="宋体" w:cs="宋体" w:eastAsia="宋体" w:hint="default"/>
                <w:spacing w:val="-4"/>
                <w:sz w:val="18"/>
                <w:szCs w:val="18"/>
              </w:rPr>
              <w:t>如承诺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超期未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履行完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毕的，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细说明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未完成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履行的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具体原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因及下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一步的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工作计</w:t>
            </w:r>
            <w:r>
              <w:rPr>
                <w:rFonts w:ascii="宋体" w:hAnsi="宋体" w:cs="宋体" w:eastAsia="宋体" w:hint="default"/>
                <w:sz w:val="18"/>
                <w:szCs w:val="18"/>
              </w:rPr>
            </w:r>
          </w:p>
        </w:tc>
        <w:tc>
          <w:tcPr>
            <w:tcW w:w="8789" w:type="dxa"/>
            <w:gridSpan w:val="6"/>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7"/>
        <w:rPr>
          <w:rFonts w:ascii="Times New Roman" w:hAnsi="Times New Roman" w:cs="Times New Roman" w:eastAsia="Times New Roman" w:hint="default"/>
          <w:sz w:val="28"/>
          <w:szCs w:val="28"/>
        </w:rPr>
      </w:pPr>
    </w:p>
    <w:p>
      <w:pPr>
        <w:spacing w:line="379" w:lineRule="exact"/>
        <w:ind w:left="2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85pt;height:19pt;mso-position-horizontal-relative:char;mso-position-vertical-relative:line" coordorigin="0,0" coordsize="9577,380">
            <v:group style="position:absolute;left:10;top:14;width:106;height:351" coordorigin="10,14" coordsize="106,351">
              <v:shape style="position:absolute;left:10;top:14;width:106;height:351" coordorigin="10,14" coordsize="106,351" path="m10,365l115,365,115,14,10,14,10,365xe" filled="true" fillcolor="#d4d4d4" stroked="false">
                <v:path arrowok="t"/>
                <v:fill type="solid"/>
              </v:shape>
            </v:group>
            <v:group style="position:absolute;left:677;top:14;width:101;height:351" coordorigin="677,14" coordsize="101,351">
              <v:shape style="position:absolute;left:677;top:14;width:101;height:351" coordorigin="677,14" coordsize="101,351" path="m677,365l778,365,778,14,677,14,677,365xe" filled="true" fillcolor="#d4d4d4" stroked="false">
                <v:path arrowok="t"/>
                <v:fill type="solid"/>
              </v:shape>
            </v:group>
            <v:group style="position:absolute;left:115;top:14;width:562;height:351" coordorigin="115,14" coordsize="562,351">
              <v:shape style="position:absolute;left:115;top:14;width:562;height:351" coordorigin="115,14" coordsize="562,351" path="m115,365l677,365,677,14,115,14,115,365xe" filled="true" fillcolor="#d4d4d4" stroked="false">
                <v:path arrowok="t"/>
                <v:fill type="solid"/>
              </v:shape>
            </v:group>
            <v:group style="position:absolute;left:787;top:14;width:8780;height:351" coordorigin="787,14" coordsize="8780,351">
              <v:shape style="position:absolute;left:787;top:14;width:8780;height:351" coordorigin="787,14" coordsize="8780,351" path="m787,365l9566,365,9566,14,787,14,787,365xe" filled="true" fillcolor="#c7edcc" stroked="false">
                <v:path arrowok="t"/>
                <v:fill type="solid"/>
              </v:shape>
            </v:group>
            <v:group style="position:absolute;left:10;top:10;width:768;height:2" coordorigin="10,10" coordsize="768,2">
              <v:shape style="position:absolute;left:10;top:10;width:768;height:2" coordorigin="10,10" coordsize="768,0" path="m10,10l778,10e" filled="false" stroked="true" strokeweight=".481pt" strokecolor="#000000">
                <v:path arrowok="t"/>
              </v:shape>
            </v:group>
            <v:group style="position:absolute;left:787;top:10;width:8780;height:2" coordorigin="787,10" coordsize="8780,2">
              <v:shape style="position:absolute;left:787;top:10;width:8780;height:2" coordorigin="787,10" coordsize="8780,0" path="m787,10l9566,10e" filled="false" stroked="true" strokeweight=".481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768;height:2" coordorigin="10,370" coordsize="768,2">
              <v:shape style="position:absolute;left:10;top:370;width:768;height:2" coordorigin="10,370" coordsize="768,0" path="m10,370l778,370e" filled="false" stroked="true" strokeweight=".481pt" strokecolor="#000000">
                <v:path arrowok="t"/>
              </v:shape>
            </v:group>
            <v:group style="position:absolute;left:782;top:5;width:2;height:370" coordorigin="782,5" coordsize="2,370">
              <v:shape style="position:absolute;left:782;top:5;width:2;height:370" coordorigin="782,5" coordsize="0,370" path="m782,5l782,374e" filled="false" stroked="true" strokeweight=".48pt" strokecolor="#000000">
                <v:path arrowok="t"/>
              </v:shape>
            </v:group>
            <v:group style="position:absolute;left:787;top:370;width:8780;height:2" coordorigin="787,370" coordsize="8780,2">
              <v:shape style="position:absolute;left:787;top:370;width:8780;height:2" coordorigin="787,370" coordsize="8780,0" path="m787,370l9566,370e" filled="false" stroked="true" strokeweight=".481pt" strokecolor="#000000">
                <v:path arrowok="t"/>
              </v:shape>
            </v:group>
            <v:group style="position:absolute;left:9571;top:5;width:2;height:370" coordorigin="9571,5" coordsize="2,370">
              <v:shape style="position:absolute;left:9571;top:5;width:2;height:370" coordorigin="9571,5" coordsize="0,370" path="m9571,5l9571,374e" filled="false" stroked="true" strokeweight=".481pt" strokecolor="#000000">
                <v:path arrowok="t"/>
              </v:shape>
              <v:shape style="position:absolute;left:5;top:10;width:778;height:360" type="#_x0000_t202" filled="false" stroked="false">
                <v:textbox inset="0,0,0,0">
                  <w:txbxContent>
                    <w:p>
                      <w:pPr>
                        <w:spacing w:before="20"/>
                        <w:ind w:left="110" w:right="0" w:firstLine="0"/>
                        <w:jc w:val="left"/>
                        <w:rPr>
                          <w:rFonts w:ascii="宋体" w:hAnsi="宋体" w:cs="宋体" w:eastAsia="宋体" w:hint="default"/>
                          <w:sz w:val="18"/>
                          <w:szCs w:val="18"/>
                        </w:rPr>
                      </w:pPr>
                      <w:r>
                        <w:rPr>
                          <w:rFonts w:ascii="宋体" w:hAnsi="宋体" w:cs="宋体" w:eastAsia="宋体" w:hint="default"/>
                          <w:w w:val="101"/>
                          <w:sz w:val="18"/>
                          <w:szCs w:val="18"/>
                        </w:rPr>
                        <w:t>划</w:t>
                      </w:r>
                      <w:r>
                        <w:rPr>
                          <w:rFonts w:ascii="宋体" w:hAnsi="宋体" w:cs="宋体" w:eastAsia="宋体" w:hint="default"/>
                          <w:sz w:val="18"/>
                          <w:szCs w:val="18"/>
                        </w:rPr>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4"/>
        <w:spacing w:line="256" w:lineRule="auto" w:before="36"/>
        <w:ind w:left="212" w:right="194"/>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212" w:right="194"/>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1195"/>
        <w:gridCol w:w="1195"/>
        <w:gridCol w:w="1195"/>
        <w:gridCol w:w="1195"/>
        <w:gridCol w:w="1195"/>
        <w:gridCol w:w="1200"/>
        <w:gridCol w:w="1195"/>
        <w:gridCol w:w="1195"/>
      </w:tblGrid>
      <w:tr>
        <w:trPr>
          <w:trHeight w:val="1027"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3"/>
              <w:ind w:left="144" w:right="141"/>
              <w:jc w:val="center"/>
              <w:rPr>
                <w:rFonts w:ascii="宋体" w:hAnsi="宋体" w:cs="宋体" w:eastAsia="宋体" w:hint="default"/>
                <w:sz w:val="18"/>
                <w:szCs w:val="18"/>
              </w:rPr>
            </w:pPr>
            <w:r>
              <w:rPr>
                <w:rFonts w:ascii="宋体" w:hAnsi="宋体" w:cs="宋体" w:eastAsia="宋体" w:hint="default"/>
                <w:spacing w:val="-3"/>
                <w:sz w:val="18"/>
                <w:szCs w:val="18"/>
              </w:rPr>
              <w:t>盈利预测资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产或项目名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称</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99" w:right="146" w:hanging="360"/>
              <w:jc w:val="left"/>
              <w:rPr>
                <w:rFonts w:ascii="宋体" w:hAnsi="宋体" w:cs="宋体" w:eastAsia="宋体" w:hint="default"/>
                <w:sz w:val="18"/>
                <w:szCs w:val="18"/>
              </w:rPr>
            </w:pPr>
            <w:r>
              <w:rPr>
                <w:rFonts w:ascii="宋体" w:hAnsi="宋体" w:cs="宋体" w:eastAsia="宋体" w:hint="default"/>
                <w:spacing w:val="-3"/>
                <w:sz w:val="18"/>
                <w:szCs w:val="18"/>
              </w:rPr>
              <w:t>预测起始时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04" w:right="141" w:hanging="360"/>
              <w:jc w:val="left"/>
              <w:rPr>
                <w:rFonts w:ascii="宋体" w:hAnsi="宋体" w:cs="宋体" w:eastAsia="宋体" w:hint="default"/>
                <w:sz w:val="18"/>
                <w:szCs w:val="18"/>
              </w:rPr>
            </w:pPr>
            <w:r>
              <w:rPr>
                <w:rFonts w:ascii="宋体" w:hAnsi="宋体" w:cs="宋体" w:eastAsia="宋体" w:hint="default"/>
                <w:spacing w:val="-3"/>
                <w:sz w:val="18"/>
                <w:szCs w:val="18"/>
              </w:rPr>
              <w:t>预测终止时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43" w:right="141"/>
              <w:jc w:val="left"/>
              <w:rPr>
                <w:rFonts w:ascii="宋体" w:hAnsi="宋体" w:cs="宋体" w:eastAsia="宋体" w:hint="default"/>
                <w:sz w:val="18"/>
                <w:szCs w:val="18"/>
              </w:rPr>
            </w:pPr>
            <w:r>
              <w:rPr>
                <w:rFonts w:ascii="宋体" w:hAnsi="宋体" w:cs="宋体" w:eastAsia="宋体" w:hint="default"/>
                <w:spacing w:val="-3"/>
                <w:sz w:val="18"/>
                <w:szCs w:val="18"/>
              </w:rPr>
              <w:t>当期预测业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绩（万元）</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43" w:right="141"/>
              <w:jc w:val="left"/>
              <w:rPr>
                <w:rFonts w:ascii="宋体" w:hAnsi="宋体" w:cs="宋体" w:eastAsia="宋体" w:hint="default"/>
                <w:sz w:val="18"/>
                <w:szCs w:val="18"/>
              </w:rPr>
            </w:pPr>
            <w:r>
              <w:rPr>
                <w:rFonts w:ascii="宋体" w:hAnsi="宋体" w:cs="宋体" w:eastAsia="宋体" w:hint="default"/>
                <w:spacing w:val="-3"/>
                <w:sz w:val="18"/>
                <w:szCs w:val="18"/>
              </w:rPr>
              <w:t>当期实际业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绩（万元）</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3"/>
              <w:ind w:left="143" w:right="146"/>
              <w:jc w:val="center"/>
              <w:rPr>
                <w:rFonts w:ascii="宋体" w:hAnsi="宋体" w:cs="宋体" w:eastAsia="宋体" w:hint="default"/>
                <w:sz w:val="18"/>
                <w:szCs w:val="18"/>
              </w:rPr>
            </w:pPr>
            <w:r>
              <w:rPr>
                <w:rFonts w:ascii="宋体" w:hAnsi="宋体" w:cs="宋体" w:eastAsia="宋体" w:hint="default"/>
                <w:spacing w:val="-3"/>
                <w:sz w:val="18"/>
                <w:szCs w:val="18"/>
              </w:rPr>
              <w:t>未达预测的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原因（如适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12" w:right="141" w:hanging="269"/>
              <w:jc w:val="left"/>
              <w:rPr>
                <w:rFonts w:ascii="宋体" w:hAnsi="宋体" w:cs="宋体" w:eastAsia="宋体" w:hint="default"/>
                <w:sz w:val="18"/>
                <w:szCs w:val="18"/>
              </w:rPr>
            </w:pPr>
            <w:r>
              <w:rPr>
                <w:rFonts w:ascii="宋体" w:hAnsi="宋体" w:cs="宋体" w:eastAsia="宋体" w:hint="default"/>
                <w:spacing w:val="-3"/>
                <w:sz w:val="18"/>
                <w:szCs w:val="18"/>
              </w:rPr>
              <w:t>原预测披露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日期</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12" w:right="141" w:hanging="269"/>
              <w:jc w:val="left"/>
              <w:rPr>
                <w:rFonts w:ascii="宋体" w:hAnsi="宋体" w:cs="宋体" w:eastAsia="宋体" w:hint="default"/>
                <w:sz w:val="18"/>
                <w:szCs w:val="18"/>
              </w:rPr>
            </w:pPr>
            <w:r>
              <w:rPr>
                <w:rFonts w:ascii="宋体" w:hAnsi="宋体" w:cs="宋体" w:eastAsia="宋体" w:hint="default"/>
                <w:spacing w:val="-3"/>
                <w:sz w:val="18"/>
                <w:szCs w:val="18"/>
              </w:rPr>
              <w:t>原预测披露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索引</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5,005.41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5,228.31</w:t>
            </w:r>
          </w:p>
        </w:tc>
        <w:tc>
          <w:tcPr>
            <w:tcW w:w="12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宋体" w:hAnsi="宋体" w:cs="宋体" w:eastAsia="宋体" w:hint="default"/>
                <w:sz w:val="18"/>
                <w:szCs w:val="18"/>
              </w:rPr>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4,233.18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4,456.72</w:t>
            </w:r>
          </w:p>
        </w:tc>
        <w:tc>
          <w:tcPr>
            <w:tcW w:w="12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宋体" w:hAnsi="宋体" w:cs="宋体" w:eastAsia="宋体" w:hint="default"/>
                <w:sz w:val="18"/>
                <w:szCs w:val="18"/>
              </w:rPr>
            </w:r>
          </w:p>
        </w:tc>
      </w:tr>
    </w:tbl>
    <w:p>
      <w:pPr>
        <w:pStyle w:val="BodyText"/>
        <w:spacing w:line="240" w:lineRule="auto" w:before="53"/>
        <w:ind w:left="212" w:right="194"/>
        <w:jc w:val="left"/>
      </w:pPr>
      <w:r>
        <w:rPr>
          <w:spacing w:val="-3"/>
        </w:rPr>
        <w:t>公司股东、交易对手方对公司或相关资产年度经营业绩作出的承诺情况</w:t>
      </w:r>
    </w:p>
    <w:p>
      <w:pPr>
        <w:pStyle w:val="BodyText"/>
        <w:spacing w:line="240" w:lineRule="auto" w:before="115"/>
        <w:ind w:left="212" w:right="194"/>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4"/>
          <w:szCs w:val="24"/>
        </w:rPr>
      </w:pPr>
    </w:p>
    <w:p>
      <w:pPr>
        <w:pStyle w:val="Heading2"/>
        <w:spacing w:line="240" w:lineRule="auto"/>
        <w:ind w:left="212" w:right="194"/>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left="212" w:right="2688" w:hanging="1"/>
        <w:jc w:val="left"/>
      </w:pPr>
      <w:r>
        <w:rPr/>
        <w:t>□ </w:t>
      </w:r>
      <w:r>
        <w:rPr>
          <w:spacing w:val="-3"/>
        </w:rPr>
        <w:t>适用 </w:t>
      </w:r>
      <w:r>
        <w:rPr/>
        <w:t>√ 不适用</w:t>
      </w:r>
      <w:r>
        <w:rPr>
          <w:spacing w:val="-77"/>
        </w:rPr>
        <w:t> </w:t>
      </w:r>
      <w:r>
        <w:rPr>
          <w:spacing w:val="-77"/>
        </w:rPr>
      </w:r>
      <w:r>
        <w:rPr>
          <w:spacing w:val="-3"/>
        </w:rPr>
        <w:t>公司报告期不存在控股股东及其关联方对上市公司的非经营性占用资金。</w:t>
      </w:r>
      <w:r>
        <w:rPr/>
      </w:r>
    </w:p>
    <w:p>
      <w:pPr>
        <w:spacing w:line="240" w:lineRule="auto" w:before="3"/>
        <w:rPr>
          <w:rFonts w:ascii="宋体" w:hAnsi="宋体" w:cs="宋体" w:eastAsia="宋体" w:hint="default"/>
          <w:sz w:val="17"/>
          <w:szCs w:val="17"/>
        </w:rPr>
      </w:pPr>
    </w:p>
    <w:p>
      <w:pPr>
        <w:pStyle w:val="Heading2"/>
        <w:spacing w:line="240" w:lineRule="auto"/>
        <w:ind w:left="212" w:right="194"/>
        <w:jc w:val="left"/>
        <w:rPr>
          <w:b w:val="0"/>
          <w:bCs w:val="0"/>
        </w:rPr>
      </w:pPr>
      <w:bookmarkStart w:name="四、董事会对最近一期“非标准审计报告”相关情况的说明" w:id="67"/>
      <w:bookmarkEnd w:id="67"/>
      <w:r>
        <w:rPr>
          <w:b w:val="0"/>
          <w:bCs w:val="0"/>
        </w:rPr>
      </w:r>
      <w:r>
        <w:rPr/>
        <w:t>四、董事会对最近一期</w:t>
      </w:r>
      <w:r>
        <w:rPr>
          <w:rFonts w:ascii="宋体" w:hAnsi="宋体" w:cs="宋体" w:eastAsia="宋体" w:hint="default"/>
        </w:rPr>
        <w:t>“</w:t>
      </w:r>
      <w:r>
        <w:rPr/>
        <w:t>非标准审计报告</w:t>
      </w:r>
      <w:r>
        <w:rPr>
          <w:rFonts w:ascii="宋体" w:hAnsi="宋体" w:cs="宋体" w:eastAsia="宋体" w:hint="default"/>
        </w:rPr>
        <w:t>”</w:t>
      </w:r>
      <w:r>
        <w:rPr/>
        <w:t>相关情况的说明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212" w:right="194"/>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2"/>
        <w:spacing w:line="308" w:lineRule="exact" w:before="121"/>
        <w:ind w:left="212" w:right="194"/>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宋体" w:hAnsi="宋体" w:cs="宋体" w:eastAsia="宋体" w:hint="default"/>
        </w:rPr>
        <w:t>“</w:t>
      </w:r>
      <w:r>
        <w:rPr/>
        <w:t>非标准审计报告</w:t>
      </w:r>
      <w:r>
        <w:rPr>
          <w:rFonts w:ascii="宋体" w:hAnsi="宋体" w:cs="宋体" w:eastAsia="宋体" w:hint="default"/>
        </w:rPr>
        <w:t>”</w:t>
      </w:r>
      <w:r>
        <w:rPr/>
        <w:t>的说</w:t>
      </w:r>
      <w:r>
        <w:rPr>
          <w:w w:val="99"/>
        </w:rPr>
        <w:t> </w:t>
      </w:r>
      <w:r>
        <w:rPr/>
        <w:t>明</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left="212" w:right="194"/>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left="212" w:right="194"/>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212" w:right="194"/>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14"/>
          <w:szCs w:val="14"/>
        </w:rPr>
      </w:pPr>
    </w:p>
    <w:p>
      <w:pPr>
        <w:pStyle w:val="BodyText"/>
        <w:spacing w:line="300" w:lineRule="auto"/>
        <w:ind w:left="212" w:right="194" w:firstLine="359"/>
        <w:jc w:val="left"/>
      </w:pPr>
      <w:r>
        <w:rPr>
          <w:spacing w:val="-6"/>
          <w:w w:val="101"/>
        </w:rPr>
        <w:t>（</w:t>
      </w:r>
      <w:r>
        <w:rPr>
          <w:rFonts w:ascii="Times New Roman" w:hAnsi="Times New Roman" w:cs="Times New Roman" w:eastAsia="Times New Roman" w:hint="default"/>
          <w:spacing w:val="-6"/>
          <w:w w:val="101"/>
        </w:rPr>
        <w:t>1</w:t>
      </w:r>
      <w:r>
        <w:rPr>
          <w:spacing w:val="-6"/>
          <w:w w:val="101"/>
        </w:rPr>
        <w:t>）本公司经董事会会议批准，自</w:t>
      </w:r>
      <w:r>
        <w:rPr>
          <w:rFonts w:ascii="Times New Roman" w:hAnsi="Times New Roman" w:cs="Times New Roman" w:eastAsia="Times New Roman" w:hint="default"/>
          <w:spacing w:val="-6"/>
          <w:w w:val="101"/>
        </w:rPr>
        <w:t>2017</w:t>
      </w:r>
      <w:r>
        <w:rPr>
          <w:spacing w:val="-6"/>
          <w:w w:val="101"/>
        </w:rPr>
        <w:t>年</w:t>
      </w:r>
      <w:r>
        <w:rPr>
          <w:rFonts w:ascii="Times New Roman" w:hAnsi="Times New Roman" w:cs="Times New Roman" w:eastAsia="Times New Roman" w:hint="default"/>
          <w:spacing w:val="-6"/>
          <w:w w:val="101"/>
        </w:rPr>
        <w:t>1</w:t>
      </w:r>
      <w:r>
        <w:rPr>
          <w:spacing w:val="-6"/>
          <w:w w:val="101"/>
        </w:rPr>
        <w:t>月</w:t>
      </w:r>
      <w:r>
        <w:rPr>
          <w:rFonts w:ascii="Times New Roman" w:hAnsi="Times New Roman" w:cs="Times New Roman" w:eastAsia="Times New Roman" w:hint="default"/>
          <w:spacing w:val="-6"/>
          <w:w w:val="101"/>
        </w:rPr>
        <w:t>1</w:t>
      </w:r>
      <w:r>
        <w:rPr>
          <w:spacing w:val="-6"/>
          <w:w w:val="101"/>
        </w:rPr>
        <w:t>日采用《企业会计准则第</w:t>
      </w:r>
      <w:r>
        <w:rPr>
          <w:rFonts w:ascii="Times New Roman" w:hAnsi="Times New Roman" w:cs="Times New Roman" w:eastAsia="Times New Roman" w:hint="default"/>
          <w:spacing w:val="-6"/>
          <w:w w:val="101"/>
        </w:rPr>
        <w:t>16</w:t>
      </w:r>
      <w:r>
        <w:rPr>
          <w:spacing w:val="-6"/>
          <w:w w:val="101"/>
        </w:rPr>
        <w:t>号</w:t>
      </w:r>
      <w:r>
        <w:rPr>
          <w:rFonts w:ascii="Times New Roman" w:hAnsi="Times New Roman" w:cs="Times New Roman" w:eastAsia="Times New Roman" w:hint="default"/>
          <w:spacing w:val="-6"/>
          <w:w w:val="101"/>
        </w:rPr>
        <w:t>——</w:t>
      </w:r>
      <w:r>
        <w:rPr>
          <w:spacing w:val="-6"/>
          <w:w w:val="101"/>
        </w:rPr>
        <w:t>政府补助》（财会〔</w:t>
      </w:r>
      <w:r>
        <w:rPr>
          <w:rFonts w:ascii="Times New Roman" w:hAnsi="Times New Roman" w:cs="Times New Roman" w:eastAsia="Times New Roman" w:hint="default"/>
          <w:spacing w:val="-6"/>
          <w:w w:val="101"/>
        </w:rPr>
        <w:t>2017</w:t>
      </w:r>
      <w:r>
        <w:rPr>
          <w:spacing w:val="-6"/>
          <w:w w:val="101"/>
        </w:rPr>
        <w:t>〕</w:t>
      </w:r>
      <w:r>
        <w:rPr>
          <w:rFonts w:ascii="Times New Roman" w:hAnsi="Times New Roman" w:cs="Times New Roman" w:eastAsia="Times New Roman" w:hint="default"/>
          <w:spacing w:val="-6"/>
          <w:w w:val="101"/>
        </w:rPr>
        <w:t>15</w:t>
      </w:r>
      <w:r>
        <w:rPr>
          <w:spacing w:val="-6"/>
          <w:w w:val="101"/>
        </w:rPr>
        <w:t>号）相关</w:t>
      </w:r>
      <w:r>
        <w:rPr>
          <w:spacing w:val="-5"/>
          <w:w w:val="101"/>
        </w:rPr>
        <w:t> </w:t>
      </w:r>
      <w:r>
        <w:rPr>
          <w:spacing w:val="-3"/>
        </w:rPr>
        <w:t>规定，采用未来适用法处理。</w:t>
      </w:r>
      <w:r>
        <w:rPr/>
      </w:r>
    </w:p>
    <w:p>
      <w:pPr>
        <w:pStyle w:val="BodyText"/>
        <w:spacing w:line="300" w:lineRule="auto" w:before="151"/>
        <w:ind w:left="212" w:right="0" w:firstLine="360"/>
        <w:jc w:val="left"/>
      </w:pPr>
      <w:r>
        <w:rPr>
          <w:spacing w:val="-10"/>
          <w:w w:val="101"/>
        </w:rPr>
        <w:t>（</w:t>
      </w:r>
      <w:r>
        <w:rPr>
          <w:rFonts w:ascii="Times New Roman" w:hAnsi="Times New Roman" w:cs="Times New Roman" w:eastAsia="Times New Roman" w:hint="default"/>
          <w:spacing w:val="-10"/>
          <w:w w:val="101"/>
        </w:rPr>
        <w:t>2</w:t>
      </w:r>
      <w:r>
        <w:rPr>
          <w:spacing w:val="-10"/>
          <w:w w:val="101"/>
        </w:rPr>
        <w:t>）本公司经董事会会议批准，自</w:t>
      </w:r>
      <w:r>
        <w:rPr>
          <w:rFonts w:ascii="Times New Roman" w:hAnsi="Times New Roman" w:cs="Times New Roman" w:eastAsia="Times New Roman" w:hint="default"/>
          <w:spacing w:val="-10"/>
          <w:w w:val="101"/>
        </w:rPr>
        <w:t>2017</w:t>
      </w:r>
      <w:r>
        <w:rPr>
          <w:spacing w:val="-10"/>
          <w:w w:val="101"/>
        </w:rPr>
        <w:t>年</w:t>
      </w:r>
      <w:r>
        <w:rPr>
          <w:rFonts w:ascii="Times New Roman" w:hAnsi="Times New Roman" w:cs="Times New Roman" w:eastAsia="Times New Roman" w:hint="default"/>
          <w:spacing w:val="-10"/>
          <w:w w:val="101"/>
        </w:rPr>
        <w:t>1</w:t>
      </w:r>
      <w:r>
        <w:rPr>
          <w:spacing w:val="-10"/>
          <w:w w:val="101"/>
        </w:rPr>
        <w:t>月</w:t>
      </w:r>
      <w:r>
        <w:rPr>
          <w:rFonts w:ascii="Times New Roman" w:hAnsi="Times New Roman" w:cs="Times New Roman" w:eastAsia="Times New Roman" w:hint="default"/>
          <w:spacing w:val="-10"/>
          <w:w w:val="101"/>
        </w:rPr>
        <w:t>1</w:t>
      </w:r>
      <w:r>
        <w:rPr>
          <w:spacing w:val="-10"/>
          <w:w w:val="101"/>
        </w:rPr>
        <w:t>日采用财政部《关于修订印发一般企业财务报表格式的通知》（财会〔</w:t>
      </w:r>
      <w:r>
        <w:rPr>
          <w:rFonts w:ascii="Times New Roman" w:hAnsi="Times New Roman" w:cs="Times New Roman" w:eastAsia="Times New Roman" w:hint="default"/>
          <w:spacing w:val="-10"/>
          <w:w w:val="101"/>
        </w:rPr>
        <w:t>2017</w:t>
      </w:r>
      <w:r>
        <w:rPr>
          <w:spacing w:val="-10"/>
          <w:w w:val="101"/>
        </w:rPr>
        <w:t>〕</w:t>
      </w:r>
      <w:r>
        <w:rPr>
          <w:w w:val="101"/>
        </w:rPr>
        <w:t> </w:t>
      </w:r>
      <w:r>
        <w:rPr>
          <w:rFonts w:ascii="Times New Roman" w:hAnsi="Times New Roman" w:cs="Times New Roman" w:eastAsia="Times New Roman" w:hint="default"/>
        </w:rPr>
        <w:t>30</w:t>
      </w:r>
      <w:r>
        <w:rPr/>
        <w:t>号）相关规定。</w:t>
      </w:r>
    </w:p>
    <w:p>
      <w:pPr>
        <w:pStyle w:val="BodyText"/>
        <w:spacing w:line="240" w:lineRule="auto" w:before="133"/>
        <w:ind w:left="573" w:right="194"/>
        <w:jc w:val="left"/>
        <w:rPr>
          <w:rFonts w:ascii="宋体" w:hAnsi="宋体" w:cs="宋体" w:eastAsia="宋体" w:hint="default"/>
        </w:rPr>
      </w:pPr>
      <w:r>
        <w:rPr>
          <w:spacing w:val="-3"/>
        </w:rPr>
        <w:t>上述两项会计政策变更导致的影响如下：</w:t>
      </w:r>
      <w:r>
        <w:rPr>
          <w:rFonts w:ascii="宋体" w:hAnsi="宋体" w:cs="宋体" w:eastAsia="宋体" w:hint="default"/>
        </w:rPr>
        <w:t> </w:t>
      </w:r>
    </w:p>
    <w:p>
      <w:pPr>
        <w:spacing w:line="240" w:lineRule="auto" w:before="2"/>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3432"/>
        <w:gridCol w:w="6110"/>
      </w:tblGrid>
      <w:tr>
        <w:trPr>
          <w:trHeight w:val="277" w:hRule="exact"/>
        </w:trPr>
        <w:tc>
          <w:tcPr>
            <w:tcW w:w="3432"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6110" w:type="dxa"/>
            <w:tcBorders>
              <w:top w:val="nil" w:sz="6" w:space="0" w:color="auto"/>
              <w:left w:val="nil" w:sz="6" w:space="0" w:color="auto"/>
              <w:bottom w:val="single" w:sz="4" w:space="0" w:color="000000"/>
              <w:right w:val="nil" w:sz="6" w:space="0" w:color="auto"/>
            </w:tcBorders>
          </w:tcPr>
          <w:p>
            <w:pPr>
              <w:pStyle w:val="TableParagraph"/>
              <w:spacing w:line="182" w:lineRule="exact"/>
              <w:ind w:left="1881"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376" w:hRule="exact"/>
        </w:trPr>
        <w:tc>
          <w:tcPr>
            <w:tcW w:w="3432"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pacing w:val="-4"/>
                <w:sz w:val="18"/>
                <w:szCs w:val="18"/>
              </w:rPr>
              <w:t>合并利润表及利润表新增</w:t>
            </w:r>
            <w:r>
              <w:rPr>
                <w:rFonts w:ascii="宋体" w:hAnsi="宋体" w:cs="宋体" w:eastAsia="宋体" w:hint="default"/>
                <w:spacing w:val="-4"/>
                <w:sz w:val="18"/>
                <w:szCs w:val="18"/>
              </w:rPr>
              <w:t>“</w:t>
            </w:r>
            <w:r>
              <w:rPr>
                <w:rFonts w:ascii="宋体" w:hAnsi="宋体" w:cs="宋体" w:eastAsia="宋体" w:hint="default"/>
                <w:spacing w:val="-4"/>
                <w:sz w:val="18"/>
                <w:szCs w:val="18"/>
              </w:rPr>
              <w:t>其他收益</w:t>
            </w:r>
            <w:r>
              <w:rPr>
                <w:rFonts w:ascii="宋体" w:hAnsi="宋体" w:cs="宋体" w:eastAsia="宋体" w:hint="default"/>
                <w:spacing w:val="-4"/>
                <w:sz w:val="18"/>
                <w:szCs w:val="18"/>
              </w:rPr>
              <w:t>”</w:t>
            </w:r>
            <w:r>
              <w:rPr>
                <w:rFonts w:ascii="宋体" w:hAnsi="宋体" w:cs="宋体" w:eastAsia="宋体" w:hint="default"/>
                <w:spacing w:val="-4"/>
                <w:sz w:val="18"/>
                <w:szCs w:val="18"/>
              </w:rPr>
              <w:t>行</w:t>
            </w:r>
          </w:p>
        </w:tc>
        <w:tc>
          <w:tcPr>
            <w:tcW w:w="611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pacing w:val="-3"/>
                <w:sz w:val="18"/>
                <w:szCs w:val="18"/>
              </w:rPr>
              <w:t>合并利润表：本期增加其他收益 </w:t>
            </w:r>
            <w:r>
              <w:rPr>
                <w:rFonts w:ascii="Times New Roman" w:hAnsi="Times New Roman" w:cs="Times New Roman" w:eastAsia="Times New Roman" w:hint="default"/>
                <w:sz w:val="18"/>
                <w:szCs w:val="18"/>
              </w:rPr>
              <w:t>9,720,938.46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84" w:footer="1027" w:top="1100" w:bottom="1220" w:left="920" w:right="920"/>
        </w:sectPr>
      </w:pPr>
    </w:p>
    <w:p>
      <w:pPr>
        <w:spacing w:line="240" w:lineRule="auto" w:before="7"/>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3353"/>
        <w:gridCol w:w="6190"/>
      </w:tblGrid>
      <w:tr>
        <w:trPr>
          <w:trHeight w:val="451" w:hRule="exact"/>
        </w:trPr>
        <w:tc>
          <w:tcPr>
            <w:tcW w:w="3353"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10" w:right="0"/>
              <w:jc w:val="left"/>
              <w:rPr>
                <w:rFonts w:ascii="宋体" w:hAnsi="宋体" w:cs="宋体" w:eastAsia="宋体" w:hint="default"/>
                <w:sz w:val="18"/>
                <w:szCs w:val="18"/>
              </w:rPr>
            </w:pPr>
            <w:r>
              <w:rPr>
                <w:rFonts w:ascii="宋体" w:hAnsi="宋体" w:cs="宋体" w:eastAsia="宋体" w:hint="default"/>
                <w:spacing w:val="-3"/>
                <w:sz w:val="18"/>
                <w:szCs w:val="18"/>
              </w:rPr>
              <w:t>项目，采用未来适用法处理</w:t>
            </w:r>
          </w:p>
        </w:tc>
        <w:tc>
          <w:tcPr>
            <w:tcW w:w="619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84" w:right="0"/>
              <w:jc w:val="left"/>
              <w:rPr>
                <w:rFonts w:ascii="宋体" w:hAnsi="宋体" w:cs="宋体" w:eastAsia="宋体" w:hint="default"/>
                <w:sz w:val="18"/>
                <w:szCs w:val="18"/>
              </w:rPr>
            </w:pPr>
            <w:r>
              <w:rPr>
                <w:rFonts w:ascii="宋体" w:hAnsi="宋体" w:cs="宋体" w:eastAsia="宋体" w:hint="default"/>
                <w:spacing w:val="-3"/>
                <w:sz w:val="18"/>
                <w:szCs w:val="18"/>
              </w:rPr>
              <w:t>利润表：本期增加其他收益 </w:t>
            </w:r>
            <w:r>
              <w:rPr>
                <w:rFonts w:ascii="Times New Roman" w:hAnsi="Times New Roman" w:cs="Times New Roman" w:eastAsia="Times New Roman" w:hint="default"/>
                <w:sz w:val="18"/>
                <w:szCs w:val="18"/>
              </w:rPr>
              <w:t>9,675,185.63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2158" w:hRule="exact"/>
        </w:trPr>
        <w:tc>
          <w:tcPr>
            <w:tcW w:w="33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67" w:lineRule="auto"/>
              <w:ind w:left="110" w:right="182"/>
              <w:jc w:val="left"/>
              <w:rPr>
                <w:rFonts w:ascii="宋体" w:hAnsi="宋体" w:cs="宋体" w:eastAsia="宋体" w:hint="default"/>
                <w:sz w:val="18"/>
                <w:szCs w:val="18"/>
              </w:rPr>
            </w:pPr>
            <w:r>
              <w:rPr>
                <w:rFonts w:ascii="宋体" w:hAnsi="宋体" w:cs="宋体" w:eastAsia="宋体" w:hint="default"/>
                <w:spacing w:val="-3"/>
                <w:sz w:val="18"/>
                <w:szCs w:val="18"/>
              </w:rPr>
              <w:t>合并利润表及利润表新增</w:t>
            </w:r>
            <w:r>
              <w:rPr>
                <w:rFonts w:ascii="宋体" w:hAnsi="宋体" w:cs="宋体" w:eastAsia="宋体" w:hint="default"/>
                <w:spacing w:val="-3"/>
                <w:sz w:val="18"/>
                <w:szCs w:val="18"/>
              </w:rPr>
              <w:t>“</w:t>
            </w:r>
            <w:r>
              <w:rPr>
                <w:rFonts w:ascii="宋体" w:hAnsi="宋体" w:cs="宋体" w:eastAsia="宋体" w:hint="default"/>
                <w:spacing w:val="-3"/>
                <w:sz w:val="18"/>
                <w:szCs w:val="18"/>
              </w:rPr>
              <w:t>资产处置收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3"/>
                <w:sz w:val="18"/>
                <w:szCs w:val="18"/>
              </w:rPr>
              <w:t>行项目，并追溯调整</w:t>
            </w:r>
            <w:r>
              <w:rPr>
                <w:rFonts w:ascii="宋体" w:hAnsi="宋体" w:cs="宋体" w:eastAsia="宋体" w:hint="default"/>
                <w:sz w:val="18"/>
                <w:szCs w:val="18"/>
              </w:rPr>
            </w:r>
          </w:p>
        </w:tc>
        <w:tc>
          <w:tcPr>
            <w:tcW w:w="6190" w:type="dxa"/>
            <w:tcBorders>
              <w:top w:val="nil" w:sz="6" w:space="0" w:color="auto"/>
              <w:left w:val="nil" w:sz="6" w:space="0" w:color="auto"/>
              <w:bottom w:val="nil" w:sz="6" w:space="0" w:color="auto"/>
              <w:right w:val="nil" w:sz="6" w:space="0" w:color="auto"/>
            </w:tcBorders>
          </w:tcPr>
          <w:p>
            <w:pPr>
              <w:pStyle w:val="TableParagraph"/>
              <w:spacing w:line="348" w:lineRule="auto" w:before="68"/>
              <w:ind w:left="184" w:right="98"/>
              <w:jc w:val="both"/>
              <w:rPr>
                <w:rFonts w:ascii="宋体" w:hAnsi="宋体" w:cs="宋体" w:eastAsia="宋体" w:hint="default"/>
                <w:sz w:val="18"/>
                <w:szCs w:val="18"/>
              </w:rPr>
            </w:pPr>
            <w:r>
              <w:rPr>
                <w:rFonts w:ascii="宋体" w:hAnsi="宋体" w:cs="宋体" w:eastAsia="宋体" w:hint="default"/>
                <w:spacing w:val="-3"/>
                <w:sz w:val="18"/>
                <w:szCs w:val="18"/>
              </w:rPr>
              <w:t>合并利润表：本期增加资产处置收益</w:t>
            </w:r>
            <w:r>
              <w:rPr>
                <w:rFonts w:ascii="Times New Roman" w:hAnsi="Times New Roman" w:cs="Times New Roman" w:eastAsia="Times New Roman" w:hint="default"/>
                <w:spacing w:val="-3"/>
                <w:sz w:val="18"/>
                <w:szCs w:val="18"/>
              </w:rPr>
              <w:t>-7,460.00 </w:t>
            </w:r>
            <w:r>
              <w:rPr>
                <w:rFonts w:ascii="宋体" w:hAnsi="宋体" w:cs="宋体" w:eastAsia="宋体" w:hint="default"/>
                <w:spacing w:val="-5"/>
                <w:sz w:val="18"/>
                <w:szCs w:val="18"/>
              </w:rPr>
              <w:t>元，减少营业外收入 </w:t>
            </w:r>
            <w:r>
              <w:rPr>
                <w:rFonts w:ascii="Times New Roman" w:hAnsi="Times New Roman" w:cs="Times New Roman" w:eastAsia="Times New Roman" w:hint="default"/>
                <w:sz w:val="18"/>
                <w:szCs w:val="18"/>
              </w:rPr>
              <w:t>0 </w:t>
            </w:r>
            <w:r>
              <w:rPr>
                <w:rFonts w:ascii="宋体" w:hAnsi="宋体" w:cs="宋体" w:eastAsia="宋体" w:hint="default"/>
                <w:spacing w:val="-17"/>
                <w:sz w:val="18"/>
                <w:szCs w:val="18"/>
              </w:rPr>
              <w:t>元、减</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少营业外支出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7,460.00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元，上期增加资产处置收益</w:t>
            </w:r>
            <w:r>
              <w:rPr>
                <w:rFonts w:ascii="Times New Roman" w:hAnsi="Times New Roman" w:cs="Times New Roman" w:eastAsia="Times New Roman" w:hint="default"/>
                <w:sz w:val="18"/>
                <w:szCs w:val="18"/>
              </w:rPr>
              <w:t>-27,750.50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元，减少营业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外收入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1,988.44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元、减少营业外支出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29,738.94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48" w:lineRule="auto" w:before="59"/>
              <w:ind w:left="185" w:right="98" w:hanging="1"/>
              <w:jc w:val="both"/>
              <w:rPr>
                <w:rFonts w:ascii="宋体" w:hAnsi="宋体" w:cs="宋体" w:eastAsia="宋体" w:hint="default"/>
                <w:sz w:val="18"/>
                <w:szCs w:val="18"/>
              </w:rPr>
            </w:pPr>
            <w:r>
              <w:rPr>
                <w:rFonts w:ascii="宋体" w:hAnsi="宋体" w:cs="宋体" w:eastAsia="宋体" w:hint="default"/>
                <w:spacing w:val="-3"/>
                <w:sz w:val="18"/>
                <w:szCs w:val="18"/>
              </w:rPr>
              <w:t>利润表：本期增加资产处置收益</w:t>
            </w:r>
            <w:r>
              <w:rPr>
                <w:rFonts w:ascii="Times New Roman" w:hAnsi="Times New Roman" w:cs="Times New Roman" w:eastAsia="Times New Roman" w:hint="default"/>
                <w:spacing w:val="-3"/>
                <w:sz w:val="18"/>
                <w:szCs w:val="18"/>
              </w:rPr>
              <w:t>-7,460.00</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元，减少营业外收入</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6"/>
                <w:sz w:val="18"/>
                <w:szCs w:val="18"/>
              </w:rPr>
              <w:t> </w:t>
            </w:r>
            <w:r>
              <w:rPr>
                <w:rFonts w:ascii="宋体" w:hAnsi="宋体" w:cs="宋体" w:eastAsia="宋体" w:hint="default"/>
                <w:spacing w:val="-5"/>
                <w:sz w:val="18"/>
                <w:szCs w:val="18"/>
              </w:rPr>
              <w:t>元、减少营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业外支出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7,460.00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元，上期增加资产处置收益</w:t>
            </w:r>
            <w:r>
              <w:rPr>
                <w:rFonts w:ascii="Times New Roman" w:hAnsi="Times New Roman" w:cs="Times New Roman" w:eastAsia="Times New Roman" w:hint="default"/>
                <w:sz w:val="18"/>
                <w:szCs w:val="18"/>
              </w:rPr>
              <w:t>-27,750.50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元，减少营业外收</w:t>
            </w:r>
          </w:p>
          <w:p>
            <w:pPr>
              <w:pStyle w:val="TableParagraph"/>
              <w:spacing w:line="240" w:lineRule="auto" w:before="21"/>
              <w:ind w:left="185"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1,988.44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元、减少营业外支出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29,738.94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9"/>
        <w:rPr>
          <w:rFonts w:ascii="宋体" w:hAnsi="宋体" w:cs="宋体" w:eastAsia="宋体" w:hint="default"/>
          <w:sz w:val="10"/>
          <w:szCs w:val="10"/>
        </w:rPr>
      </w:pPr>
    </w:p>
    <w:p>
      <w:pPr>
        <w:pStyle w:val="BodyText"/>
        <w:spacing w:line="316" w:lineRule="auto" w:before="46"/>
        <w:ind w:left="213" w:right="0" w:firstLine="359"/>
        <w:jc w:val="left"/>
        <w:rPr>
          <w:rFonts w:ascii="宋体" w:hAnsi="宋体" w:cs="宋体" w:eastAsia="宋体" w:hint="default"/>
        </w:rPr>
      </w:pPr>
      <w:r>
        <w:rPr>
          <w:spacing w:val="-4"/>
        </w:rPr>
        <w:t>（</w:t>
      </w:r>
      <w:r>
        <w:rPr>
          <w:rFonts w:ascii="宋体" w:hAnsi="宋体" w:cs="宋体" w:eastAsia="宋体" w:hint="default"/>
          <w:spacing w:val="-4"/>
        </w:rPr>
        <w:t>3</w:t>
      </w:r>
      <w:r>
        <w:rPr>
          <w:spacing w:val="-4"/>
        </w:rPr>
        <w:t>）本公司经董事会会议批准，自</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28</w:t>
      </w:r>
      <w:r>
        <w:rPr>
          <w:spacing w:val="-4"/>
        </w:rPr>
        <w:t>日采用《企业会计准则第</w:t>
      </w:r>
      <w:r>
        <w:rPr>
          <w:rFonts w:ascii="宋体" w:hAnsi="宋体" w:cs="宋体" w:eastAsia="宋体" w:hint="default"/>
          <w:spacing w:val="-4"/>
        </w:rPr>
        <w:t>42</w:t>
      </w:r>
      <w:r>
        <w:rPr>
          <w:spacing w:val="-4"/>
        </w:rPr>
        <w:t>号</w:t>
      </w:r>
      <w:r>
        <w:rPr>
          <w:rFonts w:ascii="宋体" w:hAnsi="宋体" w:cs="宋体" w:eastAsia="宋体" w:hint="default"/>
          <w:spacing w:val="-4"/>
        </w:rPr>
        <w:t>——</w:t>
      </w:r>
      <w:r>
        <w:rPr>
          <w:spacing w:val="-4"/>
        </w:rPr>
        <w:t>持有待售的非流动资产、处置组及终</w:t>
      </w:r>
      <w:r>
        <w:rPr>
          <w:spacing w:val="-5"/>
          <w:w w:val="101"/>
        </w:rPr>
        <w:t> 止经营》（财会〔</w:t>
      </w:r>
      <w:r>
        <w:rPr>
          <w:rFonts w:ascii="宋体" w:hAnsi="宋体" w:cs="宋体" w:eastAsia="宋体" w:hint="default"/>
          <w:spacing w:val="-5"/>
          <w:w w:val="101"/>
        </w:rPr>
        <w:t>2017</w:t>
      </w:r>
      <w:r>
        <w:rPr>
          <w:spacing w:val="-5"/>
          <w:w w:val="101"/>
        </w:rPr>
        <w:t>〕</w:t>
      </w:r>
      <w:r>
        <w:rPr>
          <w:rFonts w:ascii="宋体" w:hAnsi="宋体" w:cs="宋体" w:eastAsia="宋体" w:hint="default"/>
          <w:spacing w:val="-5"/>
          <w:w w:val="101"/>
        </w:rPr>
        <w:t>13</w:t>
      </w:r>
      <w:r>
        <w:rPr>
          <w:spacing w:val="-5"/>
          <w:w w:val="101"/>
        </w:rPr>
        <w:t>号）相关规定，采用未来适用法处理。该会计政策变更对本公司财务报表数据无影响。</w:t>
      </w:r>
      <w:r>
        <w:rPr>
          <w:rFonts w:ascii="宋体" w:hAnsi="宋体" w:cs="宋体" w:eastAsia="宋体" w:hint="default"/>
          <w:w w:val="101"/>
        </w:rPr>
        <w:t> </w:t>
      </w:r>
      <w:r>
        <w:rPr>
          <w:rFonts w:ascii="宋体" w:hAnsi="宋体" w:cs="宋体" w:eastAsia="宋体" w:hint="default"/>
        </w:rPr>
      </w:r>
    </w:p>
    <w:p>
      <w:pPr>
        <w:spacing w:line="240" w:lineRule="auto" w:before="4"/>
        <w:rPr>
          <w:rFonts w:ascii="宋体" w:hAnsi="宋体" w:cs="宋体" w:eastAsia="宋体" w:hint="default"/>
          <w:sz w:val="20"/>
          <w:szCs w:val="20"/>
        </w:rPr>
      </w:pPr>
    </w:p>
    <w:p>
      <w:pPr>
        <w:pStyle w:val="Heading2"/>
        <w:spacing w:line="240" w:lineRule="auto"/>
        <w:ind w:left="212"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212" w:right="0"/>
        <w:jc w:val="left"/>
      </w:pPr>
      <w:r>
        <w:rPr/>
        <w:t>√ </w:t>
      </w:r>
      <w:r>
        <w:rPr>
          <w:spacing w:val="-3"/>
        </w:rPr>
        <w:t>适用 </w:t>
      </w:r>
      <w:r>
        <w:rPr/>
        <w:t>□</w:t>
      </w:r>
      <w:r>
        <w:rPr>
          <w:spacing w:val="13"/>
        </w:rPr>
        <w:t> </w:t>
      </w:r>
      <w:r>
        <w:rPr/>
        <w:t>不适用</w:t>
      </w:r>
    </w:p>
    <w:p>
      <w:pPr>
        <w:pStyle w:val="BodyText"/>
        <w:spacing w:line="240" w:lineRule="auto" w:before="110"/>
        <w:ind w:left="572" w:right="0"/>
        <w:jc w:val="left"/>
        <w:rPr>
          <w:rFonts w:ascii="宋体" w:hAnsi="宋体" w:cs="宋体" w:eastAsia="宋体" w:hint="default"/>
        </w:rPr>
      </w:pPr>
      <w:r>
        <w:rPr>
          <w:rFonts w:ascii="宋体" w:hAnsi="宋体" w:cs="宋体" w:eastAsia="宋体" w:hint="default"/>
          <w:spacing w:val="-3"/>
        </w:rPr>
        <w:t>1</w:t>
      </w:r>
      <w:r>
        <w:rPr>
          <w:spacing w:val="-3"/>
        </w:rPr>
        <w:t>、新设子公司</w:t>
      </w:r>
      <w:r>
        <w:rPr>
          <w:rFonts w:ascii="宋体" w:hAnsi="宋体" w:cs="宋体" w:eastAsia="宋体" w:hint="default"/>
        </w:rPr>
        <w:t> </w:t>
      </w:r>
    </w:p>
    <w:p>
      <w:pPr>
        <w:pStyle w:val="BodyText"/>
        <w:spacing w:line="430" w:lineRule="atLeast" w:before="2"/>
        <w:ind w:left="572" w:right="0"/>
        <w:jc w:val="left"/>
      </w:pPr>
      <w:r>
        <w:rPr>
          <w:spacing w:val="-3"/>
        </w:rPr>
        <w:t>湖南科创信息系统集成有限公司</w:t>
      </w:r>
      <w:r>
        <w:rPr>
          <w:spacing w:val="-51"/>
        </w:rPr>
        <w:t> </w:t>
      </w:r>
      <w:r>
        <w:rPr>
          <w:rFonts w:ascii="宋体" w:hAnsi="宋体" w:cs="宋体" w:eastAsia="宋体" w:hint="default"/>
          <w:spacing w:val="-51"/>
        </w:rPr>
      </w:r>
      <w:r>
        <w:rPr>
          <w:rFonts w:ascii="宋体" w:hAnsi="宋体" w:cs="宋体" w:eastAsia="宋体" w:hint="default"/>
          <w:spacing w:val="-3"/>
        </w:rPr>
        <w:t>2017</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3</w:t>
      </w:r>
      <w:r>
        <w:rPr>
          <w:spacing w:val="-3"/>
        </w:rPr>
        <w:t>日，公司成立全资子公司湖南科创信息系统集成有限公司。该公司注册资本</w:t>
      </w:r>
      <w:r>
        <w:rPr>
          <w:rFonts w:ascii="宋体" w:hAnsi="宋体" w:cs="宋体" w:eastAsia="宋体" w:hint="default"/>
          <w:spacing w:val="-3"/>
        </w:rPr>
        <w:t>2,000</w:t>
      </w:r>
      <w:r>
        <w:rPr>
          <w:spacing w:val="-3"/>
        </w:rPr>
        <w:t>万元；经长沙市工商行政</w:t>
      </w:r>
      <w:r>
        <w:rPr/>
      </w:r>
    </w:p>
    <w:p>
      <w:pPr>
        <w:pStyle w:val="BodyText"/>
        <w:spacing w:line="316" w:lineRule="auto" w:before="76"/>
        <w:ind w:left="212" w:right="0"/>
        <w:jc w:val="left"/>
        <w:rPr>
          <w:rFonts w:ascii="宋体" w:hAnsi="宋体" w:cs="宋体" w:eastAsia="宋体" w:hint="default"/>
        </w:rPr>
      </w:pPr>
      <w:r>
        <w:rPr>
          <w:spacing w:val="-3"/>
        </w:rPr>
        <w:t>管理局高新技术产业开发分局登记成立；公司统一社会信用代码：</w:t>
      </w:r>
      <w:r>
        <w:rPr>
          <w:spacing w:val="72"/>
        </w:rPr>
        <w:t> </w:t>
      </w:r>
      <w:r>
        <w:rPr>
          <w:rFonts w:ascii="宋体" w:hAnsi="宋体" w:cs="宋体" w:eastAsia="宋体" w:hint="default"/>
          <w:spacing w:val="72"/>
        </w:rPr>
      </w:r>
      <w:r>
        <w:rPr>
          <w:rFonts w:ascii="宋体" w:hAnsi="宋体" w:cs="宋体" w:eastAsia="宋体" w:hint="default"/>
        </w:rPr>
        <w:t>91430100MA4LUTCQ5Q</w:t>
      </w:r>
      <w:r>
        <w:rPr/>
        <w:t>；公司类型：有限责任公司（非自</w:t>
      </w:r>
      <w:r>
        <w:rPr>
          <w:spacing w:val="-77"/>
        </w:rPr>
        <w:t> </w:t>
      </w:r>
      <w:r>
        <w:rPr>
          <w:spacing w:val="-77"/>
        </w:rPr>
      </w:r>
      <w:r>
        <w:rPr>
          <w:spacing w:val="-4"/>
          <w:w w:val="101"/>
        </w:rPr>
        <w:t>然人投资或控股的法人独资）；法定代表人：费耀平；住所：长沙高新开发区青山路</w:t>
      </w:r>
      <w:r>
        <w:rPr>
          <w:rFonts w:ascii="宋体" w:hAnsi="宋体" w:cs="宋体" w:eastAsia="宋体" w:hint="default"/>
          <w:spacing w:val="-4"/>
          <w:w w:val="101"/>
        </w:rPr>
        <w:t>678</w:t>
      </w:r>
      <w:r>
        <w:rPr>
          <w:spacing w:val="-4"/>
          <w:w w:val="101"/>
        </w:rPr>
        <w:t>号生产楼</w:t>
      </w:r>
      <w:r>
        <w:rPr>
          <w:rFonts w:ascii="宋体" w:hAnsi="宋体" w:cs="宋体" w:eastAsia="宋体" w:hint="default"/>
          <w:spacing w:val="-4"/>
          <w:w w:val="101"/>
        </w:rPr>
        <w:t>301</w:t>
      </w:r>
      <w:r>
        <w:rPr>
          <w:spacing w:val="-4"/>
          <w:w w:val="101"/>
        </w:rPr>
        <w:t>、</w:t>
      </w:r>
      <w:r>
        <w:rPr>
          <w:rFonts w:ascii="宋体" w:hAnsi="宋体" w:cs="宋体" w:eastAsia="宋体" w:hint="default"/>
          <w:spacing w:val="-4"/>
          <w:w w:val="101"/>
        </w:rPr>
        <w:t>401</w:t>
      </w:r>
      <w:r>
        <w:rPr>
          <w:spacing w:val="-4"/>
          <w:w w:val="101"/>
        </w:rPr>
        <w:t>室。</w:t>
      </w:r>
      <w:r>
        <w:rPr>
          <w:rFonts w:ascii="宋体" w:hAnsi="宋体" w:cs="宋体" w:eastAsia="宋体" w:hint="default"/>
          <w:w w:val="101"/>
        </w:rPr>
        <w:t> </w:t>
      </w:r>
      <w:r>
        <w:rPr>
          <w:rFonts w:ascii="宋体" w:hAnsi="宋体" w:cs="宋体" w:eastAsia="宋体" w:hint="default"/>
        </w:rPr>
      </w:r>
    </w:p>
    <w:p>
      <w:pPr>
        <w:pStyle w:val="BodyText"/>
        <w:spacing w:line="439" w:lineRule="auto" w:before="138"/>
        <w:ind w:left="573" w:right="6683"/>
        <w:jc w:val="left"/>
        <w:rPr>
          <w:rFonts w:ascii="宋体" w:hAnsi="宋体" w:cs="宋体" w:eastAsia="宋体" w:hint="default"/>
        </w:rPr>
      </w:pPr>
      <w:r>
        <w:rPr>
          <w:spacing w:val="-3"/>
        </w:rPr>
        <w:t>该公司从成立之日起纳入合并。</w:t>
      </w:r>
      <w:r>
        <w:rPr>
          <w:spacing w:val="-51"/>
        </w:rPr>
        <w:t> </w:t>
      </w:r>
      <w:r>
        <w:rPr>
          <w:rFonts w:ascii="宋体" w:hAnsi="宋体" w:cs="宋体" w:eastAsia="宋体" w:hint="default"/>
          <w:spacing w:val="-51"/>
        </w:rPr>
      </w:r>
      <w:r>
        <w:rPr>
          <w:rFonts w:ascii="宋体" w:hAnsi="宋体" w:cs="宋体" w:eastAsia="宋体" w:hint="default"/>
          <w:spacing w:val="-3"/>
        </w:rPr>
        <w:t>2</w:t>
      </w:r>
      <w:r>
        <w:rPr>
          <w:spacing w:val="-3"/>
        </w:rPr>
        <w:t>、清算子公司</w:t>
      </w:r>
      <w:r>
        <w:rPr>
          <w:rFonts w:ascii="宋体" w:hAnsi="宋体" w:cs="宋体" w:eastAsia="宋体" w:hint="default"/>
        </w:rPr>
        <w:t> </w:t>
      </w:r>
    </w:p>
    <w:p>
      <w:pPr>
        <w:pStyle w:val="BodyText"/>
        <w:spacing w:line="240" w:lineRule="auto" w:before="47"/>
        <w:ind w:left="573" w:right="0"/>
        <w:jc w:val="left"/>
        <w:rPr>
          <w:rFonts w:ascii="宋体" w:hAnsi="宋体" w:cs="宋体" w:eastAsia="宋体" w:hint="default"/>
          <w:sz w:val="21"/>
          <w:szCs w:val="21"/>
        </w:rPr>
      </w:pPr>
      <w:r>
        <w:rPr>
          <w:spacing w:val="-3"/>
        </w:rPr>
        <w:t>湖南威斯理信息科技有限公司经由公司股东决定清算注销，已于</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日前注销完毕，不再纳入合并。</w:t>
      </w:r>
      <w:r>
        <w:rPr>
          <w:rFonts w:ascii="宋体" w:hAnsi="宋体" w:cs="宋体" w:eastAsia="宋体" w:hint="default"/>
          <w:w w:val="100"/>
          <w:sz w:val="21"/>
          <w:szCs w:val="21"/>
        </w:rPr>
        <w:t> </w:t>
      </w:r>
    </w:p>
    <w:p>
      <w:pPr>
        <w:spacing w:line="240" w:lineRule="auto" w:before="9"/>
        <w:rPr>
          <w:rFonts w:ascii="宋体" w:hAnsi="宋体" w:cs="宋体" w:eastAsia="宋体" w:hint="default"/>
          <w:sz w:val="24"/>
          <w:szCs w:val="24"/>
        </w:rPr>
      </w:pPr>
    </w:p>
    <w:p>
      <w:pPr>
        <w:pStyle w:val="Heading2"/>
        <w:spacing w:line="240" w:lineRule="auto"/>
        <w:ind w:left="212"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212" w:right="0"/>
        <w:jc w:val="left"/>
      </w:pPr>
      <w:r>
        <w:rPr>
          <w:spacing w:val="-3"/>
        </w:rPr>
        <w:t>现聘任的会计事务所</w:t>
      </w:r>
      <w:r>
        <w:rPr/>
      </w:r>
    </w:p>
    <w:p>
      <w:pPr>
        <w:spacing w:line="240" w:lineRule="auto" w:before="8"/>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4790"/>
        <w:gridCol w:w="4776"/>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r>
              <w:rPr>
                <w:rFonts w:ascii="宋体" w:hAnsi="宋体" w:cs="宋体" w:eastAsia="宋体" w:hint="default"/>
                <w:sz w:val="18"/>
                <w:szCs w:val="18"/>
              </w:rPr>
            </w:r>
          </w:p>
        </w:tc>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r>
              <w:rPr>
                <w:rFonts w:ascii="宋体" w:hAnsi="宋体" w:cs="宋体" w:eastAsia="宋体" w:hint="default"/>
                <w:sz w:val="18"/>
                <w:szCs w:val="18"/>
              </w:rPr>
            </w:r>
          </w:p>
        </w:tc>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曾春卫、刘智清、冯俭专</w:t>
            </w:r>
            <w:r>
              <w:rPr>
                <w:rFonts w:ascii="宋体" w:hAnsi="宋体" w:cs="宋体" w:eastAsia="宋体" w:hint="default"/>
                <w:sz w:val="18"/>
                <w:szCs w:val="18"/>
              </w:rPr>
            </w:r>
          </w:p>
        </w:tc>
      </w:tr>
    </w:tbl>
    <w:p>
      <w:pPr>
        <w:pStyle w:val="BodyText"/>
        <w:spacing w:line="240" w:lineRule="auto" w:before="53"/>
        <w:ind w:left="212" w:right="0"/>
        <w:jc w:val="left"/>
      </w:pPr>
      <w:r>
        <w:rPr/>
        <w:t>是否改聘会计师事务所</w:t>
      </w:r>
    </w:p>
    <w:p>
      <w:pPr>
        <w:pStyle w:val="BodyText"/>
        <w:spacing w:line="362" w:lineRule="auto" w:before="115"/>
        <w:ind w:left="212" w:right="4812" w:hanging="1"/>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聘请内部控制审计会计师事务所、财务顾问或保荐人情况</w:t>
      </w:r>
      <w:r>
        <w:rPr/>
      </w:r>
    </w:p>
    <w:p>
      <w:pPr>
        <w:pStyle w:val="BodyText"/>
        <w:spacing w:line="240" w:lineRule="auto" w:before="23"/>
        <w:ind w:left="212"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left="212"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212" w:right="0"/>
        <w:jc w:val="left"/>
      </w:pPr>
      <w:r>
        <w:rPr/>
        <w:t>□ </w:t>
      </w:r>
      <w:r>
        <w:rPr>
          <w:spacing w:val="-3"/>
        </w:rPr>
        <w:t>适用 </w:t>
      </w:r>
      <w:r>
        <w:rPr/>
        <w:t>√</w:t>
      </w:r>
      <w:r>
        <w:rPr>
          <w:spacing w:val="13"/>
        </w:rPr>
        <w:t> </w:t>
      </w:r>
      <w:r>
        <w:rPr/>
        <w:t>不适用</w:t>
      </w:r>
    </w:p>
    <w:p>
      <w:pPr>
        <w:spacing w:after="0" w:line="240" w:lineRule="auto"/>
        <w:jc w:val="left"/>
        <w:sectPr>
          <w:pgSz w:w="11910" w:h="16840"/>
          <w:pgMar w:header="784" w:footer="1027" w:top="1100" w:bottom="1220" w:left="920" w:right="98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689" w:hanging="1"/>
        <w:jc w:val="left"/>
      </w:pPr>
      <w:r>
        <w:rPr/>
        <w:t>□ </w:t>
      </w:r>
      <w:r>
        <w:rPr>
          <w:spacing w:val="-3"/>
        </w:rPr>
        <w:t>适用 </w:t>
      </w:r>
      <w:r>
        <w:rPr/>
        <w:t>√ 不适用</w:t>
      </w:r>
      <w:r>
        <w:rPr>
          <w:spacing w:val="-77"/>
        </w:rPr>
        <w:t> </w:t>
      </w:r>
      <w:r>
        <w:rPr>
          <w:spacing w:val="-77"/>
        </w:rPr>
      </w:r>
      <w:r>
        <w:rPr>
          <w:spacing w:val="-3"/>
        </w:rPr>
        <w:t>公司报告期未发生破产重整相关事项。</w:t>
      </w:r>
      <w:r>
        <w:rPr/>
      </w: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362" w:lineRule="auto"/>
        <w:ind w:right="6689" w:hanging="1"/>
        <w:jc w:val="left"/>
      </w:pPr>
      <w:r>
        <w:rPr/>
        <w:t>□ </w:t>
      </w:r>
      <w:r>
        <w:rPr>
          <w:spacing w:val="-3"/>
        </w:rPr>
        <w:t>适用 </w:t>
      </w:r>
      <w:r>
        <w:rPr/>
        <w:t>√ 不适用</w:t>
      </w:r>
      <w:r>
        <w:rPr>
          <w:spacing w:val="-77"/>
        </w:rPr>
        <w:t> </w:t>
      </w:r>
      <w:r>
        <w:rPr>
          <w:spacing w:val="-77"/>
        </w:rPr>
      </w:r>
      <w:r>
        <w:rPr>
          <w:spacing w:val="-3"/>
        </w:rPr>
        <w:t>本年度公司无重大诉讼、仲裁事项。</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689" w:hanging="1"/>
        <w:jc w:val="left"/>
      </w:pPr>
      <w:r>
        <w:rPr/>
        <w:t>□ </w:t>
      </w:r>
      <w:r>
        <w:rPr>
          <w:spacing w:val="-3"/>
        </w:rPr>
        <w:t>适用 </w:t>
      </w:r>
      <w:r>
        <w:rPr/>
        <w:t>√ 不适用</w:t>
      </w:r>
      <w:r>
        <w:rPr>
          <w:spacing w:val="-77"/>
        </w:rPr>
        <w:t> </w:t>
      </w:r>
      <w:r>
        <w:rPr>
          <w:spacing w:val="-77"/>
        </w:rPr>
      </w:r>
      <w:r>
        <w:rPr>
          <w:spacing w:val="-3"/>
        </w:rPr>
        <w:t>公司报告期不存在处罚及整改情况。</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2638" w:hanging="1"/>
        <w:jc w:val="left"/>
      </w:pPr>
      <w:r>
        <w:rPr/>
        <w:t>□ </w:t>
      </w:r>
      <w:r>
        <w:rPr>
          <w:spacing w:val="-3"/>
        </w:rPr>
        <w:t>适用 </w:t>
      </w:r>
      <w:r>
        <w:rPr/>
        <w:t>√ 不适用</w:t>
      </w:r>
      <w:r>
        <w:rPr>
          <w:spacing w:val="-77"/>
        </w:rPr>
        <w:t> </w:t>
      </w:r>
      <w:r>
        <w:rPr>
          <w:spacing w:val="-77"/>
        </w:rPr>
      </w:r>
      <w:r>
        <w:rPr>
          <w:spacing w:val="-3"/>
        </w:rPr>
        <w:t>公司报告期无股权激励计划、员工持股计划或其他员工激励措施及其实施情况。</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43"/>
        <w:gridCol w:w="835"/>
        <w:gridCol w:w="677"/>
        <w:gridCol w:w="845"/>
        <w:gridCol w:w="643"/>
        <w:gridCol w:w="566"/>
        <w:gridCol w:w="792"/>
        <w:gridCol w:w="629"/>
        <w:gridCol w:w="763"/>
        <w:gridCol w:w="600"/>
        <w:gridCol w:w="653"/>
        <w:gridCol w:w="710"/>
        <w:gridCol w:w="629"/>
        <w:gridCol w:w="586"/>
      </w:tblGrid>
      <w:tr>
        <w:trPr>
          <w:trHeight w:val="1954" w:hRule="exact"/>
        </w:trPr>
        <w:tc>
          <w:tcPr>
            <w:tcW w:w="6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9" w:right="127"/>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方</w:t>
            </w:r>
          </w:p>
        </w:tc>
        <w:tc>
          <w:tcPr>
            <w:tcW w:w="8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21" w:right="146" w:hanging="183"/>
              <w:jc w:val="left"/>
              <w:rPr>
                <w:rFonts w:ascii="宋体" w:hAnsi="宋体" w:cs="宋体" w:eastAsia="宋体" w:hint="default"/>
                <w:sz w:val="18"/>
                <w:szCs w:val="18"/>
              </w:rPr>
            </w:pPr>
            <w:r>
              <w:rPr>
                <w:rFonts w:ascii="宋体" w:hAnsi="宋体" w:cs="宋体" w:eastAsia="宋体" w:hint="default"/>
                <w:spacing w:val="-4"/>
                <w:sz w:val="18"/>
                <w:szCs w:val="18"/>
              </w:rPr>
              <w:t>关联关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8" w:right="151"/>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8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8" w:right="146"/>
              <w:jc w:val="left"/>
              <w:rPr>
                <w:rFonts w:ascii="宋体" w:hAnsi="宋体" w:cs="宋体" w:eastAsia="宋体" w:hint="default"/>
                <w:sz w:val="18"/>
                <w:szCs w:val="18"/>
              </w:rPr>
            </w:pPr>
            <w:r>
              <w:rPr>
                <w:rFonts w:ascii="宋体" w:hAnsi="宋体" w:cs="宋体" w:eastAsia="宋体" w:hint="default"/>
                <w:spacing w:val="-4"/>
                <w:sz w:val="18"/>
                <w:szCs w:val="18"/>
              </w:rPr>
              <w:t>关联交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易内容</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9" w:right="127"/>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定价</w:t>
            </w:r>
            <w:r>
              <w:rPr>
                <w:rFonts w:ascii="宋体" w:hAnsi="宋体" w:cs="宋体" w:eastAsia="宋体" w:hint="default"/>
                <w:spacing w:val="-86"/>
                <w:sz w:val="18"/>
                <w:szCs w:val="18"/>
              </w:rPr>
              <w:t> </w:t>
            </w:r>
            <w:r>
              <w:rPr>
                <w:rFonts w:ascii="宋体" w:hAnsi="宋体" w:cs="宋体" w:eastAsia="宋体" w:hint="default"/>
                <w:sz w:val="18"/>
                <w:szCs w:val="18"/>
              </w:rPr>
              <w:t>原则</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87" w:right="185"/>
              <w:jc w:val="both"/>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联</w:t>
            </w:r>
            <w:r>
              <w:rPr>
                <w:rFonts w:ascii="宋体" w:hAnsi="宋体" w:cs="宋体" w:eastAsia="宋体" w:hint="default"/>
                <w:spacing w:val="-88"/>
                <w:sz w:val="18"/>
                <w:szCs w:val="18"/>
              </w:rPr>
              <w:t> </w:t>
            </w:r>
            <w:r>
              <w:rPr>
                <w:rFonts w:ascii="宋体" w:hAnsi="宋体" w:cs="宋体" w:eastAsia="宋体" w:hint="default"/>
                <w:sz w:val="18"/>
                <w:szCs w:val="18"/>
              </w:rPr>
              <w:t>交</w:t>
            </w:r>
            <w:r>
              <w:rPr>
                <w:rFonts w:ascii="宋体" w:hAnsi="宋体" w:cs="宋体" w:eastAsia="宋体" w:hint="default"/>
                <w:spacing w:val="-88"/>
                <w:sz w:val="18"/>
                <w:szCs w:val="18"/>
              </w:rPr>
              <w:t> </w:t>
            </w:r>
            <w:r>
              <w:rPr>
                <w:rFonts w:ascii="宋体" w:hAnsi="宋体" w:cs="宋体" w:eastAsia="宋体" w:hint="default"/>
                <w:sz w:val="18"/>
                <w:szCs w:val="18"/>
              </w:rPr>
              <w:t>易</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格</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0"/>
              <w:ind w:left="124" w:right="117"/>
              <w:jc w:val="left"/>
              <w:rPr>
                <w:rFonts w:ascii="宋体" w:hAnsi="宋体" w:cs="宋体" w:eastAsia="宋体" w:hint="default"/>
                <w:sz w:val="18"/>
                <w:szCs w:val="18"/>
              </w:rPr>
            </w:pPr>
            <w:r>
              <w:rPr>
                <w:rFonts w:ascii="宋体" w:hAnsi="宋体" w:cs="宋体" w:eastAsia="宋体" w:hint="default"/>
                <w:spacing w:val="-4"/>
                <w:sz w:val="18"/>
                <w:szCs w:val="18"/>
              </w:rPr>
              <w:t>关联交</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易金额</w:t>
            </w:r>
            <w:r>
              <w:rPr>
                <w:rFonts w:ascii="宋体" w:hAnsi="宋体" w:cs="宋体" w:eastAsia="宋体" w:hint="default"/>
                <w:sz w:val="18"/>
                <w:szCs w:val="18"/>
              </w:rPr>
            </w:r>
          </w:p>
          <w:p>
            <w:pPr>
              <w:pStyle w:val="TableParagraph"/>
              <w:spacing w:line="321" w:lineRule="auto" w:before="22"/>
              <w:ind w:left="211" w:right="204"/>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9" w:right="122"/>
              <w:jc w:val="both"/>
              <w:rPr>
                <w:rFonts w:ascii="宋体" w:hAnsi="宋体" w:cs="宋体" w:eastAsia="宋体" w:hint="default"/>
                <w:sz w:val="18"/>
                <w:szCs w:val="18"/>
              </w:rPr>
            </w:pPr>
            <w:r>
              <w:rPr>
                <w:rFonts w:ascii="宋体" w:hAnsi="宋体" w:cs="宋体" w:eastAsia="宋体" w:hint="default"/>
                <w:sz w:val="18"/>
                <w:szCs w:val="18"/>
              </w:rPr>
              <w:t>占同</w:t>
            </w:r>
            <w:r>
              <w:rPr>
                <w:rFonts w:ascii="宋体" w:hAnsi="宋体" w:cs="宋体" w:eastAsia="宋体" w:hint="default"/>
                <w:spacing w:val="-86"/>
                <w:sz w:val="18"/>
                <w:szCs w:val="18"/>
              </w:rPr>
              <w:t> </w:t>
            </w:r>
            <w:r>
              <w:rPr>
                <w:rFonts w:ascii="宋体" w:hAnsi="宋体" w:cs="宋体" w:eastAsia="宋体" w:hint="default"/>
                <w:sz w:val="18"/>
                <w:szCs w:val="18"/>
              </w:rPr>
              <w:t>类交</w:t>
            </w:r>
            <w:r>
              <w:rPr>
                <w:rFonts w:ascii="宋体" w:hAnsi="宋体" w:cs="宋体" w:eastAsia="宋体" w:hint="default"/>
                <w:spacing w:val="-86"/>
                <w:sz w:val="18"/>
                <w:szCs w:val="18"/>
              </w:rPr>
              <w:t> </w:t>
            </w:r>
            <w:r>
              <w:rPr>
                <w:rFonts w:ascii="宋体" w:hAnsi="宋体" w:cs="宋体" w:eastAsia="宋体" w:hint="default"/>
                <w:sz w:val="18"/>
                <w:szCs w:val="18"/>
              </w:rPr>
              <w:t>易金</w:t>
            </w:r>
            <w:r>
              <w:rPr>
                <w:rFonts w:ascii="宋体" w:hAnsi="宋体" w:cs="宋体" w:eastAsia="宋体" w:hint="default"/>
                <w:spacing w:val="-86"/>
                <w:sz w:val="18"/>
                <w:szCs w:val="18"/>
              </w:rPr>
              <w:t> </w:t>
            </w:r>
            <w:r>
              <w:rPr>
                <w:rFonts w:ascii="宋体" w:hAnsi="宋体" w:cs="宋体" w:eastAsia="宋体" w:hint="default"/>
                <w:sz w:val="18"/>
                <w:szCs w:val="18"/>
              </w:rPr>
              <w:t>额的</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0" w:right="103"/>
              <w:jc w:val="both"/>
              <w:rPr>
                <w:rFonts w:ascii="宋体" w:hAnsi="宋体" w:cs="宋体" w:eastAsia="宋体" w:hint="default"/>
                <w:sz w:val="18"/>
                <w:szCs w:val="18"/>
              </w:rPr>
            </w:pPr>
            <w:r>
              <w:rPr>
                <w:rFonts w:ascii="宋体" w:hAnsi="宋体" w:cs="宋体" w:eastAsia="宋体" w:hint="default"/>
                <w:spacing w:val="-4"/>
                <w:sz w:val="18"/>
                <w:szCs w:val="18"/>
              </w:rPr>
              <w:t>获批的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交易额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度（万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元）</w:t>
            </w:r>
          </w:p>
        </w:tc>
        <w:tc>
          <w:tcPr>
            <w:tcW w:w="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08"/>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超过</w:t>
            </w:r>
            <w:r>
              <w:rPr>
                <w:rFonts w:ascii="宋体" w:hAnsi="宋体" w:cs="宋体" w:eastAsia="宋体" w:hint="default"/>
                <w:spacing w:val="-86"/>
                <w:sz w:val="18"/>
                <w:szCs w:val="18"/>
              </w:rPr>
              <w:t> </w:t>
            </w:r>
            <w:r>
              <w:rPr>
                <w:rFonts w:ascii="宋体" w:hAnsi="宋体" w:cs="宋体" w:eastAsia="宋体" w:hint="default"/>
                <w:sz w:val="18"/>
                <w:szCs w:val="18"/>
              </w:rPr>
              <w:t>获批</w:t>
            </w:r>
            <w:r>
              <w:rPr>
                <w:rFonts w:ascii="宋体" w:hAnsi="宋体" w:cs="宋体" w:eastAsia="宋体" w:hint="default"/>
                <w:spacing w:val="-86"/>
                <w:sz w:val="18"/>
                <w:szCs w:val="18"/>
              </w:rPr>
              <w:t> </w:t>
            </w:r>
            <w:r>
              <w:rPr>
                <w:rFonts w:ascii="宋体" w:hAnsi="宋体" w:cs="宋体" w:eastAsia="宋体" w:hint="default"/>
                <w:sz w:val="18"/>
                <w:szCs w:val="18"/>
              </w:rPr>
              <w:t>额度</w:t>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43" w:right="132"/>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结算</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2" w:right="161"/>
              <w:jc w:val="both"/>
              <w:rPr>
                <w:rFonts w:ascii="宋体" w:hAnsi="宋体" w:cs="宋体" w:eastAsia="宋体" w:hint="default"/>
                <w:sz w:val="18"/>
                <w:szCs w:val="18"/>
              </w:rPr>
            </w:pPr>
            <w:r>
              <w:rPr>
                <w:rFonts w:ascii="宋体" w:hAnsi="宋体" w:cs="宋体" w:eastAsia="宋体" w:hint="default"/>
                <w:sz w:val="18"/>
                <w:szCs w:val="18"/>
              </w:rPr>
              <w:t>可获</w:t>
            </w:r>
            <w:r>
              <w:rPr>
                <w:rFonts w:ascii="宋体" w:hAnsi="宋体" w:cs="宋体" w:eastAsia="宋体" w:hint="default"/>
                <w:spacing w:val="-86"/>
                <w:sz w:val="18"/>
                <w:szCs w:val="18"/>
              </w:rPr>
              <w:t> </w:t>
            </w:r>
            <w:r>
              <w:rPr>
                <w:rFonts w:ascii="宋体" w:hAnsi="宋体" w:cs="宋体" w:eastAsia="宋体" w:hint="default"/>
                <w:sz w:val="18"/>
                <w:szCs w:val="18"/>
              </w:rPr>
              <w:t>得的</w:t>
            </w:r>
            <w:r>
              <w:rPr>
                <w:rFonts w:ascii="宋体" w:hAnsi="宋体" w:cs="宋体" w:eastAsia="宋体" w:hint="default"/>
                <w:spacing w:val="-86"/>
                <w:sz w:val="18"/>
                <w:szCs w:val="18"/>
              </w:rPr>
              <w:t> </w:t>
            </w:r>
            <w:r>
              <w:rPr>
                <w:rFonts w:ascii="宋体" w:hAnsi="宋体" w:cs="宋体" w:eastAsia="宋体" w:hint="default"/>
                <w:sz w:val="18"/>
                <w:szCs w:val="18"/>
              </w:rPr>
              <w:t>同类</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市价</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9" w:right="122"/>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0" w:right="98"/>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索引</w:t>
            </w:r>
          </w:p>
        </w:tc>
      </w:tr>
      <w:tr>
        <w:trPr>
          <w:trHeight w:val="1968"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21" w:lineRule="auto"/>
              <w:ind w:left="230" w:right="127" w:hanging="92"/>
              <w:jc w:val="left"/>
              <w:rPr>
                <w:rFonts w:ascii="宋体" w:hAnsi="宋体" w:cs="宋体" w:eastAsia="宋体" w:hint="default"/>
                <w:sz w:val="18"/>
                <w:szCs w:val="18"/>
              </w:rPr>
            </w:pPr>
            <w:r>
              <w:rPr>
                <w:rFonts w:ascii="宋体" w:hAnsi="宋体" w:cs="宋体" w:eastAsia="宋体" w:hint="default"/>
                <w:sz w:val="18"/>
                <w:szCs w:val="18"/>
              </w:rPr>
              <w:t>费耀</w:t>
            </w:r>
            <w:r>
              <w:rPr>
                <w:rFonts w:ascii="宋体" w:hAnsi="宋体" w:cs="宋体" w:eastAsia="宋体" w:hint="default"/>
                <w:spacing w:val="-86"/>
                <w:sz w:val="18"/>
                <w:szCs w:val="18"/>
              </w:rPr>
              <w:t> </w:t>
            </w:r>
            <w:r>
              <w:rPr>
                <w:rFonts w:ascii="宋体" w:hAnsi="宋体" w:cs="宋体" w:eastAsia="宋体" w:hint="default"/>
                <w:sz w:val="18"/>
                <w:szCs w:val="18"/>
              </w:rPr>
              <w:t>平</w:t>
            </w:r>
          </w:p>
        </w:tc>
        <w:tc>
          <w:tcPr>
            <w:tcW w:w="8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8"/>
              <w:ind w:left="139" w:right="146"/>
              <w:jc w:val="center"/>
              <w:rPr>
                <w:rFonts w:ascii="宋体" w:hAnsi="宋体" w:cs="宋体" w:eastAsia="宋体" w:hint="default"/>
                <w:sz w:val="18"/>
                <w:szCs w:val="18"/>
              </w:rPr>
            </w:pPr>
            <w:r>
              <w:rPr>
                <w:rFonts w:ascii="宋体" w:hAnsi="宋体" w:cs="宋体" w:eastAsia="宋体" w:hint="default"/>
                <w:spacing w:val="-4"/>
                <w:sz w:val="18"/>
                <w:szCs w:val="18"/>
              </w:rPr>
              <w:t>法定代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表人、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w:t>
            </w:r>
            <w:r>
              <w:rPr>
                <w:rFonts w:ascii="宋体" w:hAnsi="宋体" w:cs="宋体" w:eastAsia="宋体" w:hint="default"/>
                <w:w w:val="101"/>
                <w:sz w:val="18"/>
                <w:szCs w:val="18"/>
              </w:rPr>
              <w:t> </w:t>
            </w:r>
            <w:r>
              <w:rPr>
                <w:rFonts w:ascii="宋体" w:hAnsi="宋体" w:cs="宋体" w:eastAsia="宋体" w:hint="default"/>
                <w:spacing w:val="-4"/>
                <w:sz w:val="18"/>
                <w:szCs w:val="18"/>
              </w:rPr>
              <w:t>长、共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同实际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控制人</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担保</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148" w:right="146"/>
              <w:jc w:val="both"/>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为公司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提供保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证担保</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21" w:lineRule="auto"/>
              <w:ind w:left="139" w:right="127"/>
              <w:jc w:val="left"/>
              <w:rPr>
                <w:rFonts w:ascii="宋体" w:hAnsi="宋体" w:cs="宋体" w:eastAsia="宋体" w:hint="default"/>
                <w:sz w:val="18"/>
                <w:szCs w:val="18"/>
              </w:rPr>
            </w:pPr>
            <w:r>
              <w:rPr>
                <w:rFonts w:ascii="宋体" w:hAnsi="宋体" w:cs="宋体" w:eastAsia="宋体" w:hint="default"/>
                <w:sz w:val="18"/>
                <w:szCs w:val="18"/>
              </w:rPr>
              <w:t>无偿</w:t>
            </w:r>
            <w:r>
              <w:rPr>
                <w:rFonts w:ascii="宋体" w:hAnsi="宋体" w:cs="宋体" w:eastAsia="宋体" w:hint="default"/>
                <w:spacing w:val="-86"/>
                <w:sz w:val="18"/>
                <w:szCs w:val="18"/>
              </w:rPr>
              <w:t> </w:t>
            </w:r>
            <w:r>
              <w:rPr>
                <w:rFonts w:ascii="宋体" w:hAnsi="宋体" w:cs="宋体" w:eastAsia="宋体" w:hint="default"/>
                <w:sz w:val="18"/>
                <w:szCs w:val="18"/>
              </w:rPr>
              <w:t>担保</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0"/>
              <w:ind w:left="191" w:right="0"/>
              <w:jc w:val="lef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5"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39" w:right="127"/>
              <w:jc w:val="left"/>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pacing w:val="-86"/>
                <w:sz w:val="18"/>
                <w:szCs w:val="18"/>
              </w:rPr>
              <w:t> </w:t>
            </w:r>
            <w:r>
              <w:rPr>
                <w:rFonts w:ascii="宋体" w:hAnsi="宋体" w:cs="宋体" w:eastAsia="宋体" w:hint="default"/>
                <w:sz w:val="18"/>
                <w:szCs w:val="18"/>
              </w:rPr>
              <w:t>大学</w:t>
            </w:r>
          </w:p>
        </w:tc>
        <w:tc>
          <w:tcPr>
            <w:tcW w:w="8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73"/>
              <w:ind w:left="139" w:right="146"/>
              <w:jc w:val="left"/>
              <w:rPr>
                <w:rFonts w:ascii="宋体" w:hAnsi="宋体" w:cs="宋体" w:eastAsia="宋体" w:hint="default"/>
                <w:sz w:val="18"/>
                <w:szCs w:val="18"/>
              </w:rPr>
            </w:pPr>
            <w:r>
              <w:rPr>
                <w:rFonts w:ascii="宋体" w:hAnsi="宋体" w:cs="宋体" w:eastAsia="宋体" w:hint="default"/>
                <w:spacing w:val="-4"/>
                <w:sz w:val="18"/>
                <w:szCs w:val="18"/>
              </w:rPr>
              <w:t>中南大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学持有</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购销</w:t>
            </w: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73"/>
              <w:ind w:left="100" w:right="95" w:firstLine="48"/>
              <w:jc w:val="left"/>
              <w:rPr>
                <w:rFonts w:ascii="宋体" w:hAnsi="宋体" w:cs="宋体" w:eastAsia="宋体" w:hint="default"/>
                <w:sz w:val="18"/>
                <w:szCs w:val="18"/>
              </w:rPr>
            </w:pPr>
            <w:r>
              <w:rPr>
                <w:rFonts w:ascii="宋体" w:hAnsi="宋体" w:cs="宋体" w:eastAsia="宋体" w:hint="default"/>
                <w:spacing w:val="-4"/>
                <w:sz w:val="18"/>
                <w:szCs w:val="18"/>
              </w:rPr>
              <w:t>系统集</w:t>
            </w:r>
            <w:r>
              <w:rPr>
                <w:rFonts w:ascii="宋体" w:hAnsi="宋体" w:cs="宋体" w:eastAsia="宋体" w:hint="default"/>
                <w:spacing w:val="-5"/>
                <w:w w:val="101"/>
                <w:sz w:val="18"/>
                <w:szCs w:val="18"/>
              </w:rPr>
              <w:t> </w:t>
            </w:r>
            <w:r>
              <w:rPr>
                <w:rFonts w:ascii="宋体" w:hAnsi="宋体" w:cs="宋体" w:eastAsia="宋体" w:hint="default"/>
                <w:spacing w:val="-23"/>
                <w:w w:val="101"/>
                <w:sz w:val="18"/>
                <w:szCs w:val="18"/>
              </w:rPr>
              <w:t>成、信息</w:t>
            </w:r>
            <w:r>
              <w:rPr>
                <w:rFonts w:ascii="宋体" w:hAnsi="宋体" w:cs="宋体" w:eastAsia="宋体" w:hint="default"/>
                <w:spacing w:val="-23"/>
                <w:sz w:val="18"/>
                <w:szCs w:val="18"/>
              </w:rPr>
            </w:r>
          </w:p>
        </w:tc>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39" w:right="127"/>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149.58</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2,000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43" w:right="132"/>
              <w:jc w:val="left"/>
              <w:rPr>
                <w:rFonts w:ascii="宋体" w:hAnsi="宋体" w:cs="宋体" w:eastAsia="宋体" w:hint="default"/>
                <w:sz w:val="18"/>
                <w:szCs w:val="18"/>
              </w:rPr>
            </w:pPr>
            <w:r>
              <w:rPr>
                <w:rFonts w:ascii="宋体" w:hAnsi="宋体" w:cs="宋体" w:eastAsia="宋体" w:hint="default"/>
                <w:sz w:val="18"/>
                <w:szCs w:val="18"/>
              </w:rPr>
              <w:t>转账</w:t>
            </w:r>
            <w:r>
              <w:rPr>
                <w:rFonts w:ascii="宋体" w:hAnsi="宋体" w:cs="宋体" w:eastAsia="宋体" w:hint="default"/>
                <w:spacing w:val="-86"/>
                <w:sz w:val="18"/>
                <w:szCs w:val="18"/>
              </w:rPr>
              <w:t> </w:t>
            </w:r>
            <w:r>
              <w:rPr>
                <w:rFonts w:ascii="宋体" w:hAnsi="宋体" w:cs="宋体" w:eastAsia="宋体" w:hint="default"/>
                <w:sz w:val="18"/>
                <w:szCs w:val="18"/>
              </w:rPr>
              <w:t>结算</w:t>
            </w:r>
          </w:p>
        </w:tc>
        <w:tc>
          <w:tcPr>
            <w:tcW w:w="7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149.5</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643"/>
        <w:gridCol w:w="835"/>
        <w:gridCol w:w="677"/>
        <w:gridCol w:w="845"/>
        <w:gridCol w:w="643"/>
        <w:gridCol w:w="566"/>
        <w:gridCol w:w="792"/>
        <w:gridCol w:w="629"/>
        <w:gridCol w:w="763"/>
        <w:gridCol w:w="600"/>
        <w:gridCol w:w="653"/>
        <w:gridCol w:w="710"/>
        <w:gridCol w:w="629"/>
        <w:gridCol w:w="586"/>
      </w:tblGrid>
      <w:tr>
        <w:trPr>
          <w:trHeight w:val="2544" w:hRule="exact"/>
        </w:trPr>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
              <w:ind w:left="110" w:right="108" w:hanging="10"/>
              <w:jc w:val="center"/>
              <w:rPr>
                <w:rFonts w:ascii="宋体" w:hAnsi="宋体" w:cs="宋体" w:eastAsia="宋体" w:hint="default"/>
                <w:sz w:val="18"/>
                <w:szCs w:val="18"/>
              </w:rPr>
            </w:pPr>
            <w:r>
              <w:rPr>
                <w:rFonts w:ascii="宋体" w:hAnsi="宋体" w:cs="宋体" w:eastAsia="宋体" w:hint="default"/>
                <w:spacing w:val="-4"/>
                <w:sz w:val="18"/>
                <w:szCs w:val="18"/>
              </w:rPr>
              <w:t>公司股</w:t>
            </w:r>
            <w:r>
              <w:rPr>
                <w:rFonts w:ascii="宋体" w:hAnsi="宋体" w:cs="宋体" w:eastAsia="宋体" w:hint="default"/>
                <w:spacing w:val="-5"/>
                <w:w w:val="101"/>
                <w:sz w:val="18"/>
                <w:szCs w:val="18"/>
              </w:rPr>
              <w:t> </w:t>
            </w:r>
            <w:r>
              <w:rPr>
                <w:rFonts w:ascii="宋体" w:hAnsi="宋体" w:cs="宋体" w:eastAsia="宋体" w:hint="default"/>
                <w:spacing w:val="-4"/>
                <w:sz w:val="18"/>
                <w:szCs w:val="18"/>
              </w:rPr>
              <w:t>东中南</w:t>
            </w:r>
            <w:r>
              <w:rPr>
                <w:rFonts w:ascii="宋体" w:hAnsi="宋体" w:cs="宋体" w:eastAsia="宋体" w:hint="default"/>
                <w:spacing w:val="-5"/>
                <w:w w:val="101"/>
                <w:sz w:val="18"/>
                <w:szCs w:val="18"/>
              </w:rPr>
              <w:t> </w:t>
            </w:r>
            <w:r>
              <w:rPr>
                <w:rFonts w:ascii="宋体" w:hAnsi="宋体" w:cs="宋体" w:eastAsia="宋体" w:hint="default"/>
                <w:spacing w:val="-4"/>
                <w:sz w:val="18"/>
                <w:szCs w:val="18"/>
              </w:rPr>
              <w:t>大学资</w:t>
            </w:r>
            <w:r>
              <w:rPr>
                <w:rFonts w:ascii="宋体" w:hAnsi="宋体" w:cs="宋体" w:eastAsia="宋体" w:hint="default"/>
                <w:spacing w:val="-5"/>
                <w:w w:val="101"/>
                <w:sz w:val="18"/>
                <w:szCs w:val="18"/>
              </w:rPr>
              <w:t> </w:t>
            </w:r>
            <w:r>
              <w:rPr>
                <w:rFonts w:ascii="宋体" w:hAnsi="宋体" w:cs="宋体" w:eastAsia="宋体" w:hint="default"/>
                <w:spacing w:val="-4"/>
                <w:sz w:val="18"/>
                <w:szCs w:val="18"/>
              </w:rPr>
              <w:t>产经营</w:t>
            </w:r>
            <w:r>
              <w:rPr>
                <w:rFonts w:ascii="宋体" w:hAnsi="宋体" w:cs="宋体" w:eastAsia="宋体" w:hint="default"/>
                <w:spacing w:val="-5"/>
                <w:w w:val="101"/>
                <w:sz w:val="18"/>
                <w:szCs w:val="18"/>
              </w:rPr>
              <w:t> </w:t>
            </w:r>
            <w:r>
              <w:rPr>
                <w:rFonts w:ascii="宋体" w:hAnsi="宋体" w:cs="宋体" w:eastAsia="宋体" w:hint="default"/>
                <w:spacing w:val="-4"/>
                <w:sz w:val="18"/>
                <w:szCs w:val="18"/>
              </w:rPr>
              <w:t>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股权</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10"/>
              <w:ind w:left="326" w:right="146" w:hanging="178"/>
              <w:jc w:val="left"/>
              <w:rPr>
                <w:rFonts w:ascii="宋体" w:hAnsi="宋体" w:cs="宋体" w:eastAsia="宋体" w:hint="default"/>
                <w:sz w:val="18"/>
                <w:szCs w:val="18"/>
              </w:rPr>
            </w:pPr>
            <w:r>
              <w:rPr>
                <w:rFonts w:ascii="宋体" w:hAnsi="宋体" w:cs="宋体" w:eastAsia="宋体" w:hint="default"/>
                <w:spacing w:val="-4"/>
                <w:sz w:val="18"/>
                <w:szCs w:val="18"/>
              </w:rPr>
              <w:t>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p>
        </w:tc>
        <w:tc>
          <w:tcPr>
            <w:tcW w:w="64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6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1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5" w:hRule="exact"/>
        </w:trPr>
        <w:tc>
          <w:tcPr>
            <w:tcW w:w="300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58</w:t>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12,000</w:t>
            </w:r>
          </w:p>
        </w:tc>
        <w:tc>
          <w:tcPr>
            <w:tcW w:w="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00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r>
              <w:rPr>
                <w:rFonts w:ascii="宋体" w:hAnsi="宋体" w:cs="宋体" w:eastAsia="宋体" w:hint="default"/>
                <w:sz w:val="18"/>
                <w:szCs w:val="18"/>
              </w:rPr>
            </w:r>
          </w:p>
        </w:tc>
        <w:tc>
          <w:tcPr>
            <w:tcW w:w="6571"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1339" w:hRule="exact"/>
        </w:trPr>
        <w:tc>
          <w:tcPr>
            <w:tcW w:w="300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8" w:right="141"/>
              <w:jc w:val="center"/>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易进行总金额预计的，在报告期内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的实际履行情况（如有）</w:t>
            </w:r>
            <w:r>
              <w:rPr>
                <w:rFonts w:ascii="宋体" w:hAnsi="宋体" w:cs="宋体" w:eastAsia="宋体" w:hint="default"/>
                <w:sz w:val="18"/>
                <w:szCs w:val="18"/>
              </w:rPr>
            </w:r>
          </w:p>
        </w:tc>
        <w:tc>
          <w:tcPr>
            <w:tcW w:w="6571"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、公司预计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年度与中南大学交易金额不超过</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年度，公司</w:t>
            </w:r>
            <w:r>
              <w:rPr>
                <w:rFonts w:ascii="宋体" w:hAnsi="宋体" w:cs="宋体" w:eastAsia="宋体" w:hint="default"/>
                <w:sz w:val="18"/>
                <w:szCs w:val="18"/>
              </w:rPr>
            </w:r>
          </w:p>
          <w:p>
            <w:pPr>
              <w:pStyle w:val="TableParagraph"/>
              <w:spacing w:line="302" w:lineRule="auto" w:before="58"/>
              <w:ind w:left="105" w:right="102" w:hanging="1"/>
              <w:jc w:val="center"/>
              <w:rPr>
                <w:rFonts w:ascii="宋体" w:hAnsi="宋体" w:cs="宋体" w:eastAsia="宋体" w:hint="default"/>
                <w:sz w:val="18"/>
                <w:szCs w:val="18"/>
              </w:rPr>
            </w:pPr>
            <w:r>
              <w:rPr>
                <w:rFonts w:ascii="宋体" w:hAnsi="宋体" w:cs="宋体" w:eastAsia="宋体" w:hint="default"/>
                <w:spacing w:val="-3"/>
                <w:sz w:val="18"/>
                <w:szCs w:val="18"/>
              </w:rPr>
              <w:t>与中南大学实际交易金额为</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149.58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、公司预计</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年度费耀平先生为公</w:t>
            </w:r>
            <w:r>
              <w:rPr>
                <w:rFonts w:ascii="宋体" w:hAnsi="宋体" w:cs="宋体" w:eastAsia="宋体" w:hint="default"/>
                <w:w w:val="101"/>
                <w:sz w:val="18"/>
                <w:szCs w:val="18"/>
              </w:rPr>
              <w:t> </w:t>
            </w:r>
            <w:r>
              <w:rPr>
                <w:rFonts w:ascii="宋体" w:hAnsi="宋体" w:cs="宋体" w:eastAsia="宋体" w:hint="default"/>
                <w:sz w:val="18"/>
                <w:szCs w:val="18"/>
              </w:rPr>
              <w:t>司提供担保额度不超过 </w:t>
            </w:r>
            <w:r>
              <w:rPr>
                <w:rFonts w:ascii="Times New Roman" w:hAnsi="Times New Roman" w:cs="Times New Roman" w:eastAsia="Times New Roman" w:hint="default"/>
                <w:sz w:val="18"/>
                <w:szCs w:val="18"/>
              </w:rPr>
              <w:t>1 </w:t>
            </w:r>
            <w:r>
              <w:rPr>
                <w:rFonts w:ascii="宋体" w:hAnsi="宋体" w:cs="宋体" w:eastAsia="宋体" w:hint="default"/>
                <w:sz w:val="18"/>
                <w:szCs w:val="18"/>
              </w:rPr>
              <w:t>亿，</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年度，费耀平先生实际为公司提供担保额度为</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w:t>
            </w:r>
          </w:p>
        </w:tc>
      </w:tr>
      <w:tr>
        <w:trPr>
          <w:trHeight w:val="710" w:hRule="exact"/>
        </w:trPr>
        <w:tc>
          <w:tcPr>
            <w:tcW w:w="300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777" w:right="141" w:hanging="629"/>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的原因（如适用）</w:t>
            </w:r>
          </w:p>
        </w:tc>
        <w:tc>
          <w:tcPr>
            <w:tcW w:w="6571" w:type="dxa"/>
            <w:gridSpan w:val="10"/>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459"/>
        <w:jc w:val="left"/>
      </w:pPr>
      <w:r>
        <w:rPr/>
        <w:t>□ </w:t>
      </w:r>
      <w:r>
        <w:rPr>
          <w:spacing w:val="-3"/>
        </w:rPr>
        <w:t>适用 </w:t>
      </w:r>
      <w:r>
        <w:rPr/>
        <w:t>√ 不适用</w:t>
      </w:r>
      <w:r>
        <w:rPr>
          <w:spacing w:val="-77"/>
        </w:rPr>
        <w:t> </w:t>
      </w:r>
      <w:r>
        <w:rPr>
          <w:spacing w:val="-77"/>
        </w:rPr>
      </w:r>
      <w:r>
        <w:rPr>
          <w:spacing w:val="-3"/>
        </w:rPr>
        <w:t>公司报告期未发生资产或股权收购、出售的关联交易。</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5459"/>
        <w:jc w:val="left"/>
      </w:pPr>
      <w:r>
        <w:rPr/>
        <w:t>□ </w:t>
      </w:r>
      <w:r>
        <w:rPr>
          <w:spacing w:val="-3"/>
        </w:rPr>
        <w:t>适用 </w:t>
      </w:r>
      <w:r>
        <w:rPr/>
        <w:t>√ 不适用</w:t>
      </w:r>
      <w:r>
        <w:rPr>
          <w:spacing w:val="-77"/>
        </w:rPr>
        <w:t> </w:t>
      </w:r>
      <w:r>
        <w:rPr>
          <w:spacing w:val="-77"/>
        </w:rPr>
      </w:r>
      <w:r>
        <w:rPr>
          <w:spacing w:val="-3"/>
        </w:rPr>
        <w:t>公司报告期未发生共同对外投资的关联交易。</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689" w:hanging="1"/>
        <w:jc w:val="left"/>
      </w:pPr>
      <w:r>
        <w:rPr/>
        <w:t>√ </w:t>
      </w:r>
      <w:r>
        <w:rPr>
          <w:spacing w:val="-3"/>
        </w:rPr>
        <w:t>适用 </w:t>
      </w:r>
      <w:r>
        <w:rPr/>
        <w:t>□ 不适用</w:t>
      </w:r>
      <w:r>
        <w:rPr>
          <w:spacing w:val="-77"/>
        </w:rPr>
        <w:t> </w:t>
      </w:r>
      <w:r>
        <w:rPr>
          <w:spacing w:val="-77"/>
        </w:rPr>
      </w:r>
      <w:r>
        <w:rPr>
          <w:spacing w:val="-3"/>
        </w:rPr>
        <w:t>是否存在非经营性关联债权债务往来</w:t>
      </w:r>
    </w:p>
    <w:p>
      <w:pPr>
        <w:pStyle w:val="BodyText"/>
        <w:spacing w:line="357" w:lineRule="auto" w:before="31"/>
        <w:ind w:right="5459"/>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公司报告期不存在非经营性关联债权债务往来。</w:t>
      </w:r>
      <w:r>
        <w:rPr/>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6689" w:hanging="1"/>
        <w:jc w:val="left"/>
      </w:pPr>
      <w:r>
        <w:rPr/>
        <w:t>□ </w:t>
      </w:r>
      <w:r>
        <w:rPr>
          <w:spacing w:val="-3"/>
        </w:rPr>
        <w:t>适用 </w:t>
      </w:r>
      <w:r>
        <w:rPr/>
        <w:t>√ 不适用</w:t>
      </w:r>
      <w:r>
        <w:rPr>
          <w:spacing w:val="-77"/>
        </w:rPr>
        <w:t> </w:t>
      </w:r>
      <w:r>
        <w:rPr>
          <w:spacing w:val="-77"/>
        </w:rPr>
      </w:r>
      <w:r>
        <w:rPr>
          <w:spacing w:val="-3"/>
        </w:rPr>
        <w:t>公司报告期无其他重大关联交易。</w:t>
      </w:r>
      <w:r>
        <w:rPr/>
      </w:r>
    </w:p>
    <w:p>
      <w:pPr>
        <w:spacing w:after="0" w:line="362" w:lineRule="auto"/>
        <w:jc w:val="left"/>
        <w:sectPr>
          <w:pgSz w:w="11910" w:h="16840"/>
          <w:pgMar w:header="784" w:footer="1027" w:top="1100" w:bottom="1220" w:left="980" w:right="98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6689" w:hanging="1"/>
        <w:jc w:val="left"/>
      </w:pPr>
      <w:r>
        <w:rPr/>
        <w:t>□ </w:t>
      </w:r>
      <w:r>
        <w:rPr>
          <w:spacing w:val="-3"/>
        </w:rPr>
        <w:t>适用 </w:t>
      </w:r>
      <w:r>
        <w:rPr/>
        <w:t>√ 不适用</w:t>
      </w:r>
      <w:r>
        <w:rPr>
          <w:spacing w:val="-77"/>
        </w:rPr>
        <w:t> </w:t>
      </w:r>
      <w:r>
        <w:rPr>
          <w:spacing w:val="-77"/>
        </w:rPr>
      </w:r>
      <w:r>
        <w:rPr>
          <w:spacing w:val="-3"/>
        </w:rPr>
        <w:t>公司报告期不存在托管情况。</w:t>
      </w:r>
      <w:r>
        <w:rPr/>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689" w:hanging="1"/>
        <w:jc w:val="left"/>
      </w:pPr>
      <w:r>
        <w:rPr/>
        <w:t>□ </w:t>
      </w:r>
      <w:r>
        <w:rPr>
          <w:spacing w:val="-3"/>
        </w:rPr>
        <w:t>适用 </w:t>
      </w:r>
      <w:r>
        <w:rPr/>
        <w:t>√ 不适用</w:t>
      </w:r>
      <w:r>
        <w:rPr>
          <w:spacing w:val="-77"/>
        </w:rPr>
        <w:t> </w:t>
      </w:r>
      <w:r>
        <w:rPr>
          <w:spacing w:val="-77"/>
        </w:rPr>
      </w:r>
      <w:r>
        <w:rPr>
          <w:spacing w:val="-3"/>
        </w:rPr>
        <w:t>公司报告期不存在承包情况。</w:t>
      </w:r>
      <w:r>
        <w:rPr/>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8239" w:hanging="1"/>
        <w:jc w:val="left"/>
      </w:pPr>
      <w:r>
        <w:rPr/>
        <w:t>√ </w:t>
      </w:r>
      <w:r>
        <w:rPr>
          <w:spacing w:val="-3"/>
        </w:rPr>
        <w:t>适用 </w:t>
      </w:r>
      <w:r>
        <w:rPr/>
        <w:t>□</w:t>
      </w:r>
      <w:r>
        <w:rPr>
          <w:spacing w:val="13"/>
        </w:rPr>
        <w:t> </w:t>
      </w:r>
      <w:r>
        <w:rPr/>
        <w:t>不适用</w:t>
      </w:r>
      <w:r>
        <w:rPr>
          <w:w w:val="101"/>
        </w:rPr>
        <w:t> </w:t>
      </w:r>
      <w:r>
        <w:rPr/>
        <w:t>租赁情况说明</w:t>
      </w:r>
    </w:p>
    <w:p>
      <w:pPr>
        <w:pStyle w:val="BodyText"/>
        <w:spacing w:line="316" w:lineRule="auto" w:before="22"/>
        <w:ind w:left="513" w:right="2638"/>
        <w:jc w:val="left"/>
        <w:rPr>
          <w:rFonts w:ascii="宋体" w:hAnsi="宋体" w:cs="宋体" w:eastAsia="宋体" w:hint="default"/>
        </w:rPr>
      </w:pPr>
      <w:r>
        <w:rPr>
          <w:spacing w:val="-3"/>
        </w:rPr>
        <w:t>一、公司租赁其他公司或个人资产情况</w:t>
      </w:r>
      <w:r>
        <w:rPr>
          <w:spacing w:val="-44"/>
        </w:rPr>
        <w:t> </w:t>
      </w:r>
      <w:r>
        <w:rPr>
          <w:rFonts w:ascii="宋体" w:hAnsi="宋体" w:cs="宋体" w:eastAsia="宋体" w:hint="default"/>
          <w:spacing w:val="-44"/>
        </w:rPr>
      </w:r>
      <w:r>
        <w:rPr>
          <w:spacing w:val="-3"/>
        </w:rPr>
        <w:t>报告期内，公司共租赁</w:t>
      </w:r>
      <w:r>
        <w:rPr>
          <w:rFonts w:ascii="宋体" w:hAnsi="宋体" w:cs="宋体" w:eastAsia="宋体" w:hint="default"/>
          <w:spacing w:val="-3"/>
        </w:rPr>
        <w:t>8</w:t>
      </w:r>
      <w:r>
        <w:rPr>
          <w:spacing w:val="-3"/>
        </w:rPr>
        <w:t>处房产，具体租赁情况如下</w:t>
      </w:r>
      <w:r>
        <w:rPr>
          <w:rFonts w:ascii="宋体" w:hAnsi="宋体" w:cs="宋体" w:eastAsia="宋体" w:hint="default"/>
          <w:spacing w:val="-3"/>
        </w:rPr>
        <w:t>:</w:t>
      </w:r>
      <w:r>
        <w:rPr>
          <w:rFonts w:ascii="宋体" w:hAnsi="宋体" w:cs="宋体" w:eastAsia="宋体" w:hint="default"/>
        </w:rPr>
        <w:t> </w:t>
      </w:r>
    </w:p>
    <w:p>
      <w:pPr>
        <w:spacing w:line="240" w:lineRule="auto" w:before="7"/>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658"/>
        <w:gridCol w:w="1997"/>
        <w:gridCol w:w="1752"/>
        <w:gridCol w:w="1920"/>
        <w:gridCol w:w="2506"/>
      </w:tblGrid>
      <w:tr>
        <w:trPr>
          <w:trHeight w:val="322"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b/>
                <w:bCs/>
                <w:sz w:val="18"/>
                <w:szCs w:val="18"/>
              </w:rPr>
              <w:t>承租时间</w:t>
            </w:r>
            <w:r>
              <w:rPr>
                <w:rFonts w:ascii="宋体" w:hAnsi="宋体" w:cs="宋体" w:eastAsia="宋体" w:hint="default"/>
                <w:sz w:val="18"/>
                <w:szCs w:val="18"/>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b/>
                <w:bCs/>
                <w:sz w:val="18"/>
                <w:szCs w:val="18"/>
              </w:rPr>
              <w:t>坐落</w:t>
            </w:r>
            <w:r>
              <w:rPr>
                <w:rFonts w:ascii="宋体" w:hAnsi="宋体" w:cs="宋体" w:eastAsia="宋体" w:hint="default"/>
                <w:sz w:val="18"/>
                <w:szCs w:val="18"/>
              </w:rPr>
            </w:r>
          </w:p>
        </w:tc>
      </w:tr>
      <w:tr>
        <w:trPr>
          <w:trHeight w:val="475"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pacing w:val="-3"/>
                <w:sz w:val="18"/>
                <w:szCs w:val="18"/>
              </w:rPr>
              <w:t>科创信息北京分公司</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北京万开酒店管理</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2015.02.05-2020.02.04</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北京市丰台区万丰路万开中</w:t>
            </w:r>
            <w:r>
              <w:rPr>
                <w:rFonts w:ascii="宋体" w:hAnsi="宋体" w:cs="宋体" w:eastAsia="宋体" w:hint="default"/>
                <w:sz w:val="18"/>
                <w:szCs w:val="18"/>
              </w:rPr>
            </w:r>
          </w:p>
          <w:p>
            <w:pPr>
              <w:pStyle w:val="TableParagraph"/>
              <w:spacing w:line="249" w:lineRule="exact"/>
              <w:ind w:left="105"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B1-26-C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w:t>
            </w:r>
          </w:p>
        </w:tc>
      </w:tr>
      <w:tr>
        <w:trPr>
          <w:trHeight w:val="48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科创鑫源</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北京万开酒店管理</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2015.02.05-2020.02.04</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北京市丰台区万丰路万开中</w:t>
            </w:r>
            <w:r>
              <w:rPr>
                <w:rFonts w:ascii="宋体" w:hAnsi="宋体" w:cs="宋体" w:eastAsia="宋体" w:hint="default"/>
                <w:sz w:val="18"/>
                <w:szCs w:val="18"/>
              </w:rPr>
            </w:r>
          </w:p>
          <w:p>
            <w:pPr>
              <w:pStyle w:val="TableParagraph"/>
              <w:spacing w:line="249" w:lineRule="exact"/>
              <w:ind w:left="105"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B1-26-A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单元</w:t>
            </w:r>
          </w:p>
        </w:tc>
      </w:tr>
      <w:tr>
        <w:trPr>
          <w:trHeight w:val="475"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pacing w:val="-3"/>
                <w:sz w:val="18"/>
                <w:szCs w:val="18"/>
              </w:rPr>
              <w:t>科创信息云南分公司</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pacing w:val="-4"/>
                <w:sz w:val="18"/>
                <w:szCs w:val="18"/>
              </w:rPr>
              <w:t>齐正付</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sz w:val="18"/>
              </w:rPr>
              <w:t>2016.4.1-2018.3.30</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南屏步行街世纪广场 </w:t>
            </w:r>
            <w:r>
              <w:rPr>
                <w:rFonts w:ascii="Times New Roman" w:hAnsi="Times New Roman" w:cs="Times New Roman" w:eastAsia="Times New Roman" w:hint="default"/>
                <w:spacing w:val="-4"/>
                <w:sz w:val="18"/>
                <w:szCs w:val="18"/>
              </w:rPr>
              <w:t>B2  </w:t>
            </w:r>
            <w:r>
              <w:rPr>
                <w:rFonts w:ascii="宋体" w:hAnsi="宋体" w:cs="宋体" w:eastAsia="宋体" w:hint="default"/>
                <w:sz w:val="18"/>
                <w:szCs w:val="18"/>
              </w:rPr>
              <w:t>幢</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p>
          <w:p>
            <w:pPr>
              <w:pStyle w:val="TableParagraph"/>
              <w:spacing w:line="240" w:lineRule="exact"/>
              <w:ind w:left="105"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D-7D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E-7E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75"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永兴科创</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pacing w:val="-4"/>
                <w:sz w:val="18"/>
                <w:szCs w:val="18"/>
              </w:rPr>
              <w:t>张二红</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297" w:right="0"/>
              <w:jc w:val="left"/>
              <w:rPr>
                <w:rFonts w:ascii="Times New Roman" w:hAnsi="Times New Roman" w:cs="Times New Roman" w:eastAsia="Times New Roman" w:hint="default"/>
                <w:sz w:val="18"/>
                <w:szCs w:val="18"/>
              </w:rPr>
            </w:pPr>
            <w:r>
              <w:rPr>
                <w:rFonts w:ascii="Times New Roman"/>
                <w:sz w:val="18"/>
              </w:rPr>
              <w:t>2016.8.8-2017.8.7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2017.8.8-2018.8.7</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永兴县大桥路丽江兴城 </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p>
          <w:p>
            <w:pPr>
              <w:pStyle w:val="TableParagraph"/>
              <w:spacing w:line="24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房</w:t>
            </w:r>
          </w:p>
        </w:tc>
      </w:tr>
      <w:tr>
        <w:trPr>
          <w:trHeight w:val="71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科创信息桂林分公司</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3"/>
              <w:ind w:left="100" w:right="79"/>
              <w:jc w:val="left"/>
              <w:rPr>
                <w:rFonts w:ascii="宋体" w:hAnsi="宋体" w:cs="宋体" w:eastAsia="宋体" w:hint="default"/>
                <w:sz w:val="18"/>
                <w:szCs w:val="18"/>
              </w:rPr>
            </w:pPr>
            <w:r>
              <w:rPr>
                <w:rFonts w:ascii="宋体" w:hAnsi="宋体" w:cs="宋体" w:eastAsia="宋体" w:hint="default"/>
                <w:spacing w:val="11"/>
                <w:sz w:val="18"/>
                <w:szCs w:val="18"/>
              </w:rPr>
              <w:t>桂林科技企业发展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中心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2016.8.1-2017.12.31</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桂林市空明西路新建区五号</w:t>
            </w:r>
            <w:r>
              <w:rPr>
                <w:rFonts w:ascii="宋体" w:hAnsi="宋体" w:cs="宋体" w:eastAsia="宋体" w:hint="default"/>
                <w:sz w:val="18"/>
                <w:szCs w:val="18"/>
              </w:rPr>
            </w:r>
          </w:p>
          <w:p>
            <w:pPr>
              <w:pStyle w:val="TableParagraph"/>
              <w:spacing w:line="242"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小区（</w:t>
            </w:r>
            <w:r>
              <w:rPr>
                <w:rFonts w:ascii="Times New Roman" w:hAnsi="Times New Roman" w:cs="Times New Roman" w:eastAsia="Times New Roman" w:hint="default"/>
                <w:sz w:val="18"/>
                <w:szCs w:val="18"/>
              </w:rPr>
              <w:t>13-1  </w:t>
            </w:r>
            <w:r>
              <w:rPr>
                <w:rFonts w:ascii="宋体" w:hAnsi="宋体" w:cs="宋体" w:eastAsia="宋体" w:hint="default"/>
                <w:sz w:val="18"/>
                <w:szCs w:val="18"/>
              </w:rPr>
              <w:t>号）创业大厦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w:t>
            </w:r>
          </w:p>
          <w:p>
            <w:pPr>
              <w:pStyle w:val="TableParagraph"/>
              <w:spacing w:line="242" w:lineRule="exact"/>
              <w:ind w:left="105"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w:t>
            </w:r>
          </w:p>
        </w:tc>
      </w:tr>
      <w:tr>
        <w:trPr>
          <w:trHeight w:val="48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pacing w:val="-3"/>
                <w:sz w:val="18"/>
                <w:szCs w:val="18"/>
              </w:rPr>
              <w:t>科创信息郑州分公司</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4"/>
                <w:sz w:val="18"/>
                <w:szCs w:val="18"/>
              </w:rPr>
              <w:t>赵新兴</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2016.9.28-2019.9.30</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郑州市郑东新区升龙广场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p>
            <w:pPr>
              <w:pStyle w:val="TableParagraph"/>
              <w:spacing w:line="242" w:lineRule="exact"/>
              <w:ind w:left="105"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单元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805 </w:t>
            </w:r>
            <w:r>
              <w:rPr>
                <w:rFonts w:ascii="宋体" w:hAnsi="宋体" w:cs="宋体" w:eastAsia="宋体" w:hint="default"/>
                <w:sz w:val="18"/>
                <w:szCs w:val="18"/>
              </w:rPr>
              <w:t>室</w:t>
            </w:r>
          </w:p>
        </w:tc>
      </w:tr>
      <w:tr>
        <w:trPr>
          <w:trHeight w:val="71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湖南科创信息技术股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6" w:lineRule="exact" w:before="19"/>
              <w:ind w:left="105" w:right="75"/>
              <w:jc w:val="left"/>
              <w:rPr>
                <w:rFonts w:ascii="宋体" w:hAnsi="宋体" w:cs="宋体" w:eastAsia="宋体" w:hint="default"/>
                <w:sz w:val="18"/>
                <w:szCs w:val="18"/>
              </w:rPr>
            </w:pPr>
            <w:r>
              <w:rPr>
                <w:rFonts w:ascii="宋体" w:hAnsi="宋体" w:cs="宋体" w:eastAsia="宋体" w:hint="default"/>
                <w:spacing w:val="14"/>
                <w:sz w:val="18"/>
                <w:szCs w:val="18"/>
              </w:rPr>
              <w:t>份有限公司武汉分公</w:t>
            </w:r>
            <w:r>
              <w:rPr>
                <w:rFonts w:ascii="宋体" w:hAnsi="宋体" w:cs="宋体" w:eastAsia="宋体" w:hint="default"/>
                <w:spacing w:val="-53"/>
                <w:sz w:val="18"/>
                <w:szCs w:val="18"/>
              </w:rPr>
              <w:t> </w:t>
            </w:r>
            <w:r>
              <w:rPr>
                <w:rFonts w:ascii="宋体" w:hAnsi="宋体" w:cs="宋体" w:eastAsia="宋体" w:hint="default"/>
                <w:sz w:val="18"/>
                <w:szCs w:val="18"/>
              </w:rPr>
              <w:t>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4"/>
                <w:sz w:val="18"/>
                <w:szCs w:val="18"/>
              </w:rPr>
              <w:t>陈荣庆</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249" w:right="0"/>
              <w:jc w:val="left"/>
              <w:rPr>
                <w:rFonts w:ascii="Times New Roman" w:hAnsi="Times New Roman" w:cs="Times New Roman" w:eastAsia="Times New Roman" w:hint="default"/>
                <w:sz w:val="18"/>
                <w:szCs w:val="18"/>
              </w:rPr>
            </w:pPr>
            <w:r>
              <w:rPr>
                <w:rFonts w:ascii="Times New Roman"/>
                <w:sz w:val="18"/>
              </w:rPr>
              <w:t>2016.4.1-2017.3.31</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2017.4.1-2018.3.31</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楚天都市花园</w:t>
            </w:r>
            <w:r>
              <w:rPr>
                <w:rFonts w:ascii="宋体" w:hAnsi="宋体" w:cs="宋体" w:eastAsia="宋体" w:hint="default"/>
                <w:spacing w:val="-45"/>
                <w:sz w:val="18"/>
                <w:szCs w:val="18"/>
              </w:rPr>
              <w:t> </w:t>
            </w:r>
            <w:r>
              <w:rPr>
                <w:rFonts w:ascii="宋体" w:hAnsi="宋体" w:cs="宋体" w:eastAsia="宋体" w:hint="default"/>
                <w:sz w:val="18"/>
                <w:szCs w:val="18"/>
              </w:rPr>
              <w:t>C</w:t>
            </w:r>
            <w:r>
              <w:rPr>
                <w:rFonts w:ascii="宋体" w:hAnsi="宋体" w:cs="宋体" w:eastAsia="宋体" w:hint="default"/>
                <w:spacing w:val="-4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宋体" w:hAnsi="宋体" w:cs="宋体" w:eastAsia="宋体" w:hint="default"/>
                <w:sz w:val="18"/>
                <w:szCs w:val="18"/>
              </w:rPr>
              <w:t>D</w:t>
            </w:r>
            <w:r>
              <w:rPr>
                <w:rFonts w:ascii="宋体" w:hAnsi="宋体" w:cs="宋体" w:eastAsia="宋体" w:hint="default"/>
                <w:spacing w:val="-45"/>
                <w:sz w:val="18"/>
                <w:szCs w:val="18"/>
              </w:rPr>
              <w:t> </w:t>
            </w:r>
            <w:r>
              <w:rPr>
                <w:rFonts w:ascii="宋体" w:hAnsi="宋体" w:cs="宋体" w:eastAsia="宋体" w:hint="default"/>
                <w:sz w:val="18"/>
                <w:szCs w:val="18"/>
              </w:rPr>
              <w:t>室</w:t>
            </w:r>
          </w:p>
        </w:tc>
      </w:tr>
      <w:tr>
        <w:trPr>
          <w:trHeight w:val="710" w:hRule="exact"/>
        </w:trPr>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湖南科创信息技术股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6" w:lineRule="exact" w:before="19"/>
              <w:ind w:left="105" w:right="75"/>
              <w:jc w:val="left"/>
              <w:rPr>
                <w:rFonts w:ascii="宋体" w:hAnsi="宋体" w:cs="宋体" w:eastAsia="宋体" w:hint="default"/>
                <w:sz w:val="18"/>
                <w:szCs w:val="18"/>
              </w:rPr>
            </w:pPr>
            <w:r>
              <w:rPr>
                <w:rFonts w:ascii="宋体" w:hAnsi="宋体" w:cs="宋体" w:eastAsia="宋体" w:hint="default"/>
                <w:spacing w:val="14"/>
                <w:sz w:val="18"/>
                <w:szCs w:val="18"/>
              </w:rPr>
              <w:t>份有限公司广州分公</w:t>
            </w:r>
            <w:r>
              <w:rPr>
                <w:rFonts w:ascii="宋体" w:hAnsi="宋体" w:cs="宋体" w:eastAsia="宋体" w:hint="default"/>
                <w:spacing w:val="-53"/>
                <w:sz w:val="18"/>
                <w:szCs w:val="18"/>
              </w:rPr>
              <w:t> </w:t>
            </w:r>
            <w:r>
              <w:rPr>
                <w:rFonts w:ascii="宋体" w:hAnsi="宋体" w:cs="宋体" w:eastAsia="宋体" w:hint="default"/>
                <w:sz w:val="18"/>
                <w:szCs w:val="18"/>
              </w:rPr>
              <w:t>司</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79"/>
              <w:jc w:val="left"/>
              <w:rPr>
                <w:rFonts w:ascii="宋体" w:hAnsi="宋体" w:cs="宋体" w:eastAsia="宋体" w:hint="default"/>
                <w:sz w:val="18"/>
                <w:szCs w:val="18"/>
              </w:rPr>
            </w:pPr>
            <w:r>
              <w:rPr>
                <w:rFonts w:ascii="宋体" w:hAnsi="宋体" w:cs="宋体" w:eastAsia="宋体" w:hint="default"/>
                <w:spacing w:val="11"/>
                <w:sz w:val="18"/>
                <w:szCs w:val="18"/>
              </w:rPr>
              <w:t>广州市汇诚物业管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理有限公司</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sz w:val="18"/>
              </w:rPr>
              <w:t>2016.5.16-2017.5.1520</w:t>
            </w:r>
          </w:p>
          <w:p>
            <w:pPr>
              <w:pStyle w:val="TableParagraph"/>
              <w:spacing w:line="240" w:lineRule="auto" w:before="4"/>
              <w:ind w:left="9" w:right="0"/>
              <w:jc w:val="center"/>
              <w:rPr>
                <w:rFonts w:ascii="Times New Roman" w:hAnsi="Times New Roman" w:cs="Times New Roman" w:eastAsia="Times New Roman" w:hint="default"/>
                <w:sz w:val="18"/>
                <w:szCs w:val="18"/>
              </w:rPr>
            </w:pPr>
            <w:r>
              <w:rPr>
                <w:rFonts w:ascii="Times New Roman"/>
                <w:sz w:val="18"/>
              </w:rPr>
              <w:t>17.5.16-2018.5.15</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83"/>
              <w:jc w:val="left"/>
              <w:rPr>
                <w:rFonts w:ascii="宋体" w:hAnsi="宋体" w:cs="宋体" w:eastAsia="宋体" w:hint="default"/>
                <w:sz w:val="18"/>
                <w:szCs w:val="18"/>
              </w:rPr>
            </w:pPr>
            <w:r>
              <w:rPr>
                <w:rFonts w:ascii="宋体" w:hAnsi="宋体" w:cs="宋体" w:eastAsia="宋体" w:hint="default"/>
                <w:spacing w:val="8"/>
                <w:sz w:val="18"/>
                <w:szCs w:val="18"/>
              </w:rPr>
              <w:t>广州市天河区东圃大马路天</w:t>
            </w:r>
            <w:r>
              <w:rPr>
                <w:rFonts w:ascii="宋体" w:hAnsi="宋体" w:cs="宋体" w:eastAsia="宋体" w:hint="default"/>
                <w:spacing w:val="-50"/>
                <w:sz w:val="18"/>
                <w:szCs w:val="18"/>
              </w:rPr>
              <w:t> </w:t>
            </w:r>
            <w:r>
              <w:rPr>
                <w:rFonts w:ascii="宋体" w:hAnsi="宋体" w:cs="宋体" w:eastAsia="宋体" w:hint="default"/>
                <w:sz w:val="18"/>
                <w:szCs w:val="18"/>
              </w:rPr>
              <w:t>力街</w:t>
            </w:r>
            <w:r>
              <w:rPr>
                <w:rFonts w:ascii="宋体" w:hAnsi="宋体" w:cs="宋体" w:eastAsia="宋体" w:hint="default"/>
                <w:spacing w:val="-43"/>
                <w:sz w:val="18"/>
                <w:szCs w:val="18"/>
              </w:rPr>
              <w:t> </w:t>
            </w: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号</w:t>
            </w:r>
            <w:r>
              <w:rPr>
                <w:rFonts w:ascii="宋体" w:hAnsi="宋体" w:cs="宋体" w:eastAsia="宋体" w:hint="default"/>
                <w:spacing w:val="-43"/>
                <w:sz w:val="18"/>
                <w:szCs w:val="18"/>
              </w:rPr>
              <w:t> </w:t>
            </w:r>
            <w:r>
              <w:rPr>
                <w:rFonts w:ascii="宋体" w:hAnsi="宋体" w:cs="宋体" w:eastAsia="宋体" w:hint="default"/>
                <w:sz w:val="18"/>
                <w:szCs w:val="18"/>
              </w:rPr>
              <w:t>427</w:t>
            </w:r>
            <w:r>
              <w:rPr>
                <w:rFonts w:ascii="宋体" w:hAnsi="宋体" w:cs="宋体" w:eastAsia="宋体" w:hint="default"/>
                <w:spacing w:val="-49"/>
                <w:sz w:val="18"/>
                <w:szCs w:val="18"/>
              </w:rPr>
              <w:t> </w:t>
            </w:r>
            <w:r>
              <w:rPr>
                <w:rFonts w:ascii="宋体" w:hAnsi="宋体" w:cs="宋体" w:eastAsia="宋体" w:hint="default"/>
                <w:sz w:val="18"/>
                <w:szCs w:val="18"/>
              </w:rPr>
              <w:t>室</w:t>
            </w:r>
          </w:p>
        </w:tc>
      </w:tr>
    </w:tbl>
    <w:p>
      <w:pPr>
        <w:spacing w:line="240" w:lineRule="auto" w:before="11"/>
        <w:rPr>
          <w:rFonts w:ascii="宋体" w:hAnsi="宋体" w:cs="宋体" w:eastAsia="宋体" w:hint="default"/>
          <w:sz w:val="21"/>
          <w:szCs w:val="21"/>
        </w:rPr>
      </w:pPr>
    </w:p>
    <w:p>
      <w:pPr>
        <w:pStyle w:val="BodyText"/>
        <w:spacing w:line="316" w:lineRule="auto"/>
        <w:ind w:left="513" w:right="2638"/>
        <w:jc w:val="left"/>
        <w:rPr>
          <w:rFonts w:ascii="宋体" w:hAnsi="宋体" w:cs="宋体" w:eastAsia="宋体" w:hint="default"/>
        </w:rPr>
      </w:pPr>
      <w:r>
        <w:rPr>
          <w:spacing w:val="-3"/>
        </w:rPr>
        <w:t>二、其他公司租赁公司资产情况</w:t>
      </w:r>
      <w:r>
        <w:rPr>
          <w:spacing w:val="-51"/>
        </w:rPr>
        <w:t> </w:t>
      </w:r>
      <w:r>
        <w:rPr>
          <w:rFonts w:ascii="宋体" w:hAnsi="宋体" w:cs="宋体" w:eastAsia="宋体" w:hint="default"/>
          <w:spacing w:val="-51"/>
        </w:rPr>
      </w:r>
      <w:r>
        <w:rPr>
          <w:spacing w:val="-3"/>
        </w:rPr>
        <w:t>报告期内，共有</w:t>
      </w:r>
      <w:r>
        <w:rPr>
          <w:rFonts w:ascii="宋体" w:hAnsi="宋体" w:cs="宋体" w:eastAsia="宋体" w:hint="default"/>
          <w:spacing w:val="-3"/>
        </w:rPr>
        <w:t>3</w:t>
      </w:r>
      <w:r>
        <w:rPr>
          <w:spacing w:val="-3"/>
        </w:rPr>
        <w:t>家公司租赁公司房产，具体情况如下：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67" w:type="dxa"/>
        <w:tblLayout w:type="fixed"/>
        <w:tblCellMar>
          <w:top w:w="0" w:type="dxa"/>
          <w:left w:w="0" w:type="dxa"/>
          <w:bottom w:w="0" w:type="dxa"/>
          <w:right w:w="0" w:type="dxa"/>
        </w:tblCellMar>
        <w:tblLook w:val="01E0"/>
      </w:tblPr>
      <w:tblGrid>
        <w:gridCol w:w="682"/>
        <w:gridCol w:w="1973"/>
        <w:gridCol w:w="1752"/>
        <w:gridCol w:w="1498"/>
        <w:gridCol w:w="3034"/>
      </w:tblGrid>
      <w:tr>
        <w:trPr>
          <w:trHeight w:val="58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79" w:right="0"/>
              <w:jc w:val="left"/>
              <w:rPr>
                <w:rFonts w:ascii="宋体" w:hAnsi="宋体" w:cs="宋体" w:eastAsia="宋体" w:hint="default"/>
                <w:sz w:val="18"/>
                <w:szCs w:val="18"/>
              </w:rPr>
            </w:pPr>
            <w:r>
              <w:rPr>
                <w:rFonts w:ascii="宋体" w:hAnsi="宋体" w:cs="宋体" w:eastAsia="宋体" w:hint="default"/>
                <w:b/>
                <w:bCs/>
                <w:sz w:val="18"/>
                <w:szCs w:val="18"/>
              </w:rPr>
              <w:t>承租时间</w:t>
            </w:r>
            <w:r>
              <w:rPr>
                <w:rFonts w:ascii="宋体" w:hAnsi="宋体" w:cs="宋体" w:eastAsia="宋体" w:hint="default"/>
                <w:sz w:val="18"/>
                <w:szCs w:val="18"/>
              </w:rPr>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坐落</w:t>
            </w:r>
            <w:r>
              <w:rPr>
                <w:rFonts w:ascii="宋体" w:hAnsi="宋体" w:cs="宋体" w:eastAsia="宋体" w:hint="default"/>
                <w:sz w:val="18"/>
                <w:szCs w:val="18"/>
              </w:rPr>
            </w:r>
          </w:p>
        </w:tc>
      </w:tr>
      <w:tr>
        <w:trPr>
          <w:trHeight w:val="63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350" w:right="98" w:hanging="250"/>
              <w:jc w:val="left"/>
              <w:rPr>
                <w:rFonts w:ascii="宋体" w:hAnsi="宋体" w:cs="宋体" w:eastAsia="宋体" w:hint="default"/>
                <w:sz w:val="18"/>
                <w:szCs w:val="18"/>
              </w:rPr>
            </w:pPr>
            <w:r>
              <w:rPr>
                <w:rFonts w:ascii="宋体" w:hAnsi="宋体" w:cs="宋体" w:eastAsia="宋体" w:hint="default"/>
                <w:spacing w:val="-7"/>
                <w:sz w:val="18"/>
                <w:szCs w:val="18"/>
              </w:rPr>
              <w:t>中合慧景（长沙）规划</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设计院有限公司</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331" w:right="146" w:hanging="183"/>
              <w:jc w:val="left"/>
              <w:rPr>
                <w:rFonts w:ascii="宋体" w:hAnsi="宋体" w:cs="宋体" w:eastAsia="宋体" w:hint="default"/>
                <w:sz w:val="18"/>
                <w:szCs w:val="18"/>
              </w:rPr>
            </w:pPr>
            <w:r>
              <w:rPr>
                <w:rFonts w:ascii="宋体" w:hAnsi="宋体" w:cs="宋体" w:eastAsia="宋体" w:hint="default"/>
                <w:spacing w:val="-2"/>
                <w:sz w:val="18"/>
                <w:szCs w:val="18"/>
              </w:rPr>
              <w:t>湖南科创信息技术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2014.06.01-201</w:t>
            </w:r>
          </w:p>
          <w:p>
            <w:pPr>
              <w:pStyle w:val="TableParagraph"/>
              <w:spacing w:line="240" w:lineRule="auto" w:before="76"/>
              <w:ind w:right="0"/>
              <w:jc w:val="center"/>
              <w:rPr>
                <w:rFonts w:ascii="宋体" w:hAnsi="宋体" w:cs="宋体" w:eastAsia="宋体" w:hint="default"/>
                <w:sz w:val="18"/>
                <w:szCs w:val="18"/>
              </w:rPr>
            </w:pPr>
            <w:r>
              <w:rPr>
                <w:rFonts w:ascii="宋体"/>
                <w:sz w:val="18"/>
              </w:rPr>
              <w:t>9.05.31</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
              <w:ind w:left="201" w:right="117" w:hanging="87"/>
              <w:jc w:val="left"/>
              <w:rPr>
                <w:rFonts w:ascii="宋体" w:hAnsi="宋体" w:cs="宋体" w:eastAsia="宋体" w:hint="default"/>
                <w:sz w:val="18"/>
                <w:szCs w:val="18"/>
              </w:rPr>
            </w:pPr>
            <w:r>
              <w:rPr>
                <w:rFonts w:ascii="宋体" w:hAnsi="宋体" w:cs="宋体" w:eastAsia="宋体" w:hint="default"/>
                <w:sz w:val="18"/>
                <w:szCs w:val="18"/>
              </w:rPr>
              <w:t>长沙市芙蓉南路</w:t>
            </w:r>
            <w:r>
              <w:rPr>
                <w:rFonts w:ascii="宋体" w:hAnsi="宋体" w:cs="宋体" w:eastAsia="宋体" w:hint="default"/>
                <w:spacing w:val="-42"/>
                <w:sz w:val="18"/>
                <w:szCs w:val="18"/>
              </w:rPr>
              <w:t> </w:t>
            </w:r>
            <w:r>
              <w:rPr>
                <w:rFonts w:ascii="宋体" w:hAnsi="宋体" w:cs="宋体" w:eastAsia="宋体" w:hint="default"/>
                <w:sz w:val="18"/>
                <w:szCs w:val="18"/>
              </w:rPr>
              <w:t>368</w:t>
            </w:r>
            <w:r>
              <w:rPr>
                <w:rFonts w:ascii="宋体" w:hAnsi="宋体" w:cs="宋体" w:eastAsia="宋体" w:hint="default"/>
                <w:spacing w:val="-42"/>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宋体" w:hAnsi="宋体" w:cs="宋体" w:eastAsia="宋体" w:hint="default"/>
                <w:sz w:val="18"/>
                <w:szCs w:val="18"/>
              </w:rPr>
              <w:t>BOBO</w:t>
            </w:r>
            <w:r>
              <w:rPr>
                <w:rFonts w:ascii="宋体" w:hAnsi="宋体" w:cs="宋体" w:eastAsia="宋体" w:hint="default"/>
                <w:spacing w:val="-48"/>
                <w:sz w:val="18"/>
                <w:szCs w:val="18"/>
              </w:rPr>
              <w:t> </w:t>
            </w:r>
            <w:r>
              <w:rPr>
                <w:rFonts w:ascii="宋体" w:hAnsi="宋体" w:cs="宋体" w:eastAsia="宋体" w:hint="default"/>
                <w:spacing w:val="-4"/>
                <w:sz w:val="18"/>
                <w:szCs w:val="18"/>
              </w:rPr>
              <w:t>天下城</w:t>
            </w:r>
            <w:r>
              <w:rPr>
                <w:rFonts w:ascii="宋体" w:hAnsi="宋体" w:cs="宋体" w:eastAsia="宋体" w:hint="default"/>
                <w:spacing w:val="-5"/>
                <w:w w:val="10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号栋</w:t>
            </w:r>
            <w:r>
              <w:rPr>
                <w:rFonts w:ascii="宋体" w:hAnsi="宋体" w:cs="宋体" w:eastAsia="宋体" w:hint="default"/>
                <w:spacing w:val="-44"/>
                <w:sz w:val="18"/>
                <w:szCs w:val="18"/>
              </w:rPr>
              <w:t> </w:t>
            </w:r>
            <w:r>
              <w:rPr>
                <w:rFonts w:ascii="宋体" w:hAnsi="宋体" w:cs="宋体" w:eastAsia="宋体" w:hint="default"/>
                <w:sz w:val="18"/>
                <w:szCs w:val="18"/>
              </w:rPr>
              <w:t>CTA</w:t>
            </w:r>
            <w:r>
              <w:rPr>
                <w:rFonts w:ascii="宋体" w:hAnsi="宋体" w:cs="宋体" w:eastAsia="宋体" w:hint="default"/>
                <w:spacing w:val="-49"/>
                <w:sz w:val="18"/>
                <w:szCs w:val="18"/>
              </w:rPr>
              <w:t> </w:t>
            </w:r>
            <w:r>
              <w:rPr>
                <w:rFonts w:ascii="宋体" w:hAnsi="宋体" w:cs="宋体" w:eastAsia="宋体" w:hint="default"/>
                <w:sz w:val="18"/>
                <w:szCs w:val="18"/>
              </w:rPr>
              <w:t>财富中心</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楼南面</w:t>
            </w:r>
          </w:p>
        </w:tc>
      </w:tr>
    </w:tbl>
    <w:p>
      <w:pPr>
        <w:spacing w:after="0" w:line="316"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67" w:type="dxa"/>
        <w:tblLayout w:type="fixed"/>
        <w:tblCellMar>
          <w:top w:w="0" w:type="dxa"/>
          <w:left w:w="0" w:type="dxa"/>
          <w:bottom w:w="0" w:type="dxa"/>
          <w:right w:w="0" w:type="dxa"/>
        </w:tblCellMar>
        <w:tblLook w:val="01E0"/>
      </w:tblPr>
      <w:tblGrid>
        <w:gridCol w:w="682"/>
        <w:gridCol w:w="1973"/>
        <w:gridCol w:w="1752"/>
        <w:gridCol w:w="1498"/>
        <w:gridCol w:w="3034"/>
      </w:tblGrid>
      <w:tr>
        <w:trPr>
          <w:trHeight w:val="123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9"/>
              <w:ind w:left="100" w:right="98" w:hanging="10"/>
              <w:jc w:val="center"/>
              <w:rPr>
                <w:rFonts w:ascii="宋体" w:hAnsi="宋体" w:cs="宋体" w:eastAsia="宋体" w:hint="default"/>
                <w:sz w:val="18"/>
                <w:szCs w:val="18"/>
              </w:rPr>
            </w:pPr>
            <w:r>
              <w:rPr>
                <w:rFonts w:ascii="宋体" w:hAnsi="宋体" w:cs="宋体" w:eastAsia="宋体" w:hint="default"/>
                <w:spacing w:val="-3"/>
                <w:sz w:val="18"/>
                <w:szCs w:val="18"/>
              </w:rPr>
              <w:t>湖南知韩教育咨询有</w:t>
            </w:r>
            <w:r>
              <w:rPr>
                <w:rFonts w:ascii="宋体" w:hAnsi="宋体" w:cs="宋体" w:eastAsia="宋体" w:hint="default"/>
                <w:spacing w:val="-5"/>
                <w:w w:val="101"/>
                <w:sz w:val="18"/>
                <w:szCs w:val="18"/>
              </w:rPr>
              <w:t> </w:t>
            </w:r>
            <w:r>
              <w:rPr>
                <w:rFonts w:ascii="宋体" w:hAnsi="宋体" w:cs="宋体" w:eastAsia="宋体" w:hint="default"/>
                <w:spacing w:val="-7"/>
                <w:sz w:val="18"/>
                <w:szCs w:val="18"/>
              </w:rPr>
              <w:t>限公司、长沙机床厂技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工学校</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331" w:right="146" w:hanging="183"/>
              <w:jc w:val="left"/>
              <w:rPr>
                <w:rFonts w:ascii="宋体" w:hAnsi="宋体" w:cs="宋体" w:eastAsia="宋体" w:hint="default"/>
                <w:sz w:val="18"/>
                <w:szCs w:val="18"/>
              </w:rPr>
            </w:pPr>
            <w:r>
              <w:rPr>
                <w:rFonts w:ascii="宋体" w:hAnsi="宋体" w:cs="宋体" w:eastAsia="宋体" w:hint="default"/>
                <w:spacing w:val="-2"/>
                <w:sz w:val="18"/>
                <w:szCs w:val="18"/>
              </w:rPr>
              <w:t>湖南科创信息技术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sz w:val="18"/>
              </w:rPr>
              <w:t>2016.6.12-2019</w:t>
            </w:r>
          </w:p>
          <w:p>
            <w:pPr>
              <w:pStyle w:val="TableParagraph"/>
              <w:spacing w:line="240" w:lineRule="auto" w:before="76"/>
              <w:ind w:left="4" w:right="0"/>
              <w:jc w:val="center"/>
              <w:rPr>
                <w:rFonts w:ascii="宋体" w:hAnsi="宋体" w:cs="宋体" w:eastAsia="宋体" w:hint="default"/>
                <w:sz w:val="18"/>
                <w:szCs w:val="18"/>
              </w:rPr>
            </w:pPr>
            <w:r>
              <w:rPr>
                <w:rFonts w:ascii="宋体"/>
                <w:sz w:val="18"/>
              </w:rPr>
              <w:t>.6.11</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u w:val="single" w:color="000000"/>
              </w:rPr>
              <w:t>678</w:t>
            </w:r>
            <w:r>
              <w:rPr>
                <w:rFonts w:ascii="宋体" w:hAnsi="宋体" w:cs="宋体" w:eastAsia="宋体" w:hint="default"/>
                <w:spacing w:val="-44"/>
                <w:sz w:val="18"/>
                <w:szCs w:val="18"/>
                <w:u w:val="single" w:color="000000"/>
              </w:rPr>
              <w:t> </w:t>
            </w:r>
            <w:r>
              <w:rPr>
                <w:rFonts w:ascii="宋体" w:hAnsi="宋体" w:cs="宋体" w:eastAsia="宋体" w:hint="default"/>
                <w:sz w:val="18"/>
                <w:szCs w:val="18"/>
                <w:u w:val="single" w:color="000000"/>
              </w:rPr>
              <w:t>号</w:t>
            </w:r>
            <w:r>
              <w:rPr>
                <w:rFonts w:ascii="宋体" w:hAnsi="宋体" w:cs="宋体" w:eastAsia="宋体" w:hint="default"/>
                <w:sz w:val="18"/>
                <w:szCs w:val="18"/>
              </w:rPr>
            </w:r>
          </w:p>
        </w:tc>
      </w:tr>
      <w:tr>
        <w:trPr>
          <w:trHeight w:val="94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710" w:right="175" w:hanging="543"/>
              <w:jc w:val="left"/>
              <w:rPr>
                <w:rFonts w:ascii="宋体" w:hAnsi="宋体" w:cs="宋体" w:eastAsia="宋体" w:hint="default"/>
                <w:sz w:val="18"/>
                <w:szCs w:val="18"/>
              </w:rPr>
            </w:pPr>
            <w:r>
              <w:rPr>
                <w:rFonts w:ascii="宋体" w:hAnsi="宋体" w:cs="宋体" w:eastAsia="宋体" w:hint="default"/>
                <w:spacing w:val="-3"/>
                <w:sz w:val="18"/>
                <w:szCs w:val="18"/>
              </w:rPr>
              <w:t>长沙本信信用服务有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31" w:right="146" w:hanging="183"/>
              <w:jc w:val="left"/>
              <w:rPr>
                <w:rFonts w:ascii="宋体" w:hAnsi="宋体" w:cs="宋体" w:eastAsia="宋体" w:hint="default"/>
                <w:sz w:val="18"/>
                <w:szCs w:val="18"/>
              </w:rPr>
            </w:pPr>
            <w:r>
              <w:rPr>
                <w:rFonts w:ascii="宋体" w:hAnsi="宋体" w:cs="宋体" w:eastAsia="宋体" w:hint="default"/>
                <w:spacing w:val="-2"/>
                <w:sz w:val="18"/>
                <w:szCs w:val="18"/>
              </w:rPr>
              <w:t>湖南科创信息技术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2017.2.17-2020</w:t>
            </w:r>
          </w:p>
          <w:p>
            <w:pPr>
              <w:pStyle w:val="TableParagraph"/>
              <w:spacing w:line="240" w:lineRule="auto" w:before="76"/>
              <w:ind w:left="4" w:right="0"/>
              <w:jc w:val="center"/>
              <w:rPr>
                <w:rFonts w:ascii="宋体" w:hAnsi="宋体" w:cs="宋体" w:eastAsia="宋体" w:hint="default"/>
                <w:sz w:val="18"/>
                <w:szCs w:val="18"/>
              </w:rPr>
            </w:pPr>
            <w:r>
              <w:rPr>
                <w:rFonts w:ascii="宋体"/>
                <w:sz w:val="18"/>
              </w:rPr>
              <w:t>.2.16</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14" w:right="117"/>
              <w:jc w:val="center"/>
              <w:rPr>
                <w:rFonts w:ascii="宋体" w:hAnsi="宋体" w:cs="宋体" w:eastAsia="宋体" w:hint="default"/>
                <w:sz w:val="18"/>
                <w:szCs w:val="18"/>
              </w:rPr>
            </w:pPr>
            <w:r>
              <w:rPr>
                <w:rFonts w:ascii="宋体" w:hAnsi="宋体" w:cs="宋体" w:eastAsia="宋体" w:hint="default"/>
                <w:sz w:val="18"/>
                <w:szCs w:val="18"/>
              </w:rPr>
              <w:t>长沙市芙蓉南路</w:t>
            </w:r>
            <w:r>
              <w:rPr>
                <w:rFonts w:ascii="宋体" w:hAnsi="宋体" w:cs="宋体" w:eastAsia="宋体" w:hint="default"/>
                <w:spacing w:val="-42"/>
                <w:sz w:val="18"/>
                <w:szCs w:val="18"/>
              </w:rPr>
              <w:t> </w:t>
            </w:r>
            <w:r>
              <w:rPr>
                <w:rFonts w:ascii="宋体" w:hAnsi="宋体" w:cs="宋体" w:eastAsia="宋体" w:hint="default"/>
                <w:sz w:val="18"/>
                <w:szCs w:val="18"/>
              </w:rPr>
              <w:t>368</w:t>
            </w:r>
            <w:r>
              <w:rPr>
                <w:rFonts w:ascii="宋体" w:hAnsi="宋体" w:cs="宋体" w:eastAsia="宋体" w:hint="default"/>
                <w:spacing w:val="-42"/>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宋体" w:hAnsi="宋体" w:cs="宋体" w:eastAsia="宋体" w:hint="default"/>
                <w:sz w:val="18"/>
                <w:szCs w:val="18"/>
              </w:rPr>
              <w:t>BOBO</w:t>
            </w:r>
            <w:r>
              <w:rPr>
                <w:rFonts w:ascii="宋体" w:hAnsi="宋体" w:cs="宋体" w:eastAsia="宋体" w:hint="default"/>
                <w:spacing w:val="-48"/>
                <w:sz w:val="18"/>
                <w:szCs w:val="18"/>
              </w:rPr>
              <w:t> </w:t>
            </w:r>
            <w:r>
              <w:rPr>
                <w:rFonts w:ascii="宋体" w:hAnsi="宋体" w:cs="宋体" w:eastAsia="宋体" w:hint="default"/>
                <w:spacing w:val="-4"/>
                <w:sz w:val="18"/>
                <w:szCs w:val="18"/>
              </w:rPr>
              <w:t>天下城</w:t>
            </w:r>
            <w:r>
              <w:rPr>
                <w:rFonts w:ascii="宋体" w:hAnsi="宋体" w:cs="宋体" w:eastAsia="宋体" w:hint="default"/>
                <w:spacing w:val="-5"/>
                <w:w w:val="10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号栋</w:t>
            </w:r>
            <w:r>
              <w:rPr>
                <w:rFonts w:ascii="宋体" w:hAnsi="宋体" w:cs="宋体" w:eastAsia="宋体" w:hint="default"/>
                <w:spacing w:val="-45"/>
                <w:sz w:val="18"/>
                <w:szCs w:val="18"/>
              </w:rPr>
              <w:t> </w:t>
            </w:r>
            <w:r>
              <w:rPr>
                <w:rFonts w:ascii="宋体" w:hAnsi="宋体" w:cs="宋体" w:eastAsia="宋体" w:hint="default"/>
                <w:sz w:val="18"/>
                <w:szCs w:val="18"/>
              </w:rPr>
              <w:t>CTA</w:t>
            </w:r>
            <w:r>
              <w:rPr>
                <w:rFonts w:ascii="宋体" w:hAnsi="宋体" w:cs="宋体" w:eastAsia="宋体" w:hint="default"/>
                <w:spacing w:val="-50"/>
                <w:sz w:val="18"/>
                <w:szCs w:val="18"/>
              </w:rPr>
              <w:t> </w:t>
            </w:r>
            <w:r>
              <w:rPr>
                <w:rFonts w:ascii="宋体" w:hAnsi="宋体" w:cs="宋体" w:eastAsia="宋体" w:hint="default"/>
                <w:sz w:val="18"/>
                <w:szCs w:val="18"/>
              </w:rPr>
              <w:t>财富中心</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楼北面</w:t>
            </w:r>
            <w:r>
              <w:rPr>
                <w:rFonts w:ascii="宋体" w:hAnsi="宋体" w:cs="宋体" w:eastAsia="宋体" w:hint="default"/>
                <w:w w:val="101"/>
                <w:sz w:val="18"/>
                <w:szCs w:val="18"/>
              </w:rPr>
              <w:t> </w:t>
            </w:r>
            <w:r>
              <w:rPr>
                <w:rFonts w:ascii="宋体" w:hAnsi="宋体" w:cs="宋体" w:eastAsia="宋体" w:hint="default"/>
                <w:sz w:val="18"/>
                <w:szCs w:val="18"/>
              </w:rPr>
              <w:t>29002</w:t>
            </w:r>
            <w:r>
              <w:rPr>
                <w:rFonts w:ascii="宋体" w:hAnsi="宋体" w:cs="宋体" w:eastAsia="宋体" w:hint="default"/>
                <w:sz w:val="18"/>
                <w:szCs w:val="18"/>
              </w:rPr>
              <w:t>、</w:t>
            </w:r>
            <w:r>
              <w:rPr>
                <w:rFonts w:ascii="宋体" w:hAnsi="宋体" w:cs="宋体" w:eastAsia="宋体" w:hint="default"/>
                <w:sz w:val="18"/>
                <w:szCs w:val="18"/>
              </w:rPr>
              <w:t>29003</w:t>
            </w:r>
            <w:r>
              <w:rPr>
                <w:rFonts w:ascii="宋体" w:hAnsi="宋体" w:cs="宋体" w:eastAsia="宋体" w:hint="default"/>
                <w:sz w:val="18"/>
                <w:szCs w:val="18"/>
              </w:rPr>
              <w:t>、</w:t>
            </w:r>
            <w:r>
              <w:rPr>
                <w:rFonts w:ascii="宋体" w:hAnsi="宋体" w:cs="宋体" w:eastAsia="宋体" w:hint="default"/>
                <w:sz w:val="18"/>
                <w:szCs w:val="18"/>
              </w:rPr>
              <w:t>29004</w:t>
            </w:r>
            <w:r>
              <w:rPr>
                <w:rFonts w:ascii="宋体" w:hAnsi="宋体" w:cs="宋体" w:eastAsia="宋体" w:hint="default"/>
                <w:spacing w:val="-40"/>
                <w:sz w:val="18"/>
                <w:szCs w:val="18"/>
              </w:rPr>
              <w:t> </w:t>
            </w:r>
            <w:r>
              <w:rPr>
                <w:rFonts w:ascii="宋体" w:hAnsi="宋体" w:cs="宋体" w:eastAsia="宋体" w:hint="default"/>
                <w:sz w:val="18"/>
                <w:szCs w:val="18"/>
              </w:rPr>
              <w:t>房屋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46"/>
        <w:ind w:right="0"/>
        <w:jc w:val="left"/>
      </w:pPr>
      <w:r>
        <w:rPr>
          <w:spacing w:val="-3"/>
        </w:rPr>
        <w:t>为公司带来的损益达到公司报告期利润总额</w:t>
      </w:r>
      <w:r>
        <w:rPr>
          <w:spacing w:val="35"/>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101"/>
        <w:ind w:right="0"/>
        <w:jc w:val="left"/>
      </w:pPr>
      <w:r>
        <w:rPr/>
        <w:t>□ </w:t>
      </w:r>
      <w:r>
        <w:rPr>
          <w:spacing w:val="-3"/>
        </w:rPr>
        <w:t>适用 </w:t>
      </w:r>
      <w:r>
        <w:rPr/>
        <w:t>√</w:t>
      </w:r>
      <w:r>
        <w:rPr>
          <w:spacing w:val="13"/>
        </w:rPr>
        <w:t> </w:t>
      </w:r>
      <w:r>
        <w:rPr/>
        <w:t>不适用</w:t>
      </w:r>
    </w:p>
    <w:p>
      <w:pPr>
        <w:pStyle w:val="BodyText"/>
        <w:spacing w:line="240" w:lineRule="auto" w:before="115"/>
        <w:ind w:right="0"/>
        <w:jc w:val="left"/>
      </w:pPr>
      <w:r>
        <w:rPr>
          <w:spacing w:val="-3"/>
        </w:rPr>
        <w:t>公司报告期不存在为公司带来的损益达到公司报告期利润总额</w:t>
      </w:r>
      <w:r>
        <w:rPr>
          <w:spacing w:val="37"/>
        </w:rPr>
        <w:t> </w:t>
      </w:r>
      <w:r>
        <w:rPr>
          <w:rFonts w:ascii="Times New Roman" w:hAnsi="Times New Roman" w:cs="Times New Roman" w:eastAsia="Times New Roman" w:hint="default"/>
        </w:rPr>
        <w:t>10%</w:t>
      </w:r>
      <w:r>
        <w:rPr/>
        <w:t>以上的租赁项目。</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689"/>
        <w:jc w:val="left"/>
      </w:pPr>
      <w:r>
        <w:rPr/>
        <w:t>□ </w:t>
      </w:r>
      <w:r>
        <w:rPr>
          <w:spacing w:val="-3"/>
        </w:rPr>
        <w:t>适用 </w:t>
      </w:r>
      <w:r>
        <w:rPr/>
        <w:t>√ 不适用</w:t>
      </w:r>
      <w:r>
        <w:rPr>
          <w:spacing w:val="-77"/>
        </w:rPr>
        <w:t> </w:t>
      </w:r>
      <w:r>
        <w:rPr>
          <w:spacing w:val="-77"/>
        </w:rPr>
      </w:r>
      <w:r>
        <w:rPr>
          <w:spacing w:val="-3"/>
        </w:rPr>
        <w:t>公司报告期不存在担保情况。</w:t>
      </w:r>
      <w:r>
        <w:rPr/>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689" w:hanging="1"/>
        <w:jc w:val="left"/>
      </w:pPr>
      <w:r>
        <w:rPr/>
        <w:t>□ </w:t>
      </w:r>
      <w:r>
        <w:rPr>
          <w:spacing w:val="-3"/>
        </w:rPr>
        <w:t>适用 </w:t>
      </w:r>
      <w:r>
        <w:rPr/>
        <w:t>√ 不适用</w:t>
      </w:r>
      <w:r>
        <w:rPr>
          <w:spacing w:val="-77"/>
        </w:rPr>
        <w:t> </w:t>
      </w:r>
      <w:r>
        <w:rPr>
          <w:spacing w:val="-77"/>
        </w:rPr>
      </w:r>
      <w:r>
        <w:rPr>
          <w:spacing w:val="-3"/>
        </w:rPr>
        <w:t>公司报告期不存在委托理财。</w:t>
      </w:r>
      <w:r>
        <w:rPr/>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689"/>
        <w:jc w:val="left"/>
      </w:pPr>
      <w:r>
        <w:rPr/>
        <w:t>□ </w:t>
      </w:r>
      <w:r>
        <w:rPr>
          <w:spacing w:val="-3"/>
        </w:rPr>
        <w:t>适用 </w:t>
      </w:r>
      <w:r>
        <w:rPr/>
        <w:t>√ 不适用</w:t>
      </w:r>
      <w:r>
        <w:rPr>
          <w:spacing w:val="-77"/>
        </w:rPr>
        <w:t> </w:t>
      </w:r>
      <w:r>
        <w:rPr>
          <w:spacing w:val="-77"/>
        </w:rPr>
      </w:r>
      <w:r>
        <w:rPr>
          <w:spacing w:val="-3"/>
        </w:rPr>
        <w:t>公司报告期不存在委托贷款。</w:t>
      </w:r>
      <w:r>
        <w:rPr/>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6689" w:hanging="1"/>
        <w:jc w:val="left"/>
      </w:pPr>
      <w:r>
        <w:rPr/>
        <w:t>□ </w:t>
      </w:r>
      <w:r>
        <w:rPr>
          <w:spacing w:val="-3"/>
        </w:rPr>
        <w:t>适用 </w:t>
      </w:r>
      <w:r>
        <w:rPr/>
        <w:t>√ 不适用</w:t>
      </w:r>
      <w:r>
        <w:rPr>
          <w:spacing w:val="-77"/>
        </w:rPr>
        <w:t> </w:t>
      </w:r>
      <w:r>
        <w:rPr>
          <w:spacing w:val="-77"/>
        </w:rPr>
      </w:r>
      <w:r>
        <w:rPr>
          <w:spacing w:val="-3"/>
        </w:rPr>
        <w:t>公司报告期不存在其他重大合同。</w:t>
      </w:r>
      <w:r>
        <w:rPr/>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2" w:right="0"/>
        <w:jc w:val="left"/>
      </w:pPr>
      <w:r>
        <w:rPr/>
        <w:t>（</w:t>
      </w:r>
      <w:r>
        <w:rPr>
          <w:rFonts w:ascii="Times New Roman" w:hAnsi="Times New Roman" w:cs="Times New Roman" w:eastAsia="Times New Roman" w:hint="default"/>
        </w:rPr>
        <w:t>1</w:t>
      </w:r>
      <w:r>
        <w:rPr/>
        <w:t>）股东和债权人权益保护</w:t>
      </w:r>
    </w:p>
    <w:p>
      <w:pPr>
        <w:spacing w:after="0" w:line="240" w:lineRule="auto"/>
        <w:jc w:val="left"/>
        <w:sectPr>
          <w:pgSz w:w="11910" w:h="16840"/>
          <w:pgMar w:header="784" w:footer="1027" w:top="1100" w:bottom="1220" w:left="980" w:right="980"/>
        </w:sectPr>
      </w:pPr>
    </w:p>
    <w:p>
      <w:pPr>
        <w:spacing w:line="240" w:lineRule="auto" w:before="10"/>
        <w:rPr>
          <w:rFonts w:ascii="宋体" w:hAnsi="宋体" w:cs="宋体" w:eastAsia="宋体" w:hint="default"/>
          <w:sz w:val="22"/>
          <w:szCs w:val="22"/>
        </w:rPr>
      </w:pPr>
    </w:p>
    <w:p>
      <w:pPr>
        <w:pStyle w:val="BodyText"/>
        <w:spacing w:line="316" w:lineRule="auto" w:before="46"/>
        <w:ind w:right="0" w:firstLine="360"/>
        <w:jc w:val="left"/>
      </w:pPr>
      <w:r>
        <w:rPr>
          <w:spacing w:val="-4"/>
        </w:rPr>
        <w:t>公司建立了全面的投资者权益保护机制：公司制度中明确规定了投资者应当享有的各项权利；设置了监事会、审计委员</w:t>
      </w:r>
      <w:r>
        <w:rPr>
          <w:w w:val="101"/>
        </w:rPr>
        <w:t> </w:t>
      </w:r>
      <w:r>
        <w:rPr>
          <w:spacing w:val="-3"/>
        </w:rPr>
        <w:t>会、独立董事及董事会秘书等机构、人员，执行、监督执行各项投资者权益保护机制；形成了涵盖保障投资者收益分配权、</w:t>
      </w:r>
      <w:r>
        <w:rPr>
          <w:spacing w:val="60"/>
        </w:rPr>
        <w:t> </w:t>
      </w:r>
      <w:r>
        <w:rPr>
          <w:spacing w:val="60"/>
        </w:rPr>
      </w:r>
      <w:r>
        <w:rPr>
          <w:spacing w:val="-5"/>
        </w:rPr>
        <w:t>维护投资者知情权、保证投资者决策参与权、监督规范控股股东、董事、监事、高级管理人员行为等方面的长效投资者权益</w:t>
      </w:r>
      <w:r>
        <w:rPr>
          <w:spacing w:val="4"/>
        </w:rPr>
        <w:t> </w:t>
      </w:r>
      <w:r>
        <w:rPr>
          <w:spacing w:val="4"/>
        </w:rPr>
      </w:r>
      <w:r>
        <w:rPr>
          <w:spacing w:val="-3"/>
        </w:rPr>
        <w:t>保护机制体系。</w:t>
      </w:r>
      <w:r>
        <w:rPr/>
      </w:r>
    </w:p>
    <w:p>
      <w:pPr>
        <w:pStyle w:val="BodyText"/>
        <w:spacing w:line="316" w:lineRule="auto" w:before="19"/>
        <w:ind w:right="204" w:firstLine="360"/>
        <w:jc w:val="both"/>
      </w:pPr>
      <w:r>
        <w:rPr>
          <w:spacing w:val="-8"/>
          <w:w w:val="101"/>
        </w:rPr>
        <w:t>公司严格按照《公司法》、《证券法》等法律法规及公司章程的有关规定，依法召开股东大会；严格按照相关法律法规认</w:t>
      </w:r>
      <w:r>
        <w:rPr>
          <w:w w:val="101"/>
        </w:rPr>
        <w:t> </w:t>
      </w:r>
      <w:r>
        <w:rPr>
          <w:spacing w:val="-4"/>
        </w:rPr>
        <w:t>真履行了信息披露义务，确保公开披露的信息真实、准确、完整、及时。同时，通过投资者电话、电子邮箱和投资者关系互</w:t>
      </w:r>
      <w:r>
        <w:rPr>
          <w:spacing w:val="40"/>
        </w:rPr>
        <w:t> </w:t>
      </w:r>
      <w:r>
        <w:rPr>
          <w:spacing w:val="40"/>
        </w:rPr>
      </w:r>
      <w:r>
        <w:rPr>
          <w:spacing w:val="-3"/>
        </w:rPr>
        <w:t>动平台等多种方式与投资者进行沟通交流，使投资者能深入了解公司。</w:t>
      </w:r>
    </w:p>
    <w:p>
      <w:pPr>
        <w:pStyle w:val="BodyText"/>
        <w:spacing w:line="316" w:lineRule="auto" w:before="138"/>
        <w:ind w:right="0" w:firstLine="359"/>
        <w:jc w:val="left"/>
      </w:pPr>
      <w:r>
        <w:rPr>
          <w:spacing w:val="-4"/>
        </w:rPr>
        <w:t>报告期内，公司无任何形式的对外担保事项，公司不存在大股东及关联方占用公司资金的情形，亦不存在将资金直接或</w:t>
      </w:r>
      <w:r>
        <w:rPr>
          <w:w w:val="101"/>
        </w:rPr>
        <w:t> </w:t>
      </w:r>
      <w:r>
        <w:rPr>
          <w:spacing w:val="-3"/>
        </w:rPr>
        <w:t>间接地提供给大股东及关联方使用等情形。</w:t>
      </w:r>
      <w:r>
        <w:rPr/>
      </w:r>
    </w:p>
    <w:p>
      <w:pPr>
        <w:pStyle w:val="BodyText"/>
        <w:spacing w:line="300" w:lineRule="auto" w:before="138"/>
        <w:ind w:left="513" w:right="0"/>
        <w:jc w:val="left"/>
      </w:pPr>
      <w:r>
        <w:rPr/>
        <w:t>（</w:t>
      </w:r>
      <w:r>
        <w:rPr>
          <w:rFonts w:ascii="Times New Roman" w:hAnsi="Times New Roman" w:cs="Times New Roman" w:eastAsia="Times New Roman" w:hint="default"/>
        </w:rPr>
        <w:t>2</w:t>
      </w:r>
      <w:r>
        <w:rPr/>
        <w:t>）职工权益保护</w:t>
      </w:r>
      <w:r>
        <w:rPr>
          <w:spacing w:val="-85"/>
        </w:rPr>
        <w:t> </w:t>
      </w:r>
      <w:r>
        <w:rPr>
          <w:spacing w:val="-85"/>
        </w:rPr>
      </w:r>
      <w:r>
        <w:rPr>
          <w:spacing w:val="-5"/>
        </w:rPr>
        <w:t>公司始终坚持</w:t>
      </w:r>
      <w:r>
        <w:rPr>
          <w:rFonts w:ascii="宋体" w:hAnsi="宋体" w:cs="宋体" w:eastAsia="宋体" w:hint="default"/>
          <w:spacing w:val="-5"/>
        </w:rPr>
        <w:t>“</w:t>
      </w:r>
      <w:r>
        <w:rPr>
          <w:spacing w:val="-5"/>
        </w:rPr>
        <w:t>以人为本</w:t>
      </w:r>
      <w:r>
        <w:rPr>
          <w:rFonts w:ascii="宋体" w:hAnsi="宋体" w:cs="宋体" w:eastAsia="宋体" w:hint="default"/>
          <w:spacing w:val="-5"/>
        </w:rPr>
        <w:t>”</w:t>
      </w:r>
      <w:r>
        <w:rPr>
          <w:spacing w:val="-5"/>
        </w:rPr>
        <w:t>的核心价值观，致力于培养员工的认同感和归属感，实现员工与企业共同成长。公司严格按</w:t>
      </w:r>
    </w:p>
    <w:p>
      <w:pPr>
        <w:pStyle w:val="BodyText"/>
        <w:spacing w:line="316" w:lineRule="auto" w:before="31"/>
        <w:ind w:right="0"/>
        <w:jc w:val="left"/>
      </w:pPr>
      <w:r>
        <w:rPr>
          <w:spacing w:val="-6"/>
        </w:rPr>
        <w:t>照《中华人民共和国劳动合同法》和有关劳动法律法规的规定，与员工签订劳动合同，并严格执行用工规定和社会保障制度，</w:t>
      </w:r>
      <w:r>
        <w:rPr>
          <w:spacing w:val="68"/>
        </w:rPr>
        <w:t> </w:t>
      </w:r>
      <w:r>
        <w:rPr>
          <w:spacing w:val="68"/>
        </w:rPr>
      </w:r>
      <w:r>
        <w:rPr>
          <w:spacing w:val="-4"/>
        </w:rPr>
        <w:t>尊重员工，为员工提供健康、安全、舒适的工作环境，保障员工合法权益。同时，公司不断完善福利政策，关怀员工，努力</w:t>
      </w:r>
      <w:r>
        <w:rPr>
          <w:spacing w:val="40"/>
        </w:rPr>
        <w:t> </w:t>
      </w:r>
      <w:r>
        <w:rPr>
          <w:spacing w:val="40"/>
        </w:rPr>
      </w:r>
      <w:r>
        <w:rPr>
          <w:spacing w:val="-3"/>
        </w:rPr>
        <w:t>为员工营造优良的技术创新环境，使员工能更好地实现自身价值。</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公司报告年度暂未开展精准扶贫工作，也暂无后续精准扶贫计划。" w:id="97"/>
      <w:bookmarkEnd w:id="97"/>
      <w:r>
        <w:rPr/>
      </w:r>
      <w:r>
        <w:rPr>
          <w:spacing w:val="-3"/>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4812"/>
        <w:jc w:val="left"/>
      </w:pPr>
      <w:r>
        <w:rPr>
          <w:spacing w:val="-3"/>
        </w:rPr>
        <w:t>上市公司及其子公司是否属于环境保护部门公布的重点排污单位</w:t>
      </w:r>
      <w:r>
        <w:rPr>
          <w:spacing w:val="-14"/>
        </w:rPr>
        <w:t> </w:t>
      </w:r>
      <w:r>
        <w:rPr>
          <w:spacing w:val="-14"/>
        </w:rPr>
      </w:r>
      <w:r>
        <w:rPr/>
        <w:t>否</w:t>
      </w:r>
    </w:p>
    <w:p>
      <w:pPr>
        <w:pStyle w:val="BodyText"/>
        <w:spacing w:line="240" w:lineRule="auto" w:before="22"/>
        <w:ind w:right="0"/>
        <w:jc w:val="left"/>
        <w:rPr>
          <w:rFonts w:ascii="宋体" w:hAnsi="宋体" w:cs="宋体" w:eastAsia="宋体" w:hint="default"/>
        </w:rPr>
      </w:pPr>
      <w:r>
        <w:rPr>
          <w:spacing w:val="-4"/>
        </w:rPr>
        <w:t>不适用</w:t>
      </w:r>
      <w:r>
        <w:rPr>
          <w:rFonts w:ascii="宋体" w:hAnsi="宋体" w:cs="宋体" w:eastAsia="宋体" w:hint="default"/>
        </w:rPr>
        <w:t> </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4812" w:hanging="1"/>
        <w:jc w:val="left"/>
      </w:pPr>
      <w:r>
        <w:rPr/>
        <w:t>□ </w:t>
      </w:r>
      <w:r>
        <w:rPr>
          <w:spacing w:val="-3"/>
        </w:rPr>
        <w:t>适用 </w:t>
      </w:r>
      <w:r>
        <w:rPr/>
        <w:t>√ 不适用</w:t>
      </w:r>
      <w:r>
        <w:rPr>
          <w:spacing w:val="-77"/>
        </w:rPr>
        <w:t> </w:t>
      </w:r>
      <w:r>
        <w:rPr>
          <w:spacing w:val="-77"/>
        </w:rPr>
      </w:r>
      <w:r>
        <w:rPr>
          <w:spacing w:val="-3"/>
        </w:rPr>
        <w:t>公司报告期不存在需要说明的其他重大事项。</w:t>
      </w: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784" w:footer="1027" w:top="1100" w:bottom="122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65" w:right="0"/>
        <w:jc w:val="left"/>
        <w:rPr>
          <w:b w:val="0"/>
          <w:bCs w:val="0"/>
        </w:rPr>
      </w:pPr>
      <w:bookmarkStart w:name="第六节 股份变动及股东情况" w:id="101"/>
      <w:bookmarkEnd w:id="101"/>
      <w:r>
        <w:rPr>
          <w:b w:val="0"/>
          <w:bCs w:val="0"/>
        </w:rPr>
      </w:r>
      <w:bookmarkStart w:name="_bookmark4" w:id="102"/>
      <w:bookmarkEnd w:id="102"/>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205"/>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88"/>
        <w:gridCol w:w="1075"/>
        <w:gridCol w:w="710"/>
        <w:gridCol w:w="1066"/>
        <w:gridCol w:w="624"/>
        <w:gridCol w:w="806"/>
        <w:gridCol w:w="370"/>
        <w:gridCol w:w="1061"/>
        <w:gridCol w:w="1118"/>
        <w:gridCol w:w="653"/>
      </w:tblGrid>
      <w:tr>
        <w:trPr>
          <w:trHeight w:val="398" w:hRule="exact"/>
        </w:trPr>
        <w:tc>
          <w:tcPr>
            <w:tcW w:w="2088" w:type="dxa"/>
            <w:vMerge w:val="restart"/>
            <w:tcBorders>
              <w:top w:val="single" w:sz="4" w:space="0" w:color="000000"/>
              <w:left w:val="single" w:sz="4" w:space="0" w:color="000000"/>
              <w:right w:val="single" w:sz="4" w:space="0" w:color="000000"/>
            </w:tcBorders>
            <w:shd w:val="clear" w:color="auto" w:fill="D4D4D4"/>
          </w:tcPr>
          <w:p>
            <w:pP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69"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r>
              <w:rPr>
                <w:rFonts w:ascii="宋体" w:hAnsi="宋体" w:cs="宋体" w:eastAsia="宋体" w:hint="default"/>
                <w:sz w:val="18"/>
                <w:szCs w:val="18"/>
              </w:rPr>
            </w:r>
          </w:p>
        </w:tc>
        <w:tc>
          <w:tcPr>
            <w:tcW w:w="177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pacing w:val="-3"/>
                <w:sz w:val="18"/>
                <w:szCs w:val="18"/>
              </w:rPr>
              <w:t>本次变动后</w:t>
            </w:r>
            <w:r>
              <w:rPr>
                <w:rFonts w:ascii="宋体" w:hAnsi="宋体" w:cs="宋体" w:eastAsia="宋体" w:hint="default"/>
                <w:sz w:val="18"/>
                <w:szCs w:val="18"/>
              </w:rPr>
            </w:r>
          </w:p>
        </w:tc>
      </w:tr>
      <w:tr>
        <w:trPr>
          <w:trHeight w:val="715" w:hRule="exact"/>
        </w:trPr>
        <w:tc>
          <w:tcPr>
            <w:tcW w:w="2088" w:type="dxa"/>
            <w:vMerge/>
            <w:tcBorders>
              <w:left w:val="single" w:sz="4" w:space="0" w:color="000000"/>
              <w:bottom w:val="single" w:sz="4" w:space="0" w:color="000000"/>
              <w:right w:val="single" w:sz="4" w:space="0" w:color="000000"/>
            </w:tcBorders>
            <w:shd w:val="clear" w:color="auto" w:fill="D4D4D4"/>
          </w:tcPr>
          <w:p>
            <w:pP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220" w:right="127" w:hanging="92"/>
              <w:jc w:val="left"/>
              <w:rPr>
                <w:rFonts w:ascii="宋体" w:hAnsi="宋体" w:cs="宋体" w:eastAsia="宋体" w:hint="default"/>
                <w:sz w:val="18"/>
                <w:szCs w:val="18"/>
              </w:rPr>
            </w:pPr>
            <w:r>
              <w:rPr>
                <w:rFonts w:ascii="宋体" w:hAnsi="宋体" w:cs="宋体" w:eastAsia="宋体" w:hint="default"/>
                <w:spacing w:val="-4"/>
                <w:sz w:val="18"/>
                <w:szCs w:val="18"/>
              </w:rPr>
              <w:t>公积金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转股</w:t>
            </w:r>
          </w:p>
        </w:tc>
        <w:tc>
          <w:tcPr>
            <w:tcW w:w="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7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69,705,999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0"/>
              <w:ind w:left="262" w:right="0"/>
              <w:jc w:val="center"/>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69,705,999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、国有法人持股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6,979,127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 w:right="0"/>
              <w:jc w:val="left"/>
              <w:rPr>
                <w:rFonts w:ascii="Times New Roman" w:hAnsi="Times New Roman" w:cs="Times New Roman" w:eastAsia="Times New Roman" w:hint="default"/>
                <w:sz w:val="18"/>
                <w:szCs w:val="18"/>
              </w:rPr>
            </w:pPr>
            <w:r>
              <w:rPr>
                <w:rFonts w:ascii="Times New Roman"/>
                <w:sz w:val="18"/>
              </w:rPr>
              <w:t>10.01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6,979,127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center"/>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29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0"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、其他内资持股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62,726,872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 w:right="0"/>
              <w:jc w:val="left"/>
              <w:rPr>
                <w:rFonts w:ascii="Times New Roman" w:hAnsi="Times New Roman" w:cs="Times New Roman" w:eastAsia="Times New Roman" w:hint="default"/>
                <w:sz w:val="18"/>
                <w:szCs w:val="18"/>
              </w:rPr>
            </w:pPr>
            <w:r>
              <w:rPr>
                <w:rFonts w:ascii="Times New Roman"/>
                <w:sz w:val="18"/>
              </w:rPr>
              <w:t>89.99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62,726,872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67.49</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7,574,666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 w:right="0"/>
              <w:jc w:val="left"/>
              <w:rPr>
                <w:rFonts w:ascii="Times New Roman" w:hAnsi="Times New Roman" w:cs="Times New Roman" w:eastAsia="Times New Roman" w:hint="default"/>
                <w:sz w:val="18"/>
                <w:szCs w:val="18"/>
              </w:rPr>
            </w:pPr>
            <w:r>
              <w:rPr>
                <w:rFonts w:ascii="Times New Roman"/>
                <w:sz w:val="18"/>
              </w:rPr>
              <w:t>10.87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7,574,666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center"/>
              <w:rPr>
                <w:rFonts w:ascii="Times New Roman" w:hAnsi="Times New Roman" w:cs="Times New Roman" w:eastAsia="Times New Roman" w:hint="default"/>
                <w:sz w:val="18"/>
                <w:szCs w:val="18"/>
              </w:rPr>
            </w:pPr>
            <w:r>
              <w:rPr>
                <w:rFonts w:ascii="Times New Roman"/>
                <w:sz w:val="18"/>
              </w:rPr>
              <w:t>8.15</w:t>
            </w:r>
          </w:p>
          <w:p>
            <w:pPr>
              <w:pStyle w:val="TableParagraph"/>
              <w:spacing w:line="240" w:lineRule="auto" w:before="110"/>
              <w:ind w:left="29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境内自然人持股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55,152,206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 w:right="0"/>
              <w:jc w:val="left"/>
              <w:rPr>
                <w:rFonts w:ascii="Times New Roman" w:hAnsi="Times New Roman" w:cs="Times New Roman" w:eastAsia="Times New Roman" w:hint="default"/>
                <w:sz w:val="18"/>
                <w:szCs w:val="18"/>
              </w:rPr>
            </w:pPr>
            <w:r>
              <w:rPr>
                <w:rFonts w:ascii="Times New Roman"/>
                <w:sz w:val="18"/>
              </w:rPr>
              <w:t>79.12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55,152,206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59.34</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、外资持股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0"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23,240,000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23,240,000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23,240,000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、人民币普通股</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23,240,000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23,240,000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23,240,000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2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69,705,999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0"/>
              <w:ind w:left="262" w:right="0"/>
              <w:jc w:val="center"/>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23,240,000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23,240,000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92,945,999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0"/>
              <w:ind w:left="204"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3"/>
        <w:ind w:right="0"/>
        <w:jc w:val="left"/>
      </w:pPr>
      <w:r>
        <w:rPr>
          <w:spacing w:val="-3"/>
        </w:rPr>
        <w:t>股份变动的原因</w:t>
      </w:r>
      <w:r>
        <w:rPr/>
      </w:r>
    </w:p>
    <w:p>
      <w:pPr>
        <w:pStyle w:val="BodyText"/>
        <w:spacing w:line="352" w:lineRule="auto" w:before="119"/>
        <w:ind w:left="512" w:right="0" w:hanging="361"/>
        <w:jc w:val="left"/>
      </w:pPr>
      <w:r>
        <w:rPr/>
        <w:t>√ </w:t>
      </w:r>
      <w:r>
        <w:rPr>
          <w:spacing w:val="-3"/>
        </w:rPr>
        <w:t>适用 </w:t>
      </w:r>
      <w:r>
        <w:rPr/>
        <w:t>□ 不适用</w:t>
      </w:r>
      <w:r>
        <w:rPr>
          <w:spacing w:val="-77"/>
        </w:rPr>
        <w:t> </w:t>
      </w:r>
      <w:r>
        <w:rPr>
          <w:spacing w:val="-77"/>
        </w:rPr>
      </w:r>
      <w:r>
        <w:rPr>
          <w:spacing w:val="-3"/>
        </w:rPr>
        <w:t>公司首次公开发行人民币普通股（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23,240,000</w:t>
      </w:r>
      <w:r>
        <w:rPr>
          <w:spacing w:val="-3"/>
        </w:rPr>
        <w:t>股于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5</w:t>
      </w:r>
      <w:r>
        <w:rPr>
          <w:spacing w:val="-3"/>
        </w:rPr>
        <w:t>日在深圳证券交易所挂牌上市，本次发行后公司股</w:t>
      </w:r>
      <w:r>
        <w:rPr/>
      </w:r>
    </w:p>
    <w:p>
      <w:pPr>
        <w:pStyle w:val="BodyText"/>
        <w:spacing w:line="218" w:lineRule="exact"/>
        <w:ind w:right="0"/>
        <w:jc w:val="left"/>
        <w:rPr>
          <w:rFonts w:ascii="宋体" w:hAnsi="宋体" w:cs="宋体" w:eastAsia="宋体" w:hint="default"/>
        </w:rPr>
      </w:pPr>
      <w:r>
        <w:rPr/>
        <w:t>份数由</w:t>
      </w:r>
      <w:r>
        <w:rPr>
          <w:rFonts w:ascii="Times New Roman" w:hAnsi="Times New Roman" w:cs="Times New Roman" w:eastAsia="Times New Roman" w:hint="default"/>
        </w:rPr>
        <w:t>69,705,999</w:t>
      </w:r>
      <w:r>
        <w:rPr/>
        <w:t>股增加至</w:t>
      </w:r>
      <w:r>
        <w:rPr>
          <w:rFonts w:ascii="Times New Roman" w:hAnsi="Times New Roman" w:cs="Times New Roman" w:eastAsia="Times New Roman" w:hint="default"/>
        </w:rPr>
        <w:t>92,945,999</w:t>
      </w:r>
      <w:r>
        <w:rPr/>
        <w:t>股。</w:t>
      </w:r>
      <w:r>
        <w:rPr>
          <w:rFonts w:ascii="宋体" w:hAnsi="宋体" w:cs="宋体" w:eastAsia="宋体" w:hint="default"/>
        </w:rPr>
        <w:t> </w:t>
      </w:r>
    </w:p>
    <w:p>
      <w:pPr>
        <w:pStyle w:val="BodyText"/>
        <w:spacing w:line="240" w:lineRule="auto" w:before="106"/>
        <w:ind w:left="153" w:right="0"/>
        <w:jc w:val="left"/>
      </w:pPr>
      <w:r>
        <w:rPr>
          <w:spacing w:val="-3"/>
        </w:rPr>
        <w:t>股份变动的批准情况</w:t>
      </w:r>
      <w:r>
        <w:rPr/>
      </w:r>
    </w:p>
    <w:p>
      <w:pPr>
        <w:pStyle w:val="BodyText"/>
        <w:spacing w:line="240" w:lineRule="auto" w:before="119"/>
        <w:ind w:left="153" w:right="0"/>
        <w:jc w:val="left"/>
      </w:pPr>
      <w:r>
        <w:rPr/>
        <w:t>√ </w:t>
      </w:r>
      <w:r>
        <w:rPr>
          <w:spacing w:val="-3"/>
        </w:rPr>
        <w:t>适用 </w:t>
      </w:r>
      <w:r>
        <w:rPr/>
        <w:t>□</w:t>
      </w:r>
      <w:r>
        <w:rPr>
          <w:spacing w:val="13"/>
        </w:rPr>
        <w:t> </w:t>
      </w:r>
      <w:r>
        <w:rPr/>
        <w:t>不适用</w:t>
      </w:r>
    </w:p>
    <w:p>
      <w:pPr>
        <w:pStyle w:val="BodyText"/>
        <w:spacing w:line="240" w:lineRule="auto" w:before="110"/>
        <w:ind w:left="513" w:right="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10</w:t>
      </w:r>
      <w:r>
        <w:rPr>
          <w:spacing w:val="-4"/>
        </w:rPr>
        <w:t>日，经中国证券监督管理委员会《关于核准湖南科创信息技术股份有限公司首次公开发行股票的批复》</w:t>
      </w:r>
    </w:p>
    <w:p>
      <w:pPr>
        <w:pStyle w:val="BodyText"/>
        <w:spacing w:line="240" w:lineRule="auto" w:before="63"/>
        <w:ind w:right="0"/>
        <w:jc w:val="left"/>
      </w:pPr>
      <w:r>
        <w:rPr>
          <w:spacing w:val="-3"/>
        </w:rPr>
        <w:t>（证监许可</w:t>
      </w:r>
      <w:r>
        <w:rPr>
          <w:rFonts w:ascii="Times New Roman" w:hAnsi="Times New Roman" w:cs="Times New Roman" w:eastAsia="Times New Roman" w:hint="default"/>
          <w:spacing w:val="-3"/>
        </w:rPr>
        <w:t>[2017]2044</w:t>
      </w:r>
      <w:r>
        <w:rPr>
          <w:spacing w:val="-3"/>
        </w:rPr>
        <w:t>号）核准，同意公司首次公开发行人民币普通股（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23,240,000</w:t>
      </w:r>
      <w:r>
        <w:rPr>
          <w:spacing w:val="-3"/>
        </w:rPr>
        <w:t>股。</w:t>
      </w:r>
      <w:r>
        <w:rPr/>
      </w:r>
    </w:p>
    <w:p>
      <w:pPr>
        <w:pStyle w:val="BodyText"/>
        <w:spacing w:line="240" w:lineRule="auto" w:before="63"/>
        <w:ind w:left="512" w:right="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w:t>
      </w:r>
      <w:r>
        <w:rPr>
          <w:spacing w:val="-3"/>
        </w:rPr>
        <w:t>日，经深圳证券交易所《关于湖南科创信息技术股份有限公司人民币普通股股票在创业板上市的通知》</w:t>
      </w:r>
    </w:p>
    <w:p>
      <w:pPr>
        <w:pStyle w:val="BodyText"/>
        <w:spacing w:line="240" w:lineRule="auto" w:before="63"/>
        <w:ind w:right="0"/>
        <w:jc w:val="left"/>
      </w:pPr>
      <w:r>
        <w:rPr>
          <w:spacing w:val="-4"/>
        </w:rPr>
        <w:t>（深证上</w:t>
      </w:r>
      <w:r>
        <w:rPr>
          <w:rFonts w:ascii="Times New Roman" w:hAnsi="Times New Roman" w:cs="Times New Roman" w:eastAsia="Times New Roman" w:hint="default"/>
          <w:spacing w:val="-4"/>
        </w:rPr>
        <w:t>[2017]789</w:t>
      </w:r>
      <w:r>
        <w:rPr>
          <w:spacing w:val="-4"/>
        </w:rPr>
        <w:t>号）批准，同意公司首次公开发行的人民币普通股（</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23,240,000</w:t>
      </w:r>
      <w:r>
        <w:rPr>
          <w:spacing w:val="-4"/>
        </w:rPr>
        <w:t>股自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5</w:t>
      </w:r>
      <w:r>
        <w:rPr>
          <w:spacing w:val="-4"/>
        </w:rPr>
        <w:t>日起在深交所上市</w:t>
      </w:r>
      <w:r>
        <w:rPr/>
      </w:r>
    </w:p>
    <w:p>
      <w:pPr>
        <w:spacing w:after="0" w:line="240" w:lineRule="auto"/>
        <w:jc w:val="left"/>
        <w:sectPr>
          <w:pgSz w:w="11910" w:h="16840"/>
          <w:pgMar w:header="784" w:footer="1027" w:top="1100" w:bottom="1220" w:left="980" w:right="92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4"/>
        </w:rPr>
        <w:t>交易。</w:t>
      </w:r>
      <w:r>
        <w:rPr/>
      </w:r>
    </w:p>
    <w:p>
      <w:pPr>
        <w:pStyle w:val="BodyText"/>
        <w:spacing w:line="240" w:lineRule="auto" w:before="76"/>
        <w:ind w:left="512" w:right="0"/>
        <w:jc w:val="left"/>
      </w:pPr>
      <w:r>
        <w:rPr>
          <w:spacing w:val="-3"/>
        </w:rPr>
        <w:t>股份变动的过户情况</w:t>
      </w:r>
      <w:r>
        <w:rPr/>
      </w:r>
    </w:p>
    <w:p>
      <w:pPr>
        <w:pStyle w:val="BodyText"/>
        <w:spacing w:line="357" w:lineRule="auto" w:before="119"/>
        <w:ind w:left="512" w:right="0" w:hanging="361"/>
        <w:jc w:val="left"/>
      </w:pPr>
      <w:r>
        <w:rPr/>
        <w:t>√ </w:t>
      </w:r>
      <w:r>
        <w:rPr>
          <w:spacing w:val="-3"/>
        </w:rPr>
        <w:t>适用 </w:t>
      </w:r>
      <w:r>
        <w:rPr/>
        <w:t>□ 不适用</w:t>
      </w:r>
      <w:r>
        <w:rPr>
          <w:spacing w:val="-77"/>
        </w:rPr>
        <w:t> </w:t>
      </w:r>
      <w:r>
        <w:rPr>
          <w:spacing w:val="-77"/>
        </w:rPr>
      </w:r>
      <w:r>
        <w:rPr>
          <w:spacing w:val="-3"/>
        </w:rPr>
        <w:t>公司首次公开发行的</w:t>
      </w:r>
      <w:r>
        <w:rPr>
          <w:rFonts w:ascii="Times New Roman" w:hAnsi="Times New Roman" w:cs="Times New Roman" w:eastAsia="Times New Roman" w:hint="default"/>
          <w:spacing w:val="-3"/>
        </w:rPr>
        <w:t>23,240,000</w:t>
      </w:r>
      <w:r>
        <w:rPr>
          <w:spacing w:val="-3"/>
        </w:rPr>
        <w:t>股及本次公开发行前的</w:t>
      </w:r>
      <w:r>
        <w:rPr>
          <w:rFonts w:ascii="Times New Roman" w:hAnsi="Times New Roman" w:cs="Times New Roman" w:eastAsia="Times New Roman" w:hint="default"/>
          <w:spacing w:val="-3"/>
        </w:rPr>
        <w:t>69,705,999</w:t>
      </w:r>
      <w:r>
        <w:rPr>
          <w:spacing w:val="-3"/>
        </w:rPr>
        <w:t>股，总股本合计</w:t>
      </w:r>
      <w:r>
        <w:rPr>
          <w:rFonts w:ascii="Times New Roman" w:hAnsi="Times New Roman" w:cs="Times New Roman" w:eastAsia="Times New Roman" w:hint="default"/>
          <w:spacing w:val="-3"/>
        </w:rPr>
        <w:t>92,945,999</w:t>
      </w:r>
      <w:r>
        <w:rPr>
          <w:spacing w:val="-3"/>
        </w:rPr>
        <w:t>股已于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30</w:t>
      </w:r>
      <w:r>
        <w:rPr>
          <w:spacing w:val="-3"/>
        </w:rPr>
        <w:t>日在中</w:t>
      </w:r>
      <w:r>
        <w:rPr/>
      </w:r>
    </w:p>
    <w:p>
      <w:pPr>
        <w:pStyle w:val="BodyText"/>
        <w:spacing w:line="201" w:lineRule="exact"/>
        <w:ind w:right="0"/>
        <w:jc w:val="left"/>
      </w:pPr>
      <w:r>
        <w:rPr>
          <w:spacing w:val="-3"/>
        </w:rPr>
        <w:t>国证券登记结算有限公司深圳分公司完成股份登记手续。</w:t>
      </w:r>
      <w:r>
        <w:rPr/>
      </w:r>
    </w:p>
    <w:p>
      <w:pPr>
        <w:pStyle w:val="BodyText"/>
        <w:spacing w:line="240" w:lineRule="auto" w:before="76"/>
        <w:ind w:left="513" w:right="0"/>
        <w:jc w:val="left"/>
      </w:pPr>
      <w:r>
        <w:rPr>
          <w:w w:val="101"/>
        </w:rPr>
        <w:t>股</w:t>
      </w:r>
      <w:r>
        <w:rPr>
          <w:spacing w:val="-5"/>
          <w:w w:val="101"/>
        </w:rPr>
        <w:t>份</w:t>
      </w:r>
      <w:r>
        <w:rPr>
          <w:w w:val="101"/>
        </w:rPr>
        <w:t>变</w:t>
      </w:r>
      <w:r>
        <w:rPr>
          <w:spacing w:val="-5"/>
          <w:w w:val="101"/>
        </w:rPr>
        <w:t>动</w:t>
      </w:r>
      <w:r>
        <w:rPr>
          <w:w w:val="101"/>
        </w:rPr>
        <w:t>对</w:t>
      </w:r>
      <w:r>
        <w:rPr>
          <w:spacing w:val="-5"/>
          <w:w w:val="101"/>
        </w:rPr>
        <w:t>最</w:t>
      </w:r>
      <w:r>
        <w:rPr>
          <w:w w:val="101"/>
        </w:rPr>
        <w:t>近</w:t>
      </w:r>
      <w:r>
        <w:rPr>
          <w:spacing w:val="-5"/>
          <w:w w:val="101"/>
        </w:rPr>
        <w:t>一</w:t>
      </w:r>
      <w:r>
        <w:rPr>
          <w:w w:val="101"/>
        </w:rPr>
        <w:t>年</w:t>
      </w:r>
      <w:r>
        <w:rPr>
          <w:spacing w:val="-6"/>
          <w:w w:val="101"/>
        </w:rPr>
        <w:t>和</w:t>
      </w:r>
      <w:r>
        <w:rPr>
          <w:w w:val="101"/>
        </w:rPr>
        <w:t>最</w:t>
      </w:r>
      <w:r>
        <w:rPr>
          <w:spacing w:val="-5"/>
          <w:w w:val="101"/>
        </w:rPr>
        <w:t>近</w:t>
      </w:r>
      <w:r>
        <w:rPr>
          <w:w w:val="101"/>
        </w:rPr>
        <w:t>一</w:t>
      </w:r>
      <w:r>
        <w:rPr>
          <w:spacing w:val="-5"/>
          <w:w w:val="101"/>
        </w:rPr>
        <w:t>期</w:t>
      </w:r>
      <w:r>
        <w:rPr>
          <w:w w:val="101"/>
        </w:rPr>
        <w:t>基</w:t>
      </w:r>
      <w:r>
        <w:rPr>
          <w:spacing w:val="-5"/>
          <w:w w:val="101"/>
        </w:rPr>
        <w:t>本</w:t>
      </w:r>
      <w:r>
        <w:rPr>
          <w:w w:val="101"/>
        </w:rPr>
        <w:t>每</w:t>
      </w:r>
      <w:r>
        <w:rPr>
          <w:spacing w:val="-5"/>
          <w:w w:val="101"/>
        </w:rPr>
        <w:t>股</w:t>
      </w:r>
      <w:r>
        <w:rPr>
          <w:w w:val="101"/>
        </w:rPr>
        <w:t>收</w:t>
      </w:r>
      <w:r>
        <w:rPr>
          <w:spacing w:val="-5"/>
          <w:w w:val="101"/>
        </w:rPr>
        <w:t>益</w:t>
      </w:r>
      <w:r>
        <w:rPr>
          <w:w w:val="101"/>
        </w:rPr>
        <w:t>和</w:t>
      </w:r>
      <w:r>
        <w:rPr>
          <w:spacing w:val="-5"/>
          <w:w w:val="101"/>
        </w:rPr>
        <w:t>稀</w:t>
      </w:r>
      <w:r>
        <w:rPr>
          <w:w w:val="101"/>
        </w:rPr>
        <w:t>释</w:t>
      </w:r>
      <w:r>
        <w:rPr>
          <w:spacing w:val="-5"/>
          <w:w w:val="101"/>
        </w:rPr>
        <w:t>每</w:t>
      </w:r>
      <w:r>
        <w:rPr>
          <w:w w:val="101"/>
        </w:rPr>
        <w:t>股</w:t>
      </w:r>
      <w:r>
        <w:rPr>
          <w:spacing w:val="-5"/>
          <w:w w:val="101"/>
        </w:rPr>
        <w:t>收益</w:t>
      </w:r>
      <w:r>
        <w:rPr>
          <w:spacing w:val="-82"/>
          <w:w w:val="101"/>
        </w:rPr>
        <w:t>、</w:t>
      </w:r>
      <w:r>
        <w:rPr>
          <w:spacing w:val="-5"/>
          <w:w w:val="101"/>
        </w:rPr>
        <w:t>归</w:t>
      </w:r>
      <w:r>
        <w:rPr>
          <w:w w:val="101"/>
        </w:rPr>
        <w:t>属</w:t>
      </w:r>
      <w:r>
        <w:rPr>
          <w:spacing w:val="-5"/>
          <w:w w:val="101"/>
        </w:rPr>
        <w:t>于</w:t>
      </w:r>
      <w:r>
        <w:rPr>
          <w:w w:val="101"/>
        </w:rPr>
        <w:t>公</w:t>
      </w:r>
      <w:r>
        <w:rPr>
          <w:spacing w:val="-5"/>
          <w:w w:val="101"/>
        </w:rPr>
        <w:t>司</w:t>
      </w:r>
      <w:r>
        <w:rPr>
          <w:w w:val="101"/>
        </w:rPr>
        <w:t>普</w:t>
      </w:r>
      <w:r>
        <w:rPr>
          <w:spacing w:val="-5"/>
          <w:w w:val="101"/>
        </w:rPr>
        <w:t>通</w:t>
      </w:r>
      <w:r>
        <w:rPr>
          <w:w w:val="101"/>
        </w:rPr>
        <w:t>股</w:t>
      </w:r>
      <w:r>
        <w:rPr>
          <w:spacing w:val="-5"/>
          <w:w w:val="101"/>
        </w:rPr>
        <w:t>股</w:t>
      </w:r>
      <w:r>
        <w:rPr>
          <w:w w:val="101"/>
        </w:rPr>
        <w:t>东</w:t>
      </w:r>
      <w:r>
        <w:rPr>
          <w:spacing w:val="-5"/>
          <w:w w:val="101"/>
        </w:rPr>
        <w:t>的</w:t>
      </w:r>
      <w:r>
        <w:rPr>
          <w:w w:val="101"/>
        </w:rPr>
        <w:t>每</w:t>
      </w:r>
      <w:r>
        <w:rPr>
          <w:spacing w:val="-5"/>
          <w:w w:val="101"/>
        </w:rPr>
        <w:t>股</w:t>
      </w:r>
      <w:r>
        <w:rPr>
          <w:w w:val="101"/>
        </w:rPr>
        <w:t>净</w:t>
      </w:r>
      <w:r>
        <w:rPr>
          <w:spacing w:val="-5"/>
          <w:w w:val="101"/>
        </w:rPr>
        <w:t>资</w:t>
      </w:r>
      <w:r>
        <w:rPr>
          <w:w w:val="101"/>
        </w:rPr>
        <w:t>产</w:t>
      </w:r>
      <w:r>
        <w:rPr>
          <w:spacing w:val="-5"/>
          <w:w w:val="101"/>
        </w:rPr>
        <w:t>等</w:t>
      </w:r>
      <w:r>
        <w:rPr>
          <w:w w:val="101"/>
        </w:rPr>
        <w:t>财</w:t>
      </w:r>
      <w:r>
        <w:rPr>
          <w:spacing w:val="-5"/>
          <w:w w:val="101"/>
        </w:rPr>
        <w:t>务</w:t>
      </w:r>
      <w:r>
        <w:rPr>
          <w:w w:val="101"/>
        </w:rPr>
        <w:t>指</w:t>
      </w:r>
      <w:r>
        <w:rPr>
          <w:spacing w:val="-5"/>
          <w:w w:val="101"/>
        </w:rPr>
        <w:t>标</w:t>
      </w:r>
      <w:r>
        <w:rPr>
          <w:w w:val="101"/>
        </w:rPr>
        <w:t>的</w:t>
      </w:r>
      <w:r>
        <w:rPr>
          <w:spacing w:val="-5"/>
          <w:w w:val="101"/>
        </w:rPr>
        <w:t>影响</w:t>
      </w:r>
      <w:r>
        <w:rPr/>
      </w:r>
    </w:p>
    <w:p>
      <w:pPr>
        <w:pStyle w:val="BodyText"/>
        <w:spacing w:line="352" w:lineRule="auto" w:before="119"/>
        <w:ind w:left="513" w:right="0" w:hanging="361"/>
        <w:jc w:val="left"/>
      </w:pPr>
      <w:r>
        <w:rPr/>
        <w:t>√ </w:t>
      </w:r>
      <w:r>
        <w:rPr>
          <w:spacing w:val="-3"/>
        </w:rPr>
        <w:t>适用 </w:t>
      </w:r>
      <w:r>
        <w:rPr/>
        <w:t>□ 不适用</w:t>
      </w:r>
      <w:r>
        <w:rPr>
          <w:spacing w:val="-77"/>
        </w:rPr>
        <w:t> </w:t>
      </w:r>
      <w:r>
        <w:rPr>
          <w:spacing w:val="-77"/>
        </w:rPr>
      </w:r>
      <w:r>
        <w:rPr>
          <w:spacing w:val="-3"/>
        </w:rPr>
        <w:t>报告期内，由于公司首次公开发行普通股</w:t>
      </w:r>
      <w:r>
        <w:rPr>
          <w:rFonts w:ascii="Times New Roman" w:hAnsi="Times New Roman" w:cs="Times New Roman" w:eastAsia="Times New Roman" w:hint="default"/>
          <w:spacing w:val="-3"/>
        </w:rPr>
        <w:t>A</w:t>
      </w:r>
      <w:r>
        <w:rPr>
          <w:spacing w:val="-3"/>
        </w:rPr>
        <w:t>股并在深圳证券交易所挂牌上市，公司股本由期初的</w:t>
      </w:r>
      <w:r>
        <w:rPr>
          <w:rFonts w:ascii="Times New Roman" w:hAnsi="Times New Roman" w:cs="Times New Roman" w:eastAsia="Times New Roman" w:hint="default"/>
          <w:spacing w:val="-3"/>
        </w:rPr>
        <w:t>69,705,999</w:t>
      </w:r>
      <w:r>
        <w:rPr>
          <w:spacing w:val="-3"/>
        </w:rPr>
        <w:t>股变更为期</w:t>
      </w:r>
    </w:p>
    <w:p>
      <w:pPr>
        <w:pStyle w:val="BodyText"/>
        <w:spacing w:line="218" w:lineRule="exact"/>
        <w:ind w:left="153" w:right="0"/>
        <w:jc w:val="left"/>
      </w:pPr>
      <w:r>
        <w:rPr>
          <w:spacing w:val="-3"/>
        </w:rPr>
        <w:t>末的</w:t>
      </w:r>
      <w:r>
        <w:rPr>
          <w:rFonts w:ascii="Times New Roman" w:hAnsi="Times New Roman" w:cs="Times New Roman" w:eastAsia="Times New Roman" w:hint="default"/>
          <w:spacing w:val="-3"/>
        </w:rPr>
        <w:t>92,945,999</w:t>
      </w:r>
      <w:r>
        <w:rPr>
          <w:spacing w:val="-3"/>
        </w:rPr>
        <w:t>股，对基本每股收益、归属于公司普通股股东的每股净资产具有一定摊薄作用。</w:t>
      </w:r>
      <w:r>
        <w:rPr/>
      </w:r>
    </w:p>
    <w:p>
      <w:pPr>
        <w:pStyle w:val="BodyText"/>
        <w:spacing w:line="240" w:lineRule="auto" w:before="63"/>
        <w:ind w:left="513" w:right="0"/>
        <w:jc w:val="left"/>
      </w:pPr>
      <w:r>
        <w:rPr>
          <w:spacing w:val="-3"/>
        </w:rPr>
        <w:t>公司认为必要或证券监管机构要求披露的其他内容</w:t>
      </w:r>
    </w:p>
    <w:p>
      <w:pPr>
        <w:pStyle w:val="BodyText"/>
        <w:spacing w:line="240" w:lineRule="auto" w:before="119"/>
        <w:ind w:left="153"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694"/>
        <w:gridCol w:w="1104"/>
        <w:gridCol w:w="1085"/>
        <w:gridCol w:w="1781"/>
        <w:gridCol w:w="1114"/>
        <w:gridCol w:w="1382"/>
      </w:tblGrid>
      <w:tr>
        <w:trPr>
          <w:trHeight w:val="715" w:hRule="exact"/>
        </w:trPr>
        <w:tc>
          <w:tcPr>
            <w:tcW w:w="14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340" w:right="151" w:hanging="178"/>
              <w:jc w:val="left"/>
              <w:rPr>
                <w:rFonts w:ascii="宋体" w:hAnsi="宋体" w:cs="宋体" w:eastAsia="宋体" w:hint="default"/>
                <w:sz w:val="18"/>
                <w:szCs w:val="18"/>
              </w:rPr>
            </w:pPr>
            <w:r>
              <w:rPr>
                <w:rFonts w:ascii="宋体" w:hAnsi="宋体" w:cs="宋体" w:eastAsia="宋体" w:hint="default"/>
                <w:spacing w:val="-2"/>
                <w:sz w:val="18"/>
                <w:szCs w:val="18"/>
              </w:rPr>
              <w:t>股票及其衍生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证券名称</w:t>
            </w:r>
          </w:p>
        </w:tc>
        <w:tc>
          <w:tcPr>
            <w:tcW w:w="1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0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283" w:right="103" w:hanging="183"/>
              <w:jc w:val="left"/>
              <w:rPr>
                <w:rFonts w:ascii="宋体" w:hAnsi="宋体" w:cs="宋体" w:eastAsia="宋体" w:hint="default"/>
                <w:sz w:val="18"/>
                <w:szCs w:val="18"/>
              </w:rPr>
            </w:pPr>
            <w:r>
              <w:rPr>
                <w:rFonts w:ascii="宋体" w:hAnsi="宋体" w:cs="宋体" w:eastAsia="宋体" w:hint="default"/>
                <w:spacing w:val="-3"/>
                <w:sz w:val="18"/>
                <w:szCs w:val="18"/>
              </w:rPr>
              <w:t>获准上市交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易数量</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股票类</w:t>
            </w:r>
            <w:r>
              <w:rPr>
                <w:rFonts w:ascii="宋体" w:hAnsi="宋体" w:cs="宋体" w:eastAsia="宋体" w:hint="default"/>
                <w:sz w:val="18"/>
                <w:szCs w:val="18"/>
              </w:rPr>
            </w:r>
          </w:p>
        </w:tc>
      </w:tr>
      <w:tr>
        <w:trPr>
          <w:trHeight w:val="720" w:hRule="exact"/>
        </w:trPr>
        <w:tc>
          <w:tcPr>
            <w:tcW w:w="14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8.36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23,240,000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23,240,000</w:t>
            </w:r>
          </w:p>
        </w:tc>
        <w:tc>
          <w:tcPr>
            <w:tcW w:w="138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2" w:lineRule="auto" w:before="53"/>
        <w:ind w:left="512" w:right="0" w:hanging="361"/>
        <w:jc w:val="left"/>
      </w:pPr>
      <w:r>
        <w:rPr>
          <w:spacing w:val="-3"/>
        </w:rPr>
        <w:t>报告期内证券发行（不含优先股）情况的说明</w:t>
      </w:r>
      <w:r>
        <w:rPr>
          <w:spacing w:val="-27"/>
        </w:rPr>
        <w:t> </w:t>
      </w:r>
      <w:r>
        <w:rPr>
          <w:spacing w:val="-27"/>
        </w:rPr>
      </w:r>
      <w:r>
        <w:rPr>
          <w:spacing w:val="-3"/>
        </w:rPr>
        <w:t>根据中国证券监督管理委员会证监许可</w:t>
      </w:r>
      <w:r>
        <w:rPr>
          <w:rFonts w:ascii="Times New Roman" w:hAnsi="Times New Roman" w:cs="Times New Roman" w:eastAsia="Times New Roman" w:hint="default"/>
          <w:spacing w:val="-3"/>
        </w:rPr>
        <w:t>[2017]2044</w:t>
      </w:r>
      <w:r>
        <w:rPr>
          <w:spacing w:val="-3"/>
        </w:rPr>
        <w:t>号文《关于核准湖南科创信息技术股份有限公司首次公开发行股票的</w:t>
      </w:r>
      <w:r>
        <w:rPr/>
      </w:r>
    </w:p>
    <w:p>
      <w:pPr>
        <w:pStyle w:val="BodyText"/>
        <w:spacing w:line="218" w:lineRule="exact"/>
        <w:ind w:right="0"/>
        <w:jc w:val="left"/>
      </w:pPr>
      <w:r>
        <w:rPr>
          <w:spacing w:val="-3"/>
        </w:rPr>
        <w:t>批复》的核准，并经深圳证券交易所深证上</w:t>
      </w:r>
      <w:r>
        <w:rPr>
          <w:rFonts w:ascii="Times New Roman" w:hAnsi="Times New Roman" w:cs="Times New Roman" w:eastAsia="Times New Roman" w:hint="default"/>
          <w:spacing w:val="-3"/>
        </w:rPr>
        <w:t>[2017]789</w:t>
      </w:r>
      <w:r>
        <w:rPr>
          <w:spacing w:val="-3"/>
        </w:rPr>
        <w:t>号文同意，公司首次公开发行人民币普通股（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23,240,000</w:t>
      </w:r>
      <w:r>
        <w:rPr>
          <w:spacing w:val="-3"/>
        </w:rPr>
        <w:t>股，发</w:t>
      </w:r>
      <w:r>
        <w:rPr/>
      </w:r>
    </w:p>
    <w:p>
      <w:pPr>
        <w:pStyle w:val="BodyText"/>
        <w:spacing w:line="240" w:lineRule="auto" w:before="63"/>
        <w:ind w:right="0"/>
        <w:jc w:val="left"/>
      </w:pPr>
      <w:r>
        <w:rPr>
          <w:spacing w:val="-3"/>
        </w:rPr>
        <w:t>行价格为</w:t>
      </w:r>
      <w:r>
        <w:rPr>
          <w:rFonts w:ascii="Times New Roman" w:hAnsi="Times New Roman" w:cs="Times New Roman" w:eastAsia="Times New Roman" w:hint="default"/>
          <w:spacing w:val="-3"/>
        </w:rPr>
        <w:t>8.36</w:t>
      </w:r>
      <w:r>
        <w:rPr>
          <w:spacing w:val="-3"/>
        </w:rPr>
        <w:t>元，并于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5</w:t>
      </w:r>
      <w:r>
        <w:rPr>
          <w:spacing w:val="-3"/>
        </w:rPr>
        <w:t>日在深圳证券交易所创业板挂牌上市。</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left="512" w:right="0" w:hanging="361"/>
        <w:jc w:val="left"/>
      </w:pPr>
      <w:r>
        <w:rPr/>
        <w:t>√ </w:t>
      </w:r>
      <w:r>
        <w:rPr>
          <w:spacing w:val="-3"/>
        </w:rPr>
        <w:t>适用 </w:t>
      </w:r>
      <w:r>
        <w:rPr/>
        <w:t>□ 不适用</w:t>
      </w:r>
      <w:r>
        <w:rPr>
          <w:spacing w:val="-77"/>
        </w:rPr>
        <w:t> </w:t>
      </w:r>
      <w:r>
        <w:rPr>
          <w:spacing w:val="-77"/>
        </w:rPr>
      </w:r>
      <w:r>
        <w:rPr>
          <w:spacing w:val="-4"/>
        </w:rPr>
        <w:t>本次发行后，公司总股本由</w:t>
      </w:r>
      <w:r>
        <w:rPr>
          <w:rFonts w:ascii="Times New Roman" w:hAnsi="Times New Roman" w:cs="Times New Roman" w:eastAsia="Times New Roman" w:hint="default"/>
          <w:spacing w:val="-4"/>
        </w:rPr>
        <w:t>69,705,999</w:t>
      </w:r>
      <w:r>
        <w:rPr>
          <w:spacing w:val="-4"/>
        </w:rPr>
        <w:t>股增加至</w:t>
      </w:r>
      <w:r>
        <w:rPr>
          <w:rFonts w:ascii="Times New Roman" w:hAnsi="Times New Roman" w:cs="Times New Roman" w:eastAsia="Times New Roman" w:hint="default"/>
          <w:spacing w:val="-4"/>
        </w:rPr>
        <w:t>92,945,999</w:t>
      </w:r>
      <w:r>
        <w:rPr>
          <w:spacing w:val="-4"/>
        </w:rPr>
        <w:t>股，其中限售股</w:t>
      </w:r>
      <w:r>
        <w:rPr>
          <w:rFonts w:ascii="Times New Roman" w:hAnsi="Times New Roman" w:cs="Times New Roman" w:eastAsia="Times New Roman" w:hint="default"/>
          <w:spacing w:val="-4"/>
        </w:rPr>
        <w:t>69,705,999</w:t>
      </w:r>
      <w:r>
        <w:rPr>
          <w:spacing w:val="-4"/>
        </w:rPr>
        <w:t>股，非限售股</w:t>
      </w:r>
      <w:r>
        <w:rPr>
          <w:rFonts w:ascii="Times New Roman" w:hAnsi="Times New Roman" w:cs="Times New Roman" w:eastAsia="Times New Roman" w:hint="default"/>
          <w:spacing w:val="-4"/>
        </w:rPr>
        <w:t>23,240,000</w:t>
      </w:r>
      <w:r>
        <w:rPr>
          <w:spacing w:val="-4"/>
        </w:rPr>
        <w:t>股。募集资</w:t>
      </w:r>
    </w:p>
    <w:p>
      <w:pPr>
        <w:pStyle w:val="BodyText"/>
        <w:spacing w:line="218" w:lineRule="exact"/>
        <w:ind w:right="0"/>
        <w:jc w:val="left"/>
      </w:pPr>
      <w:r>
        <w:rPr>
          <w:spacing w:val="-3"/>
        </w:rPr>
        <w:t>金总额为人民币</w:t>
      </w:r>
      <w:r>
        <w:rPr>
          <w:rFonts w:ascii="Times New Roman" w:hAnsi="Times New Roman" w:cs="Times New Roman" w:eastAsia="Times New Roman" w:hint="default"/>
          <w:spacing w:val="-3"/>
        </w:rPr>
        <w:t>194,286,400.00</w:t>
      </w:r>
      <w:r>
        <w:rPr>
          <w:spacing w:val="-3"/>
        </w:rPr>
        <w:t>元，扣除本次发行费用人民币</w:t>
      </w:r>
      <w:r>
        <w:rPr>
          <w:rFonts w:ascii="Times New Roman" w:hAnsi="Times New Roman" w:cs="Times New Roman" w:eastAsia="Times New Roman" w:hint="default"/>
          <w:spacing w:val="-3"/>
        </w:rPr>
        <w:t>31,633,500.00</w:t>
      </w:r>
      <w:r>
        <w:rPr>
          <w:spacing w:val="-3"/>
        </w:rPr>
        <w:t>元（不含发行费用的可抵扣增值税进项税额</w:t>
      </w:r>
      <w:r>
        <w:rPr/>
      </w:r>
    </w:p>
    <w:p>
      <w:pPr>
        <w:pStyle w:val="BodyText"/>
        <w:spacing w:line="240" w:lineRule="auto" w:before="63"/>
        <w:ind w:right="0"/>
        <w:jc w:val="left"/>
      </w:pPr>
      <w:r>
        <w:rPr>
          <w:rFonts w:ascii="Times New Roman" w:hAnsi="Times New Roman" w:cs="Times New Roman" w:eastAsia="Times New Roman" w:hint="default"/>
          <w:w w:val="101"/>
        </w:rPr>
        <w:t>1</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8</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w w:val="101"/>
        </w:rPr>
        <w:t>8</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02</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0</w:t>
      </w:r>
      <w:r>
        <w:rPr>
          <w:w w:val="101"/>
        </w:rPr>
        <w:t>元</w:t>
      </w:r>
      <w:r>
        <w:rPr>
          <w:spacing w:val="-92"/>
          <w:w w:val="101"/>
        </w:rPr>
        <w:t>）</w:t>
      </w:r>
      <w:r>
        <w:rPr>
          <w:spacing w:val="-5"/>
          <w:w w:val="101"/>
        </w:rPr>
        <w:t>，</w:t>
      </w:r>
      <w:r>
        <w:rPr>
          <w:w w:val="101"/>
        </w:rPr>
        <w:t>募</w:t>
      </w:r>
      <w:r>
        <w:rPr>
          <w:spacing w:val="-5"/>
          <w:w w:val="101"/>
        </w:rPr>
        <w:t>集</w:t>
      </w:r>
      <w:r>
        <w:rPr>
          <w:w w:val="101"/>
        </w:rPr>
        <w:t>资</w:t>
      </w:r>
      <w:r>
        <w:rPr>
          <w:spacing w:val="-5"/>
          <w:w w:val="101"/>
        </w:rPr>
        <w:t>金</w:t>
      </w:r>
      <w:r>
        <w:rPr>
          <w:w w:val="101"/>
        </w:rPr>
        <w:t>净</w:t>
      </w:r>
      <w:r>
        <w:rPr>
          <w:spacing w:val="-5"/>
          <w:w w:val="101"/>
        </w:rPr>
        <w:t>额</w:t>
      </w:r>
      <w:r>
        <w:rPr>
          <w:w w:val="101"/>
        </w:rPr>
        <w:t>为</w:t>
      </w:r>
      <w:r>
        <w:rPr>
          <w:spacing w:val="-5"/>
          <w:w w:val="101"/>
        </w:rPr>
        <w:t>人</w:t>
      </w:r>
      <w:r>
        <w:rPr>
          <w:w w:val="101"/>
        </w:rPr>
        <w:t>民</w:t>
      </w:r>
      <w:r>
        <w:rPr>
          <w:spacing w:val="-5"/>
          <w:w w:val="101"/>
        </w:rPr>
        <w:t>币</w:t>
      </w:r>
      <w:r>
        <w:rPr>
          <w:rFonts w:ascii="Times New Roman" w:hAnsi="Times New Roman" w:cs="Times New Roman" w:eastAsia="Times New Roman" w:hint="default"/>
          <w:w w:val="101"/>
        </w:rPr>
        <w:t>16</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6</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2</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90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0</w:t>
      </w:r>
      <w:r>
        <w:rPr>
          <w:w w:val="101"/>
        </w:rPr>
        <w:t>元</w:t>
      </w:r>
      <w:r>
        <w:rPr>
          <w:spacing w:val="-5"/>
          <w:w w:val="101"/>
        </w:rPr>
        <w:t>，其</w:t>
      </w:r>
      <w:r>
        <w:rPr>
          <w:w w:val="101"/>
        </w:rPr>
        <w:t>中</w:t>
      </w:r>
      <w:r>
        <w:rPr>
          <w:spacing w:val="-5"/>
          <w:w w:val="101"/>
        </w:rPr>
        <w:t>增</w:t>
      </w:r>
      <w:r>
        <w:rPr>
          <w:w w:val="101"/>
        </w:rPr>
        <w:t>加</w:t>
      </w:r>
      <w:r>
        <w:rPr>
          <w:spacing w:val="-5"/>
          <w:w w:val="101"/>
        </w:rPr>
        <w:t>股</w:t>
      </w:r>
      <w:r>
        <w:rPr>
          <w:w w:val="101"/>
        </w:rPr>
        <w:t>本</w:t>
      </w:r>
      <w:r>
        <w:rPr>
          <w:spacing w:val="-5"/>
          <w:w w:val="101"/>
        </w:rPr>
        <w:t>人</w:t>
      </w:r>
      <w:r>
        <w:rPr>
          <w:w w:val="101"/>
        </w:rPr>
        <w:t>民</w:t>
      </w:r>
      <w:r>
        <w:rPr>
          <w:spacing w:val="-1"/>
          <w:w w:val="101"/>
        </w:rPr>
        <w:t>币</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4</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0</w:t>
      </w:r>
      <w:r>
        <w:rPr>
          <w:w w:val="101"/>
        </w:rPr>
        <w:t>元</w:t>
      </w:r>
      <w:r>
        <w:rPr>
          <w:spacing w:val="-5"/>
          <w:w w:val="101"/>
        </w:rPr>
        <w:t>，</w:t>
      </w:r>
      <w:r>
        <w:rPr>
          <w:w w:val="101"/>
        </w:rPr>
        <w:t>增</w:t>
      </w:r>
      <w:r>
        <w:rPr>
          <w:spacing w:val="-5"/>
          <w:w w:val="101"/>
        </w:rPr>
        <w:t>加</w:t>
      </w:r>
      <w:r>
        <w:rPr>
          <w:w w:val="101"/>
        </w:rPr>
        <w:t>资</w:t>
      </w:r>
      <w:r>
        <w:rPr>
          <w:spacing w:val="-5"/>
          <w:w w:val="101"/>
        </w:rPr>
        <w:t>本公</w:t>
      </w:r>
      <w:r>
        <w:rPr>
          <w:w w:val="101"/>
        </w:rPr>
        <w:t>积</w:t>
      </w:r>
      <w:r>
        <w:rPr>
          <w:spacing w:val="-5"/>
          <w:w w:val="101"/>
        </w:rPr>
        <w:t>人</w:t>
      </w:r>
      <w:r>
        <w:rPr>
          <w:w w:val="101"/>
        </w:rPr>
        <w:t>民币</w:t>
      </w:r>
      <w:r>
        <w:rPr/>
      </w:r>
    </w:p>
    <w:p>
      <w:pPr>
        <w:pStyle w:val="BodyText"/>
        <w:spacing w:line="240" w:lineRule="auto" w:before="63"/>
        <w:ind w:right="0"/>
        <w:jc w:val="left"/>
        <w:rPr>
          <w:rFonts w:ascii="宋体" w:hAnsi="宋体" w:cs="宋体" w:eastAsia="宋体" w:hint="default"/>
        </w:rPr>
      </w:pPr>
      <w:r>
        <w:rPr>
          <w:rFonts w:ascii="Times New Roman" w:hAnsi="Times New Roman" w:cs="Times New Roman" w:eastAsia="Times New Roman" w:hint="default"/>
        </w:rPr>
        <w:t>139,412,900.00</w:t>
      </w:r>
      <w:r>
        <w:rPr/>
        <w:t>元。</w:t>
      </w:r>
      <w:r>
        <w:rPr>
          <w:rFonts w:ascii="宋体" w:hAnsi="宋体" w:cs="宋体" w:eastAsia="宋体" w:hint="default"/>
        </w:rPr>
        <w:t> </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footerReference w:type="default" r:id="rId13"/>
          <w:pgSz w:w="11910" w:h="16840"/>
          <w:pgMar w:footer="1027" w:header="784" w:top="1100" w:bottom="1220" w:left="980" w:right="980"/>
          <w:pgNumType w:start="45"/>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45"/>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2"/>
        <w:gridCol w:w="590"/>
        <w:gridCol w:w="158"/>
        <w:gridCol w:w="710"/>
        <w:gridCol w:w="101"/>
        <w:gridCol w:w="1052"/>
        <w:gridCol w:w="896"/>
        <w:gridCol w:w="475"/>
        <w:gridCol w:w="754"/>
        <w:gridCol w:w="312"/>
        <w:gridCol w:w="629"/>
        <w:gridCol w:w="408"/>
        <w:gridCol w:w="293"/>
        <w:gridCol w:w="269"/>
        <w:gridCol w:w="787"/>
      </w:tblGrid>
      <w:tr>
        <w:trPr>
          <w:trHeight w:val="1968" w:hRule="exact"/>
        </w:trPr>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132"/>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股股东总数</w:t>
            </w:r>
            <w:r>
              <w:rPr>
                <w:rFonts w:ascii="宋体" w:hAnsi="宋体" w:cs="宋体" w:eastAsia="宋体" w:hint="default"/>
                <w:sz w:val="18"/>
                <w:szCs w:val="18"/>
              </w:rPr>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38,084</w:t>
            </w:r>
          </w:p>
        </w:tc>
        <w:tc>
          <w:tcPr>
            <w:tcW w:w="145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0" w:right="261"/>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15,999</w:t>
            </w:r>
          </w:p>
        </w:tc>
        <w:tc>
          <w:tcPr>
            <w:tcW w:w="13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7" w:right="127"/>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股股东总数</w:t>
            </w:r>
            <w:r>
              <w:rPr>
                <w:rFonts w:ascii="宋体" w:hAnsi="宋体" w:cs="宋体" w:eastAsia="宋体" w:hint="default"/>
                <w:sz w:val="18"/>
                <w:szCs w:val="18"/>
              </w:rPr>
            </w:r>
          </w:p>
          <w:p>
            <w:pPr>
              <w:pStyle w:val="TableParagraph"/>
              <w:spacing w:line="321" w:lineRule="auto" w:before="19"/>
              <w:ind w:left="147" w:right="93"/>
              <w:jc w:val="both"/>
              <w:rPr>
                <w:rFonts w:ascii="宋体" w:hAnsi="宋体" w:cs="宋体" w:eastAsia="宋体" w:hint="default"/>
                <w:sz w:val="18"/>
                <w:szCs w:val="18"/>
              </w:rPr>
            </w:pPr>
            <w:r>
              <w:rPr>
                <w:rFonts w:ascii="宋体" w:hAnsi="宋体" w:cs="宋体" w:eastAsia="宋体" w:hint="default"/>
                <w:spacing w:val="-23"/>
                <w:w w:val="101"/>
                <w:sz w:val="18"/>
                <w:szCs w:val="18"/>
              </w:rPr>
              <w:t>（如有）（参见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3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3"/>
                <w:w w:val="101"/>
                <w:sz w:val="18"/>
                <w:szCs w:val="18"/>
              </w:rPr>
              <w:t>数（如有）（参</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89" w:hRule="exact"/>
        </w:trPr>
        <w:tc>
          <w:tcPr>
            <w:tcW w:w="9566" w:type="dxa"/>
            <w:gridSpan w:val="1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8"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5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6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70"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2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39" w:right="176"/>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89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8"/>
              <w:ind w:left="61" w:right="98"/>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122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8"/>
              <w:ind w:left="163" w:right="156"/>
              <w:jc w:val="center"/>
              <w:rPr>
                <w:rFonts w:ascii="宋体" w:hAnsi="宋体" w:cs="宋体" w:eastAsia="宋体" w:hint="default"/>
                <w:sz w:val="18"/>
                <w:szCs w:val="18"/>
              </w:rPr>
            </w:pPr>
            <w:r>
              <w:rPr>
                <w:rFonts w:ascii="宋体" w:hAnsi="宋体" w:cs="宋体" w:eastAsia="宋体" w:hint="default"/>
                <w:spacing w:val="-3"/>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4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8"/>
              <w:ind w:left="105" w:right="98"/>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17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44"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r>
              <w:rPr>
                <w:rFonts w:ascii="宋体" w:hAnsi="宋体" w:cs="宋体" w:eastAsia="宋体" w:hint="default"/>
                <w:sz w:val="18"/>
                <w:szCs w:val="18"/>
              </w:rPr>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253" w:type="dxa"/>
            <w:gridSpan w:val="2"/>
            <w:vMerge/>
            <w:tcBorders>
              <w:left w:val="single" w:sz="4" w:space="0" w:color="000000"/>
              <w:bottom w:val="single" w:sz="4" w:space="0" w:color="000000"/>
              <w:right w:val="single" w:sz="4" w:space="0" w:color="000000"/>
            </w:tcBorders>
            <w:shd w:val="clear" w:color="auto" w:fill="D4D4D4"/>
          </w:tcPr>
          <w:p>
            <w:pPr/>
          </w:p>
        </w:tc>
        <w:tc>
          <w:tcPr>
            <w:tcW w:w="970" w:type="dxa"/>
            <w:gridSpan w:val="3"/>
            <w:vMerge/>
            <w:tcBorders>
              <w:left w:val="single" w:sz="4" w:space="0" w:color="000000"/>
              <w:bottom w:val="single" w:sz="4" w:space="0" w:color="000000"/>
              <w:right w:val="single" w:sz="4" w:space="0" w:color="000000"/>
            </w:tcBorders>
            <w:shd w:val="clear" w:color="auto" w:fill="D4D4D4"/>
          </w:tcPr>
          <w:p>
            <w:pPr/>
          </w:p>
        </w:tc>
        <w:tc>
          <w:tcPr>
            <w:tcW w:w="1052" w:type="dxa"/>
            <w:vMerge/>
            <w:tcBorders>
              <w:left w:val="single" w:sz="4" w:space="0" w:color="000000"/>
              <w:bottom w:val="single" w:sz="4" w:space="0" w:color="000000"/>
              <w:right w:val="single" w:sz="4" w:space="0" w:color="000000"/>
            </w:tcBorders>
            <w:shd w:val="clear" w:color="auto" w:fill="D4D4D4"/>
          </w:tcPr>
          <w:p>
            <w:pPr/>
          </w:p>
        </w:tc>
        <w:tc>
          <w:tcPr>
            <w:tcW w:w="896" w:type="dxa"/>
            <w:vMerge/>
            <w:tcBorders>
              <w:left w:val="single" w:sz="4" w:space="0" w:color="000000"/>
              <w:bottom w:val="single" w:sz="4" w:space="0" w:color="000000"/>
              <w:right w:val="single" w:sz="4" w:space="0" w:color="000000"/>
            </w:tcBorders>
            <w:shd w:val="clear" w:color="auto" w:fill="D4D4D4"/>
          </w:tcPr>
          <w:p>
            <w:pPr/>
          </w:p>
        </w:tc>
        <w:tc>
          <w:tcPr>
            <w:tcW w:w="1229" w:type="dxa"/>
            <w:gridSpan w:val="2"/>
            <w:vMerge/>
            <w:tcBorders>
              <w:left w:val="single" w:sz="4" w:space="0" w:color="000000"/>
              <w:bottom w:val="single" w:sz="4" w:space="0" w:color="000000"/>
              <w:right w:val="single" w:sz="4" w:space="0" w:color="000000"/>
            </w:tcBorders>
            <w:shd w:val="clear" w:color="auto" w:fill="D4D4D4"/>
          </w:tcPr>
          <w:p>
            <w:pPr/>
          </w:p>
        </w:tc>
        <w:tc>
          <w:tcPr>
            <w:tcW w:w="941" w:type="dxa"/>
            <w:gridSpan w:val="2"/>
            <w:vMerge/>
            <w:tcBorders>
              <w:left w:val="single" w:sz="4" w:space="0" w:color="000000"/>
              <w:bottom w:val="single" w:sz="4" w:space="0" w:color="000000"/>
              <w:right w:val="single" w:sz="4" w:space="0" w:color="000000"/>
            </w:tcBorders>
            <w:shd w:val="clear" w:color="auto" w:fill="D4D4D4"/>
          </w:tcPr>
          <w:p>
            <w:pPr/>
          </w:p>
        </w:tc>
        <w:tc>
          <w:tcPr>
            <w:tcW w:w="97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境内自然人</w:t>
            </w:r>
            <w:r>
              <w:rPr>
                <w:rFonts w:ascii="宋体" w:hAnsi="宋体" w:cs="宋体" w:eastAsia="宋体" w:hint="default"/>
                <w:sz w:val="18"/>
                <w:szCs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8.80%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
              <w:jc w:val="right"/>
              <w:rPr>
                <w:rFonts w:ascii="Times New Roman" w:hAnsi="Times New Roman" w:cs="Times New Roman" w:eastAsia="Times New Roman" w:hint="default"/>
                <w:sz w:val="18"/>
                <w:szCs w:val="18"/>
              </w:rPr>
            </w:pPr>
            <w:r>
              <w:rPr>
                <w:rFonts w:ascii="Times New Roman"/>
                <w:spacing w:val="-1"/>
                <w:sz w:val="18"/>
              </w:rPr>
              <w:t>8,181,885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8,181,885</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境内自然人</w:t>
            </w:r>
            <w:r>
              <w:rPr>
                <w:rFonts w:ascii="宋体" w:hAnsi="宋体" w:cs="宋体" w:eastAsia="宋体" w:hint="default"/>
                <w:sz w:val="18"/>
                <w:szCs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8.67%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
              <w:jc w:val="right"/>
              <w:rPr>
                <w:rFonts w:ascii="Times New Roman" w:hAnsi="Times New Roman" w:cs="Times New Roman" w:eastAsia="Times New Roman" w:hint="default"/>
                <w:sz w:val="18"/>
                <w:szCs w:val="18"/>
              </w:rPr>
            </w:pPr>
            <w:r>
              <w:rPr>
                <w:rFonts w:ascii="Times New Roman"/>
                <w:spacing w:val="-1"/>
                <w:sz w:val="18"/>
              </w:rPr>
              <w:t>8,062,933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8,062,933</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李建华</w:t>
            </w:r>
            <w:r>
              <w:rPr>
                <w:rFonts w:ascii="宋体" w:hAnsi="宋体" w:cs="宋体" w:eastAsia="宋体" w:hint="default"/>
                <w:sz w:val="18"/>
                <w:szCs w:val="18"/>
              </w:rPr>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境内自然人</w:t>
            </w:r>
            <w:r>
              <w:rPr>
                <w:rFonts w:ascii="宋体" w:hAnsi="宋体" w:cs="宋体" w:eastAsia="宋体" w:hint="default"/>
                <w:sz w:val="18"/>
                <w:szCs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7.80%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
              <w:jc w:val="right"/>
              <w:rPr>
                <w:rFonts w:ascii="Times New Roman" w:hAnsi="Times New Roman" w:cs="Times New Roman" w:eastAsia="Times New Roman" w:hint="default"/>
                <w:sz w:val="18"/>
                <w:szCs w:val="18"/>
              </w:rPr>
            </w:pPr>
            <w:r>
              <w:rPr>
                <w:rFonts w:ascii="Times New Roman"/>
                <w:spacing w:val="-1"/>
                <w:sz w:val="18"/>
              </w:rPr>
              <w:t>7,249,516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7,249,516</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66"/>
              <w:jc w:val="left"/>
              <w:rPr>
                <w:rFonts w:ascii="宋体" w:hAnsi="宋体" w:cs="宋体" w:eastAsia="宋体" w:hint="default"/>
                <w:sz w:val="18"/>
                <w:szCs w:val="18"/>
              </w:rPr>
            </w:pPr>
            <w:r>
              <w:rPr>
                <w:rFonts w:ascii="宋体" w:hAnsi="宋体" w:cs="宋体" w:eastAsia="宋体" w:hint="default"/>
                <w:spacing w:val="-2"/>
                <w:sz w:val="18"/>
                <w:szCs w:val="18"/>
              </w:rPr>
              <w:t>中南大学资产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经营有限公司</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7.51%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6,979,127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6,979,127</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刘星沙</w:t>
            </w:r>
            <w:r>
              <w:rPr>
                <w:rFonts w:ascii="宋体" w:hAnsi="宋体" w:cs="宋体" w:eastAsia="宋体" w:hint="default"/>
                <w:sz w:val="18"/>
                <w:szCs w:val="18"/>
              </w:rPr>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境内自然人</w:t>
            </w:r>
            <w:r>
              <w:rPr>
                <w:rFonts w:ascii="宋体" w:hAnsi="宋体" w:cs="宋体" w:eastAsia="宋体" w:hint="default"/>
                <w:sz w:val="18"/>
                <w:szCs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7.38%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
              <w:jc w:val="right"/>
              <w:rPr>
                <w:rFonts w:ascii="Times New Roman" w:hAnsi="Times New Roman" w:cs="Times New Roman" w:eastAsia="Times New Roman" w:hint="default"/>
                <w:sz w:val="18"/>
                <w:szCs w:val="18"/>
              </w:rPr>
            </w:pPr>
            <w:r>
              <w:rPr>
                <w:rFonts w:ascii="Times New Roman"/>
                <w:spacing w:val="-1"/>
                <w:sz w:val="18"/>
              </w:rPr>
              <w:t>6,861,398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6,861,398</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刘应龙</w:t>
            </w:r>
            <w:r>
              <w:rPr>
                <w:rFonts w:ascii="宋体" w:hAnsi="宋体" w:cs="宋体" w:eastAsia="宋体" w:hint="default"/>
                <w:sz w:val="18"/>
                <w:szCs w:val="18"/>
              </w:rPr>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境内自然人</w:t>
            </w:r>
            <w:r>
              <w:rPr>
                <w:rFonts w:ascii="宋体" w:hAnsi="宋体" w:cs="宋体" w:eastAsia="宋体" w:hint="default"/>
                <w:sz w:val="18"/>
                <w:szCs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4.68%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
              <w:jc w:val="right"/>
              <w:rPr>
                <w:rFonts w:ascii="Times New Roman" w:hAnsi="Times New Roman" w:cs="Times New Roman" w:eastAsia="Times New Roman" w:hint="default"/>
                <w:sz w:val="18"/>
                <w:szCs w:val="18"/>
              </w:rPr>
            </w:pPr>
            <w:r>
              <w:rPr>
                <w:rFonts w:ascii="Times New Roman"/>
                <w:spacing w:val="-1"/>
                <w:sz w:val="18"/>
              </w:rPr>
              <w:t>4,345,497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4,345,497</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66"/>
              <w:jc w:val="both"/>
              <w:rPr>
                <w:rFonts w:ascii="宋体" w:hAnsi="宋体" w:cs="宋体" w:eastAsia="宋体" w:hint="default"/>
                <w:sz w:val="18"/>
                <w:szCs w:val="18"/>
              </w:rPr>
            </w:pPr>
            <w:r>
              <w:rPr>
                <w:rFonts w:ascii="宋体" w:hAnsi="宋体" w:cs="宋体" w:eastAsia="宋体" w:hint="default"/>
                <w:spacing w:val="-2"/>
                <w:sz w:val="18"/>
                <w:szCs w:val="18"/>
              </w:rPr>
              <w:t>湖南中科岳麓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创业投资有限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105" w:right="237"/>
              <w:jc w:val="left"/>
              <w:rPr>
                <w:rFonts w:ascii="宋体" w:hAnsi="宋体" w:cs="宋体" w:eastAsia="宋体" w:hint="default"/>
                <w:sz w:val="18"/>
                <w:szCs w:val="18"/>
              </w:rPr>
            </w:pPr>
            <w:r>
              <w:rPr>
                <w:rFonts w:ascii="宋体" w:hAnsi="宋体" w:cs="宋体" w:eastAsia="宋体" w:hint="default"/>
                <w:spacing w:val="-3"/>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4.07%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3,787,333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3,787,333</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66"/>
              <w:jc w:val="left"/>
              <w:rPr>
                <w:rFonts w:ascii="宋体" w:hAnsi="宋体" w:cs="宋体" w:eastAsia="宋体" w:hint="default"/>
                <w:sz w:val="18"/>
                <w:szCs w:val="18"/>
              </w:rPr>
            </w:pPr>
            <w:r>
              <w:rPr>
                <w:rFonts w:ascii="宋体" w:hAnsi="宋体" w:cs="宋体" w:eastAsia="宋体" w:hint="default"/>
                <w:spacing w:val="-2"/>
                <w:sz w:val="18"/>
                <w:szCs w:val="18"/>
              </w:rPr>
              <w:t>长沙金信置业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投资有限公司</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37"/>
              <w:jc w:val="left"/>
              <w:rPr>
                <w:rFonts w:ascii="宋体" w:hAnsi="宋体" w:cs="宋体" w:eastAsia="宋体" w:hint="default"/>
                <w:sz w:val="18"/>
                <w:szCs w:val="18"/>
              </w:rPr>
            </w:pPr>
            <w:r>
              <w:rPr>
                <w:rFonts w:ascii="宋体" w:hAnsi="宋体" w:cs="宋体" w:eastAsia="宋体" w:hint="default"/>
                <w:spacing w:val="-3"/>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4.07%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3,787,333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3,787,333</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吕雅莉</w:t>
            </w:r>
            <w:r>
              <w:rPr>
                <w:rFonts w:ascii="宋体" w:hAnsi="宋体" w:cs="宋体" w:eastAsia="宋体" w:hint="default"/>
                <w:sz w:val="18"/>
                <w:szCs w:val="18"/>
              </w:rPr>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境内自然人</w:t>
            </w:r>
            <w:r>
              <w:rPr>
                <w:rFonts w:ascii="宋体" w:hAnsi="宋体" w:cs="宋体" w:eastAsia="宋体" w:hint="default"/>
                <w:sz w:val="18"/>
                <w:szCs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3.93%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
              <w:jc w:val="right"/>
              <w:rPr>
                <w:rFonts w:ascii="Times New Roman" w:hAnsi="Times New Roman" w:cs="Times New Roman" w:eastAsia="Times New Roman" w:hint="default"/>
                <w:sz w:val="18"/>
                <w:szCs w:val="18"/>
              </w:rPr>
            </w:pPr>
            <w:r>
              <w:rPr>
                <w:rFonts w:ascii="Times New Roman"/>
                <w:spacing w:val="-1"/>
                <w:sz w:val="18"/>
              </w:rPr>
              <w:t>3,657,333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3,657,333</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陈尚慧</w:t>
            </w:r>
            <w:r>
              <w:rPr>
                <w:rFonts w:ascii="宋体" w:hAnsi="宋体" w:cs="宋体" w:eastAsia="宋体" w:hint="default"/>
                <w:sz w:val="18"/>
                <w:szCs w:val="18"/>
              </w:rPr>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境内自然人</w:t>
            </w:r>
            <w:r>
              <w:rPr>
                <w:rFonts w:ascii="宋体" w:hAnsi="宋体" w:cs="宋体" w:eastAsia="宋体" w:hint="default"/>
                <w:sz w:val="18"/>
                <w:szCs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pacing w:val="-4"/>
                <w:sz w:val="18"/>
              </w:rPr>
              <w:t>1.11%</w:t>
            </w:r>
            <w:r>
              <w:rPr>
                <w:rFonts w:ascii="Times New Roman"/>
                <w:sz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8"/>
              <w:jc w:val="right"/>
              <w:rPr>
                <w:rFonts w:ascii="Times New Roman" w:hAnsi="Times New Roman" w:cs="Times New Roman" w:eastAsia="Times New Roman" w:hint="default"/>
                <w:sz w:val="18"/>
                <w:szCs w:val="18"/>
              </w:rPr>
            </w:pPr>
            <w:r>
              <w:rPr>
                <w:rFonts w:ascii="Times New Roman"/>
                <w:spacing w:val="-1"/>
                <w:sz w:val="18"/>
              </w:rPr>
              <w:t>1,036,174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1,036,174</w:t>
            </w:r>
          </w:p>
        </w:tc>
        <w:tc>
          <w:tcPr>
            <w:tcW w:w="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0" w:type="dxa"/>
            <w:gridSpan w:val="3"/>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72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3"/>
              <w:ind w:left="105" w:right="98"/>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w w:val="101"/>
                <w:sz w:val="18"/>
                <w:szCs w:val="18"/>
              </w:rPr>
              <w:t>新股成为前</w:t>
            </w:r>
            <w:r>
              <w:rPr>
                <w:rFonts w:ascii="宋体" w:hAnsi="宋体" w:cs="宋体" w:eastAsia="宋体" w:hint="default"/>
                <w:spacing w:val="-54"/>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3"/>
                <w:w w:val="101"/>
                <w:sz w:val="18"/>
                <w:szCs w:val="18"/>
              </w:rPr>
              <w:t> </w:t>
            </w:r>
            <w:r>
              <w:rPr>
                <w:rFonts w:ascii="宋体" w:hAnsi="宋体" w:cs="宋体" w:eastAsia="宋体" w:hint="default"/>
                <w:spacing w:val="-14"/>
                <w:w w:val="101"/>
                <w:sz w:val="18"/>
                <w:szCs w:val="18"/>
              </w:rPr>
              <w:t>名股东的情况（如</w:t>
            </w:r>
            <w:r>
              <w:rPr>
                <w:rFonts w:ascii="宋体" w:hAnsi="宋体" w:cs="宋体" w:eastAsia="宋体" w:hint="default"/>
                <w:spacing w:val="-5"/>
                <w:w w:val="101"/>
                <w:sz w:val="18"/>
                <w:szCs w:val="18"/>
              </w:rPr>
              <w:t> </w:t>
            </w:r>
            <w:r>
              <w:rPr>
                <w:rFonts w:ascii="宋体" w:hAnsi="宋体" w:cs="宋体" w:eastAsia="宋体" w:hint="default"/>
                <w:spacing w:val="-16"/>
                <w:w w:val="101"/>
                <w:sz w:val="18"/>
                <w:szCs w:val="18"/>
              </w:rPr>
              <w:t>有）（参见注</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6845" w:type="dxa"/>
            <w:gridSpan w:val="1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715" w:hRule="exact"/>
        </w:trPr>
        <w:tc>
          <w:tcPr>
            <w:tcW w:w="272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266"/>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的说明</w:t>
            </w:r>
            <w:r>
              <w:rPr>
                <w:rFonts w:ascii="宋体" w:hAnsi="宋体" w:cs="宋体" w:eastAsia="宋体" w:hint="default"/>
                <w:sz w:val="18"/>
                <w:szCs w:val="18"/>
              </w:rPr>
            </w:r>
          </w:p>
        </w:tc>
        <w:tc>
          <w:tcPr>
            <w:tcW w:w="6845" w:type="dxa"/>
            <w:gridSpan w:val="1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费耀平、李杰、李建华、刘星沙和刘应龙五位股东为共同实际控制人及一致行动人</w:t>
            </w:r>
            <w:r>
              <w:rPr>
                <w:rFonts w:ascii="宋体" w:hAnsi="宋体" w:cs="宋体" w:eastAsia="宋体" w:hint="default"/>
                <w:sz w:val="18"/>
                <w:szCs w:val="18"/>
              </w:rPr>
            </w:r>
          </w:p>
        </w:tc>
      </w:tr>
      <w:tr>
        <w:trPr>
          <w:trHeight w:val="403" w:hRule="exact"/>
        </w:trPr>
        <w:tc>
          <w:tcPr>
            <w:tcW w:w="9566" w:type="dxa"/>
            <w:gridSpan w:val="1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403" w:hRule="exact"/>
        </w:trPr>
        <w:tc>
          <w:tcPr>
            <w:tcW w:w="2880"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6"/>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r>
              <w:rPr>
                <w:rFonts w:ascii="宋体" w:hAnsi="宋体" w:cs="宋体" w:eastAsia="宋体" w:hint="default"/>
                <w:sz w:val="18"/>
                <w:szCs w:val="18"/>
              </w:rPr>
            </w:r>
          </w:p>
        </w:tc>
        <w:tc>
          <w:tcPr>
            <w:tcW w:w="2698"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8" w:hRule="exact"/>
        </w:trPr>
        <w:tc>
          <w:tcPr>
            <w:tcW w:w="2880" w:type="dxa"/>
            <w:gridSpan w:val="5"/>
            <w:vMerge/>
            <w:tcBorders>
              <w:left w:val="single" w:sz="4" w:space="0" w:color="000000"/>
              <w:bottom w:val="single" w:sz="4" w:space="0" w:color="000000"/>
              <w:right w:val="single" w:sz="4" w:space="0" w:color="000000"/>
            </w:tcBorders>
            <w:shd w:val="clear" w:color="auto" w:fill="D4D4D4"/>
          </w:tcPr>
          <w:p>
            <w:pPr/>
          </w:p>
        </w:tc>
        <w:tc>
          <w:tcPr>
            <w:tcW w:w="3989" w:type="dxa"/>
            <w:gridSpan w:val="6"/>
            <w:vMerge/>
            <w:tcBorders>
              <w:left w:val="single" w:sz="4" w:space="0" w:color="000000"/>
              <w:bottom w:val="single" w:sz="4" w:space="0" w:color="000000"/>
              <w:right w:val="single" w:sz="4" w:space="0" w:color="000000"/>
            </w:tcBorders>
            <w:shd w:val="clear" w:color="auto" w:fill="D4D4D4"/>
          </w:tcPr>
          <w:p>
            <w:pP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魏巍</w:t>
            </w:r>
          </w:p>
        </w:tc>
        <w:tc>
          <w:tcPr>
            <w:tcW w:w="398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723,800</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52" w:right="0"/>
              <w:jc w:val="left"/>
              <w:rPr>
                <w:rFonts w:ascii="Times New Roman" w:hAnsi="Times New Roman" w:cs="Times New Roman" w:eastAsia="Times New Roman" w:hint="default"/>
                <w:sz w:val="18"/>
                <w:szCs w:val="18"/>
              </w:rPr>
            </w:pPr>
            <w:r>
              <w:rPr>
                <w:rFonts w:ascii="Times New Roman"/>
                <w:sz w:val="18"/>
              </w:rPr>
              <w:t>723,800</w:t>
            </w:r>
          </w:p>
        </w:tc>
      </w:tr>
    </w:tbl>
    <w:p>
      <w:pPr>
        <w:spacing w:after="0" w:line="240" w:lineRule="auto"/>
        <w:jc w:val="lef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880"/>
        <w:gridCol w:w="3989"/>
        <w:gridCol w:w="1349"/>
        <w:gridCol w:w="1349"/>
      </w:tblGrid>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李东璘</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546,100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546,100</w:t>
            </w:r>
          </w:p>
        </w:tc>
      </w:tr>
      <w:tr>
        <w:trPr>
          <w:trHeight w:val="39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毛幼聪</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524,600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524,600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魏娟意</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517,900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517,900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周平英</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219,439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219,439</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陈碧雯</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196,489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196,489</w:t>
            </w:r>
          </w:p>
        </w:tc>
      </w:tr>
      <w:tr>
        <w:trPr>
          <w:trHeight w:val="39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董侥珍</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145,887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145,887</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沈锐进</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3"/>
                <w:sz w:val="18"/>
              </w:rPr>
              <w:t>119,900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3"/>
                <w:sz w:val="18"/>
              </w:rPr>
              <w:t>119,900</w:t>
            </w:r>
            <w:r>
              <w:rPr>
                <w:rFonts w:ascii="Times New Roman"/>
                <w:sz w:val="18"/>
              </w:rPr>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范祖康</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111,100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111,100</w:t>
            </w:r>
          </w:p>
        </w:tc>
      </w:tr>
      <w:tr>
        <w:trPr>
          <w:trHeight w:val="40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许喆</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78,500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78,500</w:t>
            </w:r>
          </w:p>
        </w:tc>
      </w:tr>
      <w:tr>
        <w:trPr>
          <w:trHeight w:val="1337"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4" w:lineRule="auto" w:before="63"/>
              <w:ind w:left="105" w:right="14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名股东之间关联关系或一致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行动的说明</w:t>
            </w:r>
            <w:r>
              <w:rPr>
                <w:rFonts w:ascii="宋体" w:hAnsi="宋体" w:cs="宋体" w:eastAsia="宋体" w:hint="default"/>
                <w:sz w:val="18"/>
                <w:szCs w:val="18"/>
              </w:rPr>
            </w:r>
          </w:p>
        </w:tc>
        <w:tc>
          <w:tcPr>
            <w:tcW w:w="668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名无限售流通股股东之间是否存在关联关系或一致行动的情况</w:t>
            </w:r>
            <w:r>
              <w:rPr>
                <w:rFonts w:ascii="宋体" w:hAnsi="宋体" w:cs="宋体" w:eastAsia="宋体" w:hint="default"/>
                <w:sz w:val="18"/>
                <w:szCs w:val="18"/>
              </w:rPr>
            </w:r>
          </w:p>
        </w:tc>
      </w:tr>
    </w:tbl>
    <w:p>
      <w:pPr>
        <w:pStyle w:val="BodyText"/>
        <w:spacing w:line="240" w:lineRule="auto" w:before="56"/>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spacing w:val="-3"/>
        </w:rPr>
        <w:t>名无限售条件普通股股东在报告期内是否进行约定购回交易</w:t>
      </w:r>
      <w:r>
        <w:rPr/>
      </w:r>
    </w:p>
    <w:p>
      <w:pPr>
        <w:pStyle w:val="BodyText"/>
        <w:spacing w:line="240" w:lineRule="auto" w:before="101"/>
        <w:ind w:right="0"/>
        <w:jc w:val="left"/>
      </w:pPr>
      <w:r>
        <w:rPr/>
        <w:t>□ 是 √</w:t>
      </w:r>
      <w:r>
        <w:rPr>
          <w:spacing w:val="2"/>
        </w:rPr>
        <w:t> </w:t>
      </w:r>
      <w:r>
        <w:rPr/>
        <w:t>否</w:t>
      </w:r>
    </w:p>
    <w:p>
      <w:pPr>
        <w:pStyle w:val="BodyText"/>
        <w:spacing w:line="240" w:lineRule="auto" w:before="119"/>
        <w:ind w:left="153"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spacing w:val="-3"/>
        </w:rPr>
        <w:t>名无限售条件普通股股东在报告期内未进行约定购回交易。</w:t>
      </w:r>
      <w:r>
        <w:rPr/>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689"/>
        <w:jc w:val="left"/>
      </w:pPr>
      <w:r>
        <w:rPr>
          <w:spacing w:val="-3"/>
        </w:rPr>
        <w:t>控股股东性质：自然人控股</w:t>
      </w:r>
      <w:r>
        <w:rPr>
          <w:spacing w:val="-51"/>
        </w:rPr>
        <w:t> </w:t>
      </w:r>
      <w:r>
        <w:rPr>
          <w:spacing w:val="-51"/>
        </w:rPr>
      </w:r>
      <w:r>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0"/>
        <w:gridCol w:w="4118"/>
      </w:tblGrid>
      <w:tr>
        <w:trPr>
          <w:trHeight w:val="398"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796"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李建华</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3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刘应龙</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20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r>
              <w:rPr>
                <w:rFonts w:ascii="宋体" w:hAnsi="宋体" w:cs="宋体" w:eastAsia="宋体" w:hint="default"/>
                <w:sz w:val="18"/>
                <w:szCs w:val="18"/>
              </w:rPr>
            </w:r>
          </w:p>
        </w:tc>
        <w:tc>
          <w:tcPr>
            <w:tcW w:w="6149"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pacing w:val="-3"/>
                <w:sz w:val="18"/>
                <w:szCs w:val="18"/>
              </w:rPr>
              <w:t>费耀平任公司董事长，李杰任公司董事兼总经理，李建华任公司董事兼副总</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3"/>
                <w:sz w:val="18"/>
                <w:szCs w:val="18"/>
              </w:rPr>
              <w:t>经理，刘应龙任公司董事兼副总经理，刘星沙任公司副总经理</w:t>
            </w:r>
            <w:r>
              <w:rPr>
                <w:rFonts w:ascii="宋体" w:hAnsi="宋体" w:cs="宋体" w:eastAsia="宋体" w:hint="default"/>
                <w:sz w:val="18"/>
                <w:szCs w:val="18"/>
              </w:rPr>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242"/>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公司的股权情况</w:t>
            </w:r>
            <w:r>
              <w:rPr>
                <w:rFonts w:ascii="宋体" w:hAnsi="宋体" w:cs="宋体" w:eastAsia="宋体" w:hint="default"/>
                <w:sz w:val="18"/>
                <w:szCs w:val="18"/>
              </w:rPr>
            </w:r>
          </w:p>
        </w:tc>
        <w:tc>
          <w:tcPr>
            <w:tcW w:w="6149"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bl>
    <w:p>
      <w:pPr>
        <w:pStyle w:val="BodyText"/>
        <w:spacing w:line="240" w:lineRule="auto" w:before="70"/>
        <w:ind w:right="0"/>
        <w:jc w:val="left"/>
      </w:pPr>
      <w:r>
        <w:rPr/>
        <w:t>控股股东报告期内变更</w:t>
      </w:r>
    </w:p>
    <w:p>
      <w:pPr>
        <w:pStyle w:val="BodyText"/>
        <w:spacing w:line="362" w:lineRule="auto" w:before="115"/>
        <w:ind w:right="6689"/>
        <w:jc w:val="left"/>
      </w:pPr>
      <w:r>
        <w:rPr/>
        <w:t>□ </w:t>
      </w:r>
      <w:r>
        <w:rPr>
          <w:spacing w:val="-3"/>
        </w:rPr>
        <w:t>适用 </w:t>
      </w:r>
      <w:r>
        <w:rPr/>
        <w:t>√ 不适用</w:t>
      </w:r>
      <w:r>
        <w:rPr>
          <w:spacing w:val="-77"/>
        </w:rPr>
        <w:t> </w:t>
      </w:r>
      <w:r>
        <w:rPr>
          <w:spacing w:val="-77"/>
        </w:rPr>
      </w:r>
      <w:r>
        <w:rPr>
          <w:spacing w:val="-3"/>
        </w:rPr>
        <w:t>公司报告期控股股东未发生变更。</w:t>
      </w:r>
      <w:r>
        <w:rPr/>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实际控制人性质：境内自然人</w:t>
      </w:r>
      <w:r>
        <w:rPr/>
      </w:r>
    </w:p>
    <w:p>
      <w:pPr>
        <w:spacing w:after="0" w:line="240" w:lineRule="auto"/>
        <w:jc w:val="left"/>
        <w:sectPr>
          <w:pgSz w:w="11910" w:h="16840"/>
          <w:pgMar w:header="784" w:footer="1027" w:top="1100" w:bottom="1220" w:left="980" w:right="98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spacing w:val="-3"/>
        </w:rPr>
        <w:t>实际控制人类型：自然人</w:t>
      </w:r>
      <w:r>
        <w:rPr/>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36"/>
        <w:gridCol w:w="2054"/>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36"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33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李建华</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刘应龙</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刘星沙</w:t>
            </w:r>
            <w:r>
              <w:rPr>
                <w:rFonts w:ascii="宋体" w:hAnsi="宋体" w:cs="宋体" w:eastAsia="宋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r>
              <w:rPr>
                <w:rFonts w:ascii="宋体" w:hAnsi="宋体" w:cs="宋体" w:eastAsia="宋体" w:hint="default"/>
                <w:sz w:val="18"/>
                <w:szCs w:val="18"/>
              </w:rPr>
            </w:r>
          </w:p>
        </w:tc>
        <w:tc>
          <w:tcPr>
            <w:tcW w:w="623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5" w:right="169"/>
              <w:jc w:val="left"/>
              <w:rPr>
                <w:rFonts w:ascii="宋体" w:hAnsi="宋体" w:cs="宋体" w:eastAsia="宋体" w:hint="default"/>
                <w:sz w:val="18"/>
                <w:szCs w:val="18"/>
              </w:rPr>
            </w:pPr>
            <w:r>
              <w:rPr>
                <w:rFonts w:ascii="宋体" w:hAnsi="宋体" w:cs="宋体" w:eastAsia="宋体" w:hint="default"/>
                <w:spacing w:val="-3"/>
                <w:sz w:val="18"/>
                <w:szCs w:val="18"/>
              </w:rPr>
              <w:t>费耀平任公司董事长，李杰任公司董事兼总经理，李建华任公司董事兼副总</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经理，刘应龙任公司董事兼副总经理，刘星沙任公司副总经理</w:t>
            </w:r>
            <w:r>
              <w:rPr>
                <w:rFonts w:ascii="宋体" w:hAnsi="宋体" w:cs="宋体" w:eastAsia="宋体" w:hint="default"/>
                <w:sz w:val="18"/>
                <w:szCs w:val="18"/>
              </w:rPr>
            </w:r>
          </w:p>
        </w:tc>
      </w:tr>
      <w:tr>
        <w:trPr>
          <w:trHeight w:val="398"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年曾控股的境内外上市公司情况</w:t>
            </w:r>
          </w:p>
        </w:tc>
        <w:tc>
          <w:tcPr>
            <w:tcW w:w="6230"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bl>
    <w:p>
      <w:pPr>
        <w:pStyle w:val="BodyText"/>
        <w:spacing w:line="240" w:lineRule="auto" w:before="53"/>
        <w:ind w:right="0"/>
        <w:jc w:val="left"/>
      </w:pPr>
      <w:r>
        <w:rPr>
          <w:spacing w:val="-3"/>
        </w:rPr>
        <w:t>实际控制人报告期内变更</w:t>
      </w:r>
      <w:r>
        <w:rPr/>
      </w:r>
    </w:p>
    <w:p>
      <w:pPr>
        <w:pStyle w:val="BodyText"/>
        <w:spacing w:line="360" w:lineRule="auto" w:before="119"/>
        <w:ind w:right="5459"/>
        <w:jc w:val="left"/>
      </w:pPr>
      <w:r>
        <w:rPr/>
        <w:t>□ </w:t>
      </w:r>
      <w:r>
        <w:rPr>
          <w:spacing w:val="-3"/>
        </w:rPr>
        <w:t>适用 </w:t>
      </w:r>
      <w:r>
        <w:rPr/>
        <w:t>√ 不适用</w:t>
      </w:r>
      <w:r>
        <w:rPr>
          <w:spacing w:val="-77"/>
        </w:rPr>
        <w:t> </w:t>
      </w:r>
      <w:r>
        <w:rPr>
          <w:spacing w:val="-77"/>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10"/>
        <w:rPr>
          <w:rFonts w:ascii="宋体" w:hAnsi="宋体" w:cs="宋体" w:eastAsia="宋体" w:hint="default"/>
          <w:sz w:val="13"/>
          <w:szCs w:val="13"/>
        </w:rPr>
      </w:pPr>
    </w:p>
    <w:p>
      <w:pPr>
        <w:spacing w:line="4665" w:lineRule="exact"/>
        <w:ind w:left="1365"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589781" cy="29622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589781" cy="2962275"/>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5"/>
        <w:rPr>
          <w:rFonts w:ascii="宋体" w:hAnsi="宋体" w:cs="宋体" w:eastAsia="宋体" w:hint="default"/>
          <w:sz w:val="16"/>
          <w:szCs w:val="16"/>
        </w:rPr>
      </w:pPr>
    </w:p>
    <w:p>
      <w:pPr>
        <w:pStyle w:val="BodyText"/>
        <w:spacing w:line="240" w:lineRule="auto"/>
        <w:ind w:right="0"/>
        <w:jc w:val="left"/>
      </w:pPr>
      <w:r>
        <w:rPr>
          <w:spacing w:val="-3"/>
        </w:rPr>
        <w:t>实际控制人通过信托或其他资产管理方式控制公司</w:t>
      </w:r>
    </w:p>
    <w:p>
      <w:pPr>
        <w:spacing w:line="240" w:lineRule="auto" w:before="8"/>
        <w:rPr>
          <w:rFonts w:ascii="宋体" w:hAnsi="宋体" w:cs="宋体" w:eastAsia="宋体" w:hint="default"/>
          <w:sz w:val="21"/>
          <w:szCs w:val="21"/>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82" w:right="0"/>
        <w:jc w:val="left"/>
        <w:rPr>
          <w:b w:val="0"/>
          <w:bCs w:val="0"/>
        </w:rPr>
      </w:pPr>
      <w:bookmarkStart w:name="第七节 优先股相关情况" w:id="116"/>
      <w:bookmarkEnd w:id="116"/>
      <w:r>
        <w:rPr>
          <w:b w:val="0"/>
          <w:bCs w:val="0"/>
        </w:rPr>
      </w:r>
      <w:bookmarkStart w:name="_bookmark5" w:id="117"/>
      <w:bookmarkEnd w:id="117"/>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6"/>
        <w:ind w:right="6689" w:hanging="1"/>
        <w:jc w:val="left"/>
      </w:pPr>
      <w:r>
        <w:rPr/>
        <w:t>□ </w:t>
      </w:r>
      <w:r>
        <w:rPr>
          <w:spacing w:val="-3"/>
        </w:rPr>
        <w:t>适用 </w:t>
      </w:r>
      <w:r>
        <w:rPr/>
        <w:t>√ 不适用</w:t>
      </w:r>
      <w:r>
        <w:rPr>
          <w:spacing w:val="-77"/>
        </w:rPr>
        <w:t> </w:t>
      </w:r>
      <w:r>
        <w:rPr>
          <w:spacing w:val="-77"/>
        </w:rPr>
      </w:r>
      <w:r>
        <w:rPr>
          <w:spacing w:val="-3"/>
        </w:rPr>
        <w:t>报告期公司不存在优先股。</w:t>
      </w:r>
    </w:p>
    <w:p>
      <w:pPr>
        <w:spacing w:after="0" w:line="357" w:lineRule="auto"/>
        <w:jc w:val="left"/>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679" w:right="0"/>
        <w:jc w:val="left"/>
        <w:rPr>
          <w:b w:val="0"/>
          <w:bCs w:val="0"/>
        </w:rPr>
      </w:pPr>
      <w:bookmarkStart w:name="第八节 董事、监事、高级管理人员和员工情况" w:id="118"/>
      <w:bookmarkEnd w:id="118"/>
      <w:r>
        <w:rPr>
          <w:b w:val="0"/>
          <w:bCs w:val="0"/>
        </w:rPr>
      </w:r>
      <w:bookmarkStart w:name="_bookmark6" w:id="119"/>
      <w:bookmarkEnd w:id="119"/>
      <w:r>
        <w:rPr>
          <w:b w:val="0"/>
          <w:bCs w:val="0"/>
        </w:rPr>
      </w:r>
      <w:r>
        <w:rPr/>
        <w:t>第八节</w:t>
      </w:r>
      <w:r>
        <w:rPr>
          <w:spacing w:val="-2"/>
        </w:rPr>
        <w:t> </w:t>
      </w:r>
      <w:r>
        <w:rPr/>
        <w:t>董事、监事、高级管理人员和员工情况</w:t>
      </w:r>
      <w:r>
        <w:rPr>
          <w:b w:val="0"/>
          <w:bCs w:val="0"/>
        </w:rPr>
      </w:r>
    </w:p>
    <w:p>
      <w:pPr>
        <w:spacing w:line="240" w:lineRule="auto" w:before="3"/>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816"/>
        <w:gridCol w:w="778"/>
        <w:gridCol w:w="734"/>
        <w:gridCol w:w="586"/>
        <w:gridCol w:w="600"/>
        <w:gridCol w:w="984"/>
        <w:gridCol w:w="1104"/>
        <w:gridCol w:w="994"/>
        <w:gridCol w:w="696"/>
        <w:gridCol w:w="696"/>
        <w:gridCol w:w="600"/>
        <w:gridCol w:w="984"/>
      </w:tblGrid>
      <w:tr>
        <w:trPr>
          <w:trHeight w:val="1747" w:hRule="exact"/>
        </w:trPr>
        <w:tc>
          <w:tcPr>
            <w:tcW w:w="8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年龄</w:t>
            </w:r>
          </w:p>
        </w:tc>
        <w:tc>
          <w:tcPr>
            <w:tcW w:w="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21" w:lineRule="auto"/>
              <w:ind w:left="307" w:right="11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1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21" w:lineRule="auto"/>
              <w:ind w:left="364" w:right="180"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21" w:lineRule="auto"/>
              <w:ind w:left="134" w:right="122"/>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63" w:right="156"/>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增持</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数量</w:t>
            </w:r>
          </w:p>
          <w:p>
            <w:pPr>
              <w:pStyle w:val="TableParagraph"/>
              <w:spacing w:line="240" w:lineRule="auto" w:before="23"/>
              <w:ind w:left="10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1"/>
              <w:ind w:left="163" w:right="156"/>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减持</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数量</w:t>
            </w:r>
          </w:p>
          <w:p>
            <w:pPr>
              <w:pStyle w:val="TableParagraph"/>
              <w:spacing w:line="240" w:lineRule="auto" w:before="23"/>
              <w:ind w:left="105" w:right="0"/>
              <w:jc w:val="both"/>
              <w:rPr>
                <w:rFonts w:ascii="宋体" w:hAnsi="宋体" w:cs="宋体" w:eastAsia="宋体" w:hint="default"/>
                <w:sz w:val="18"/>
                <w:szCs w:val="18"/>
              </w:rPr>
            </w:pPr>
            <w:r>
              <w:rPr>
                <w:rFonts w:ascii="宋体" w:hAnsi="宋体" w:cs="宋体" w:eastAsia="宋体" w:hint="default"/>
                <w:spacing w:val="-4"/>
                <w:sz w:val="18"/>
                <w:szCs w:val="18"/>
              </w:rPr>
              <w:t>（股）</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101"/>
              <w:ind w:left="115" w:right="108"/>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增减</w:t>
            </w:r>
            <w:r>
              <w:rPr>
                <w:rFonts w:ascii="宋体" w:hAnsi="宋体" w:cs="宋体" w:eastAsia="宋体" w:hint="default"/>
                <w:spacing w:val="-86"/>
                <w:sz w:val="18"/>
                <w:szCs w:val="18"/>
              </w:rPr>
              <w:t> </w:t>
            </w:r>
            <w:r>
              <w:rPr>
                <w:rFonts w:ascii="宋体" w:hAnsi="宋体" w:cs="宋体" w:eastAsia="宋体" w:hint="default"/>
                <w:sz w:val="18"/>
                <w:szCs w:val="18"/>
              </w:rPr>
              <w:t>变动</w:t>
            </w:r>
          </w:p>
          <w:p>
            <w:pPr>
              <w:pStyle w:val="TableParagraph"/>
              <w:spacing w:line="240" w:lineRule="auto" w:before="20"/>
              <w:ind w:left="115"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81"/>
              <w:ind w:left="4" w:right="0"/>
              <w:jc w:val="center"/>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21" w:lineRule="auto"/>
              <w:ind w:left="129" w:right="117"/>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710"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4"/>
                <w:sz w:val="18"/>
                <w:szCs w:val="18"/>
              </w:rPr>
              <w:t>董事长</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8,181,885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8,181,885</w:t>
            </w: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1"/>
                <w:sz w:val="18"/>
                <w:szCs w:val="18"/>
              </w:rPr>
              <w:t> </w:t>
            </w:r>
            <w:r>
              <w:rPr>
                <w:rFonts w:ascii="宋体" w:hAnsi="宋体" w:cs="宋体" w:eastAsia="宋体" w:hint="default"/>
                <w:sz w:val="18"/>
                <w:szCs w:val="18"/>
              </w:rPr>
              <w:t>杰</w:t>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53"/>
              <w:ind w:left="100" w:right="127"/>
              <w:jc w:val="left"/>
              <w:rPr>
                <w:rFonts w:ascii="宋体" w:hAnsi="宋体" w:cs="宋体" w:eastAsia="宋体" w:hint="default"/>
                <w:sz w:val="18"/>
                <w:szCs w:val="18"/>
              </w:rPr>
            </w:pPr>
            <w:r>
              <w:rPr>
                <w:rFonts w:ascii="宋体" w:hAnsi="宋体" w:cs="宋体" w:eastAsia="宋体" w:hint="default"/>
                <w:spacing w:val="-4"/>
                <w:sz w:val="18"/>
                <w:szCs w:val="18"/>
              </w:rPr>
              <w:t>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总经理</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8,062,933</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8,062,933</w:t>
            </w:r>
          </w:p>
        </w:tc>
      </w:tr>
      <w:tr>
        <w:trPr>
          <w:trHeight w:val="1027"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55"/>
              <w:jc w:val="center"/>
              <w:rPr>
                <w:rFonts w:ascii="宋体" w:hAnsi="宋体" w:cs="宋体" w:eastAsia="宋体" w:hint="default"/>
                <w:sz w:val="18"/>
                <w:szCs w:val="18"/>
              </w:rPr>
            </w:pPr>
            <w:r>
              <w:rPr>
                <w:rFonts w:ascii="宋体" w:hAnsi="宋体" w:cs="宋体" w:eastAsia="宋体" w:hint="default"/>
                <w:spacing w:val="-4"/>
                <w:sz w:val="18"/>
                <w:szCs w:val="18"/>
              </w:rPr>
              <w:t>李建华</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both"/>
              <w:rPr>
                <w:rFonts w:ascii="宋体" w:hAnsi="宋体" w:cs="宋体" w:eastAsia="宋体" w:hint="default"/>
                <w:sz w:val="18"/>
                <w:szCs w:val="18"/>
              </w:rPr>
            </w:pPr>
            <w:r>
              <w:rPr>
                <w:rFonts w:ascii="宋体" w:hAnsi="宋体" w:cs="宋体" w:eastAsia="宋体" w:hint="default"/>
                <w:spacing w:val="-4"/>
                <w:sz w:val="18"/>
                <w:szCs w:val="18"/>
              </w:rPr>
              <w:t>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副总经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7,249,516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7,249,516</w:t>
            </w:r>
          </w:p>
        </w:tc>
      </w:tr>
      <w:tr>
        <w:trPr>
          <w:trHeight w:val="1027"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55"/>
              <w:jc w:val="center"/>
              <w:rPr>
                <w:rFonts w:ascii="宋体" w:hAnsi="宋体" w:cs="宋体" w:eastAsia="宋体" w:hint="default"/>
                <w:sz w:val="18"/>
                <w:szCs w:val="18"/>
              </w:rPr>
            </w:pPr>
            <w:r>
              <w:rPr>
                <w:rFonts w:ascii="宋体" w:hAnsi="宋体" w:cs="宋体" w:eastAsia="宋体" w:hint="default"/>
                <w:spacing w:val="-4"/>
                <w:sz w:val="18"/>
                <w:szCs w:val="18"/>
              </w:rPr>
              <w:t>刘应龙</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both"/>
              <w:rPr>
                <w:rFonts w:ascii="宋体" w:hAnsi="宋体" w:cs="宋体" w:eastAsia="宋体" w:hint="default"/>
                <w:sz w:val="18"/>
                <w:szCs w:val="18"/>
              </w:rPr>
            </w:pPr>
            <w:r>
              <w:rPr>
                <w:rFonts w:ascii="宋体" w:hAnsi="宋体" w:cs="宋体" w:eastAsia="宋体" w:hint="default"/>
                <w:spacing w:val="-4"/>
                <w:sz w:val="18"/>
                <w:szCs w:val="18"/>
              </w:rPr>
              <w:t>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副总经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4,345,497</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4,345,497</w:t>
            </w:r>
          </w:p>
        </w:tc>
      </w:tr>
      <w:tr>
        <w:trPr>
          <w:trHeight w:val="710"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奕</w:t>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1"/>
                <w:sz w:val="18"/>
                <w:szCs w:val="18"/>
              </w:rPr>
              <w:t> </w:t>
            </w:r>
            <w:r>
              <w:rPr>
                <w:rFonts w:ascii="宋体" w:hAnsi="宋体" w:cs="宋体" w:eastAsia="宋体" w:hint="default"/>
                <w:sz w:val="18"/>
                <w:szCs w:val="18"/>
              </w:rPr>
              <w:t>聪</w:t>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刘定华</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left"/>
              <w:rPr>
                <w:rFonts w:ascii="宋体" w:hAnsi="宋体" w:cs="宋体" w:eastAsia="宋体" w:hint="default"/>
                <w:sz w:val="18"/>
                <w:szCs w:val="18"/>
              </w:rPr>
            </w:pPr>
            <w:r>
              <w:rPr>
                <w:rFonts w:ascii="宋体" w:hAnsi="宋体" w:cs="宋体" w:eastAsia="宋体" w:hint="default"/>
                <w:spacing w:val="-4"/>
                <w:sz w:val="18"/>
                <w:szCs w:val="18"/>
              </w:rPr>
              <w:t>独立董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73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left"/>
              <w:rPr>
                <w:rFonts w:ascii="宋体" w:hAnsi="宋体" w:cs="宋体" w:eastAsia="宋体" w:hint="default"/>
                <w:sz w:val="18"/>
                <w:szCs w:val="18"/>
              </w:rPr>
            </w:pPr>
            <w:r>
              <w:rPr>
                <w:rFonts w:ascii="宋体" w:hAnsi="宋体" w:cs="宋体" w:eastAsia="宋体" w:hint="default"/>
                <w:spacing w:val="-4"/>
                <w:sz w:val="18"/>
                <w:szCs w:val="18"/>
              </w:rPr>
              <w:t>独立董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饶卫雄</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left"/>
              <w:rPr>
                <w:rFonts w:ascii="宋体" w:hAnsi="宋体" w:cs="宋体" w:eastAsia="宋体" w:hint="default"/>
                <w:sz w:val="18"/>
                <w:szCs w:val="18"/>
              </w:rPr>
            </w:pPr>
            <w:r>
              <w:rPr>
                <w:rFonts w:ascii="宋体" w:hAnsi="宋体" w:cs="宋体" w:eastAsia="宋体" w:hint="default"/>
                <w:spacing w:val="-4"/>
                <w:sz w:val="18"/>
                <w:szCs w:val="18"/>
              </w:rPr>
              <w:t>独立董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谢石伟</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3"/>
              <w:ind w:left="100" w:right="127"/>
              <w:jc w:val="both"/>
              <w:rPr>
                <w:rFonts w:ascii="宋体" w:hAnsi="宋体" w:cs="宋体" w:eastAsia="宋体" w:hint="default"/>
                <w:sz w:val="18"/>
                <w:szCs w:val="18"/>
              </w:rPr>
            </w:pPr>
            <w:r>
              <w:rPr>
                <w:rFonts w:ascii="宋体" w:hAnsi="宋体" w:cs="宋体" w:eastAsia="宋体" w:hint="default"/>
                <w:spacing w:val="-4"/>
                <w:sz w:val="18"/>
                <w:szCs w:val="18"/>
              </w:rPr>
              <w:t>监事会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主席、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营销管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理部经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197,500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197,500</w:t>
            </w: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陈佶骏</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130,000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130,000</w:t>
            </w:r>
          </w:p>
        </w:tc>
      </w:tr>
    </w:tbl>
    <w:p>
      <w:pPr>
        <w:spacing w:after="0" w:line="240" w:lineRule="auto"/>
        <w:jc w:val="center"/>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16"/>
        <w:gridCol w:w="778"/>
        <w:gridCol w:w="734"/>
        <w:gridCol w:w="586"/>
        <w:gridCol w:w="600"/>
        <w:gridCol w:w="984"/>
        <w:gridCol w:w="1104"/>
        <w:gridCol w:w="994"/>
        <w:gridCol w:w="696"/>
        <w:gridCol w:w="696"/>
        <w:gridCol w:w="600"/>
        <w:gridCol w:w="984"/>
      </w:tblGrid>
      <w:tr>
        <w:trPr>
          <w:trHeight w:val="1651"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钟 </w:t>
            </w:r>
            <w:r>
              <w:rPr>
                <w:rFonts w:ascii="宋体" w:hAnsi="宋体" w:cs="宋体" w:eastAsia="宋体" w:hint="default"/>
                <w:spacing w:val="1"/>
                <w:sz w:val="18"/>
                <w:szCs w:val="18"/>
              </w:rPr>
              <w:t> </w:t>
            </w:r>
            <w:r>
              <w:rPr>
                <w:rFonts w:ascii="宋体" w:hAnsi="宋体" w:cs="宋体" w:eastAsia="宋体" w:hint="default"/>
                <w:sz w:val="18"/>
                <w:szCs w:val="18"/>
              </w:rPr>
              <w:t>莲</w:t>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left"/>
              <w:rPr>
                <w:rFonts w:ascii="宋体" w:hAnsi="宋体" w:cs="宋体" w:eastAsia="宋体" w:hint="default"/>
                <w:sz w:val="18"/>
                <w:szCs w:val="18"/>
              </w:rPr>
            </w:pPr>
            <w:r>
              <w:rPr>
                <w:rFonts w:ascii="宋体" w:hAnsi="宋体" w:cs="宋体" w:eastAsia="宋体" w:hint="default"/>
                <w:spacing w:val="-4"/>
                <w:sz w:val="18"/>
                <w:szCs w:val="18"/>
              </w:rPr>
              <w:t>职工代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表监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事、人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力资源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部主管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1958"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pacing w:val="-4"/>
                <w:sz w:val="18"/>
                <w:szCs w:val="18"/>
              </w:rPr>
              <w:t>李志峰</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left"/>
              <w:rPr>
                <w:rFonts w:ascii="宋体" w:hAnsi="宋体" w:cs="宋体" w:eastAsia="宋体" w:hint="default"/>
                <w:sz w:val="18"/>
                <w:szCs w:val="18"/>
              </w:rPr>
            </w:pPr>
            <w:r>
              <w:rPr>
                <w:rFonts w:ascii="宋体" w:hAnsi="宋体" w:cs="宋体" w:eastAsia="宋体" w:hint="default"/>
                <w:spacing w:val="-4"/>
                <w:sz w:val="18"/>
                <w:szCs w:val="18"/>
              </w:rPr>
              <w:t>职工代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表监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事、电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子政务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事业部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副经理</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刘星沙</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8"/>
              <w:ind w:left="100" w:right="127"/>
              <w:jc w:val="left"/>
              <w:rPr>
                <w:rFonts w:ascii="宋体" w:hAnsi="宋体" w:cs="宋体" w:eastAsia="宋体" w:hint="default"/>
                <w:sz w:val="18"/>
                <w:szCs w:val="18"/>
              </w:rPr>
            </w:pPr>
            <w:r>
              <w:rPr>
                <w:rFonts w:ascii="宋体" w:hAnsi="宋体" w:cs="宋体" w:eastAsia="宋体" w:hint="default"/>
                <w:spacing w:val="-4"/>
                <w:sz w:val="18"/>
                <w:szCs w:val="18"/>
              </w:rPr>
              <w:t>副总经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6,861,398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6,861,398</w:t>
            </w: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罗昔军</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53"/>
              <w:ind w:left="100" w:right="127"/>
              <w:jc w:val="left"/>
              <w:rPr>
                <w:rFonts w:ascii="宋体" w:hAnsi="宋体" w:cs="宋体" w:eastAsia="宋体" w:hint="default"/>
                <w:sz w:val="18"/>
                <w:szCs w:val="18"/>
              </w:rPr>
            </w:pPr>
            <w:r>
              <w:rPr>
                <w:rFonts w:ascii="宋体" w:hAnsi="宋体" w:cs="宋体" w:eastAsia="宋体" w:hint="default"/>
                <w:spacing w:val="-4"/>
                <w:sz w:val="18"/>
                <w:szCs w:val="18"/>
              </w:rPr>
              <w:t>副总经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792,290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792,290</w:t>
            </w:r>
          </w:p>
        </w:tc>
      </w:tr>
      <w:tr>
        <w:trPr>
          <w:trHeight w:val="1339" w:hRule="exact"/>
        </w:trPr>
        <w:tc>
          <w:tcPr>
            <w:tcW w:w="8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金卓钧</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0" w:right="127"/>
              <w:jc w:val="both"/>
              <w:rPr>
                <w:rFonts w:ascii="宋体" w:hAnsi="宋体" w:cs="宋体" w:eastAsia="宋体" w:hint="default"/>
                <w:sz w:val="18"/>
                <w:szCs w:val="18"/>
              </w:rPr>
            </w:pPr>
            <w:r>
              <w:rPr>
                <w:rFonts w:ascii="宋体" w:hAnsi="宋体" w:cs="宋体" w:eastAsia="宋体" w:hint="default"/>
                <w:spacing w:val="-4"/>
                <w:sz w:val="18"/>
                <w:szCs w:val="18"/>
              </w:rPr>
              <w:t>财务总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监、董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事会秘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156,000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156,000</w:t>
            </w: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35,977,01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35,977,01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6663"/>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6663"/>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2" w:right="0"/>
        <w:jc w:val="left"/>
      </w:pPr>
      <w:r>
        <w:rPr>
          <w:spacing w:val="-3"/>
        </w:rPr>
        <w:t>公司现任董事、监事、高级管理人员专业背景、主要工作经历以及目前在公司的主要职责</w:t>
      </w:r>
    </w:p>
    <w:p>
      <w:pPr>
        <w:pStyle w:val="Heading6"/>
        <w:spacing w:line="240" w:lineRule="auto" w:before="110"/>
        <w:ind w:right="6663"/>
        <w:jc w:val="left"/>
        <w:rPr>
          <w:b w:val="0"/>
          <w:bCs w:val="0"/>
        </w:rPr>
      </w:pPr>
      <w:r>
        <w:rPr/>
        <w:t>（一）董事会成员</w:t>
      </w:r>
      <w:r>
        <w:rPr>
          <w:b w:val="0"/>
          <w:bCs w:val="0"/>
        </w:rPr>
      </w:r>
    </w:p>
    <w:p>
      <w:pPr>
        <w:pStyle w:val="BodyText"/>
        <w:spacing w:line="300" w:lineRule="auto" w:before="76"/>
        <w:ind w:right="195" w:firstLine="360"/>
        <w:jc w:val="both"/>
      </w:pPr>
      <w:r>
        <w:rPr>
          <w:rFonts w:ascii="Times New Roman" w:hAnsi="Times New Roman" w:cs="Times New Roman" w:eastAsia="Times New Roman" w:hint="default"/>
          <w:spacing w:val="-3"/>
        </w:rPr>
        <w:t>1</w:t>
      </w:r>
      <w:r>
        <w:rPr>
          <w:spacing w:val="-3"/>
        </w:rPr>
        <w:t>、费耀平先生，</w:t>
      </w:r>
      <w:r>
        <w:rPr>
          <w:rFonts w:ascii="Times New Roman" w:hAnsi="Times New Roman" w:cs="Times New Roman" w:eastAsia="Times New Roman" w:hint="default"/>
          <w:spacing w:val="-3"/>
        </w:rPr>
        <w:t>1959</w:t>
      </w:r>
      <w:r>
        <w:rPr>
          <w:spacing w:val="-3"/>
        </w:rPr>
        <w:t>年出生，中国国籍，无境外永久居留权，硕士学历。曾任长沙铁道学院信息技术研究中心主任、</w:t>
      </w:r>
      <w:r>
        <w:rPr>
          <w:spacing w:val="-5"/>
          <w:w w:val="101"/>
        </w:rPr>
        <w:t> </w:t>
      </w:r>
      <w:r>
        <w:rPr>
          <w:spacing w:val="-3"/>
        </w:rPr>
        <w:t>副教授、教授，长沙铁道学院科技实业公司法定代表人、总经理，科创有限董事长。</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7</w:t>
      </w:r>
      <w:r>
        <w:rPr>
          <w:spacing w:val="-3"/>
        </w:rPr>
        <w:t>月起至今任本公司董事长，现</w:t>
      </w:r>
      <w:r>
        <w:rPr>
          <w:spacing w:val="74"/>
        </w:rPr>
        <w:t> </w:t>
      </w:r>
      <w:r>
        <w:rPr>
          <w:spacing w:val="74"/>
        </w:rPr>
      </w:r>
      <w:r>
        <w:rPr>
          <w:spacing w:val="-3"/>
        </w:rPr>
        <w:t>兼任科创鑫源董事长、永兴科创执行董事及科创集成执行董事。</w:t>
      </w:r>
      <w:r>
        <w:rPr/>
      </w:r>
    </w:p>
    <w:p>
      <w:pPr>
        <w:pStyle w:val="BodyText"/>
        <w:spacing w:line="300" w:lineRule="auto" w:before="31"/>
        <w:ind w:right="195" w:firstLine="359"/>
        <w:jc w:val="both"/>
      </w:pPr>
      <w:r>
        <w:rPr>
          <w:rFonts w:ascii="Times New Roman" w:hAnsi="Times New Roman" w:cs="Times New Roman" w:eastAsia="Times New Roman" w:hint="default"/>
          <w:spacing w:val="-3"/>
        </w:rPr>
        <w:t>2</w:t>
      </w:r>
      <w:r>
        <w:rPr>
          <w:spacing w:val="-3"/>
        </w:rPr>
        <w:t>、李杰先生，</w:t>
      </w:r>
      <w:r>
        <w:rPr>
          <w:rFonts w:ascii="Times New Roman" w:hAnsi="Times New Roman" w:cs="Times New Roman" w:eastAsia="Times New Roman" w:hint="default"/>
          <w:spacing w:val="-3"/>
        </w:rPr>
        <w:t>1964</w:t>
      </w:r>
      <w:r>
        <w:rPr>
          <w:spacing w:val="-3"/>
        </w:rPr>
        <w:t>年出生，中国国籍，无境外永久居留权，硕士学历。曾任长沙铁道学院信息技术研究中心助教、讲</w:t>
      </w:r>
      <w:r>
        <w:rPr>
          <w:spacing w:val="-5"/>
          <w:w w:val="101"/>
        </w:rPr>
        <w:t> </w:t>
      </w:r>
      <w:r>
        <w:rPr>
          <w:spacing w:val="-3"/>
        </w:rPr>
        <w:t>师、副教授、教授，长沙铁道学院科技实业公司副总经理，科创有限董事、总经理。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7</w:t>
      </w:r>
      <w:r>
        <w:rPr>
          <w:spacing w:val="-3"/>
        </w:rPr>
        <w:t>月起至今任本公司董事兼总经</w:t>
      </w:r>
      <w:r>
        <w:rPr>
          <w:spacing w:val="75"/>
        </w:rPr>
        <w:t> </w:t>
      </w:r>
      <w:r>
        <w:rPr>
          <w:spacing w:val="75"/>
        </w:rPr>
      </w:r>
      <w:r>
        <w:rPr/>
        <w:t>理。</w:t>
      </w:r>
    </w:p>
    <w:p>
      <w:pPr>
        <w:pStyle w:val="BodyText"/>
        <w:spacing w:line="309" w:lineRule="auto" w:before="31"/>
        <w:ind w:right="0" w:firstLine="360"/>
        <w:jc w:val="left"/>
      </w:pPr>
      <w:r>
        <w:rPr>
          <w:rFonts w:ascii="Times New Roman" w:hAnsi="Times New Roman" w:cs="Times New Roman" w:eastAsia="Times New Roman" w:hint="default"/>
          <w:spacing w:val="-3"/>
        </w:rPr>
        <w:t>3</w:t>
      </w:r>
      <w:r>
        <w:rPr>
          <w:spacing w:val="-3"/>
        </w:rPr>
        <w:t>、李建华先生，</w:t>
      </w:r>
      <w:r>
        <w:rPr>
          <w:rFonts w:ascii="Times New Roman" w:hAnsi="Times New Roman" w:cs="Times New Roman" w:eastAsia="Times New Roman" w:hint="default"/>
          <w:spacing w:val="-3"/>
        </w:rPr>
        <w:t>1963</w:t>
      </w:r>
      <w:r>
        <w:rPr>
          <w:spacing w:val="-3"/>
        </w:rPr>
        <w:t>年出生，中国国籍，无境外永久居留权，硕士学历。曾任长沙铁道学院计算机中心助教、讲师、</w:t>
      </w:r>
      <w:r>
        <w:rPr>
          <w:spacing w:val="-5"/>
          <w:w w:val="101"/>
        </w:rPr>
        <w:t> </w:t>
      </w:r>
      <w:r>
        <w:rPr>
          <w:spacing w:val="-3"/>
        </w:rPr>
        <w:t>教授，湖南新兴电脑有限公司部门经理、总工程师，长沙铁道学院科技实业公司副总经理，长沙铁道学院信息中心副教授，</w:t>
      </w:r>
      <w:r>
        <w:rPr>
          <w:spacing w:val="61"/>
        </w:rPr>
        <w:t> </w:t>
      </w:r>
      <w:r>
        <w:rPr>
          <w:spacing w:val="61"/>
        </w:rPr>
      </w:r>
      <w:r>
        <w:rPr>
          <w:spacing w:val="-3"/>
        </w:rPr>
        <w:t>科创有限董事、副总经理。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7</w:t>
      </w:r>
      <w:r>
        <w:rPr>
          <w:spacing w:val="-3"/>
        </w:rPr>
        <w:t>月起至今任本公司董事兼副总经理。</w:t>
      </w:r>
      <w:r>
        <w:rPr/>
      </w:r>
    </w:p>
    <w:p>
      <w:pPr>
        <w:pStyle w:val="BodyText"/>
        <w:spacing w:line="300" w:lineRule="auto" w:before="5"/>
        <w:ind w:right="199" w:firstLine="360"/>
        <w:jc w:val="both"/>
      </w:pPr>
      <w:r>
        <w:rPr>
          <w:rFonts w:ascii="Times New Roman" w:hAnsi="Times New Roman" w:cs="Times New Roman" w:eastAsia="Times New Roman" w:hint="default"/>
          <w:spacing w:val="-3"/>
        </w:rPr>
        <w:t>4</w:t>
      </w:r>
      <w:r>
        <w:rPr>
          <w:spacing w:val="-3"/>
        </w:rPr>
        <w:t>、刘应龙先生，</w:t>
      </w:r>
      <w:r>
        <w:rPr>
          <w:rFonts w:ascii="Times New Roman" w:hAnsi="Times New Roman" w:cs="Times New Roman" w:eastAsia="Times New Roman" w:hint="default"/>
          <w:spacing w:val="-3"/>
        </w:rPr>
        <w:t>1958</w:t>
      </w:r>
      <w:r>
        <w:rPr>
          <w:spacing w:val="-3"/>
        </w:rPr>
        <w:t>年出生，中国国籍，无境外永久居留权，硕士学历。曾任长沙铁道学院计算机中心助工、讲师、</w:t>
      </w:r>
      <w:r>
        <w:rPr>
          <w:spacing w:val="-5"/>
          <w:w w:val="101"/>
        </w:rPr>
        <w:t> </w:t>
      </w:r>
      <w:r>
        <w:rPr>
          <w:spacing w:val="-3"/>
        </w:rPr>
        <w:t>副教授，科创有限董事、副总经理。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7</w:t>
      </w:r>
      <w:r>
        <w:rPr>
          <w:spacing w:val="-3"/>
        </w:rPr>
        <w:t>月起至今任本公司董事兼副总经理。</w:t>
      </w:r>
      <w:r>
        <w:rPr/>
      </w:r>
    </w:p>
    <w:p>
      <w:pPr>
        <w:pStyle w:val="BodyText"/>
        <w:spacing w:line="300" w:lineRule="auto" w:before="13"/>
        <w:ind w:right="199" w:firstLine="359"/>
        <w:jc w:val="both"/>
      </w:pPr>
      <w:r>
        <w:rPr>
          <w:rFonts w:ascii="Times New Roman" w:hAnsi="Times New Roman" w:cs="Times New Roman" w:eastAsia="Times New Roman" w:hint="default"/>
          <w:spacing w:val="-3"/>
        </w:rPr>
        <w:t>5</w:t>
      </w:r>
      <w:r>
        <w:rPr>
          <w:spacing w:val="-3"/>
        </w:rPr>
        <w:t>、胡奕女士，</w:t>
      </w:r>
      <w:r>
        <w:rPr>
          <w:rFonts w:ascii="Times New Roman" w:hAnsi="Times New Roman" w:cs="Times New Roman" w:eastAsia="Times New Roman" w:hint="default"/>
          <w:spacing w:val="-3"/>
        </w:rPr>
        <w:t>1974</w:t>
      </w:r>
      <w:r>
        <w:rPr>
          <w:spacing w:val="-3"/>
        </w:rPr>
        <w:t>年出生，中国国籍，无境外永久居留权，硕士学历。曾任中南大学湘雅医学院医学信息系讲师，中</w:t>
      </w:r>
      <w:r>
        <w:rPr>
          <w:spacing w:val="-5"/>
          <w:w w:val="101"/>
        </w:rPr>
        <w:t> </w:t>
      </w:r>
      <w:r>
        <w:rPr>
          <w:spacing w:val="-3"/>
        </w:rPr>
        <w:t>南大学专利中心主管。现任公司董事，中南资产投资部部长兼董事，湖南南方博云新材料股份有限公司监事。</w:t>
      </w:r>
      <w:r>
        <w:rPr/>
      </w:r>
    </w:p>
    <w:p>
      <w:pPr>
        <w:spacing w:after="0" w:line="300" w:lineRule="auto"/>
        <w:jc w:val="both"/>
        <w:sectPr>
          <w:pgSz w:w="11910" w:h="16840"/>
          <w:pgMar w:header="784" w:footer="1027" w:top="1100" w:bottom="1220" w:left="980" w:right="940"/>
        </w:sectPr>
      </w:pPr>
    </w:p>
    <w:p>
      <w:pPr>
        <w:spacing w:line="240" w:lineRule="auto" w:before="10"/>
        <w:rPr>
          <w:rFonts w:ascii="宋体" w:hAnsi="宋体" w:cs="宋体" w:eastAsia="宋体" w:hint="default"/>
          <w:sz w:val="22"/>
          <w:szCs w:val="22"/>
        </w:rPr>
      </w:pPr>
    </w:p>
    <w:p>
      <w:pPr>
        <w:pStyle w:val="BodyText"/>
        <w:spacing w:line="309" w:lineRule="auto" w:before="46"/>
        <w:ind w:right="184" w:firstLine="360"/>
        <w:jc w:val="both"/>
      </w:pPr>
      <w:r>
        <w:rPr>
          <w:rFonts w:ascii="Times New Roman" w:hAnsi="Times New Roman" w:cs="Times New Roman" w:eastAsia="Times New Roman" w:hint="default"/>
          <w:spacing w:val="-3"/>
        </w:rPr>
        <w:t>6</w:t>
      </w:r>
      <w:r>
        <w:rPr>
          <w:spacing w:val="-3"/>
        </w:rPr>
        <w:t>、刘定华先生，</w:t>
      </w:r>
      <w:r>
        <w:rPr>
          <w:rFonts w:ascii="Times New Roman" w:hAnsi="Times New Roman" w:cs="Times New Roman" w:eastAsia="Times New Roman" w:hint="default"/>
          <w:spacing w:val="-3"/>
        </w:rPr>
        <w:t>1944</w:t>
      </w:r>
      <w:r>
        <w:rPr>
          <w:spacing w:val="-3"/>
        </w:rPr>
        <w:t>年出生，中国国籍，无境外永久居留权，硕士研究生，湖南大学教授，研究生导师。曾任湖南财</w:t>
      </w:r>
      <w:r>
        <w:rPr>
          <w:spacing w:val="-5"/>
          <w:w w:val="101"/>
        </w:rPr>
        <w:t> </w:t>
      </w:r>
      <w:r>
        <w:rPr>
          <w:spacing w:val="-4"/>
        </w:rPr>
        <w:t>经学院副教授、教授、法律系主任，湖南大学法学院院长。现任公司独立董事，盐津铺子食品股份有限公司独立董事，深圳</w:t>
      </w:r>
      <w:r>
        <w:rPr>
          <w:spacing w:val="40"/>
        </w:rPr>
        <w:t> </w:t>
      </w:r>
      <w:r>
        <w:rPr>
          <w:spacing w:val="40"/>
        </w:rPr>
      </w:r>
      <w:r>
        <w:rPr>
          <w:spacing w:val="-3"/>
        </w:rPr>
        <w:t>市豪恩汽车电子装备股份有限公司独立董事，湖南省法学教育研究会会长，湖南大学法学院教授。</w:t>
      </w:r>
    </w:p>
    <w:p>
      <w:pPr>
        <w:pStyle w:val="BodyText"/>
        <w:spacing w:line="314" w:lineRule="auto" w:before="24"/>
        <w:ind w:right="0" w:firstLine="360"/>
        <w:jc w:val="left"/>
      </w:pPr>
      <w:r>
        <w:rPr>
          <w:rFonts w:ascii="Times New Roman" w:hAnsi="Times New Roman" w:cs="Times New Roman" w:eastAsia="Times New Roman" w:hint="default"/>
          <w:spacing w:val="-3"/>
        </w:rPr>
        <w:t>7</w:t>
      </w:r>
      <w:r>
        <w:rPr>
          <w:spacing w:val="-3"/>
        </w:rPr>
        <w:t>、李新首先生，</w:t>
      </w:r>
      <w:r>
        <w:rPr>
          <w:rFonts w:ascii="Times New Roman" w:hAnsi="Times New Roman" w:cs="Times New Roman" w:eastAsia="Times New Roman" w:hint="default"/>
          <w:spacing w:val="-3"/>
        </w:rPr>
        <w:t>1971</w:t>
      </w:r>
      <w:r>
        <w:rPr>
          <w:spacing w:val="-3"/>
        </w:rPr>
        <w:t>年出生，中国国籍，无境外永久居留权，本科学历，注册会计师、注册资产评估师。曾任湖南利</w:t>
      </w:r>
      <w:r>
        <w:rPr>
          <w:spacing w:val="-5"/>
          <w:w w:val="101"/>
        </w:rPr>
        <w:t> </w:t>
      </w:r>
      <w:r>
        <w:rPr>
          <w:spacing w:val="-3"/>
        </w:rPr>
        <w:t>安达会计师事务所，利安达会计师事务所湖南分所执行所长。现任公司独立董事，中审众环会计师事务所（特殊普通合伙）</w:t>
      </w:r>
      <w:r>
        <w:rPr>
          <w:spacing w:val="61"/>
        </w:rPr>
        <w:t> </w:t>
      </w:r>
      <w:r>
        <w:rPr>
          <w:spacing w:val="61"/>
        </w:rPr>
      </w:r>
      <w:r>
        <w:rPr>
          <w:spacing w:val="-4"/>
        </w:rPr>
        <w:t>湖南分所所长，中审世纪工程造价咨询（北京）有限公司湖南分公司负责人，湖南智瑞投资管理咨询有限公司董事长，湖南</w:t>
      </w:r>
      <w:r>
        <w:rPr>
          <w:spacing w:val="40"/>
        </w:rPr>
        <w:t> </w:t>
      </w:r>
      <w:r>
        <w:rPr>
          <w:spacing w:val="40"/>
        </w:rPr>
      </w:r>
      <w:r>
        <w:rPr>
          <w:spacing w:val="-4"/>
        </w:rPr>
        <w:t>智瑞项目管理有限公司监事，湖南利安达招标咨询有限公司董事，湖南广信科技股份有限公司、湖南五新隧道智能装备股份</w:t>
      </w:r>
      <w:r>
        <w:rPr>
          <w:spacing w:val="43"/>
        </w:rPr>
        <w:t> </w:t>
      </w:r>
      <w:r>
        <w:rPr>
          <w:spacing w:val="43"/>
        </w:rPr>
      </w:r>
      <w:r>
        <w:rPr>
          <w:spacing w:val="-3"/>
        </w:rPr>
        <w:t>有限公司以及中惠旅智慧景区管理股份有限公司独立董事。</w:t>
      </w:r>
    </w:p>
    <w:p>
      <w:pPr>
        <w:pStyle w:val="BodyText"/>
        <w:spacing w:line="309" w:lineRule="auto" w:before="20"/>
        <w:ind w:right="184" w:firstLine="359"/>
        <w:jc w:val="both"/>
      </w:pPr>
      <w:r>
        <w:rPr>
          <w:rFonts w:ascii="Times New Roman" w:hAnsi="Times New Roman" w:cs="Times New Roman" w:eastAsia="Times New Roman" w:hint="default"/>
          <w:spacing w:val="-3"/>
        </w:rPr>
        <w:t>8</w:t>
      </w:r>
      <w:r>
        <w:rPr>
          <w:spacing w:val="-3"/>
        </w:rPr>
        <w:t>、饶卫雄先生，</w:t>
      </w:r>
      <w:r>
        <w:rPr>
          <w:rFonts w:ascii="Times New Roman" w:hAnsi="Times New Roman" w:cs="Times New Roman" w:eastAsia="Times New Roman" w:hint="default"/>
          <w:spacing w:val="-3"/>
        </w:rPr>
        <w:t>1974</w:t>
      </w:r>
      <w:r>
        <w:rPr>
          <w:spacing w:val="-3"/>
        </w:rPr>
        <w:t>年出生，中国国籍，无境外永久居留权，博士学历，同济大学教授，博士生导师。曾任香港科技</w:t>
      </w:r>
      <w:r>
        <w:rPr>
          <w:spacing w:val="-5"/>
          <w:w w:val="101"/>
        </w:rPr>
        <w:t> </w:t>
      </w:r>
      <w:r>
        <w:rPr>
          <w:spacing w:val="-4"/>
        </w:rPr>
        <w:t>大学计算机科学与工程系博士后研究员，芬兰赫尔辛基大学计算机科学系博士后研究员，英国剑桥大学计算机实验室副研究</w:t>
      </w:r>
      <w:r>
        <w:rPr>
          <w:spacing w:val="42"/>
        </w:rPr>
        <w:t> </w:t>
      </w:r>
      <w:r>
        <w:rPr>
          <w:spacing w:val="42"/>
        </w:rPr>
      </w:r>
      <w:r>
        <w:rPr>
          <w:spacing w:val="-3"/>
        </w:rPr>
        <w:t>员。现任公司独立董事、同济大学软件学院教授、博士生导师。</w:t>
      </w:r>
      <w:r>
        <w:rPr/>
      </w:r>
    </w:p>
    <w:p>
      <w:pPr>
        <w:pStyle w:val="Heading6"/>
        <w:spacing w:line="240" w:lineRule="auto" w:before="23"/>
        <w:ind w:right="6663"/>
        <w:jc w:val="left"/>
        <w:rPr>
          <w:b w:val="0"/>
          <w:bCs w:val="0"/>
        </w:rPr>
      </w:pPr>
      <w:r>
        <w:rPr/>
        <w:t>（二）监事会成员</w:t>
      </w:r>
      <w:r>
        <w:rPr>
          <w:b w:val="0"/>
          <w:bCs w:val="0"/>
        </w:rPr>
      </w:r>
    </w:p>
    <w:p>
      <w:pPr>
        <w:pStyle w:val="BodyText"/>
        <w:spacing w:line="240" w:lineRule="auto" w:before="76"/>
        <w:ind w:left="512" w:right="0"/>
        <w:jc w:val="left"/>
      </w:pPr>
      <w:r>
        <w:rPr>
          <w:rFonts w:ascii="Times New Roman" w:hAnsi="Times New Roman" w:cs="Times New Roman" w:eastAsia="Times New Roman" w:hint="default"/>
          <w:spacing w:val="-3"/>
        </w:rPr>
        <w:t>1</w:t>
      </w:r>
      <w:r>
        <w:rPr>
          <w:spacing w:val="-3"/>
        </w:rPr>
        <w:t>、谢石伟先生，</w:t>
      </w:r>
      <w:r>
        <w:rPr>
          <w:rFonts w:ascii="Times New Roman" w:hAnsi="Times New Roman" w:cs="Times New Roman" w:eastAsia="Times New Roman" w:hint="default"/>
          <w:spacing w:val="-3"/>
        </w:rPr>
        <w:t>1976</w:t>
      </w:r>
      <w:r>
        <w:rPr>
          <w:spacing w:val="-3"/>
        </w:rPr>
        <w:t>年出生，中国国籍，无境外永久居留权，本科学历。曾任湖南远景信息股份有限公司部门经理。</w:t>
      </w:r>
      <w:r>
        <w:rPr/>
      </w:r>
    </w:p>
    <w:p>
      <w:pPr>
        <w:pStyle w:val="BodyText"/>
        <w:spacing w:line="300" w:lineRule="auto" w:before="63"/>
        <w:ind w:right="0"/>
        <w:jc w:val="left"/>
      </w:pP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7</w:t>
      </w:r>
      <w:r>
        <w:rPr>
          <w:spacing w:val="-3"/>
        </w:rPr>
        <w:t>月起在科创有限工作，历任系统集成中心副主任、云南分公司副总经理、市场战略部经理、产品营销事业部经理，</w:t>
      </w:r>
      <w:r>
        <w:rPr>
          <w:spacing w:val="71"/>
        </w:rPr>
        <w:t> </w:t>
      </w:r>
      <w:r>
        <w:rPr>
          <w:spacing w:val="71"/>
        </w:rPr>
      </w:r>
      <w:r>
        <w:rPr>
          <w:spacing w:val="-3"/>
        </w:rPr>
        <w:t>现任公司监事会主席、营销管理部经理。</w:t>
      </w:r>
    </w:p>
    <w:p>
      <w:pPr>
        <w:pStyle w:val="BodyText"/>
        <w:spacing w:line="300" w:lineRule="auto" w:before="31"/>
        <w:ind w:right="199" w:firstLine="360"/>
        <w:jc w:val="both"/>
      </w:pPr>
      <w:r>
        <w:rPr>
          <w:rFonts w:ascii="Times New Roman" w:hAnsi="Times New Roman" w:cs="Times New Roman" w:eastAsia="Times New Roman" w:hint="default"/>
          <w:spacing w:val="-3"/>
        </w:rPr>
        <w:t>2</w:t>
      </w:r>
      <w:r>
        <w:rPr>
          <w:spacing w:val="-3"/>
        </w:rPr>
        <w:t>、陈佶骏先生，</w:t>
      </w:r>
      <w:r>
        <w:rPr>
          <w:rFonts w:ascii="Times New Roman" w:hAnsi="Times New Roman" w:cs="Times New Roman" w:eastAsia="Times New Roman" w:hint="default"/>
          <w:spacing w:val="-3"/>
        </w:rPr>
        <w:t>1990</w:t>
      </w:r>
      <w:r>
        <w:rPr>
          <w:spacing w:val="-3"/>
        </w:rPr>
        <w:t>年出生，中国国籍，无境外永久居留权，本科学历。曾任湖南锦鑫房地产评估有限公司评估师。</w:t>
      </w:r>
      <w:r>
        <w:rPr>
          <w:spacing w:val="-5"/>
          <w:w w:val="101"/>
        </w:rPr>
        <w:t> </w:t>
      </w:r>
      <w:r>
        <w:rPr>
          <w:spacing w:val="-3"/>
        </w:rPr>
        <w:t>现任本公司监事，长沙金盛典当有限责任公司业务副总经理。</w:t>
      </w:r>
      <w:r>
        <w:rPr/>
      </w:r>
    </w:p>
    <w:p>
      <w:pPr>
        <w:pStyle w:val="BodyText"/>
        <w:spacing w:line="314" w:lineRule="auto" w:before="31"/>
        <w:ind w:right="0" w:firstLine="360"/>
        <w:jc w:val="left"/>
      </w:pPr>
      <w:r>
        <w:rPr>
          <w:rFonts w:ascii="Times New Roman" w:hAnsi="Times New Roman" w:cs="Times New Roman" w:eastAsia="Times New Roman" w:hint="default"/>
          <w:spacing w:val="-3"/>
        </w:rPr>
        <w:t>3</w:t>
      </w:r>
      <w:r>
        <w:rPr>
          <w:spacing w:val="-3"/>
        </w:rPr>
        <w:t>、戴志扬先生，</w:t>
      </w:r>
      <w:r>
        <w:rPr>
          <w:rFonts w:ascii="Times New Roman" w:hAnsi="Times New Roman" w:cs="Times New Roman" w:eastAsia="Times New Roman" w:hint="default"/>
          <w:spacing w:val="-3"/>
        </w:rPr>
        <w:t>1971</w:t>
      </w:r>
      <w:r>
        <w:rPr>
          <w:spacing w:val="-3"/>
        </w:rPr>
        <w:t>年出生，中国国籍，无境外永久居留权，本科学历，高级经营师，曾任厦门怡通贸易公司副总，</w:t>
      </w:r>
      <w:r>
        <w:rPr>
          <w:spacing w:val="-5"/>
          <w:w w:val="101"/>
        </w:rPr>
        <w:t> </w:t>
      </w:r>
      <w:r>
        <w:rPr>
          <w:spacing w:val="-4"/>
        </w:rPr>
        <w:t>厦门松达进出口公司财务经理，厦门上野人造花有限公司财务经理，厦门鑫鼎盛证劵咨询公司投资银行部经理，厦门文德投</w:t>
      </w:r>
      <w:r>
        <w:rPr>
          <w:spacing w:val="43"/>
        </w:rPr>
        <w:t> </w:t>
      </w:r>
      <w:r>
        <w:rPr>
          <w:spacing w:val="43"/>
        </w:rPr>
      </w:r>
      <w:r>
        <w:rPr>
          <w:spacing w:val="-4"/>
        </w:rPr>
        <w:t>资管理公司投融资总监。现任本公司监事，厦门德宏富厚股权投资管理有限公司执行董事、总经理，厦门东方汇富股权投资</w:t>
      </w:r>
      <w:r>
        <w:rPr>
          <w:spacing w:val="40"/>
        </w:rPr>
        <w:t> </w:t>
      </w:r>
      <w:r>
        <w:rPr>
          <w:spacing w:val="40"/>
        </w:rPr>
      </w:r>
      <w:r>
        <w:rPr>
          <w:spacing w:val="-3"/>
        </w:rPr>
        <w:t>管理合伙企业（有限合伙）董事长，厦门东方汇富股权投资合伙企业（有限合伙）总裁，厦门尚宇环保股份有限公司董事，</w:t>
      </w:r>
      <w:r>
        <w:rPr>
          <w:spacing w:val="61"/>
        </w:rPr>
        <w:t> </w:t>
      </w:r>
      <w:r>
        <w:rPr>
          <w:spacing w:val="61"/>
        </w:rPr>
      </w:r>
      <w:r>
        <w:rPr>
          <w:spacing w:val="-3"/>
        </w:rPr>
        <w:t>深圳前海希卓威尔科技有限公司董事。</w:t>
      </w:r>
      <w:r>
        <w:rPr/>
      </w:r>
    </w:p>
    <w:p>
      <w:pPr>
        <w:pStyle w:val="BodyText"/>
        <w:spacing w:line="300" w:lineRule="auto" w:before="20"/>
        <w:ind w:right="199" w:firstLine="359"/>
        <w:jc w:val="both"/>
      </w:pPr>
      <w:r>
        <w:rPr>
          <w:rFonts w:ascii="Times New Roman" w:hAnsi="Times New Roman" w:cs="Times New Roman" w:eastAsia="Times New Roman" w:hint="default"/>
          <w:spacing w:val="-3"/>
        </w:rPr>
        <w:t>4</w:t>
      </w:r>
      <w:r>
        <w:rPr>
          <w:spacing w:val="-3"/>
        </w:rPr>
        <w:t>、钟莲女士，</w:t>
      </w:r>
      <w:r>
        <w:rPr>
          <w:rFonts w:ascii="Times New Roman" w:hAnsi="Times New Roman" w:cs="Times New Roman" w:eastAsia="Times New Roman" w:hint="default"/>
          <w:spacing w:val="-3"/>
        </w:rPr>
        <w:t>1976</w:t>
      </w:r>
      <w:r>
        <w:rPr>
          <w:spacing w:val="-3"/>
        </w:rPr>
        <w:t>年出生，中国国籍，无境外永久居留权，本科学历，人力资源管理师。曾任长沙吉联软件开发有限</w:t>
      </w:r>
      <w:r>
        <w:rPr>
          <w:spacing w:val="-5"/>
          <w:w w:val="101"/>
        </w:rPr>
        <w:t> </w:t>
      </w:r>
      <w:r>
        <w:rPr>
          <w:spacing w:val="-3"/>
        </w:rPr>
        <w:t>公司办公室文员。</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月起在科创有限工作，历任办事员、办公室主管。现任本公司监事、公司人力资源部主管。</w:t>
      </w:r>
      <w:r>
        <w:rPr/>
      </w:r>
    </w:p>
    <w:p>
      <w:pPr>
        <w:pStyle w:val="BodyText"/>
        <w:spacing w:line="300" w:lineRule="auto" w:before="13"/>
        <w:ind w:right="185" w:firstLine="360"/>
        <w:jc w:val="both"/>
      </w:pPr>
      <w:r>
        <w:rPr>
          <w:rFonts w:ascii="Times New Roman" w:hAnsi="Times New Roman" w:cs="Times New Roman" w:eastAsia="Times New Roman" w:hint="default"/>
          <w:spacing w:val="-3"/>
        </w:rPr>
        <w:t>5</w:t>
      </w:r>
      <w:r>
        <w:rPr>
          <w:spacing w:val="-3"/>
        </w:rPr>
        <w:t>、李志峰先生，</w:t>
      </w:r>
      <w:r>
        <w:rPr>
          <w:rFonts w:ascii="Times New Roman" w:hAnsi="Times New Roman" w:cs="Times New Roman" w:eastAsia="Times New Roman" w:hint="default"/>
          <w:spacing w:val="-3"/>
        </w:rPr>
        <w:t>1978</w:t>
      </w:r>
      <w:r>
        <w:rPr>
          <w:spacing w:val="-3"/>
        </w:rPr>
        <w:t>年出生，中国国籍，无境外永久居留权，本科学历，系统集成项目管理工程师。曾任湖南邵东县</w:t>
      </w:r>
      <w:r>
        <w:rPr>
          <w:spacing w:val="-5"/>
          <w:w w:val="101"/>
        </w:rPr>
        <w:t> </w:t>
      </w:r>
      <w:r>
        <w:rPr>
          <w:spacing w:val="-4"/>
        </w:rPr>
        <w:t>自来水公司中化室负责人、北京联信永益湖南办事处高级工程师、长沙申铁公司软件部负责人。</w:t>
      </w:r>
      <w:r>
        <w:rPr>
          <w:rFonts w:ascii="Times New Roman" w:hAnsi="Times New Roman" w:cs="Times New Roman" w:eastAsia="Times New Roman" w:hint="default"/>
          <w:spacing w:val="-4"/>
        </w:rPr>
        <w:t>2007</w:t>
      </w:r>
      <w:r>
        <w:rPr>
          <w:spacing w:val="-4"/>
        </w:rPr>
        <w:t>年起在公司工作，历任</w:t>
      </w:r>
      <w:r>
        <w:rPr>
          <w:spacing w:val="47"/>
        </w:rPr>
        <w:t> </w:t>
      </w:r>
      <w:r>
        <w:rPr>
          <w:spacing w:val="47"/>
        </w:rPr>
      </w:r>
      <w:r>
        <w:rPr>
          <w:spacing w:val="-3"/>
        </w:rPr>
        <w:t>软件部项目经理、产品经理、电子政务部副经理、电子政务事业部副经理。现任本公司监事、电子政务事业部副经理。</w:t>
      </w:r>
      <w:r>
        <w:rPr/>
      </w:r>
    </w:p>
    <w:p>
      <w:pPr>
        <w:pStyle w:val="Heading6"/>
        <w:spacing w:line="240" w:lineRule="auto" w:before="30"/>
        <w:ind w:right="6663"/>
        <w:jc w:val="left"/>
        <w:rPr>
          <w:b w:val="0"/>
          <w:bCs w:val="0"/>
        </w:rPr>
      </w:pPr>
      <w:r>
        <w:rPr/>
        <w:t>（三）高级管理人员</w:t>
      </w:r>
      <w:r>
        <w:rPr>
          <w:b w:val="0"/>
          <w:bCs w:val="0"/>
        </w:rPr>
      </w:r>
    </w:p>
    <w:p>
      <w:pPr>
        <w:pStyle w:val="BodyText"/>
        <w:spacing w:line="240" w:lineRule="auto" w:before="76"/>
        <w:ind w:left="512" w:right="0"/>
        <w:jc w:val="left"/>
      </w:pPr>
      <w:r>
        <w:rPr>
          <w:rFonts w:ascii="Times New Roman" w:hAnsi="Times New Roman" w:cs="Times New Roman" w:eastAsia="Times New Roman" w:hint="default"/>
          <w:spacing w:val="-3"/>
        </w:rPr>
        <w:t>1</w:t>
      </w:r>
      <w:r>
        <w:rPr>
          <w:spacing w:val="-3"/>
        </w:rPr>
        <w:t>、李杰先生，见（一）董事会成员简介。</w:t>
      </w:r>
    </w:p>
    <w:p>
      <w:pPr>
        <w:pStyle w:val="BodyText"/>
        <w:spacing w:line="240" w:lineRule="auto" w:before="63"/>
        <w:ind w:left="512" w:right="0"/>
        <w:jc w:val="left"/>
      </w:pPr>
      <w:r>
        <w:rPr>
          <w:rFonts w:ascii="Times New Roman" w:hAnsi="Times New Roman" w:cs="Times New Roman" w:eastAsia="Times New Roman" w:hint="default"/>
          <w:spacing w:val="-3"/>
        </w:rPr>
        <w:t>2</w:t>
      </w:r>
      <w:r>
        <w:rPr>
          <w:spacing w:val="-3"/>
        </w:rPr>
        <w:t>、李建华先生，见（一）董事会成员简介。</w:t>
      </w:r>
      <w:r>
        <w:rPr/>
      </w:r>
    </w:p>
    <w:p>
      <w:pPr>
        <w:pStyle w:val="BodyText"/>
        <w:spacing w:line="240" w:lineRule="auto" w:before="63"/>
        <w:ind w:left="512" w:right="0"/>
        <w:jc w:val="left"/>
      </w:pPr>
      <w:r>
        <w:rPr>
          <w:rFonts w:ascii="Times New Roman" w:hAnsi="Times New Roman" w:cs="Times New Roman" w:eastAsia="Times New Roman" w:hint="default"/>
          <w:spacing w:val="-3"/>
        </w:rPr>
        <w:t>3</w:t>
      </w:r>
      <w:r>
        <w:rPr>
          <w:spacing w:val="-3"/>
        </w:rPr>
        <w:t>、刘应龙先生，见（一）董事会成员简介。</w:t>
      </w:r>
      <w:r>
        <w:rPr/>
      </w:r>
    </w:p>
    <w:p>
      <w:pPr>
        <w:pStyle w:val="BodyText"/>
        <w:spacing w:line="309" w:lineRule="auto" w:before="63"/>
        <w:ind w:right="185" w:firstLine="360"/>
        <w:jc w:val="both"/>
      </w:pPr>
      <w:r>
        <w:rPr>
          <w:rFonts w:ascii="Times New Roman" w:hAnsi="Times New Roman" w:cs="Times New Roman" w:eastAsia="Times New Roman" w:hint="default"/>
          <w:spacing w:val="-3"/>
        </w:rPr>
        <w:t>4</w:t>
      </w:r>
      <w:r>
        <w:rPr>
          <w:spacing w:val="-3"/>
        </w:rPr>
        <w:t>、罗昔军先生，</w:t>
      </w:r>
      <w:r>
        <w:rPr>
          <w:rFonts w:ascii="Times New Roman" w:hAnsi="Times New Roman" w:cs="Times New Roman" w:eastAsia="Times New Roman" w:hint="default"/>
          <w:spacing w:val="-3"/>
        </w:rPr>
        <w:t>1972</w:t>
      </w:r>
      <w:r>
        <w:rPr>
          <w:spacing w:val="-3"/>
        </w:rPr>
        <w:t>年出生，中国国籍，无境外永久居留权，硕士学历，工程师。曾任长沙铁道学院信息技术中心助</w:t>
      </w:r>
      <w:r>
        <w:rPr>
          <w:spacing w:val="-5"/>
          <w:w w:val="101"/>
        </w:rPr>
        <w:t> </w:t>
      </w:r>
      <w:r>
        <w:rPr>
          <w:spacing w:val="-4"/>
        </w:rPr>
        <w:t>教、工程师，长沙科创有限软件研发中心工程师、项目经理、技术总监，运营商软件部经理兼技术总监，电子政务软件部经</w:t>
      </w:r>
      <w:r>
        <w:rPr>
          <w:spacing w:val="39"/>
        </w:rPr>
        <w:t> </w:t>
      </w:r>
      <w:r>
        <w:rPr>
          <w:spacing w:val="39"/>
        </w:rPr>
      </w:r>
      <w:r>
        <w:rPr>
          <w:spacing w:val="-3"/>
        </w:rPr>
        <w:t>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8</w:t>
      </w:r>
      <w:r>
        <w:rPr>
          <w:spacing w:val="-3"/>
        </w:rPr>
        <w:t>月起任公司副总经理。现任公司副总经理兼任科创集成经理。</w:t>
      </w:r>
    </w:p>
    <w:p>
      <w:pPr>
        <w:pStyle w:val="BodyText"/>
        <w:spacing w:line="300" w:lineRule="auto" w:before="5"/>
        <w:ind w:right="195" w:firstLine="360"/>
        <w:jc w:val="both"/>
      </w:pPr>
      <w:r>
        <w:rPr>
          <w:rFonts w:ascii="Times New Roman" w:hAnsi="Times New Roman" w:cs="Times New Roman" w:eastAsia="Times New Roman" w:hint="default"/>
          <w:spacing w:val="-3"/>
        </w:rPr>
        <w:t>5</w:t>
      </w:r>
      <w:r>
        <w:rPr>
          <w:spacing w:val="-3"/>
        </w:rPr>
        <w:t>、金卓钧女士，</w:t>
      </w:r>
      <w:r>
        <w:rPr>
          <w:rFonts w:ascii="Times New Roman" w:hAnsi="Times New Roman" w:cs="Times New Roman" w:eastAsia="Times New Roman" w:hint="default"/>
          <w:spacing w:val="-3"/>
        </w:rPr>
        <w:t>1974</w:t>
      </w:r>
      <w:r>
        <w:rPr>
          <w:spacing w:val="-3"/>
        </w:rPr>
        <w:t>年出生，中国国籍，无境外永久居留权，本科学历。曾任湘火炬汽车集团股份有限公司证券事务</w:t>
      </w:r>
      <w:r>
        <w:rPr>
          <w:spacing w:val="-5"/>
          <w:w w:val="101"/>
        </w:rPr>
        <w:t> </w:t>
      </w:r>
      <w:r>
        <w:rPr>
          <w:spacing w:val="-3"/>
        </w:rPr>
        <w:t>代表，潍柴动力股份有限公司证券事务代表，坤和建设集团股份有限公司证券事务代表。</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月起在科创信息工作，现</w:t>
      </w:r>
      <w:r>
        <w:rPr>
          <w:spacing w:val="74"/>
        </w:rPr>
        <w:t> </w:t>
      </w:r>
      <w:r>
        <w:rPr>
          <w:spacing w:val="74"/>
        </w:rPr>
      </w:r>
      <w:r>
        <w:rPr>
          <w:spacing w:val="-3"/>
        </w:rPr>
        <w:t>任本公司财务总监、董事会秘书。</w:t>
      </w:r>
      <w:r>
        <w:rPr/>
      </w:r>
    </w:p>
    <w:p>
      <w:pPr>
        <w:pStyle w:val="BodyText"/>
        <w:spacing w:line="240" w:lineRule="auto" w:before="31"/>
        <w:ind w:right="0"/>
        <w:jc w:val="left"/>
        <w:rPr>
          <w:rFonts w:ascii="宋体" w:hAnsi="宋体" w:cs="宋体" w:eastAsia="宋体" w:hint="default"/>
        </w:rPr>
      </w:pPr>
      <w:r>
        <w:rPr>
          <w:rFonts w:ascii="宋体"/>
          <w:w w:val="101"/>
        </w:rPr>
        <w:t> </w:t>
      </w:r>
      <w:r>
        <w:rPr>
          <w:rFonts w:ascii="宋体"/>
        </w:rPr>
      </w:r>
    </w:p>
    <w:p>
      <w:pPr>
        <w:pStyle w:val="BodyText"/>
        <w:spacing w:line="240" w:lineRule="auto" w:before="119"/>
        <w:ind w:right="6663"/>
        <w:jc w:val="left"/>
      </w:pPr>
      <w:r>
        <w:rPr>
          <w:spacing w:val="-3"/>
        </w:rPr>
        <w:t>在股东单位任职情况</w:t>
      </w:r>
      <w:r>
        <w:rPr/>
      </w:r>
    </w:p>
    <w:p>
      <w:pPr>
        <w:pStyle w:val="BodyText"/>
        <w:spacing w:line="240" w:lineRule="auto" w:before="119"/>
        <w:ind w:right="6663"/>
        <w:jc w:val="left"/>
      </w:pPr>
      <w:r>
        <w:rPr/>
        <w:t>√ </w:t>
      </w:r>
      <w:r>
        <w:rPr>
          <w:spacing w:val="-3"/>
        </w:rPr>
        <w:t>适用 </w:t>
      </w:r>
      <w:r>
        <w:rPr/>
        <w:t>□</w:t>
      </w:r>
      <w:r>
        <w:rPr>
          <w:spacing w:val="13"/>
        </w:rPr>
        <w:t> </w:t>
      </w:r>
      <w:r>
        <w:rPr/>
        <w:t>不适用</w:t>
      </w:r>
    </w:p>
    <w:p>
      <w:pPr>
        <w:spacing w:line="240" w:lineRule="auto" w:before="7"/>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79"/>
        <w:gridCol w:w="2424"/>
        <w:gridCol w:w="1258"/>
        <w:gridCol w:w="1646"/>
        <w:gridCol w:w="1733"/>
        <w:gridCol w:w="1526"/>
      </w:tblGrid>
      <w:tr>
        <w:trPr>
          <w:trHeight w:val="715" w:hRule="exact"/>
        </w:trPr>
        <w:tc>
          <w:tcPr>
            <w:tcW w:w="9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307" w:right="117" w:hanging="183"/>
              <w:jc w:val="left"/>
              <w:rPr>
                <w:rFonts w:ascii="宋体" w:hAnsi="宋体" w:cs="宋体" w:eastAsia="宋体" w:hint="default"/>
                <w:sz w:val="18"/>
                <w:szCs w:val="18"/>
              </w:rPr>
            </w:pPr>
            <w:r>
              <w:rPr>
                <w:rFonts w:ascii="宋体" w:hAnsi="宋体" w:cs="宋体" w:eastAsia="宋体" w:hint="default"/>
                <w:sz w:val="18"/>
                <w:szCs w:val="18"/>
              </w:rPr>
              <w:t>任职人员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姓名</w:t>
            </w:r>
          </w:p>
        </w:tc>
        <w:tc>
          <w:tcPr>
            <w:tcW w:w="24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72" w:right="175"/>
              <w:jc w:val="left"/>
              <w:rPr>
                <w:rFonts w:ascii="宋体" w:hAnsi="宋体" w:cs="宋体" w:eastAsia="宋体" w:hint="default"/>
                <w:sz w:val="18"/>
                <w:szCs w:val="18"/>
              </w:rPr>
            </w:pPr>
            <w:r>
              <w:rPr>
                <w:rFonts w:ascii="宋体" w:hAnsi="宋体" w:cs="宋体" w:eastAsia="宋体" w:hint="default"/>
                <w:spacing w:val="-3"/>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担任的职务</w:t>
            </w:r>
            <w:r>
              <w:rPr>
                <w:rFonts w:ascii="宋体" w:hAnsi="宋体" w:cs="宋体" w:eastAsia="宋体" w:hint="default"/>
                <w:sz w:val="18"/>
                <w:szCs w:val="18"/>
              </w:rPr>
            </w:r>
          </w:p>
        </w:tc>
        <w:tc>
          <w:tcPr>
            <w:tcW w:w="1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220" w:right="127" w:hanging="92"/>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领取报酬津贴</w:t>
            </w:r>
          </w:p>
        </w:tc>
      </w:tr>
      <w:tr>
        <w:trPr>
          <w:trHeight w:val="403" w:hRule="exact"/>
        </w:trPr>
        <w:tc>
          <w:tcPr>
            <w:tcW w:w="9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胡奕</w:t>
            </w:r>
          </w:p>
        </w:tc>
        <w:tc>
          <w:tcPr>
            <w:tcW w:w="2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45"/>
              <w:jc w:val="center"/>
              <w:rPr>
                <w:rFonts w:ascii="宋体" w:hAnsi="宋体" w:cs="宋体" w:eastAsia="宋体" w:hint="default"/>
                <w:sz w:val="18"/>
                <w:szCs w:val="18"/>
              </w:rPr>
            </w:pPr>
            <w:r>
              <w:rPr>
                <w:rFonts w:ascii="宋体" w:hAnsi="宋体" w:cs="宋体" w:eastAsia="宋体" w:hint="default"/>
                <w:spacing w:val="-3"/>
                <w:sz w:val="18"/>
                <w:szCs w:val="18"/>
              </w:rPr>
              <w:t>中南大学资产经营有限公司</w:t>
            </w:r>
          </w:p>
        </w:tc>
        <w:tc>
          <w:tcPr>
            <w:tcW w:w="1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投资部部长</w:t>
            </w:r>
            <w:r>
              <w:rPr>
                <w:rFonts w:ascii="宋体" w:hAnsi="宋体" w:cs="宋体" w:eastAsia="宋体" w:hint="default"/>
                <w:sz w:val="18"/>
                <w:szCs w:val="18"/>
              </w:rPr>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33"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84" w:footer="1027" w:top="1100" w:bottom="1220" w:left="980" w:right="94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979"/>
        <w:gridCol w:w="2424"/>
        <w:gridCol w:w="1258"/>
        <w:gridCol w:w="1646"/>
        <w:gridCol w:w="1733"/>
        <w:gridCol w:w="1526"/>
      </w:tblGrid>
      <w:tr>
        <w:trPr>
          <w:trHeight w:val="403" w:hRule="exact"/>
        </w:trPr>
        <w:tc>
          <w:tcPr>
            <w:tcW w:w="9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胡奕</w:t>
            </w:r>
          </w:p>
        </w:tc>
        <w:tc>
          <w:tcPr>
            <w:tcW w:w="24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中南大学资产经营有限公司</w:t>
            </w:r>
          </w:p>
        </w:tc>
        <w:tc>
          <w:tcPr>
            <w:tcW w:w="1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BodyText"/>
        <w:spacing w:line="240" w:lineRule="auto" w:before="53"/>
        <w:ind w:right="0"/>
        <w:jc w:val="left"/>
      </w:pPr>
      <w:r>
        <w:rPr>
          <w:spacing w:val="-3"/>
        </w:rPr>
        <w:t>在其他单位任职情况</w:t>
      </w:r>
      <w:r>
        <w:rPr/>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0"/>
        <w:gridCol w:w="2726"/>
        <w:gridCol w:w="1325"/>
        <w:gridCol w:w="1771"/>
        <w:gridCol w:w="1675"/>
        <w:gridCol w:w="1118"/>
      </w:tblGrid>
      <w:tr>
        <w:trPr>
          <w:trHeight w:val="1022" w:hRule="exact"/>
        </w:trPr>
        <w:tc>
          <w:tcPr>
            <w:tcW w:w="9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92" w:right="103" w:hanging="183"/>
              <w:jc w:val="left"/>
              <w:rPr>
                <w:rFonts w:ascii="宋体" w:hAnsi="宋体" w:cs="宋体" w:eastAsia="宋体" w:hint="default"/>
                <w:sz w:val="18"/>
                <w:szCs w:val="18"/>
              </w:rPr>
            </w:pPr>
            <w:r>
              <w:rPr>
                <w:rFonts w:ascii="宋体" w:hAnsi="宋体" w:cs="宋体" w:eastAsia="宋体" w:hint="default"/>
                <w:sz w:val="18"/>
                <w:szCs w:val="18"/>
              </w:rPr>
              <w:t>任职人员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姓名</w:t>
            </w:r>
          </w:p>
        </w:tc>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97" w:right="113" w:hanging="183"/>
              <w:jc w:val="left"/>
              <w:rPr>
                <w:rFonts w:ascii="宋体" w:hAnsi="宋体" w:cs="宋体" w:eastAsia="宋体" w:hint="default"/>
                <w:sz w:val="18"/>
                <w:szCs w:val="18"/>
              </w:rPr>
            </w:pPr>
            <w:r>
              <w:rPr>
                <w:rFonts w:ascii="宋体" w:hAnsi="宋体" w:cs="宋体" w:eastAsia="宋体" w:hint="default"/>
                <w:spacing w:val="-2"/>
                <w:sz w:val="18"/>
                <w:szCs w:val="18"/>
              </w:rPr>
              <w:t>在其他单位担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任的职务</w:t>
            </w:r>
          </w:p>
        </w:tc>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03"/>
              <w:jc w:val="center"/>
              <w:rPr>
                <w:rFonts w:ascii="宋体" w:hAnsi="宋体" w:cs="宋体" w:eastAsia="宋体" w:hint="default"/>
                <w:sz w:val="18"/>
                <w:szCs w:val="18"/>
              </w:rPr>
            </w:pPr>
            <w:r>
              <w:rPr>
                <w:rFonts w:ascii="宋体" w:hAnsi="宋体" w:cs="宋体" w:eastAsia="宋体" w:hint="default"/>
                <w:spacing w:val="-3"/>
                <w:sz w:val="18"/>
                <w:szCs w:val="18"/>
              </w:rPr>
              <w:t>在其他单位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是否领取报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酬津贴</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科创鑫源</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4"/>
                <w:sz w:val="18"/>
                <w:szCs w:val="18"/>
              </w:rPr>
              <w:t>董事长</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永兴科创</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科创集成</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奕</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180" w:right="184" w:hanging="989"/>
              <w:jc w:val="left"/>
              <w:rPr>
                <w:rFonts w:ascii="宋体" w:hAnsi="宋体" w:cs="宋体" w:eastAsia="宋体" w:hint="default"/>
                <w:sz w:val="18"/>
                <w:szCs w:val="18"/>
              </w:rPr>
            </w:pPr>
            <w:r>
              <w:rPr>
                <w:rFonts w:ascii="宋体" w:hAnsi="宋体" w:cs="宋体" w:eastAsia="宋体" w:hint="default"/>
                <w:spacing w:val="-3"/>
                <w:sz w:val="18"/>
                <w:szCs w:val="18"/>
              </w:rPr>
              <w:t>湖南南方博云新材料股份有限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998" w:right="84" w:hanging="893"/>
              <w:jc w:val="left"/>
              <w:rPr>
                <w:rFonts w:ascii="宋体" w:hAnsi="宋体" w:cs="宋体" w:eastAsia="宋体" w:hint="default"/>
                <w:sz w:val="18"/>
                <w:szCs w:val="18"/>
              </w:rPr>
            </w:pPr>
            <w:r>
              <w:rPr>
                <w:rFonts w:ascii="宋体" w:hAnsi="宋体" w:cs="宋体" w:eastAsia="宋体" w:hint="default"/>
                <w:spacing w:val="-3"/>
                <w:sz w:val="18"/>
                <w:szCs w:val="18"/>
              </w:rPr>
              <w:t>中审世纪工程造价咨询（北京）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有限公司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475" w:right="113" w:hanging="360"/>
              <w:jc w:val="left"/>
              <w:rPr>
                <w:rFonts w:ascii="宋体" w:hAnsi="宋体" w:cs="宋体" w:eastAsia="宋体" w:hint="default"/>
                <w:sz w:val="18"/>
                <w:szCs w:val="18"/>
              </w:rPr>
            </w:pPr>
            <w:r>
              <w:rPr>
                <w:rFonts w:ascii="宋体" w:hAnsi="宋体" w:cs="宋体" w:eastAsia="宋体" w:hint="default"/>
                <w:spacing w:val="-2"/>
                <w:sz w:val="18"/>
                <w:szCs w:val="18"/>
              </w:rPr>
              <w:t>湖南分公司负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责人</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湖南广信科技股份有限公司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271" w:right="184" w:hanging="1080"/>
              <w:jc w:val="left"/>
              <w:rPr>
                <w:rFonts w:ascii="宋体" w:hAnsi="宋体" w:cs="宋体" w:eastAsia="宋体" w:hint="default"/>
                <w:sz w:val="18"/>
                <w:szCs w:val="18"/>
              </w:rPr>
            </w:pPr>
            <w:r>
              <w:rPr>
                <w:rFonts w:ascii="宋体" w:hAnsi="宋体" w:cs="宋体" w:eastAsia="宋体" w:hint="default"/>
                <w:spacing w:val="-3"/>
                <w:sz w:val="18"/>
                <w:szCs w:val="18"/>
              </w:rPr>
              <w:t>湖南智瑞投资管理咨询有限公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董事长</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湖南智瑞项目管理有限公司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湖南利安达招标咨询有限公司</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53"/>
              <w:ind w:left="998" w:right="98" w:hanging="893"/>
              <w:jc w:val="left"/>
              <w:rPr>
                <w:rFonts w:ascii="宋体" w:hAnsi="宋体" w:cs="宋体" w:eastAsia="宋体" w:hint="default"/>
                <w:sz w:val="18"/>
                <w:szCs w:val="18"/>
              </w:rPr>
            </w:pPr>
            <w:r>
              <w:rPr>
                <w:rFonts w:ascii="宋体" w:hAnsi="宋体" w:cs="宋体" w:eastAsia="宋体" w:hint="default"/>
                <w:spacing w:val="-4"/>
                <w:sz w:val="18"/>
                <w:szCs w:val="18"/>
              </w:rPr>
              <w:t>中审众环会计师事务所（特殊普</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通合伙）</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湖南分所所长</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89" w:right="184" w:hanging="898"/>
              <w:jc w:val="left"/>
              <w:rPr>
                <w:rFonts w:ascii="宋体" w:hAnsi="宋体" w:cs="宋体" w:eastAsia="宋体" w:hint="default"/>
                <w:sz w:val="18"/>
                <w:szCs w:val="18"/>
              </w:rPr>
            </w:pPr>
            <w:r>
              <w:rPr>
                <w:rFonts w:ascii="宋体" w:hAnsi="宋体" w:cs="宋体" w:eastAsia="宋体" w:hint="default"/>
                <w:spacing w:val="-3"/>
                <w:sz w:val="18"/>
                <w:szCs w:val="18"/>
              </w:rPr>
              <w:t>湖南五新隧道智能装备股份有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180" w:right="184" w:hanging="989"/>
              <w:jc w:val="left"/>
              <w:rPr>
                <w:rFonts w:ascii="宋体" w:hAnsi="宋体" w:cs="宋体" w:eastAsia="宋体" w:hint="default"/>
                <w:sz w:val="18"/>
                <w:szCs w:val="18"/>
              </w:rPr>
            </w:pPr>
            <w:r>
              <w:rPr>
                <w:rFonts w:ascii="宋体" w:hAnsi="宋体" w:cs="宋体" w:eastAsia="宋体" w:hint="default"/>
                <w:spacing w:val="-3"/>
                <w:sz w:val="18"/>
                <w:szCs w:val="18"/>
              </w:rPr>
              <w:t>中惠旅智慧景区管理股份有限</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刘定华</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湖南大学法学院</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刘定华</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湖南省法学教育研究会</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会长</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刘定华</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盐津铺子食品股份有限公司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刘定华</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998" w:right="184" w:hanging="807"/>
              <w:jc w:val="left"/>
              <w:rPr>
                <w:rFonts w:ascii="宋体" w:hAnsi="宋体" w:cs="宋体" w:eastAsia="宋体" w:hint="default"/>
                <w:sz w:val="18"/>
                <w:szCs w:val="18"/>
              </w:rPr>
            </w:pPr>
            <w:r>
              <w:rPr>
                <w:rFonts w:ascii="宋体" w:hAnsi="宋体" w:cs="宋体" w:eastAsia="宋体" w:hint="default"/>
                <w:spacing w:val="-3"/>
                <w:sz w:val="18"/>
                <w:szCs w:val="18"/>
              </w:rPr>
              <w:t>深圳市豪恩汽车电子装备股份</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有限公司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饶卫雄</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同济大学</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475" w:right="113" w:hanging="360"/>
              <w:jc w:val="left"/>
              <w:rPr>
                <w:rFonts w:ascii="宋体" w:hAnsi="宋体" w:cs="宋体" w:eastAsia="宋体" w:hint="default"/>
                <w:sz w:val="18"/>
                <w:szCs w:val="18"/>
              </w:rPr>
            </w:pPr>
            <w:r>
              <w:rPr>
                <w:rFonts w:ascii="宋体" w:hAnsi="宋体" w:cs="宋体" w:eastAsia="宋体" w:hint="default"/>
                <w:spacing w:val="-2"/>
                <w:sz w:val="18"/>
                <w:szCs w:val="18"/>
              </w:rPr>
              <w:t>教授、博士生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导师</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陈佶骏</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长沙金盛典当有限责任公司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业务副总经理</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271" w:right="184" w:hanging="1080"/>
              <w:jc w:val="left"/>
              <w:rPr>
                <w:rFonts w:ascii="宋体" w:hAnsi="宋体" w:cs="宋体" w:eastAsia="宋体" w:hint="default"/>
                <w:sz w:val="18"/>
                <w:szCs w:val="18"/>
              </w:rPr>
            </w:pPr>
            <w:r>
              <w:rPr>
                <w:rFonts w:ascii="宋体" w:hAnsi="宋体" w:cs="宋体" w:eastAsia="宋体" w:hint="default"/>
                <w:spacing w:val="-3"/>
                <w:sz w:val="18"/>
                <w:szCs w:val="18"/>
              </w:rPr>
              <w:t>深圳前海希卓威尔科技有限公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厦门尚宇环保股份有限公司</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1089" w:right="184" w:hanging="898"/>
              <w:jc w:val="left"/>
              <w:rPr>
                <w:rFonts w:ascii="宋体" w:hAnsi="宋体" w:cs="宋体" w:eastAsia="宋体" w:hint="default"/>
                <w:sz w:val="18"/>
                <w:szCs w:val="18"/>
              </w:rPr>
            </w:pPr>
            <w:r>
              <w:rPr>
                <w:rFonts w:ascii="宋体" w:hAnsi="宋体" w:cs="宋体" w:eastAsia="宋体" w:hint="default"/>
                <w:spacing w:val="-3"/>
                <w:sz w:val="18"/>
                <w:szCs w:val="18"/>
              </w:rPr>
              <w:t>厦门德宏富厚股权投资管理有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475" w:right="113" w:hanging="360"/>
              <w:jc w:val="left"/>
              <w:rPr>
                <w:rFonts w:ascii="宋体" w:hAnsi="宋体" w:cs="宋体" w:eastAsia="宋体" w:hint="default"/>
                <w:sz w:val="18"/>
                <w:szCs w:val="18"/>
              </w:rPr>
            </w:pPr>
            <w:r>
              <w:rPr>
                <w:rFonts w:ascii="宋体" w:hAnsi="宋体" w:cs="宋体" w:eastAsia="宋体" w:hint="default"/>
                <w:spacing w:val="-2"/>
                <w:sz w:val="18"/>
                <w:szCs w:val="18"/>
              </w:rPr>
              <w:t>执行董事兼总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经理</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950"/>
        <w:gridCol w:w="2726"/>
        <w:gridCol w:w="1325"/>
        <w:gridCol w:w="1771"/>
        <w:gridCol w:w="1675"/>
        <w:gridCol w:w="1118"/>
      </w:tblGrid>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551" w:right="184" w:hanging="360"/>
              <w:jc w:val="left"/>
              <w:rPr>
                <w:rFonts w:ascii="宋体" w:hAnsi="宋体" w:cs="宋体" w:eastAsia="宋体" w:hint="default"/>
                <w:sz w:val="18"/>
                <w:szCs w:val="18"/>
              </w:rPr>
            </w:pPr>
            <w:r>
              <w:rPr>
                <w:rFonts w:ascii="宋体" w:hAnsi="宋体" w:cs="宋体" w:eastAsia="宋体" w:hint="default"/>
                <w:spacing w:val="-3"/>
                <w:sz w:val="18"/>
                <w:szCs w:val="18"/>
              </w:rPr>
              <w:t>厦门东方汇富股权投资管理合</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伙企业（有限合伙）</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董事长</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3"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729" w:right="184" w:hanging="538"/>
              <w:jc w:val="left"/>
              <w:rPr>
                <w:rFonts w:ascii="宋体" w:hAnsi="宋体" w:cs="宋体" w:eastAsia="宋体" w:hint="default"/>
                <w:sz w:val="18"/>
                <w:szCs w:val="18"/>
              </w:rPr>
            </w:pPr>
            <w:r>
              <w:rPr>
                <w:rFonts w:ascii="宋体" w:hAnsi="宋体" w:cs="宋体" w:eastAsia="宋体" w:hint="default"/>
                <w:spacing w:val="-3"/>
                <w:sz w:val="18"/>
                <w:szCs w:val="18"/>
              </w:rPr>
              <w:t>厦门东方汇富股权投资合伙企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业（有限合伙）</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9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pacing w:val="-4"/>
                <w:sz w:val="18"/>
                <w:szCs w:val="18"/>
              </w:rPr>
              <w:t>罗昔军</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科创集成</w:t>
            </w:r>
          </w:p>
        </w:tc>
        <w:tc>
          <w:tcPr>
            <w:tcW w:w="1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经理</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7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12" w:right="0"/>
        <w:jc w:val="left"/>
      </w:pPr>
      <w:r>
        <w:rPr>
          <w:spacing w:val="-3"/>
        </w:rPr>
        <w:t>董事、监事、高级管理人员报酬的决策程序、确定依据、实际支付情况</w:t>
      </w:r>
    </w:p>
    <w:p>
      <w:pPr>
        <w:pStyle w:val="BodyText"/>
        <w:spacing w:line="300" w:lineRule="auto" w:before="115"/>
        <w:ind w:right="0" w:firstLine="360"/>
        <w:jc w:val="left"/>
      </w:pPr>
      <w:r>
        <w:rPr>
          <w:rFonts w:ascii="Times New Roman" w:hAnsi="Times New Roman" w:cs="Times New Roman" w:eastAsia="Times New Roman" w:hint="default"/>
          <w:spacing w:val="-3"/>
        </w:rPr>
        <w:t>1</w:t>
      </w:r>
      <w:r>
        <w:rPr>
          <w:spacing w:val="-3"/>
        </w:rPr>
        <w:t>、董事、监事、高级管理人员报酬的决策程序：公司结合董事、监事、高级管理人员岗位的主要范围、职责、工作胜</w:t>
      </w:r>
      <w:r>
        <w:rPr>
          <w:spacing w:val="-5"/>
          <w:w w:val="101"/>
        </w:rPr>
        <w:t> </w:t>
      </w:r>
      <w:r>
        <w:rPr>
          <w:spacing w:val="-3"/>
        </w:rPr>
        <w:t>任能力以及其他相关企业相关岗位的薪酬水平，制定董事、监事、高级管理人员年度薪酬方案，由股东大会审批。</w:t>
      </w:r>
      <w:r>
        <w:rPr/>
      </w:r>
    </w:p>
    <w:p>
      <w:pPr>
        <w:pStyle w:val="BodyText"/>
        <w:spacing w:line="300" w:lineRule="auto" w:before="31"/>
        <w:ind w:right="0" w:firstLine="360"/>
        <w:jc w:val="left"/>
      </w:pPr>
      <w:r>
        <w:rPr>
          <w:rFonts w:ascii="Times New Roman" w:hAnsi="Times New Roman" w:cs="Times New Roman" w:eastAsia="Times New Roman" w:hint="default"/>
          <w:spacing w:val="-3"/>
        </w:rPr>
        <w:t>2</w:t>
      </w:r>
      <w:r>
        <w:rPr>
          <w:spacing w:val="-3"/>
        </w:rPr>
        <w:t>、董事、监事、高级管理人员报酬的确定依据：除独立董事、外部董事、外部监事外，公司董事、监事、高级管理人</w:t>
      </w:r>
      <w:r>
        <w:rPr>
          <w:spacing w:val="-5"/>
          <w:w w:val="101"/>
        </w:rPr>
        <w:t> </w:t>
      </w:r>
      <w:r>
        <w:rPr>
          <w:spacing w:val="-3"/>
        </w:rPr>
        <w:t>员的薪酬是由基本年薪</w:t>
      </w:r>
      <w:r>
        <w:rPr>
          <w:rFonts w:ascii="Times New Roman" w:hAnsi="Times New Roman" w:cs="Times New Roman" w:eastAsia="Times New Roman" w:hint="default"/>
          <w:spacing w:val="-3"/>
        </w:rPr>
        <w:t>+</w:t>
      </w:r>
      <w:r>
        <w:rPr>
          <w:spacing w:val="-3"/>
        </w:rPr>
        <w:t>绩效年薪</w:t>
      </w:r>
      <w:r>
        <w:rPr>
          <w:rFonts w:ascii="Times New Roman" w:hAnsi="Times New Roman" w:cs="Times New Roman" w:eastAsia="Times New Roman" w:hint="default"/>
          <w:spacing w:val="-3"/>
        </w:rPr>
        <w:t>+</w:t>
      </w:r>
      <w:r>
        <w:rPr>
          <w:spacing w:val="-3"/>
        </w:rPr>
        <w:t>目标责任考核激励构成。基本年薪是每月固定发放，绩效年薪是根据年终绩效评定情况</w:t>
      </w:r>
      <w:r>
        <w:rPr>
          <w:spacing w:val="68"/>
        </w:rPr>
        <w:t> </w:t>
      </w:r>
      <w:r>
        <w:rPr>
          <w:spacing w:val="68"/>
        </w:rPr>
      </w:r>
      <w:r>
        <w:rPr>
          <w:spacing w:val="-3"/>
        </w:rPr>
        <w:t>一次性发放，目标责任考核激励是根据公司整体效益，对达成或超过年度业绩目标的人员进行额外的激励。</w:t>
      </w:r>
    </w:p>
    <w:p>
      <w:pPr>
        <w:pStyle w:val="BodyText"/>
        <w:spacing w:line="240" w:lineRule="auto" w:before="31"/>
        <w:ind w:left="512" w:right="0"/>
        <w:jc w:val="left"/>
        <w:rPr>
          <w:rFonts w:ascii="Times New Roman" w:hAnsi="Times New Roman" w:cs="Times New Roman" w:eastAsia="Times New Roman" w:hint="default"/>
        </w:rPr>
      </w:pPr>
      <w:r>
        <w:rPr>
          <w:rFonts w:ascii="Times New Roman" w:hAnsi="Times New Roman" w:cs="Times New Roman" w:eastAsia="Times New Roman" w:hint="default"/>
          <w:spacing w:val="-7"/>
        </w:rPr>
        <w:t>3</w:t>
      </w:r>
      <w:r>
        <w:rPr>
          <w:spacing w:val="-7"/>
        </w:rPr>
        <w:t>、董事、监事、高级管理人员报酬的实际支付情况：报告期内，公司实际支付董事、监事、高级管理人员报酬合计</w:t>
      </w:r>
      <w:r>
        <w:rPr>
          <w:rFonts w:ascii="Times New Roman" w:hAnsi="Times New Roman" w:cs="Times New Roman" w:eastAsia="Times New Roman" w:hint="default"/>
          <w:spacing w:val="-7"/>
        </w:rPr>
        <w:t>252.3</w:t>
      </w:r>
    </w:p>
    <w:p>
      <w:pPr>
        <w:pStyle w:val="BodyText"/>
        <w:spacing w:line="362" w:lineRule="auto" w:before="63"/>
        <w:ind w:right="5459"/>
        <w:jc w:val="left"/>
      </w:pPr>
      <w:r>
        <w:rPr>
          <w:spacing w:val="-4"/>
        </w:rPr>
        <w:t>万元。</w:t>
      </w:r>
      <w:r>
        <w:rPr>
          <w:spacing w:val="-81"/>
        </w:rPr>
        <w:t> </w:t>
      </w:r>
      <w:r>
        <w:rPr>
          <w:rFonts w:ascii="宋体" w:hAnsi="宋体" w:cs="宋体" w:eastAsia="宋体" w:hint="default"/>
          <w:spacing w:val="-81"/>
        </w:rPr>
      </w:r>
      <w:r>
        <w:rPr>
          <w:spacing w:val="-3"/>
        </w:rPr>
        <w:t>公司报告期内董事、监事和高级管理人员报酬情况</w:t>
      </w:r>
    </w:p>
    <w:p>
      <w:pPr>
        <w:pStyle w:val="BodyText"/>
        <w:spacing w:line="240" w:lineRule="auto" w:before="23"/>
        <w:ind w:left="0" w:right="150"/>
        <w:jc w:val="right"/>
      </w:pPr>
      <w:r>
        <w:rPr>
          <w:spacing w:val="-3"/>
        </w:rPr>
        <w:t>单位：万元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2592"/>
        <w:gridCol w:w="1104"/>
        <w:gridCol w:w="1008"/>
        <w:gridCol w:w="1195"/>
        <w:gridCol w:w="1368"/>
        <w:gridCol w:w="1368"/>
      </w:tblGrid>
      <w:tr>
        <w:trPr>
          <w:trHeight w:val="710"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是否在公司关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联方获取报酬</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4"/>
                <w:sz w:val="18"/>
                <w:szCs w:val="18"/>
              </w:rPr>
              <w:t>董事长</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1"/>
                <w:sz w:val="18"/>
                <w:szCs w:val="18"/>
              </w:rPr>
              <w:t> </w:t>
            </w:r>
            <w:r>
              <w:rPr>
                <w:rFonts w:ascii="宋体" w:hAnsi="宋体" w:cs="宋体" w:eastAsia="宋体" w:hint="default"/>
                <w:sz w:val="18"/>
                <w:szCs w:val="18"/>
              </w:rPr>
              <w:t>杰</w:t>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李建华</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董事、副总经理</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刘应龙</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董事、副总经理</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胡 </w:t>
            </w:r>
            <w:r>
              <w:rPr>
                <w:rFonts w:ascii="宋体" w:hAnsi="宋体" w:cs="宋体" w:eastAsia="宋体" w:hint="default"/>
                <w:spacing w:val="1"/>
                <w:sz w:val="18"/>
                <w:szCs w:val="18"/>
              </w:rPr>
              <w:t> </w:t>
            </w:r>
            <w:r>
              <w:rPr>
                <w:rFonts w:ascii="宋体" w:hAnsi="宋体" w:cs="宋体" w:eastAsia="宋体" w:hint="default"/>
                <w:sz w:val="18"/>
                <w:szCs w:val="18"/>
              </w:rPr>
              <w:t>奕</w:t>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1"/>
                <w:sz w:val="18"/>
                <w:szCs w:val="18"/>
              </w:rPr>
              <w:t> </w:t>
            </w:r>
            <w:r>
              <w:rPr>
                <w:rFonts w:ascii="宋体" w:hAnsi="宋体" w:cs="宋体" w:eastAsia="宋体" w:hint="default"/>
                <w:sz w:val="18"/>
                <w:szCs w:val="18"/>
              </w:rPr>
              <w:t>聪</w:t>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刘定华</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饶卫雄</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谢石伟</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监事会主席、营销管理部经理</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陈佶骏</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戴志扬</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钟莲</w:t>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53"/>
              <w:ind w:left="1204" w:right="117" w:hanging="1080"/>
              <w:jc w:val="left"/>
              <w:rPr>
                <w:rFonts w:ascii="宋体" w:hAnsi="宋体" w:cs="宋体" w:eastAsia="宋体" w:hint="default"/>
                <w:sz w:val="18"/>
                <w:szCs w:val="18"/>
              </w:rPr>
            </w:pPr>
            <w:r>
              <w:rPr>
                <w:rFonts w:ascii="宋体" w:hAnsi="宋体" w:cs="宋体" w:eastAsia="宋体" w:hint="default"/>
                <w:spacing w:val="-3"/>
                <w:sz w:val="18"/>
                <w:szCs w:val="18"/>
              </w:rPr>
              <w:t>职工代表监事、人力资源部主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4"/>
                <w:sz w:val="18"/>
              </w:rPr>
              <w:t>9.11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李志峰</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3"/>
              <w:ind w:left="931" w:right="117" w:hanging="807"/>
              <w:jc w:val="left"/>
              <w:rPr>
                <w:rFonts w:ascii="宋体" w:hAnsi="宋体" w:cs="宋体" w:eastAsia="宋体" w:hint="default"/>
                <w:sz w:val="18"/>
                <w:szCs w:val="18"/>
              </w:rPr>
            </w:pPr>
            <w:r>
              <w:rPr>
                <w:rFonts w:ascii="宋体" w:hAnsi="宋体" w:cs="宋体" w:eastAsia="宋体" w:hint="default"/>
                <w:spacing w:val="-3"/>
                <w:sz w:val="18"/>
                <w:szCs w:val="18"/>
              </w:rPr>
              <w:t>职工代表监事、电子政务事业</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部副经理</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936"/>
        <w:gridCol w:w="2592"/>
        <w:gridCol w:w="1104"/>
        <w:gridCol w:w="1008"/>
        <w:gridCol w:w="1195"/>
        <w:gridCol w:w="1368"/>
        <w:gridCol w:w="1368"/>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刘星沙</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2" w:right="0"/>
              <w:jc w:val="lef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罗昔军</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2" w:right="0"/>
              <w:jc w:val="lef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4"/>
                <w:sz w:val="18"/>
                <w:szCs w:val="18"/>
              </w:rPr>
              <w:t>金卓钧</w:t>
            </w:r>
            <w:r>
              <w:rPr>
                <w:rFonts w:ascii="宋体" w:hAnsi="宋体" w:cs="宋体" w:eastAsia="宋体" w:hint="default"/>
                <w:sz w:val="18"/>
                <w:szCs w:val="18"/>
              </w:rPr>
            </w:r>
          </w:p>
        </w:tc>
        <w:tc>
          <w:tcPr>
            <w:tcW w:w="25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财务总监、董事会秘书</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2" w:right="0"/>
              <w:jc w:val="lef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20.83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252.3</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61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公司董事、高级管理人员报告期内被授予的股权激励情况</w:t>
      </w:r>
      <w:r>
        <w:rPr/>
      </w:r>
    </w:p>
    <w:p>
      <w:pPr>
        <w:pStyle w:val="BodyText"/>
        <w:spacing w:line="240" w:lineRule="auto" w:before="119"/>
        <w:ind w:right="6663"/>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6663"/>
        <w:jc w:val="left"/>
        <w:rPr>
          <w:b w:val="0"/>
          <w:bCs w:val="0"/>
        </w:rPr>
      </w:pPr>
      <w:bookmarkStart w:name="五、公司员工情况" w:id="124"/>
      <w:bookmarkEnd w:id="124"/>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777</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887</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887</w:t>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r>
              <w:rPr>
                <w:rFonts w:ascii="宋体" w:hAnsi="宋体" w:cs="宋体" w:eastAsia="宋体" w:hint="default"/>
                <w:sz w:val="18"/>
                <w:szCs w:val="18"/>
              </w:rPr>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595</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65</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190</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20</w:t>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887</w:t>
            </w:r>
          </w:p>
        </w:tc>
      </w:tr>
      <w:tr>
        <w:trPr>
          <w:trHeight w:val="394"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数量（人）</w:t>
            </w:r>
            <w:r>
              <w:rPr>
                <w:rFonts w:ascii="宋体" w:hAnsi="宋体" w:cs="宋体" w:eastAsia="宋体" w:hint="default"/>
                <w:sz w:val="18"/>
                <w:szCs w:val="18"/>
              </w:rPr>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硕士及以上</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47</w:t>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502</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大专专科</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中专及以下</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887</w:t>
            </w:r>
          </w:p>
        </w:tc>
      </w:tr>
    </w:tbl>
    <w:p>
      <w:pPr>
        <w:spacing w:line="240" w:lineRule="auto" w:before="3"/>
        <w:rPr>
          <w:rFonts w:ascii="宋体" w:hAnsi="宋体" w:cs="宋体" w:eastAsia="宋体" w:hint="default"/>
          <w:b/>
          <w:bCs/>
          <w:sz w:val="19"/>
          <w:szCs w:val="19"/>
        </w:rPr>
      </w:pPr>
    </w:p>
    <w:p>
      <w:pPr>
        <w:pStyle w:val="Heading4"/>
        <w:spacing w:line="240" w:lineRule="auto" w:before="36"/>
        <w:ind w:right="6663"/>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5"/>
        </w:rPr>
        <w:t>公司严格按照《中华人民共和国劳动合同法》和有关劳动法律法规的规定，与员工签订劳动合同，并严格执行相应的劳</w:t>
      </w:r>
      <w:r>
        <w:rPr>
          <w:w w:val="101"/>
        </w:rPr>
        <w:t> </w:t>
      </w:r>
      <w:r>
        <w:rPr>
          <w:spacing w:val="-6"/>
          <w:w w:val="101"/>
        </w:rPr>
        <w:t>动用工规定和社会保障制度，为公司员工缴纳社会保险和住房公积金。公司薪酬政策始终坚持与岗位价值相匹配的基本原则，</w:t>
      </w:r>
      <w:r>
        <w:rPr>
          <w:spacing w:val="-6"/>
        </w:rPr>
      </w:r>
    </w:p>
    <w:p>
      <w:pPr>
        <w:spacing w:after="0" w:line="316" w:lineRule="auto"/>
        <w:jc w:val="left"/>
        <w:sectPr>
          <w:pgSz w:w="11910" w:h="16840"/>
          <w:pgMar w:header="784" w:footer="1027" w:top="1100" w:bottom="1220" w:left="980" w:right="940"/>
        </w:sectPr>
      </w:pPr>
    </w:p>
    <w:p>
      <w:pPr>
        <w:spacing w:line="240" w:lineRule="auto" w:before="10"/>
        <w:rPr>
          <w:rFonts w:ascii="宋体" w:hAnsi="宋体" w:cs="宋体" w:eastAsia="宋体" w:hint="default"/>
          <w:sz w:val="22"/>
          <w:szCs w:val="22"/>
        </w:rPr>
      </w:pPr>
    </w:p>
    <w:p>
      <w:pPr>
        <w:pStyle w:val="BodyText"/>
        <w:spacing w:line="316" w:lineRule="auto" w:before="46"/>
        <w:ind w:right="0"/>
        <w:jc w:val="left"/>
      </w:pPr>
      <w:r>
        <w:rPr>
          <w:spacing w:val="-4"/>
        </w:rPr>
        <w:t>从工作态度、工作能力和工作业绩三个方面进行绩效考核，以考核的不同岗位相应等级确定对应的薪酬水平。通过考核，奖</w:t>
      </w:r>
      <w:r>
        <w:rPr>
          <w:spacing w:val="40"/>
        </w:rPr>
        <w:t> </w:t>
      </w:r>
      <w:r>
        <w:rPr>
          <w:spacing w:val="40"/>
        </w:rPr>
      </w:r>
      <w:r>
        <w:rPr>
          <w:spacing w:val="-3"/>
        </w:rPr>
        <w:t>勤罚懒，优胜劣汰，充分调动员工积极性和创造性，增强事业心和责任感，使公司综合实力不断发展壮大。</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4" w:firstLine="360"/>
        <w:jc w:val="both"/>
      </w:pPr>
      <w:r>
        <w:rPr>
          <w:spacing w:val="-4"/>
        </w:rPr>
        <w:t>报告期初，公司根据战略发展需要及员工职业发展需要，通过收集的各部门培训需求及调查，分析并汇总形成年度培训</w:t>
      </w:r>
      <w:r>
        <w:rPr>
          <w:w w:val="101"/>
        </w:rPr>
        <w:t> </w:t>
      </w:r>
      <w:r>
        <w:rPr>
          <w:spacing w:val="-4"/>
        </w:rPr>
        <w:t>计划。公司通过组织培训以此提高员工的工作技能、知识层次和综合素质，从整体上优化公司人才结构。报告期内，公司各</w:t>
      </w:r>
      <w:r>
        <w:rPr>
          <w:spacing w:val="40"/>
        </w:rPr>
        <w:t> </w:t>
      </w:r>
      <w:r>
        <w:rPr>
          <w:spacing w:val="40"/>
        </w:rPr>
      </w:r>
      <w:r>
        <w:rPr>
          <w:spacing w:val="-4"/>
        </w:rPr>
        <w:t>部门严格执行公司制定的培训计划，积极营造培训氛围，有效提升了员工的业务能力、岗位技能和综合素质。培训对全体员</w:t>
      </w:r>
      <w:r>
        <w:rPr>
          <w:spacing w:val="40"/>
        </w:rPr>
        <w:t> </w:t>
      </w:r>
      <w:r>
        <w:rPr>
          <w:spacing w:val="40"/>
        </w:rPr>
      </w:r>
      <w:r>
        <w:rPr>
          <w:spacing w:val="-3"/>
        </w:rPr>
        <w:t>工知识与技能的更新和提高、创造力与创新精神的发掘和培养、行为准则与责任意识的规范和强化发挥着重要作用。</w:t>
      </w:r>
    </w:p>
    <w:p>
      <w:pPr>
        <w:pStyle w:val="Heading3"/>
        <w:spacing w:line="282" w:lineRule="exact"/>
        <w:ind w:right="0"/>
        <w:jc w:val="left"/>
      </w:pPr>
      <w:r>
        <w:rPr/>
        <w:t> </w:t>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748" w:right="3786"/>
        <w:jc w:val="center"/>
        <w:rPr>
          <w:b w:val="0"/>
          <w:bCs w:val="0"/>
        </w:rPr>
      </w:pPr>
      <w:bookmarkStart w:name="第九节 公司治理" w:id="129"/>
      <w:bookmarkEnd w:id="129"/>
      <w:r>
        <w:rPr>
          <w:b w:val="0"/>
          <w:bCs w:val="0"/>
        </w:rPr>
      </w:r>
      <w:bookmarkStart w:name="_bookmark7" w:id="130"/>
      <w:bookmarkEnd w:id="130"/>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0" w:firstLine="360"/>
        <w:jc w:val="left"/>
      </w:pPr>
      <w:r>
        <w:rPr>
          <w:spacing w:val="-5"/>
        </w:rPr>
        <w:t>报告期内，公司加强法人治理建设，不断完善公司治理制度，加强董事会成员自身的学习和进步，及时披露信息，公平</w:t>
      </w:r>
      <w:r>
        <w:rPr>
          <w:w w:val="101"/>
        </w:rPr>
        <w:t> </w:t>
      </w:r>
      <w:r>
        <w:rPr>
          <w:spacing w:val="-3"/>
        </w:rPr>
        <w:t>对待投资者，公司规范运作水平不断提高。公司</w:t>
      </w:r>
      <w:r>
        <w:rPr>
          <w:rFonts w:ascii="宋体" w:hAnsi="宋体" w:cs="宋体" w:eastAsia="宋体" w:hint="default"/>
          <w:spacing w:val="-3"/>
        </w:rPr>
        <w:t>“</w:t>
      </w:r>
      <w:r>
        <w:rPr>
          <w:spacing w:val="-3"/>
        </w:rPr>
        <w:t>三会一层</w:t>
      </w:r>
      <w:r>
        <w:rPr>
          <w:rFonts w:ascii="宋体" w:hAnsi="宋体" w:cs="宋体" w:eastAsia="宋体" w:hint="default"/>
          <w:spacing w:val="-3"/>
        </w:rPr>
        <w:t>”</w:t>
      </w:r>
      <w:r>
        <w:rPr>
          <w:spacing w:val="-3"/>
        </w:rPr>
        <w:t>科学分工、权责分明、相互制衡，均能按各自职责行使权力。</w:t>
      </w:r>
      <w:r>
        <w:rPr>
          <w:spacing w:val="75"/>
        </w:rPr>
        <w:t> </w:t>
      </w:r>
      <w:r>
        <w:rPr>
          <w:spacing w:val="75"/>
        </w:rPr>
      </w:r>
      <w:r>
        <w:rPr>
          <w:rFonts w:ascii="宋体" w:hAnsi="宋体" w:cs="宋体" w:eastAsia="宋体" w:hint="default"/>
          <w:spacing w:val="-4"/>
        </w:rPr>
        <w:t>“</w:t>
      </w:r>
      <w:r>
        <w:rPr>
          <w:spacing w:val="-4"/>
        </w:rPr>
        <w:t>三会</w:t>
      </w:r>
      <w:r>
        <w:rPr>
          <w:rFonts w:ascii="宋体" w:hAnsi="宋体" w:cs="宋体" w:eastAsia="宋体" w:hint="default"/>
          <w:spacing w:val="-4"/>
        </w:rPr>
        <w:t>”</w:t>
      </w:r>
      <w:r>
        <w:rPr>
          <w:spacing w:val="-4"/>
        </w:rPr>
        <w:t>会议的召集召开程序、提案审议程序、决策程序均符合相关规定。截止报告期末，公司治理的实际状况符合相关法</w:t>
      </w:r>
      <w:r>
        <w:rPr>
          <w:spacing w:val="40"/>
        </w:rPr>
        <w:t> </w:t>
      </w:r>
      <w:r>
        <w:rPr>
          <w:spacing w:val="40"/>
        </w:rPr>
      </w:r>
      <w:r>
        <w:rPr>
          <w:spacing w:val="-3"/>
        </w:rPr>
        <w:t>律法规及深圳证券交易所创业板、中国证监会发布的有关上市公司治理的规范性文件要求。</w:t>
      </w:r>
      <w:r>
        <w:rPr/>
      </w:r>
    </w:p>
    <w:p>
      <w:pPr>
        <w:pStyle w:val="BodyText"/>
        <w:spacing w:line="300" w:lineRule="auto" w:before="18"/>
        <w:ind w:left="512" w:right="0"/>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spacing w:val="-88"/>
        </w:rPr>
        <w:t> </w:t>
      </w:r>
      <w:r>
        <w:rPr>
          <w:rFonts w:ascii="宋体" w:hAnsi="宋体" w:cs="宋体" w:eastAsia="宋体" w:hint="default"/>
          <w:b/>
          <w:bCs/>
          <w:spacing w:val="-88"/>
        </w:rPr>
      </w:r>
      <w:r>
        <w:rPr>
          <w:spacing w:val="-5"/>
        </w:rPr>
        <w:t>公司严格遵守法律法规，规范召集、召开股东大会。股东大会的召集、召开程序、出席股东大会的人员资格及股东大会</w:t>
      </w:r>
    </w:p>
    <w:p>
      <w:pPr>
        <w:pStyle w:val="BodyText"/>
        <w:spacing w:line="316" w:lineRule="auto" w:before="31"/>
        <w:ind w:right="184"/>
        <w:jc w:val="both"/>
      </w:pPr>
      <w:r>
        <w:rPr>
          <w:spacing w:val="-8"/>
          <w:w w:val="101"/>
        </w:rPr>
        <w:t>的表决程序均符合《公司法》、《上市公司股东大会规则》和公司《股东大会议事规则》等法规的规定。报告期内，公司公平</w:t>
      </w:r>
      <w:r>
        <w:rPr>
          <w:spacing w:val="-51"/>
          <w:w w:val="101"/>
        </w:rPr>
        <w:t> </w:t>
      </w:r>
      <w:r>
        <w:rPr>
          <w:spacing w:val="-51"/>
          <w:w w:val="101"/>
        </w:rPr>
      </w:r>
      <w:r>
        <w:rPr>
          <w:spacing w:val="-4"/>
        </w:rPr>
        <w:t>对待每一位股东，保证股东在股东大会上有充分的发言权，确保全体股东尤其是中小股东享有平等地位，充分行使股东的权</w:t>
      </w:r>
      <w:r>
        <w:rPr>
          <w:spacing w:val="43"/>
        </w:rPr>
        <w:t> </w:t>
      </w:r>
      <w:r>
        <w:rPr>
          <w:spacing w:val="43"/>
        </w:rPr>
      </w:r>
      <w:r>
        <w:rPr/>
        <w:t>利。</w:t>
      </w:r>
    </w:p>
    <w:p>
      <w:pPr>
        <w:pStyle w:val="BodyText"/>
        <w:spacing w:line="300" w:lineRule="auto" w:before="18"/>
        <w:ind w:left="512" w:right="0"/>
        <w:jc w:val="left"/>
      </w:pPr>
      <w:r>
        <w:rPr>
          <w:rFonts w:ascii="Times New Roman" w:hAnsi="Times New Roman" w:cs="Times New Roman" w:eastAsia="Times New Roman" w:hint="default"/>
          <w:b/>
          <w:bCs/>
        </w:rPr>
        <w:t>2</w:t>
      </w:r>
      <w:r>
        <w:rPr>
          <w:rFonts w:ascii="宋体" w:hAnsi="宋体" w:cs="宋体" w:eastAsia="宋体" w:hint="default"/>
          <w:b/>
          <w:bCs/>
        </w:rPr>
        <w:t>、关于公司与控股股东</w:t>
      </w:r>
      <w:r>
        <w:rPr>
          <w:rFonts w:ascii="宋体" w:hAnsi="宋体" w:cs="宋体" w:eastAsia="宋体" w:hint="default"/>
          <w:b/>
          <w:bCs/>
          <w:spacing w:val="-88"/>
        </w:rPr>
        <w:t> </w:t>
      </w:r>
      <w:r>
        <w:rPr>
          <w:rFonts w:ascii="宋体" w:hAnsi="宋体" w:cs="宋体" w:eastAsia="宋体" w:hint="default"/>
          <w:b/>
          <w:bCs/>
          <w:spacing w:val="-88"/>
        </w:rPr>
      </w:r>
      <w:r>
        <w:rPr>
          <w:spacing w:val="-5"/>
          <w:w w:val="101"/>
        </w:rPr>
        <w:t>公司拥有独立的业务和自主经营能力，在业务、人员、资产、机构、财务上实行</w:t>
      </w:r>
      <w:r>
        <w:rPr>
          <w:rFonts w:ascii="宋体" w:hAnsi="宋体" w:cs="宋体" w:eastAsia="宋体" w:hint="default"/>
          <w:spacing w:val="-5"/>
          <w:w w:val="101"/>
        </w:rPr>
        <w:t>“</w:t>
      </w:r>
      <w:r>
        <w:rPr>
          <w:spacing w:val="-5"/>
          <w:w w:val="101"/>
        </w:rPr>
        <w:t>五分开</w:t>
      </w:r>
      <w:r>
        <w:rPr>
          <w:rFonts w:ascii="宋体" w:hAnsi="宋体" w:cs="宋体" w:eastAsia="宋体" w:hint="default"/>
          <w:spacing w:val="-5"/>
          <w:w w:val="101"/>
        </w:rPr>
        <w:t>”</w:t>
      </w:r>
      <w:r>
        <w:rPr>
          <w:spacing w:val="-5"/>
          <w:w w:val="101"/>
        </w:rPr>
        <w:t>，独立于控股股东。公司董</w:t>
      </w:r>
      <w:r>
        <w:rPr/>
      </w:r>
    </w:p>
    <w:p>
      <w:pPr>
        <w:pStyle w:val="BodyText"/>
        <w:spacing w:line="316" w:lineRule="auto" w:before="31"/>
        <w:ind w:right="184"/>
        <w:jc w:val="both"/>
      </w:pPr>
      <w:r>
        <w:rPr>
          <w:spacing w:val="-4"/>
        </w:rPr>
        <w:t>事会、监事会和内部机构独立运作。公司独立行使经营管理职权，与控股股东完全分开，不存在超越公司股东大会直接或间</w:t>
      </w:r>
      <w:r>
        <w:rPr>
          <w:spacing w:val="40"/>
        </w:rPr>
        <w:t> </w:t>
      </w:r>
      <w:r>
        <w:rPr>
          <w:spacing w:val="40"/>
        </w:rPr>
      </w:r>
      <w:r>
        <w:rPr>
          <w:spacing w:val="-3"/>
        </w:rPr>
        <w:t>接干预公司的决策和经营活动的行为，未损害公司及其他股东的利益，亦不存在控股股东占用公司资金的情况。</w:t>
      </w:r>
    </w:p>
    <w:p>
      <w:pPr>
        <w:pStyle w:val="BodyText"/>
        <w:spacing w:line="300" w:lineRule="auto" w:before="18"/>
        <w:ind w:left="512" w:right="0"/>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spacing w:val="-85"/>
        </w:rPr>
        <w:t> </w:t>
      </w:r>
      <w:r>
        <w:rPr>
          <w:rFonts w:ascii="宋体" w:hAnsi="宋体" w:cs="宋体" w:eastAsia="宋体" w:hint="default"/>
          <w:b/>
          <w:bCs/>
          <w:spacing w:val="-85"/>
        </w:rPr>
      </w:r>
      <w:r>
        <w:rPr>
          <w:spacing w:val="-6"/>
        </w:rPr>
        <w:t>公司严格按照法律法规和《公司章程》规定的选聘程序选举董事，董事会的人数及人员构成符合法律法规和《公司章程》</w:t>
      </w:r>
    </w:p>
    <w:p>
      <w:pPr>
        <w:pStyle w:val="BodyText"/>
        <w:spacing w:line="316" w:lineRule="auto" w:before="31"/>
        <w:ind w:right="184"/>
        <w:jc w:val="both"/>
      </w:pPr>
      <w:r>
        <w:rPr>
          <w:spacing w:val="-8"/>
          <w:w w:val="101"/>
        </w:rPr>
        <w:t>的要求。公司全体董事能够依据《董事会议事规则》、《独立董事工作制度》等制度开展工作，以认真负责的态度按时出席董</w:t>
      </w:r>
      <w:r>
        <w:rPr>
          <w:spacing w:val="-50"/>
          <w:w w:val="101"/>
        </w:rPr>
        <w:t> </w:t>
      </w:r>
      <w:r>
        <w:rPr>
          <w:spacing w:val="-50"/>
          <w:w w:val="101"/>
        </w:rPr>
      </w:r>
      <w:r>
        <w:rPr>
          <w:spacing w:val="-3"/>
        </w:rPr>
        <w:t>事会和股东大会，及时熟悉有关法律法规，为公司的规范运作奠定了基础。</w:t>
      </w:r>
    </w:p>
    <w:p>
      <w:pPr>
        <w:pStyle w:val="BodyText"/>
        <w:spacing w:line="316" w:lineRule="auto" w:before="19"/>
        <w:ind w:right="0" w:firstLine="360"/>
        <w:jc w:val="left"/>
      </w:pPr>
      <w:r>
        <w:rPr>
          <w:spacing w:val="-5"/>
        </w:rPr>
        <w:t>公司董事会下设审计委员会、提名与薪酬委员会和战略委员会三个专门委员会，报告期内，各委员会认真履行职责，充</w:t>
      </w:r>
      <w:r>
        <w:rPr>
          <w:w w:val="101"/>
        </w:rPr>
        <w:t> </w:t>
      </w:r>
      <w:r>
        <w:rPr>
          <w:spacing w:val="-3"/>
        </w:rPr>
        <w:t>分发挥了专门委员会的作用。</w:t>
      </w:r>
      <w:r>
        <w:rPr/>
      </w:r>
    </w:p>
    <w:p>
      <w:pPr>
        <w:pStyle w:val="BodyText"/>
        <w:spacing w:line="300" w:lineRule="auto" w:before="18"/>
        <w:ind w:left="512" w:right="0"/>
        <w:jc w:val="left"/>
      </w:pPr>
      <w:r>
        <w:rPr>
          <w:rFonts w:ascii="Times New Roman" w:hAnsi="Times New Roman" w:cs="Times New Roman" w:eastAsia="Times New Roman" w:hint="default"/>
          <w:b/>
          <w:bCs/>
        </w:rPr>
        <w:t>4</w:t>
      </w:r>
      <w:r>
        <w:rPr>
          <w:rFonts w:ascii="宋体" w:hAnsi="宋体" w:cs="宋体" w:eastAsia="宋体" w:hint="default"/>
          <w:b/>
          <w:bCs/>
        </w:rPr>
        <w:t>、关于监事与监事会</w:t>
      </w:r>
      <w:r>
        <w:rPr>
          <w:rFonts w:ascii="宋体" w:hAnsi="宋体" w:cs="宋体" w:eastAsia="宋体" w:hint="default"/>
          <w:b/>
          <w:bCs/>
          <w:spacing w:val="-85"/>
        </w:rPr>
        <w:t> </w:t>
      </w:r>
      <w:r>
        <w:rPr>
          <w:rFonts w:ascii="宋体" w:hAnsi="宋体" w:cs="宋体" w:eastAsia="宋体" w:hint="default"/>
          <w:b/>
          <w:bCs/>
          <w:spacing w:val="-85"/>
        </w:rPr>
      </w:r>
      <w:r>
        <w:rPr>
          <w:spacing w:val="-8"/>
          <w:w w:val="101"/>
        </w:rPr>
        <w:t>公司监事会的人数及构成符合《公司法》、《公司章程》等法律、法规的规定。公司监事能够按照要求，认真履行相应的</w:t>
      </w:r>
      <w:r>
        <w:rPr>
          <w:spacing w:val="-8"/>
        </w:rPr>
      </w:r>
    </w:p>
    <w:p>
      <w:pPr>
        <w:pStyle w:val="BodyText"/>
        <w:spacing w:line="316" w:lineRule="auto" w:before="31"/>
        <w:ind w:right="184"/>
        <w:jc w:val="both"/>
      </w:pPr>
      <w:r>
        <w:rPr>
          <w:spacing w:val="-4"/>
        </w:rPr>
        <w:t>职责，积极参加有关培训，对董事会决策程序、决议事项及公司依法运作情况实施监督，对公司董事、经理和其他高级管理</w:t>
      </w:r>
      <w:r>
        <w:rPr>
          <w:spacing w:val="40"/>
        </w:rPr>
        <w:t> </w:t>
      </w:r>
      <w:r>
        <w:rPr>
          <w:spacing w:val="40"/>
        </w:rPr>
      </w:r>
      <w:r>
        <w:rPr>
          <w:spacing w:val="-3"/>
        </w:rPr>
        <w:t>人员履行职责的合法合规性等事项进行了有效监督。</w:t>
      </w:r>
      <w:r>
        <w:rPr/>
      </w:r>
    </w:p>
    <w:p>
      <w:pPr>
        <w:pStyle w:val="BodyText"/>
        <w:spacing w:line="300" w:lineRule="auto" w:before="18"/>
        <w:ind w:left="512" w:right="0"/>
        <w:jc w:val="left"/>
      </w:pPr>
      <w:r>
        <w:rPr>
          <w:rFonts w:ascii="Times New Roman" w:hAnsi="Times New Roman" w:cs="Times New Roman" w:eastAsia="Times New Roman" w:hint="default"/>
          <w:b/>
          <w:bCs/>
        </w:rPr>
        <w:t>5</w:t>
      </w:r>
      <w:r>
        <w:rPr>
          <w:rFonts w:ascii="宋体" w:hAnsi="宋体" w:cs="宋体" w:eastAsia="宋体" w:hint="default"/>
          <w:b/>
          <w:bCs/>
        </w:rPr>
        <w:t>、关于信息披露与透明度</w:t>
      </w:r>
      <w:r>
        <w:rPr>
          <w:rFonts w:ascii="宋体" w:hAnsi="宋体" w:cs="宋体" w:eastAsia="宋体" w:hint="default"/>
          <w:b/>
          <w:bCs/>
          <w:spacing w:val="-86"/>
        </w:rPr>
        <w:t> </w:t>
      </w:r>
      <w:r>
        <w:rPr>
          <w:rFonts w:ascii="宋体" w:hAnsi="宋体" w:cs="宋体" w:eastAsia="宋体" w:hint="default"/>
          <w:b/>
          <w:bCs/>
          <w:spacing w:val="-86"/>
        </w:rPr>
      </w:r>
      <w:r>
        <w:rPr>
          <w:spacing w:val="-8"/>
          <w:w w:val="101"/>
        </w:rPr>
        <w:t>公司严格按照有关法律法规和《公司章程》、《信息披露管理办法》等规定履行信息披露职责，指定董事会秘书为公司信</w:t>
      </w:r>
      <w:r>
        <w:rPr>
          <w:spacing w:val="-8"/>
        </w:rPr>
      </w:r>
    </w:p>
    <w:p>
      <w:pPr>
        <w:pStyle w:val="BodyText"/>
        <w:spacing w:line="316" w:lineRule="auto" w:before="31"/>
        <w:ind w:right="184"/>
        <w:jc w:val="both"/>
      </w:pPr>
      <w:r>
        <w:rPr>
          <w:spacing w:val="-4"/>
        </w:rPr>
        <w:t>息披露负责人，负责公司信息披露日常事务。报告期内，公司按照相关要求在中国证监会指定信息披露媒体真实、准确、完</w:t>
      </w:r>
      <w:r>
        <w:rPr>
          <w:spacing w:val="40"/>
        </w:rPr>
        <w:t> </w:t>
      </w:r>
      <w:r>
        <w:rPr>
          <w:spacing w:val="40"/>
        </w:rPr>
      </w:r>
      <w:r>
        <w:rPr>
          <w:spacing w:val="-3"/>
        </w:rPr>
        <w:t>整、及时地披露了公司信息，保证了信息披露的质量。</w:t>
      </w:r>
    </w:p>
    <w:p>
      <w:pPr>
        <w:pStyle w:val="BodyText"/>
        <w:spacing w:line="300" w:lineRule="auto" w:before="18"/>
        <w:ind w:left="512" w:right="0"/>
        <w:jc w:val="left"/>
      </w:pPr>
      <w:r>
        <w:rPr>
          <w:rFonts w:ascii="Times New Roman" w:hAnsi="Times New Roman" w:cs="Times New Roman" w:eastAsia="Times New Roman" w:hint="default"/>
          <w:b/>
          <w:bCs/>
        </w:rPr>
        <w:t>6</w:t>
      </w:r>
      <w:r>
        <w:rPr>
          <w:rFonts w:ascii="宋体" w:hAnsi="宋体" w:cs="宋体" w:eastAsia="宋体" w:hint="default"/>
          <w:b/>
          <w:bCs/>
        </w:rPr>
        <w:t>、关于投资者关系管理</w:t>
      </w:r>
      <w:r>
        <w:rPr>
          <w:rFonts w:ascii="宋体" w:hAnsi="宋体" w:cs="宋体" w:eastAsia="宋体" w:hint="default"/>
          <w:b/>
          <w:bCs/>
          <w:spacing w:val="-88"/>
        </w:rPr>
        <w:t> </w:t>
      </w:r>
      <w:r>
        <w:rPr>
          <w:rFonts w:ascii="宋体" w:hAnsi="宋体" w:cs="宋体" w:eastAsia="宋体" w:hint="default"/>
          <w:b/>
          <w:bCs/>
          <w:spacing w:val="-88"/>
        </w:rPr>
      </w:r>
      <w:r>
        <w:rPr>
          <w:spacing w:val="-8"/>
          <w:w w:val="101"/>
        </w:rPr>
        <w:t>公司按照相关法律法规和《公司章程》、《投资者关系管理制度》的要求，指定董事会秘书为投资者关系管理负责人，负</w:t>
      </w:r>
      <w:r>
        <w:rPr>
          <w:spacing w:val="-8"/>
        </w:rPr>
      </w:r>
    </w:p>
    <w:p>
      <w:pPr>
        <w:pStyle w:val="BodyText"/>
        <w:spacing w:line="316" w:lineRule="auto" w:before="31"/>
        <w:ind w:right="189"/>
        <w:jc w:val="both"/>
      </w:pPr>
      <w:r>
        <w:rPr>
          <w:spacing w:val="-5"/>
        </w:rPr>
        <w:t>责投资者关系的管理工作。公司通过电话、电子邮箱、互动平台等多种渠道与投资者交流沟通，促进投资者对公司的了解和</w:t>
      </w:r>
      <w:r>
        <w:rPr>
          <w:spacing w:val="4"/>
        </w:rPr>
        <w:t> </w:t>
      </w:r>
      <w:r>
        <w:rPr>
          <w:spacing w:val="4"/>
        </w:rPr>
      </w:r>
      <w:r>
        <w:rPr>
          <w:spacing w:val="-3"/>
        </w:rPr>
        <w:t>认同，确保所有股东有公平获得信息的机会，保障了投资者的知情权。</w:t>
      </w:r>
    </w:p>
    <w:p>
      <w:pPr>
        <w:spacing w:line="300" w:lineRule="auto" w:before="18"/>
        <w:ind w:left="51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、关于绩效评价和激励约束机制</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4"/>
          <w:sz w:val="18"/>
          <w:szCs w:val="18"/>
        </w:rPr>
        <w:t>公司建立了较完善的董事、高级管理人员绩效考评体系和激励约束机制，董事会提名与薪酬委员会负责公司董事、高级</w:t>
      </w:r>
    </w:p>
    <w:p>
      <w:pPr>
        <w:pStyle w:val="BodyText"/>
        <w:spacing w:line="240" w:lineRule="auto" w:before="31"/>
        <w:ind w:right="0"/>
        <w:jc w:val="both"/>
      </w:pPr>
      <w:r>
        <w:rPr>
          <w:spacing w:val="-3"/>
        </w:rPr>
        <w:t>管理人员的绩效考核。公司目前的绩效考评和激励约束机制能有效的发挥作用，符合公司发展状况。</w:t>
      </w:r>
      <w:r>
        <w:rPr/>
      </w:r>
    </w:p>
    <w:p>
      <w:pPr>
        <w:pStyle w:val="BodyText"/>
        <w:spacing w:line="300" w:lineRule="auto" w:before="76"/>
        <w:ind w:left="512" w:right="0"/>
        <w:jc w:val="left"/>
      </w:pPr>
      <w:r>
        <w:rPr>
          <w:rFonts w:ascii="Times New Roman" w:hAnsi="Times New Roman" w:cs="Times New Roman" w:eastAsia="Times New Roman" w:hint="default"/>
          <w:b/>
          <w:bCs/>
        </w:rPr>
        <w:t>8</w:t>
      </w:r>
      <w:r>
        <w:rPr>
          <w:rFonts w:ascii="宋体" w:hAnsi="宋体" w:cs="宋体" w:eastAsia="宋体" w:hint="default"/>
          <w:b/>
          <w:bCs/>
        </w:rPr>
        <w:t>、关于相关利益者</w:t>
      </w:r>
      <w:r>
        <w:rPr>
          <w:rFonts w:ascii="宋体" w:hAnsi="宋体" w:cs="宋体" w:eastAsia="宋体" w:hint="default"/>
          <w:b/>
          <w:bCs/>
          <w:spacing w:val="-86"/>
        </w:rPr>
        <w:t> </w:t>
      </w:r>
      <w:r>
        <w:rPr>
          <w:rFonts w:ascii="宋体" w:hAnsi="宋体" w:cs="宋体" w:eastAsia="宋体" w:hint="default"/>
          <w:b/>
          <w:bCs/>
          <w:spacing w:val="-86"/>
        </w:rPr>
      </w:r>
      <w:r>
        <w:rPr>
          <w:spacing w:val="-5"/>
        </w:rPr>
        <w:t>公司充分尊重和维护相关利益者的合法权益，通过加强与各方的沟通与交流，实现社会、股东、公司、员工等各方利益</w:t>
      </w:r>
    </w:p>
    <w:p>
      <w:pPr>
        <w:pStyle w:val="BodyText"/>
        <w:spacing w:line="240" w:lineRule="auto" w:before="31"/>
        <w:ind w:right="0"/>
        <w:jc w:val="both"/>
      </w:pPr>
      <w:r>
        <w:rPr>
          <w:spacing w:val="-3"/>
        </w:rPr>
        <w:t>的协调平衡，共同推动公司持续、稳健发展。</w:t>
      </w:r>
    </w:p>
    <w:p>
      <w:pPr>
        <w:pStyle w:val="BodyText"/>
        <w:spacing w:line="240" w:lineRule="auto" w:before="76"/>
        <w:ind w:left="512" w:right="0"/>
        <w:jc w:val="left"/>
        <w:rPr>
          <w:rFonts w:ascii="宋体" w:hAnsi="宋体" w:cs="宋体" w:eastAsia="宋体" w:hint="default"/>
        </w:rPr>
      </w:pPr>
      <w:r>
        <w:rPr>
          <w:rFonts w:ascii="宋体"/>
          <w:w w:val="101"/>
        </w:rPr>
        <w:t> </w:t>
      </w:r>
      <w:r>
        <w:rPr>
          <w:rFonts w:ascii="宋体"/>
        </w:rPr>
      </w:r>
    </w:p>
    <w:p>
      <w:pPr>
        <w:spacing w:after="0" w:line="240" w:lineRule="auto"/>
        <w:jc w:val="left"/>
        <w:rPr>
          <w:rFonts w:ascii="宋体" w:hAnsi="宋体" w:cs="宋体" w:eastAsia="宋体" w:hint="default"/>
        </w:rPr>
        <w:sectPr>
          <w:pgSz w:w="11910" w:h="16840"/>
          <w:pgMar w:header="784" w:footer="1027" w:top="1100" w:bottom="1220" w:left="980" w:right="940"/>
        </w:sectPr>
      </w:pPr>
    </w:p>
    <w:p>
      <w:pPr>
        <w:spacing w:line="240" w:lineRule="auto" w:before="6"/>
        <w:rPr>
          <w:rFonts w:ascii="宋体" w:hAnsi="宋体" w:cs="宋体" w:eastAsia="宋体" w:hint="default"/>
          <w:sz w:val="20"/>
          <w:szCs w:val="20"/>
        </w:rPr>
      </w:pPr>
    </w:p>
    <w:p>
      <w:pPr>
        <w:pStyle w:val="Heading3"/>
        <w:spacing w:line="240" w:lineRule="auto" w:before="26"/>
        <w:ind w:right="0"/>
        <w:jc w:val="both"/>
      </w:pPr>
      <w:r>
        <w:rPr/>
        <w:t> </w:t>
      </w:r>
    </w:p>
    <w:p>
      <w:pPr>
        <w:pStyle w:val="BodyText"/>
        <w:spacing w:line="240" w:lineRule="auto" w:before="92"/>
        <w:ind w:right="0"/>
        <w:jc w:val="both"/>
      </w:pPr>
      <w:r>
        <w:rPr>
          <w:spacing w:val="-3"/>
        </w:rPr>
        <w:t>公司治理的实际状况与中国证监会发布的有关上市公司治理的规范性文件是否存在重大差异</w:t>
      </w:r>
      <w:r>
        <w:rPr/>
      </w:r>
    </w:p>
    <w:p>
      <w:pPr>
        <w:pStyle w:val="BodyText"/>
        <w:spacing w:line="357" w:lineRule="auto" w:before="119"/>
        <w:ind w:right="2638" w:hanging="1"/>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公司治理的实际状况与中国证监会发布的有关上市公司治理的规范性文件不存在重大差异。</w:t>
      </w:r>
      <w:r>
        <w:rPr/>
      </w:r>
    </w:p>
    <w:p>
      <w:pPr>
        <w:spacing w:line="240" w:lineRule="auto" w:before="3"/>
        <w:rPr>
          <w:rFonts w:ascii="宋体" w:hAnsi="宋体" w:cs="宋体" w:eastAsia="宋体" w:hint="default"/>
          <w:sz w:val="17"/>
          <w:szCs w:val="17"/>
        </w:rPr>
      </w:pPr>
    </w:p>
    <w:p>
      <w:pPr>
        <w:pStyle w:val="Heading2"/>
        <w:spacing w:line="240" w:lineRule="auto"/>
        <w:ind w:right="0"/>
        <w:jc w:val="both"/>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left="512" w:right="0"/>
        <w:jc w:val="left"/>
      </w:pPr>
      <w:r>
        <w:rPr>
          <w:rFonts w:ascii="宋体" w:hAnsi="宋体" w:cs="宋体" w:eastAsia="宋体" w:hint="default"/>
          <w:b/>
          <w:bCs/>
        </w:rPr>
        <w:t>（一）业务独立情况</w:t>
      </w:r>
      <w:r>
        <w:rPr>
          <w:rFonts w:ascii="宋体" w:hAnsi="宋体" w:cs="宋体" w:eastAsia="宋体" w:hint="default"/>
          <w:b/>
          <w:bCs/>
          <w:w w:val="100"/>
        </w:rPr>
        <w:t> </w:t>
      </w:r>
      <w:r>
        <w:rPr>
          <w:spacing w:val="-4"/>
        </w:rPr>
        <w:t>公司拥有独立完整的采购、研发和销售业务体系，业务独立于共同实际控制人及其控制的其他企业，与共同实际控制人</w:t>
      </w:r>
    </w:p>
    <w:p>
      <w:pPr>
        <w:pStyle w:val="BodyText"/>
        <w:spacing w:line="316" w:lineRule="auto" w:before="19"/>
        <w:ind w:right="146"/>
        <w:jc w:val="left"/>
        <w:rPr>
          <w:rFonts w:ascii="宋体" w:hAnsi="宋体" w:cs="宋体" w:eastAsia="宋体" w:hint="default"/>
        </w:rPr>
      </w:pPr>
      <w:r>
        <w:rPr>
          <w:w w:val="101"/>
        </w:rPr>
        <w:t>及</w:t>
      </w:r>
      <w:r>
        <w:rPr>
          <w:spacing w:val="-5"/>
          <w:w w:val="101"/>
        </w:rPr>
        <w:t>其</w:t>
      </w:r>
      <w:r>
        <w:rPr>
          <w:w w:val="101"/>
        </w:rPr>
        <w:t>控</w:t>
      </w:r>
      <w:r>
        <w:rPr>
          <w:spacing w:val="-5"/>
          <w:w w:val="101"/>
        </w:rPr>
        <w:t>制</w:t>
      </w:r>
      <w:r>
        <w:rPr>
          <w:w w:val="101"/>
        </w:rPr>
        <w:t>的</w:t>
      </w:r>
      <w:r>
        <w:rPr>
          <w:spacing w:val="-5"/>
          <w:w w:val="101"/>
        </w:rPr>
        <w:t>其</w:t>
      </w:r>
      <w:r>
        <w:rPr>
          <w:w w:val="101"/>
        </w:rPr>
        <w:t>他</w:t>
      </w:r>
      <w:r>
        <w:rPr>
          <w:spacing w:val="-5"/>
          <w:w w:val="101"/>
        </w:rPr>
        <w:t>企</w:t>
      </w:r>
      <w:r>
        <w:rPr>
          <w:w w:val="101"/>
        </w:rPr>
        <w:t>业</w:t>
      </w:r>
      <w:r>
        <w:rPr>
          <w:spacing w:val="-5"/>
          <w:w w:val="101"/>
        </w:rPr>
        <w:t>间</w:t>
      </w:r>
      <w:r>
        <w:rPr>
          <w:w w:val="101"/>
        </w:rPr>
        <w:t>不</w:t>
      </w:r>
      <w:r>
        <w:rPr>
          <w:spacing w:val="-5"/>
          <w:w w:val="101"/>
        </w:rPr>
        <w:t>存</w:t>
      </w:r>
      <w:r>
        <w:rPr>
          <w:w w:val="101"/>
        </w:rPr>
        <w:t>在</w:t>
      </w:r>
      <w:r>
        <w:rPr>
          <w:spacing w:val="-5"/>
          <w:w w:val="101"/>
        </w:rPr>
        <w:t>同</w:t>
      </w:r>
      <w:r>
        <w:rPr>
          <w:w w:val="101"/>
        </w:rPr>
        <w:t>业</w:t>
      </w:r>
      <w:r>
        <w:rPr>
          <w:spacing w:val="-5"/>
          <w:w w:val="101"/>
        </w:rPr>
        <w:t>竞</w:t>
      </w:r>
      <w:r>
        <w:rPr>
          <w:w w:val="101"/>
        </w:rPr>
        <w:t>争</w:t>
      </w:r>
      <w:r>
        <w:rPr>
          <w:spacing w:val="-5"/>
          <w:w w:val="101"/>
        </w:rPr>
        <w:t>或</w:t>
      </w:r>
      <w:r>
        <w:rPr>
          <w:w w:val="101"/>
        </w:rPr>
        <w:t>者</w:t>
      </w:r>
      <w:r>
        <w:rPr>
          <w:spacing w:val="-5"/>
          <w:w w:val="101"/>
        </w:rPr>
        <w:t>显</w:t>
      </w:r>
      <w:r>
        <w:rPr>
          <w:w w:val="101"/>
        </w:rPr>
        <w:t>失</w:t>
      </w:r>
      <w:r>
        <w:rPr>
          <w:spacing w:val="-5"/>
          <w:w w:val="101"/>
        </w:rPr>
        <w:t>公</w:t>
      </w:r>
      <w:r>
        <w:rPr>
          <w:w w:val="101"/>
        </w:rPr>
        <w:t>平</w:t>
      </w:r>
      <w:r>
        <w:rPr>
          <w:spacing w:val="-5"/>
          <w:w w:val="101"/>
        </w:rPr>
        <w:t>的</w:t>
      </w:r>
      <w:r>
        <w:rPr>
          <w:w w:val="101"/>
        </w:rPr>
        <w:t>关</w:t>
      </w:r>
      <w:r>
        <w:rPr>
          <w:spacing w:val="-5"/>
          <w:w w:val="101"/>
        </w:rPr>
        <w:t>联交</w:t>
      </w:r>
      <w:r>
        <w:rPr>
          <w:w w:val="101"/>
        </w:rPr>
        <w:t>易</w:t>
      </w:r>
      <w:r>
        <w:rPr>
          <w:spacing w:val="-87"/>
          <w:w w:val="101"/>
        </w:rPr>
        <w:t>。</w:t>
      </w:r>
      <w:r>
        <w:rPr>
          <w:w w:val="101"/>
        </w:rPr>
        <w:t>公</w:t>
      </w:r>
      <w:r>
        <w:rPr>
          <w:spacing w:val="-5"/>
          <w:w w:val="101"/>
        </w:rPr>
        <w:t>司</w:t>
      </w:r>
      <w:r>
        <w:rPr>
          <w:w w:val="101"/>
        </w:rPr>
        <w:t>共</w:t>
      </w:r>
      <w:r>
        <w:rPr>
          <w:spacing w:val="-5"/>
          <w:w w:val="101"/>
        </w:rPr>
        <w:t>同</w:t>
      </w:r>
      <w:r>
        <w:rPr>
          <w:w w:val="101"/>
        </w:rPr>
        <w:t>实</w:t>
      </w:r>
      <w:r>
        <w:rPr>
          <w:spacing w:val="-5"/>
          <w:w w:val="101"/>
        </w:rPr>
        <w:t>际</w:t>
      </w:r>
      <w:r>
        <w:rPr>
          <w:w w:val="101"/>
        </w:rPr>
        <w:t>控</w:t>
      </w:r>
      <w:r>
        <w:rPr>
          <w:spacing w:val="-5"/>
          <w:w w:val="101"/>
        </w:rPr>
        <w:t>制</w:t>
      </w:r>
      <w:r>
        <w:rPr>
          <w:w w:val="101"/>
        </w:rPr>
        <w:t>人</w:t>
      </w:r>
      <w:r>
        <w:rPr>
          <w:spacing w:val="-5"/>
          <w:w w:val="101"/>
        </w:rPr>
        <w:t>及</w:t>
      </w:r>
      <w:r>
        <w:rPr>
          <w:w w:val="101"/>
        </w:rPr>
        <w:t>持</w:t>
      </w:r>
      <w:r>
        <w:rPr>
          <w:spacing w:val="-5"/>
          <w:w w:val="101"/>
        </w:rPr>
        <w:t>有</w:t>
      </w:r>
      <w:r>
        <w:rPr>
          <w:w w:val="101"/>
        </w:rPr>
        <w:t>公司</w:t>
      </w:r>
      <w:r>
        <w:rPr>
          <w:rFonts w:ascii="宋体" w:hAnsi="宋体" w:cs="宋体" w:eastAsia="宋体" w:hint="default"/>
          <w:spacing w:val="-5"/>
          <w:w w:val="101"/>
        </w:rPr>
        <w:t>5</w:t>
      </w:r>
      <w:r>
        <w:rPr>
          <w:rFonts w:ascii="宋体" w:hAnsi="宋体" w:cs="宋体" w:eastAsia="宋体" w:hint="default"/>
          <w:spacing w:val="-2"/>
          <w:w w:val="101"/>
        </w:rPr>
        <w:t>%</w:t>
      </w:r>
      <w:r>
        <w:rPr>
          <w:spacing w:val="-5"/>
          <w:w w:val="101"/>
        </w:rPr>
        <w:t>以</w:t>
      </w:r>
      <w:r>
        <w:rPr>
          <w:w w:val="101"/>
        </w:rPr>
        <w:t>上</w:t>
      </w:r>
      <w:r>
        <w:rPr>
          <w:spacing w:val="-5"/>
          <w:w w:val="101"/>
        </w:rPr>
        <w:t>股</w:t>
      </w:r>
      <w:r>
        <w:rPr>
          <w:w w:val="101"/>
        </w:rPr>
        <w:t>份</w:t>
      </w:r>
      <w:r>
        <w:rPr>
          <w:spacing w:val="-5"/>
          <w:w w:val="101"/>
        </w:rPr>
        <w:t>的</w:t>
      </w:r>
      <w:r>
        <w:rPr>
          <w:w w:val="101"/>
        </w:rPr>
        <w:t>股</w:t>
      </w:r>
      <w:r>
        <w:rPr>
          <w:spacing w:val="-5"/>
          <w:w w:val="101"/>
        </w:rPr>
        <w:t>东</w:t>
      </w:r>
      <w:r>
        <w:rPr>
          <w:w w:val="101"/>
        </w:rPr>
        <w:t>已</w:t>
      </w:r>
      <w:r>
        <w:rPr>
          <w:spacing w:val="-5"/>
          <w:w w:val="101"/>
        </w:rPr>
        <w:t>向公</w:t>
      </w:r>
      <w:r>
        <w:rPr>
          <w:spacing w:val="-5"/>
          <w:w w:val="101"/>
        </w:rPr>
        <w:t> </w:t>
      </w:r>
      <w:r>
        <w:rPr>
          <w:w w:val="101"/>
        </w:rPr>
        <w:t>司</w:t>
      </w:r>
      <w:r>
        <w:rPr>
          <w:spacing w:val="-5"/>
          <w:w w:val="101"/>
        </w:rPr>
        <w:t>出</w:t>
      </w:r>
      <w:r>
        <w:rPr>
          <w:w w:val="101"/>
        </w:rPr>
        <w:t>具</w:t>
      </w:r>
      <w:r>
        <w:rPr>
          <w:spacing w:val="-5"/>
          <w:w w:val="101"/>
        </w:rPr>
        <w:t>了</w:t>
      </w:r>
      <w:r>
        <w:rPr>
          <w:w w:val="101"/>
        </w:rPr>
        <w:t>《</w:t>
      </w:r>
      <w:r>
        <w:rPr>
          <w:spacing w:val="-5"/>
          <w:w w:val="101"/>
        </w:rPr>
        <w:t>避</w:t>
      </w:r>
      <w:r>
        <w:rPr>
          <w:w w:val="101"/>
        </w:rPr>
        <w:t>免</w:t>
      </w:r>
      <w:r>
        <w:rPr>
          <w:spacing w:val="-5"/>
          <w:w w:val="101"/>
        </w:rPr>
        <w:t>同</w:t>
      </w:r>
      <w:r>
        <w:rPr>
          <w:w w:val="101"/>
        </w:rPr>
        <w:t>业</w:t>
      </w:r>
      <w:r>
        <w:rPr>
          <w:spacing w:val="-5"/>
          <w:w w:val="101"/>
        </w:rPr>
        <w:t>竞</w:t>
      </w:r>
      <w:r>
        <w:rPr>
          <w:w w:val="101"/>
        </w:rPr>
        <w:t>争</w:t>
      </w:r>
      <w:r>
        <w:rPr>
          <w:spacing w:val="-5"/>
          <w:w w:val="101"/>
        </w:rPr>
        <w:t>的</w:t>
      </w:r>
      <w:r>
        <w:rPr>
          <w:w w:val="101"/>
        </w:rPr>
        <w:t>承</w:t>
      </w:r>
      <w:r>
        <w:rPr>
          <w:spacing w:val="-5"/>
          <w:w w:val="101"/>
        </w:rPr>
        <w:t>诺</w:t>
      </w:r>
      <w:r>
        <w:rPr>
          <w:w w:val="101"/>
        </w:rPr>
        <w:t>函</w:t>
      </w:r>
      <w:r>
        <w:rPr>
          <w:spacing w:val="-92"/>
          <w:w w:val="101"/>
        </w:rPr>
        <w:t>》</w:t>
      </w:r>
      <w:r>
        <w:rPr>
          <w:spacing w:val="-5"/>
          <w:w w:val="101"/>
        </w:rPr>
        <w:t>，</w:t>
      </w:r>
      <w:r>
        <w:rPr>
          <w:w w:val="101"/>
        </w:rPr>
        <w:t>承</w:t>
      </w:r>
      <w:r>
        <w:rPr>
          <w:spacing w:val="-5"/>
          <w:w w:val="101"/>
        </w:rPr>
        <w:t>诺</w:t>
      </w:r>
      <w:r>
        <w:rPr>
          <w:w w:val="101"/>
        </w:rPr>
        <w:t>不</w:t>
      </w:r>
      <w:r>
        <w:rPr>
          <w:spacing w:val="-5"/>
          <w:w w:val="101"/>
        </w:rPr>
        <w:t>从</w:t>
      </w:r>
      <w:r>
        <w:rPr>
          <w:w w:val="101"/>
        </w:rPr>
        <w:t>事</w:t>
      </w:r>
      <w:r>
        <w:rPr>
          <w:spacing w:val="-5"/>
          <w:w w:val="101"/>
        </w:rPr>
        <w:t>与</w:t>
      </w:r>
      <w:r>
        <w:rPr>
          <w:w w:val="101"/>
        </w:rPr>
        <w:t>公</w:t>
      </w:r>
      <w:r>
        <w:rPr>
          <w:spacing w:val="-5"/>
          <w:w w:val="101"/>
        </w:rPr>
        <w:t>司</w:t>
      </w:r>
      <w:r>
        <w:rPr>
          <w:w w:val="101"/>
        </w:rPr>
        <w:t>形</w:t>
      </w:r>
      <w:r>
        <w:rPr>
          <w:spacing w:val="-5"/>
          <w:w w:val="101"/>
        </w:rPr>
        <w:t>成</w:t>
      </w:r>
      <w:r>
        <w:rPr>
          <w:w w:val="101"/>
        </w:rPr>
        <w:t>竞</w:t>
      </w:r>
      <w:r>
        <w:rPr>
          <w:spacing w:val="-5"/>
          <w:w w:val="101"/>
        </w:rPr>
        <w:t>争</w:t>
      </w:r>
      <w:r>
        <w:rPr>
          <w:w w:val="101"/>
        </w:rPr>
        <w:t>关</w:t>
      </w:r>
      <w:r>
        <w:rPr>
          <w:spacing w:val="-5"/>
          <w:w w:val="101"/>
        </w:rPr>
        <w:t>系</w:t>
      </w:r>
      <w:r>
        <w:rPr>
          <w:w w:val="101"/>
        </w:rPr>
        <w:t>的</w:t>
      </w:r>
      <w:r>
        <w:rPr>
          <w:spacing w:val="-5"/>
          <w:w w:val="101"/>
        </w:rPr>
        <w:t>相</w:t>
      </w:r>
      <w:r>
        <w:rPr>
          <w:w w:val="101"/>
        </w:rPr>
        <w:t>关</w:t>
      </w:r>
      <w:r>
        <w:rPr>
          <w:spacing w:val="-5"/>
          <w:w w:val="101"/>
        </w:rPr>
        <w:t>业</w:t>
      </w:r>
      <w:r>
        <w:rPr>
          <w:w w:val="101"/>
        </w:rPr>
        <w:t>务</w:t>
      </w:r>
      <w:r>
        <w:rPr>
          <w:spacing w:val="-6"/>
          <w:w w:val="101"/>
        </w:rPr>
        <w:t>。</w:t>
      </w:r>
      <w:r>
        <w:rPr>
          <w:rFonts w:ascii="宋体" w:hAnsi="宋体" w:cs="宋体" w:eastAsia="宋体" w:hint="default"/>
          <w:w w:val="101"/>
        </w:rPr>
        <w:t> </w:t>
      </w:r>
      <w:r>
        <w:rPr>
          <w:rFonts w:ascii="宋体" w:hAnsi="宋体" w:cs="宋体" w:eastAsia="宋体" w:hint="default"/>
        </w:rPr>
      </w:r>
    </w:p>
    <w:p>
      <w:pPr>
        <w:pStyle w:val="BodyText"/>
        <w:spacing w:line="316" w:lineRule="auto" w:before="18"/>
        <w:ind w:left="512" w:right="0"/>
        <w:jc w:val="left"/>
      </w:pPr>
      <w:r>
        <w:rPr>
          <w:rFonts w:ascii="宋体" w:hAnsi="宋体" w:cs="宋体" w:eastAsia="宋体" w:hint="default"/>
          <w:b/>
          <w:bCs/>
        </w:rPr>
        <w:t>（二）人员独立情况</w:t>
      </w:r>
      <w:r>
        <w:rPr>
          <w:rFonts w:ascii="宋体" w:hAnsi="宋体" w:cs="宋体" w:eastAsia="宋体" w:hint="default"/>
          <w:b/>
          <w:bCs/>
          <w:w w:val="100"/>
        </w:rPr>
        <w:t> </w:t>
      </w:r>
      <w:r>
        <w:rPr>
          <w:spacing w:val="-5"/>
        </w:rPr>
        <w:t>公司与全体在册职工分别签订了劳动合同，员工的劳动、人事、工资关系完全与关联方独立；公司董事、监事及高级管</w:t>
      </w:r>
      <w:r>
        <w:rPr/>
      </w:r>
    </w:p>
    <w:p>
      <w:pPr>
        <w:pStyle w:val="BodyText"/>
        <w:spacing w:line="316" w:lineRule="auto" w:before="19"/>
        <w:ind w:right="154"/>
        <w:jc w:val="both"/>
        <w:rPr>
          <w:rFonts w:ascii="宋体" w:hAnsi="宋体" w:cs="宋体" w:eastAsia="宋体" w:hint="default"/>
        </w:rPr>
      </w:pPr>
      <w:r>
        <w:rPr>
          <w:spacing w:val="-6"/>
          <w:w w:val="101"/>
        </w:rPr>
        <w:t>理人员严格按照《公司法》、《公司章程》的有关规定选举产生</w:t>
      </w:r>
      <w:r>
        <w:rPr>
          <w:rFonts w:ascii="宋体" w:hAnsi="宋体" w:cs="宋体" w:eastAsia="宋体" w:hint="default"/>
          <w:spacing w:val="-6"/>
          <w:w w:val="101"/>
        </w:rPr>
        <w:t>;</w:t>
      </w:r>
      <w:r>
        <w:rPr>
          <w:spacing w:val="-6"/>
          <w:w w:val="101"/>
        </w:rPr>
        <w:t>公司的总经理、副总经理、财务负责人和董事会秘书等高级</w:t>
      </w:r>
      <w:r>
        <w:rPr>
          <w:spacing w:val="-76"/>
          <w:w w:val="101"/>
        </w:rPr>
        <w:t> </w:t>
      </w:r>
      <w:r>
        <w:rPr>
          <w:spacing w:val="-76"/>
          <w:w w:val="101"/>
        </w:rPr>
      </w:r>
      <w:r>
        <w:rPr>
          <w:spacing w:val="-5"/>
        </w:rPr>
        <w:t>管理人员未在共同实际控制人及其控制的其他企业中担任除董事、监事以外的其他职务，未在共同实际控制人及其控制的其</w:t>
      </w:r>
      <w:r>
        <w:rPr>
          <w:spacing w:val="2"/>
        </w:rPr>
        <w:t> </w:t>
      </w:r>
      <w:r>
        <w:rPr>
          <w:spacing w:val="2"/>
        </w:rPr>
      </w:r>
      <w:r>
        <w:rPr>
          <w:spacing w:val="-3"/>
        </w:rPr>
        <w:t>他企业领薪；公司的财务人员未在共同实际控制人及其控制的其他企业中兼职。</w:t>
      </w:r>
      <w:r>
        <w:rPr>
          <w:rFonts w:ascii="宋体" w:hAnsi="宋体" w:cs="宋体" w:eastAsia="宋体" w:hint="default"/>
        </w:rPr>
        <w:t> </w:t>
      </w:r>
    </w:p>
    <w:p>
      <w:pPr>
        <w:pStyle w:val="BodyText"/>
        <w:spacing w:line="316" w:lineRule="auto" w:before="18"/>
        <w:ind w:left="512" w:right="0"/>
        <w:jc w:val="left"/>
      </w:pPr>
      <w:r>
        <w:rPr>
          <w:rFonts w:ascii="宋体" w:hAnsi="宋体" w:cs="宋体" w:eastAsia="宋体" w:hint="default"/>
          <w:b/>
          <w:bCs/>
        </w:rPr>
        <w:t>（三）资产完整情况</w:t>
      </w:r>
      <w:r>
        <w:rPr>
          <w:rFonts w:ascii="宋体" w:hAnsi="宋体" w:cs="宋体" w:eastAsia="宋体" w:hint="default"/>
          <w:b/>
          <w:bCs/>
          <w:w w:val="100"/>
        </w:rPr>
        <w:t> </w:t>
      </w:r>
      <w:r>
        <w:rPr>
          <w:spacing w:val="-5"/>
        </w:rPr>
        <w:t>公司具备与经营有关的业务体系及主要相关资产，合法拥有主要软、硬件设备以及商标、专利、非专利技术等的所有权</w:t>
      </w:r>
    </w:p>
    <w:p>
      <w:pPr>
        <w:pStyle w:val="BodyText"/>
        <w:spacing w:line="316" w:lineRule="auto" w:before="19"/>
        <w:ind w:right="0"/>
        <w:jc w:val="left"/>
        <w:rPr>
          <w:rFonts w:ascii="宋体" w:hAnsi="宋体" w:cs="宋体" w:eastAsia="宋体" w:hint="default"/>
        </w:rPr>
      </w:pPr>
      <w:r>
        <w:rPr>
          <w:spacing w:val="-5"/>
        </w:rPr>
        <w:t>或者使用权，具有独立的采购、制作和销售系统，目前不存在依赖股东的资产进行生产经营的情况，不存在关联方违规占用</w:t>
      </w:r>
      <w:r>
        <w:rPr>
          <w:spacing w:val="4"/>
        </w:rPr>
        <w:t> </w:t>
      </w:r>
      <w:r>
        <w:rPr>
          <w:spacing w:val="4"/>
        </w:rPr>
      </w:r>
      <w:r>
        <w:rPr>
          <w:spacing w:val="-3"/>
        </w:rPr>
        <w:t>公司资金、资产和其他资源的情形。</w:t>
      </w:r>
      <w:r>
        <w:rPr>
          <w:rFonts w:ascii="宋体" w:hAnsi="宋体" w:cs="宋体" w:eastAsia="宋体" w:hint="default"/>
        </w:rPr>
        <w:t> </w:t>
      </w:r>
    </w:p>
    <w:p>
      <w:pPr>
        <w:pStyle w:val="BodyText"/>
        <w:spacing w:line="316" w:lineRule="auto" w:before="18"/>
        <w:ind w:left="512" w:right="0"/>
        <w:jc w:val="left"/>
      </w:pPr>
      <w:r>
        <w:rPr>
          <w:rFonts w:ascii="宋体" w:hAnsi="宋体" w:cs="宋体" w:eastAsia="宋体" w:hint="default"/>
          <w:b/>
          <w:bCs/>
        </w:rPr>
        <w:t>（四）机构独立情况</w:t>
      </w:r>
      <w:r>
        <w:rPr>
          <w:rFonts w:ascii="宋体" w:hAnsi="宋体" w:cs="宋体" w:eastAsia="宋体" w:hint="default"/>
          <w:b/>
          <w:bCs/>
          <w:w w:val="100"/>
        </w:rPr>
        <w:t> </w:t>
      </w:r>
      <w:r>
        <w:rPr>
          <w:spacing w:val="-5"/>
        </w:rPr>
        <w:t>公司建立了健全的法人治理结构，设置了股东大会、董事会、监事会等决策及监督机构，同时建立了独立完整的内部组</w:t>
      </w:r>
    </w:p>
    <w:p>
      <w:pPr>
        <w:pStyle w:val="BodyText"/>
        <w:spacing w:line="316" w:lineRule="auto" w:before="19"/>
        <w:ind w:right="0"/>
        <w:jc w:val="left"/>
        <w:rPr>
          <w:rFonts w:ascii="宋体" w:hAnsi="宋体" w:cs="宋体" w:eastAsia="宋体" w:hint="default"/>
        </w:rPr>
      </w:pPr>
      <w:r>
        <w:rPr>
          <w:spacing w:val="-4"/>
        </w:rPr>
        <w:t>织机构，各机构按照相关规定在各自职责范围内独立决策、规范运作。公司独立行使经营管理职权，与控股股东及其控制的</w:t>
      </w:r>
      <w:r>
        <w:rPr>
          <w:spacing w:val="40"/>
        </w:rPr>
        <w:t> </w:t>
      </w:r>
      <w:r>
        <w:rPr>
          <w:spacing w:val="40"/>
        </w:rPr>
      </w:r>
      <w:r>
        <w:rPr>
          <w:spacing w:val="-3"/>
        </w:rPr>
        <w:t>其他企业完全分开，不存在合署办公、机构混同的情况。</w:t>
      </w:r>
      <w:r>
        <w:rPr>
          <w:rFonts w:ascii="宋体" w:hAnsi="宋体" w:cs="宋体" w:eastAsia="宋体" w:hint="default"/>
        </w:rPr>
        <w:t> </w:t>
      </w:r>
    </w:p>
    <w:p>
      <w:pPr>
        <w:pStyle w:val="BodyText"/>
        <w:spacing w:line="316" w:lineRule="auto" w:before="18"/>
        <w:ind w:left="512" w:right="0"/>
        <w:jc w:val="left"/>
      </w:pPr>
      <w:r>
        <w:rPr>
          <w:rFonts w:ascii="宋体" w:hAnsi="宋体" w:cs="宋体" w:eastAsia="宋体" w:hint="default"/>
          <w:b/>
          <w:bCs/>
        </w:rPr>
        <w:t>（五）财务独立情况</w:t>
      </w:r>
      <w:r>
        <w:rPr>
          <w:rFonts w:ascii="宋体" w:hAnsi="宋体" w:cs="宋体" w:eastAsia="宋体" w:hint="default"/>
          <w:b/>
          <w:bCs/>
          <w:w w:val="100"/>
        </w:rPr>
        <w:t> </w:t>
      </w:r>
      <w:r>
        <w:rPr>
          <w:spacing w:val="-4"/>
        </w:rPr>
        <w:t>公司已建立独立的财务核算体系、能够独立作出财务决策、具有规范的财务会计制度和对分公司、子公司的财务管理制</w:t>
      </w:r>
    </w:p>
    <w:p>
      <w:pPr>
        <w:pStyle w:val="BodyText"/>
        <w:spacing w:line="316" w:lineRule="auto" w:before="19"/>
        <w:ind w:right="0"/>
        <w:jc w:val="left"/>
        <w:rPr>
          <w:rFonts w:ascii="宋体" w:hAnsi="宋体" w:cs="宋体" w:eastAsia="宋体" w:hint="default"/>
        </w:rPr>
      </w:pPr>
      <w:r>
        <w:rPr>
          <w:spacing w:val="-4"/>
        </w:rPr>
        <w:t>度；公司未与共同实际控制人及其控制的其他企业共用银行账户；公司设立了独立的财务部门，配备了专职财务人员；公司</w:t>
      </w:r>
      <w:r>
        <w:rPr>
          <w:spacing w:val="40"/>
        </w:rPr>
        <w:t> </w:t>
      </w:r>
      <w:r>
        <w:rPr>
          <w:spacing w:val="40"/>
        </w:rPr>
      </w:r>
      <w:r>
        <w:rPr>
          <w:spacing w:val="-3"/>
        </w:rPr>
        <w:t>作为独立的纳税人，依法独立纳税。</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both"/>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91"/>
        <w:gridCol w:w="1406"/>
        <w:gridCol w:w="1488"/>
        <w:gridCol w:w="1920"/>
        <w:gridCol w:w="1267"/>
        <w:gridCol w:w="1594"/>
      </w:tblGrid>
      <w:tr>
        <w:trPr>
          <w:trHeight w:val="398" w:hRule="exact"/>
        </w:trPr>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pacing w:val="-3"/>
                <w:sz w:val="18"/>
                <w:szCs w:val="18"/>
              </w:rPr>
              <w:t>投资者参与比例</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8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年年度股东大会</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53"/>
              <w:ind w:left="705" w:right="160" w:hanging="543"/>
              <w:jc w:val="left"/>
              <w:rPr>
                <w:rFonts w:ascii="宋体" w:hAnsi="宋体" w:cs="宋体" w:eastAsia="宋体" w:hint="default"/>
                <w:sz w:val="18"/>
                <w:szCs w:val="18"/>
              </w:rPr>
            </w:pPr>
            <w:r>
              <w:rPr>
                <w:rFonts w:ascii="宋体" w:hAnsi="宋体" w:cs="宋体" w:eastAsia="宋体" w:hint="default"/>
                <w:spacing w:val="-3"/>
                <w:sz w:val="18"/>
                <w:szCs w:val="18"/>
              </w:rPr>
              <w:t>上市前未公开披</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露</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784" w:footer="1027" w:top="1100" w:bottom="1220" w:left="980" w:right="98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6"/>
        <w:gridCol w:w="1162"/>
        <w:gridCol w:w="1166"/>
        <w:gridCol w:w="1162"/>
        <w:gridCol w:w="1162"/>
        <w:gridCol w:w="1162"/>
        <w:gridCol w:w="1166"/>
      </w:tblGrid>
      <w:tr>
        <w:trPr>
          <w:trHeight w:val="398"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r>
              <w:rPr>
                <w:rFonts w:ascii="宋体" w:hAnsi="宋体" w:cs="宋体" w:eastAsia="宋体" w:hint="default"/>
                <w:sz w:val="18"/>
                <w:szCs w:val="18"/>
              </w:rPr>
            </w:r>
          </w:p>
        </w:tc>
      </w:tr>
      <w:tr>
        <w:trPr>
          <w:trHeight w:val="1339"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29" w:right="127"/>
              <w:jc w:val="center"/>
              <w:rPr>
                <w:rFonts w:ascii="宋体" w:hAnsi="宋体" w:cs="宋体" w:eastAsia="宋体" w:hint="default"/>
                <w:sz w:val="18"/>
                <w:szCs w:val="18"/>
              </w:rPr>
            </w:pPr>
            <w:r>
              <w:rPr>
                <w:rFonts w:ascii="宋体" w:hAnsi="宋体" w:cs="宋体" w:eastAsia="宋体" w:hint="default"/>
                <w:spacing w:val="-3"/>
                <w:sz w:val="18"/>
                <w:szCs w:val="18"/>
              </w:rPr>
              <w:t>本报告期应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15" w:right="122" w:hanging="87"/>
              <w:jc w:val="left"/>
              <w:rPr>
                <w:rFonts w:ascii="宋体" w:hAnsi="宋体" w:cs="宋体" w:eastAsia="宋体" w:hint="default"/>
                <w:sz w:val="18"/>
                <w:szCs w:val="18"/>
              </w:rPr>
            </w:pPr>
            <w:r>
              <w:rPr>
                <w:rFonts w:ascii="宋体" w:hAnsi="宋体" w:cs="宋体" w:eastAsia="宋体" w:hint="default"/>
                <w:spacing w:val="-3"/>
                <w:sz w:val="18"/>
                <w:szCs w:val="18"/>
              </w:rPr>
              <w:t>现场出席董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29" w:right="127"/>
              <w:jc w:val="center"/>
              <w:rPr>
                <w:rFonts w:ascii="宋体" w:hAnsi="宋体" w:cs="宋体" w:eastAsia="宋体" w:hint="default"/>
                <w:sz w:val="18"/>
                <w:szCs w:val="18"/>
              </w:rPr>
            </w:pPr>
            <w:r>
              <w:rPr>
                <w:rFonts w:ascii="宋体" w:hAnsi="宋体" w:cs="宋体" w:eastAsia="宋体" w:hint="default"/>
                <w:spacing w:val="-3"/>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11" w:right="127" w:hanging="87"/>
              <w:jc w:val="left"/>
              <w:rPr>
                <w:rFonts w:ascii="宋体" w:hAnsi="宋体" w:cs="宋体" w:eastAsia="宋体" w:hint="default"/>
                <w:sz w:val="18"/>
                <w:szCs w:val="18"/>
              </w:rPr>
            </w:pPr>
            <w:r>
              <w:rPr>
                <w:rFonts w:ascii="宋体" w:hAnsi="宋体" w:cs="宋体" w:eastAsia="宋体" w:hint="default"/>
                <w:spacing w:val="-3"/>
                <w:sz w:val="18"/>
                <w:szCs w:val="18"/>
              </w:rPr>
              <w:t>委托出席董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398" w:right="122" w:hanging="269"/>
              <w:jc w:val="left"/>
              <w:rPr>
                <w:rFonts w:ascii="宋体" w:hAnsi="宋体" w:cs="宋体" w:eastAsia="宋体" w:hint="default"/>
                <w:sz w:val="18"/>
                <w:szCs w:val="18"/>
              </w:rPr>
            </w:pPr>
            <w:r>
              <w:rPr>
                <w:rFonts w:ascii="宋体" w:hAnsi="宋体" w:cs="宋体" w:eastAsia="宋体" w:hint="default"/>
                <w:spacing w:val="-3"/>
                <w:sz w:val="18"/>
                <w:szCs w:val="18"/>
              </w:rPr>
              <w:t>缺席董事会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3"/>
              <w:ind w:left="129" w:right="122"/>
              <w:jc w:val="center"/>
              <w:rPr>
                <w:rFonts w:ascii="宋体" w:hAnsi="宋体" w:cs="宋体" w:eastAsia="宋体" w:hint="default"/>
                <w:sz w:val="18"/>
                <w:szCs w:val="18"/>
              </w:rPr>
            </w:pPr>
            <w:r>
              <w:rPr>
                <w:rFonts w:ascii="宋体" w:hAnsi="宋体" w:cs="宋体" w:eastAsia="宋体" w:hint="default"/>
                <w:spacing w:val="-3"/>
                <w:sz w:val="18"/>
                <w:szCs w:val="18"/>
              </w:rPr>
              <w:t>是否连续两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次未亲自参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加董事会会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307" w:right="127" w:hanging="178"/>
              <w:jc w:val="left"/>
              <w:rPr>
                <w:rFonts w:ascii="宋体" w:hAnsi="宋体" w:cs="宋体" w:eastAsia="宋体" w:hint="default"/>
                <w:sz w:val="18"/>
                <w:szCs w:val="18"/>
              </w:rPr>
            </w:pPr>
            <w:r>
              <w:rPr>
                <w:rFonts w:ascii="宋体" w:hAnsi="宋体" w:cs="宋体" w:eastAsia="宋体" w:hint="default"/>
                <w:spacing w:val="-3"/>
                <w:sz w:val="18"/>
                <w:szCs w:val="18"/>
              </w:rPr>
              <w:t>出席股东大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会次数</w:t>
            </w:r>
            <w:r>
              <w:rPr>
                <w:rFonts w:ascii="宋体" w:hAnsi="宋体" w:cs="宋体" w:eastAsia="宋体" w:hint="default"/>
                <w:sz w:val="18"/>
                <w:szCs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李新首</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7"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刘定华</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7"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4"/>
                <w:sz w:val="18"/>
                <w:szCs w:val="18"/>
              </w:rPr>
              <w:t>饶卫雄</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7"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6663"/>
        <w:jc w:val="left"/>
      </w:pPr>
      <w:r>
        <w:rPr>
          <w:spacing w:val="-3"/>
        </w:rPr>
        <w:t>独立董事对公司有关事项是否提出异议</w:t>
      </w:r>
      <w:r>
        <w:rPr/>
      </w:r>
    </w:p>
    <w:p>
      <w:pPr>
        <w:pStyle w:val="BodyText"/>
        <w:spacing w:line="357" w:lineRule="auto" w:before="115"/>
        <w:ind w:right="5152"/>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报告期内独立董事对公司有关事项未提出异议。</w:t>
      </w:r>
      <w:r>
        <w:rPr/>
      </w:r>
    </w:p>
    <w:p>
      <w:pPr>
        <w:spacing w:line="240" w:lineRule="auto" w:before="12"/>
        <w:rPr>
          <w:rFonts w:ascii="宋体" w:hAnsi="宋体" w:cs="宋体" w:eastAsia="宋体" w:hint="default"/>
          <w:sz w:val="19"/>
          <w:szCs w:val="19"/>
        </w:rPr>
      </w:pPr>
    </w:p>
    <w:p>
      <w:pPr>
        <w:pStyle w:val="Heading4"/>
        <w:spacing w:line="240" w:lineRule="auto"/>
        <w:ind w:right="6663"/>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6663"/>
        <w:jc w:val="left"/>
      </w:pPr>
      <w:r>
        <w:rPr>
          <w:spacing w:val="-3"/>
        </w:rPr>
        <w:t>独立董事对公司有关建议是否被采纳</w:t>
      </w:r>
    </w:p>
    <w:p>
      <w:pPr>
        <w:pStyle w:val="BodyText"/>
        <w:spacing w:line="357" w:lineRule="auto" w:before="115"/>
        <w:ind w:right="5152" w:hanging="1"/>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独立董事对公司有关建议被采纳或未被采纳的说明</w:t>
      </w:r>
    </w:p>
    <w:p>
      <w:pPr>
        <w:pStyle w:val="BodyText"/>
        <w:spacing w:line="316" w:lineRule="auto" w:before="26"/>
        <w:ind w:left="153" w:right="184" w:firstLine="359"/>
        <w:jc w:val="both"/>
      </w:pPr>
      <w:r>
        <w:rPr>
          <w:spacing w:val="-8"/>
          <w:w w:val="101"/>
        </w:rPr>
        <w:t>报告期内，独立董事提出的积极合理的建议均被公司采纳。公司独立董事勤勉尽责，严格按照《公司法》、《独立董事工</w:t>
      </w:r>
      <w:r>
        <w:rPr>
          <w:spacing w:val="-5"/>
          <w:w w:val="101"/>
        </w:rPr>
        <w:t> </w:t>
      </w:r>
      <w:r>
        <w:rPr>
          <w:spacing w:val="-4"/>
        </w:rPr>
        <w:t>作细则》及《公司章程》等相关法律法规的要求履行职责，按期出席董事会和股东大会，会议期间认真审议各项议案并提出</w:t>
      </w:r>
      <w:r>
        <w:rPr>
          <w:spacing w:val="40"/>
        </w:rPr>
        <w:t> </w:t>
      </w:r>
      <w:r>
        <w:rPr>
          <w:spacing w:val="40"/>
        </w:rPr>
      </w:r>
      <w:r>
        <w:rPr>
          <w:spacing w:val="-3"/>
        </w:rPr>
        <w:t>了合理的建议，为完善公司监督机制、维护公司及全体股东的合法权益发挥了积极作用。</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0" w:firstLine="359"/>
        <w:jc w:val="left"/>
        <w:rPr>
          <w:rFonts w:ascii="宋体" w:hAnsi="宋体" w:cs="宋体" w:eastAsia="宋体" w:hint="default"/>
        </w:rPr>
      </w:pPr>
      <w:r>
        <w:rPr>
          <w:spacing w:val="-3"/>
        </w:rPr>
        <w:t>公司董事会下设审计委员会、战略委员会和提名与薪酬委员会三个专门委员会，各委员会分别由</w:t>
      </w:r>
      <w:r>
        <w:rPr>
          <w:rFonts w:ascii="宋体" w:hAnsi="宋体" w:cs="宋体" w:eastAsia="宋体" w:hint="default"/>
          <w:spacing w:val="-3"/>
        </w:rPr>
        <w:t>3</w:t>
      </w:r>
      <w:r>
        <w:rPr>
          <w:spacing w:val="-3"/>
        </w:rPr>
        <w:t>人组成，委员会人数</w:t>
      </w:r>
      <w:r>
        <w:rPr>
          <w:spacing w:val="-5"/>
          <w:w w:val="101"/>
        </w:rPr>
        <w:t> </w:t>
      </w:r>
      <w:r>
        <w:rPr>
          <w:spacing w:val="-4"/>
          <w:w w:val="101"/>
        </w:rPr>
        <w:t>及人员构成符合法律法规及公司章程的要求。报告期内，各委员会严格按照相关法律法规、《公司章程》等有关规定，认真</w:t>
      </w:r>
      <w:r>
        <w:rPr>
          <w:w w:val="101"/>
        </w:rPr>
        <w:t> </w:t>
      </w:r>
      <w:r>
        <w:rPr>
          <w:spacing w:val="-3"/>
        </w:rPr>
        <w:t>履行职责，对公司年度财务决算报告、续聘会计师事务所等事项进行了审议并同意提交董事会审议；利用自身的专业优势，</w:t>
      </w:r>
      <w:r>
        <w:rPr>
          <w:spacing w:val="60"/>
        </w:rPr>
        <w:t> </w:t>
      </w:r>
      <w:r>
        <w:rPr>
          <w:spacing w:val="60"/>
        </w:rPr>
      </w:r>
      <w:r>
        <w:rPr>
          <w:spacing w:val="-3"/>
        </w:rPr>
        <w:t>积极参与公司未来战略、内控等事项的研讨并提出建议，充分发挥了专门委员会的作用，有利于公司持续、稳定的发展。</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w w:val="101"/>
        </w:rPr>
        <w:t> </w:t>
      </w:r>
      <w:r>
        <w:rPr>
          <w:rFonts w:ascii="宋体"/>
        </w:rPr>
      </w:r>
    </w:p>
    <w:p>
      <w:pPr>
        <w:spacing w:line="240" w:lineRule="auto" w:before="9"/>
        <w:rPr>
          <w:rFonts w:ascii="宋体" w:hAnsi="宋体" w:cs="宋体" w:eastAsia="宋体" w:hint="default"/>
          <w:sz w:val="24"/>
          <w:szCs w:val="24"/>
        </w:rPr>
      </w:pPr>
    </w:p>
    <w:p>
      <w:pPr>
        <w:pStyle w:val="Heading2"/>
        <w:spacing w:line="240" w:lineRule="auto"/>
        <w:ind w:right="6663"/>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监事会在报告期内的监督活动中发现公司是否存在风险</w:t>
      </w:r>
    </w:p>
    <w:p>
      <w:pPr>
        <w:pStyle w:val="BodyText"/>
        <w:spacing w:line="362" w:lineRule="auto" w:before="115"/>
        <w:ind w:right="5507" w:hanging="1"/>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公司监事会对报告期内的监督事项无异议。</w:t>
      </w:r>
      <w:r>
        <w:rPr/>
      </w:r>
    </w:p>
    <w:p>
      <w:pPr>
        <w:spacing w:after="0" w:line="362" w:lineRule="auto"/>
        <w:jc w:val="left"/>
        <w:sectPr>
          <w:pgSz w:w="11910" w:h="16840"/>
          <w:pgMar w:header="784" w:footer="1027" w:top="1100" w:bottom="1220" w:left="980" w:right="94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0" w:firstLine="360"/>
        <w:jc w:val="left"/>
      </w:pPr>
      <w:r>
        <w:rPr>
          <w:spacing w:val="-5"/>
          <w:w w:val="101"/>
        </w:rPr>
        <w:t>公司建立了完善的高级管理人员绩效考评体系和薪酬制度，公司高级管理人员的考评实行基本薪酬与工作绩效挂钩的激 </w:t>
      </w:r>
      <w:r>
        <w:rPr>
          <w:spacing w:val="-3"/>
        </w:rPr>
        <w:t>励与约束机制，依据其所处岗位的工作范围、职责及绩效考核结果来确定。</w:t>
      </w:r>
    </w:p>
    <w:p>
      <w:pPr>
        <w:spacing w:line="240" w:lineRule="auto" w:before="2"/>
        <w:rPr>
          <w:rFonts w:ascii="宋体" w:hAnsi="宋体" w:cs="宋体" w:eastAsia="宋体" w:hint="default"/>
          <w:sz w:val="13"/>
          <w:szCs w:val="13"/>
        </w:rPr>
      </w:pPr>
    </w:p>
    <w:p>
      <w:pPr>
        <w:pStyle w:val="BodyText"/>
        <w:spacing w:line="316" w:lineRule="auto"/>
        <w:ind w:right="0" w:firstLine="360"/>
        <w:jc w:val="left"/>
        <w:rPr>
          <w:rFonts w:ascii="宋体" w:hAnsi="宋体" w:cs="宋体" w:eastAsia="宋体" w:hint="default"/>
        </w:rPr>
      </w:pPr>
      <w:r>
        <w:rPr>
          <w:spacing w:val="-5"/>
        </w:rPr>
        <w:t>公司董事会下设的提名与薪酬委员会根据高级管理人员的年终述职、工作能力、履职能力、目标完成情况等，同时结合</w:t>
      </w:r>
      <w:r>
        <w:rPr>
          <w:spacing w:val="-5"/>
          <w:w w:val="101"/>
        </w:rPr>
        <w:t> </w:t>
      </w:r>
      <w:r>
        <w:rPr>
          <w:spacing w:val="-3"/>
        </w:rPr>
        <w:t>公司年度实际经营情况，对高级管理人员进行年终绩效考核评定，最终制定相应的薪酬方案并报董事会批准。</w:t>
      </w:r>
      <w:r>
        <w:rPr>
          <w:rFonts w:ascii="宋体" w:hAnsi="宋体" w:cs="宋体" w:eastAsia="宋体" w:hint="default"/>
        </w:rPr>
        <w:t> </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3"/>
        <w:gridCol w:w="3325"/>
        <w:gridCol w:w="3048"/>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0"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3"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3"/>
              <w:ind w:left="104" w:right="14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日在巨潮资讯网披露的湖南科创信息技术股份有限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年度内部控制自我评价报告》</w:t>
            </w:r>
            <w:r>
              <w:rPr>
                <w:rFonts w:ascii="宋体" w:hAnsi="宋体" w:cs="宋体" w:eastAsia="宋体" w:hint="default"/>
                <w:sz w:val="18"/>
                <w:szCs w:val="18"/>
              </w:rPr>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非财务报告</w:t>
            </w:r>
            <w:r>
              <w:rPr>
                <w:rFonts w:ascii="宋体" w:hAnsi="宋体" w:cs="宋体" w:eastAsia="宋体" w:hint="default"/>
                <w:sz w:val="18"/>
                <w:szCs w:val="18"/>
              </w:rPr>
            </w:r>
          </w:p>
        </w:tc>
      </w:tr>
      <w:tr>
        <w:trPr>
          <w:trHeight w:val="5669"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4" w:lineRule="auto" w:before="53"/>
              <w:ind w:left="104" w:right="103"/>
              <w:jc w:val="both"/>
              <w:rPr>
                <w:rFonts w:ascii="宋体" w:hAnsi="宋体" w:cs="宋体" w:eastAsia="宋体" w:hint="default"/>
                <w:sz w:val="18"/>
                <w:szCs w:val="18"/>
              </w:rPr>
            </w:pP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、重大缺陷的认定标准：（</w:t>
            </w: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）控制环境</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8"/>
                <w:w w:val="101"/>
                <w:sz w:val="18"/>
                <w:szCs w:val="18"/>
              </w:rPr>
              <w:t>无效；（</w:t>
            </w:r>
            <w:r>
              <w:rPr>
                <w:rFonts w:ascii="Times New Roman" w:hAnsi="Times New Roman" w:cs="Times New Roman" w:eastAsia="Times New Roman" w:hint="default"/>
                <w:spacing w:val="-8"/>
                <w:w w:val="101"/>
                <w:sz w:val="18"/>
                <w:szCs w:val="18"/>
              </w:rPr>
              <w:t>2</w:t>
            </w:r>
            <w:r>
              <w:rPr>
                <w:rFonts w:ascii="宋体" w:hAnsi="宋体" w:cs="宋体" w:eastAsia="宋体" w:hint="default"/>
                <w:spacing w:val="-8"/>
                <w:w w:val="101"/>
                <w:sz w:val="18"/>
                <w:szCs w:val="18"/>
              </w:rPr>
              <w:t>）公司董事、监事和高级管理</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8"/>
                <w:w w:val="101"/>
                <w:sz w:val="18"/>
                <w:szCs w:val="18"/>
              </w:rPr>
              <w:t>人员的舞弊行为；（</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）当期财务报表存</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在重大错报，而内部控制在运行过程中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未能发现该错报；（</w:t>
            </w:r>
            <w:r>
              <w:rPr>
                <w:rFonts w:ascii="Times New Roman" w:hAnsi="Times New Roman" w:cs="Times New Roman" w:eastAsia="Times New Roman" w:hint="default"/>
                <w:spacing w:val="-8"/>
                <w:w w:val="101"/>
                <w:sz w:val="18"/>
                <w:szCs w:val="18"/>
              </w:rPr>
              <w:t>4</w:t>
            </w:r>
            <w:r>
              <w:rPr>
                <w:rFonts w:ascii="宋体" w:hAnsi="宋体" w:cs="宋体" w:eastAsia="宋体" w:hint="default"/>
                <w:spacing w:val="-8"/>
                <w:w w:val="101"/>
                <w:sz w:val="18"/>
                <w:szCs w:val="18"/>
              </w:rPr>
              <w:t>）对已经公告的财</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务报告出现的重大差错进行错报更正；</w:t>
            </w:r>
          </w:p>
          <w:p>
            <w:pPr>
              <w:pStyle w:val="TableParagraph"/>
              <w:spacing w:line="309" w:lineRule="auto" w:before="28"/>
              <w:ind w:left="104" w:right="10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）已经发现并报告给管理层的重大缺</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8"/>
                <w:w w:val="101"/>
                <w:sz w:val="18"/>
                <w:szCs w:val="18"/>
              </w:rPr>
              <w:t>陷在合理的时间内未加以改正；（</w:t>
            </w:r>
            <w:r>
              <w:rPr>
                <w:rFonts w:ascii="Times New Roman" w:hAnsi="Times New Roman" w:cs="Times New Roman" w:eastAsia="Times New Roman" w:hint="default"/>
                <w:spacing w:val="-8"/>
                <w:w w:val="101"/>
                <w:sz w:val="18"/>
                <w:szCs w:val="18"/>
              </w:rPr>
              <w:t>6</w:t>
            </w:r>
            <w:r>
              <w:rPr>
                <w:rFonts w:ascii="宋体" w:hAnsi="宋体" w:cs="宋体" w:eastAsia="宋体" w:hint="default"/>
                <w:spacing w:val="-8"/>
                <w:w w:val="101"/>
                <w:sz w:val="18"/>
                <w:szCs w:val="18"/>
              </w:rPr>
              <w:t>）审</w:t>
            </w:r>
            <w:r>
              <w:rPr>
                <w:rFonts w:ascii="宋体" w:hAnsi="宋体" w:cs="宋体" w:eastAsia="宋体" w:hint="default"/>
                <w:spacing w:val="-86"/>
                <w:w w:val="101"/>
                <w:sz w:val="18"/>
                <w:szCs w:val="18"/>
              </w:rPr>
              <w:t> </w:t>
            </w:r>
            <w:r>
              <w:rPr>
                <w:rFonts w:ascii="宋体" w:hAnsi="宋体" w:cs="宋体" w:eastAsia="宋体" w:hint="default"/>
                <w:spacing w:val="-3"/>
                <w:sz w:val="18"/>
                <w:szCs w:val="18"/>
              </w:rPr>
              <w:t>计委员会和内部审计部对公司的内部控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制监督无效。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、重要缺陷的认定标准：（</w:t>
            </w: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）未依照公</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8"/>
                <w:w w:val="101"/>
                <w:sz w:val="18"/>
                <w:szCs w:val="18"/>
              </w:rPr>
              <w:t>认会计准则选择和应用会计政策；（</w:t>
            </w:r>
            <w:r>
              <w:rPr>
                <w:rFonts w:ascii="Times New Roman" w:hAnsi="Times New Roman" w:cs="Times New Roman" w:eastAsia="Times New Roman" w:hint="default"/>
                <w:spacing w:val="-8"/>
                <w:w w:val="101"/>
                <w:sz w:val="18"/>
                <w:szCs w:val="18"/>
              </w:rPr>
              <w:t>2</w:t>
            </w:r>
            <w:r>
              <w:rPr>
                <w:rFonts w:ascii="宋体" w:hAnsi="宋体" w:cs="宋体" w:eastAsia="宋体" w:hint="default"/>
                <w:spacing w:val="-8"/>
                <w:w w:val="101"/>
                <w:sz w:val="18"/>
                <w:szCs w:val="18"/>
              </w:rPr>
              <w:t>）</w:t>
            </w:r>
            <w:r>
              <w:rPr>
                <w:rFonts w:ascii="宋体" w:hAnsi="宋体" w:cs="宋体" w:eastAsia="宋体" w:hint="default"/>
                <w:spacing w:val="-80"/>
                <w:w w:val="101"/>
                <w:sz w:val="18"/>
                <w:szCs w:val="18"/>
              </w:rPr>
              <w:t> </w:t>
            </w:r>
            <w:r>
              <w:rPr>
                <w:rFonts w:ascii="宋体" w:hAnsi="宋体" w:cs="宋体" w:eastAsia="宋体" w:hint="default"/>
                <w:spacing w:val="-8"/>
                <w:w w:val="101"/>
                <w:sz w:val="18"/>
                <w:szCs w:val="18"/>
              </w:rPr>
              <w:t>未建立反舞弊程序和控制措施；（</w:t>
            </w: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）对</w:t>
            </w:r>
            <w:r>
              <w:rPr>
                <w:rFonts w:ascii="宋体" w:hAnsi="宋体" w:cs="宋体" w:eastAsia="宋体" w:hint="default"/>
                <w:spacing w:val="-86"/>
                <w:w w:val="101"/>
                <w:sz w:val="18"/>
                <w:szCs w:val="18"/>
              </w:rPr>
              <w:t> </w:t>
            </w:r>
            <w:r>
              <w:rPr>
                <w:rFonts w:ascii="宋体" w:hAnsi="宋体" w:cs="宋体" w:eastAsia="宋体" w:hint="default"/>
                <w:spacing w:val="-3"/>
                <w:sz w:val="18"/>
                <w:szCs w:val="18"/>
              </w:rPr>
              <w:t>于非常规或特殊交易的账务处理没有建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立相应的控制机制或没有实施且没有相</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应的补偿性控制；（</w:t>
            </w:r>
            <w:r>
              <w:rPr>
                <w:rFonts w:ascii="Times New Roman" w:hAnsi="Times New Roman" w:cs="Times New Roman" w:eastAsia="Times New Roman" w:hint="default"/>
                <w:spacing w:val="-8"/>
                <w:w w:val="101"/>
                <w:sz w:val="18"/>
                <w:szCs w:val="18"/>
              </w:rPr>
              <w:t>4</w:t>
            </w:r>
            <w:r>
              <w:rPr>
                <w:rFonts w:ascii="宋体" w:hAnsi="宋体" w:cs="宋体" w:eastAsia="宋体" w:hint="default"/>
                <w:spacing w:val="-8"/>
                <w:w w:val="101"/>
                <w:sz w:val="18"/>
                <w:szCs w:val="18"/>
              </w:rPr>
              <w:t>）对于期末财务报</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告过程的控制存在一项或多项缺陷且不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能合理保证编制的财务报表达到真实、</w:t>
            </w:r>
            <w:r>
              <w:rPr>
                <w:rFonts w:ascii="宋体" w:hAnsi="宋体" w:cs="宋体" w:eastAsia="宋体" w:hint="default"/>
                <w:sz w:val="18"/>
                <w:szCs w:val="18"/>
              </w:rPr>
            </w:r>
          </w:p>
        </w:tc>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53"/>
              <w:ind w:left="100" w:right="50"/>
              <w:jc w:val="both"/>
              <w:rPr>
                <w:rFonts w:ascii="宋体" w:hAnsi="宋体" w:cs="宋体" w:eastAsia="宋体" w:hint="default"/>
                <w:sz w:val="18"/>
                <w:szCs w:val="18"/>
              </w:rPr>
            </w:pP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、重大缺陷：（</w:t>
            </w: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）公司经营活动严</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10"/>
                <w:w w:val="101"/>
                <w:sz w:val="18"/>
                <w:szCs w:val="18"/>
              </w:rPr>
              <w:t>重违反国家法律法规；（</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）缺乏民主</w:t>
            </w:r>
            <w:r>
              <w:rPr>
                <w:rFonts w:ascii="宋体" w:hAnsi="宋体" w:cs="宋体" w:eastAsia="宋体" w:hint="default"/>
                <w:w w:val="101"/>
                <w:sz w:val="18"/>
                <w:szCs w:val="18"/>
              </w:rPr>
              <w:t> </w:t>
            </w:r>
            <w:r>
              <w:rPr>
                <w:rFonts w:ascii="宋体" w:hAnsi="宋体" w:cs="宋体" w:eastAsia="宋体" w:hint="default"/>
                <w:spacing w:val="-5"/>
                <w:sz w:val="18"/>
                <w:szCs w:val="18"/>
              </w:rPr>
              <w:t>决策程序、决策程序不科学，出现重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大失误，给公司造成重大财产损失；</w:t>
            </w:r>
          </w:p>
          <w:p>
            <w:pPr>
              <w:pStyle w:val="TableParagraph"/>
              <w:spacing w:line="304" w:lineRule="auto" w:before="26"/>
              <w:ind w:left="100" w:right="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）公司存在重大资产被私人占用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10"/>
                <w:w w:val="101"/>
                <w:sz w:val="18"/>
                <w:szCs w:val="18"/>
              </w:rPr>
              <w:t>的行为；（</w:t>
            </w:r>
            <w:r>
              <w:rPr>
                <w:rFonts w:ascii="Times New Roman" w:hAnsi="Times New Roman" w:cs="Times New Roman" w:eastAsia="Times New Roman" w:hint="default"/>
                <w:spacing w:val="-10"/>
                <w:w w:val="101"/>
                <w:sz w:val="18"/>
                <w:szCs w:val="18"/>
              </w:rPr>
              <w:t>4</w:t>
            </w:r>
            <w:r>
              <w:rPr>
                <w:rFonts w:ascii="宋体" w:hAnsi="宋体" w:cs="宋体" w:eastAsia="宋体" w:hint="default"/>
                <w:spacing w:val="-10"/>
                <w:w w:val="101"/>
                <w:sz w:val="18"/>
                <w:szCs w:val="18"/>
              </w:rPr>
              <w:t>）公司存在遭受证监会重</w:t>
            </w:r>
            <w:r>
              <w:rPr>
                <w:rFonts w:ascii="宋体" w:hAnsi="宋体" w:cs="宋体" w:eastAsia="宋体" w:hint="default"/>
                <w:w w:val="101"/>
                <w:sz w:val="18"/>
                <w:szCs w:val="18"/>
              </w:rPr>
              <w:t> </w:t>
            </w:r>
            <w:r>
              <w:rPr>
                <w:rFonts w:ascii="宋体" w:hAnsi="宋体" w:cs="宋体" w:eastAsia="宋体" w:hint="default"/>
                <w:spacing w:val="-3"/>
                <w:sz w:val="18"/>
                <w:szCs w:val="18"/>
              </w:rPr>
              <w:t>大处罚事件或证券交易所警告的情</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0"/>
                <w:w w:val="101"/>
                <w:sz w:val="18"/>
                <w:szCs w:val="18"/>
              </w:rPr>
              <w:t>况；（</w:t>
            </w:r>
            <w:r>
              <w:rPr>
                <w:rFonts w:ascii="Times New Roman" w:hAnsi="Times New Roman" w:cs="Times New Roman" w:eastAsia="Times New Roman" w:hint="default"/>
                <w:spacing w:val="-10"/>
                <w:w w:val="101"/>
                <w:sz w:val="18"/>
                <w:szCs w:val="18"/>
              </w:rPr>
              <w:t>5</w:t>
            </w:r>
            <w:r>
              <w:rPr>
                <w:rFonts w:ascii="宋体" w:hAnsi="宋体" w:cs="宋体" w:eastAsia="宋体" w:hint="default"/>
                <w:spacing w:val="-10"/>
                <w:w w:val="101"/>
                <w:sz w:val="18"/>
                <w:szCs w:val="18"/>
              </w:rPr>
              <w:t>）公司出现严重质量、环境与</w:t>
            </w:r>
            <w:r>
              <w:rPr>
                <w:rFonts w:ascii="宋体" w:hAnsi="宋体" w:cs="宋体" w:eastAsia="宋体" w:hint="default"/>
                <w:w w:val="101"/>
                <w:sz w:val="18"/>
                <w:szCs w:val="18"/>
              </w:rPr>
              <w:t> </w:t>
            </w:r>
            <w:r>
              <w:rPr>
                <w:rFonts w:ascii="宋体" w:hAnsi="宋体" w:cs="宋体" w:eastAsia="宋体" w:hint="default"/>
                <w:spacing w:val="-10"/>
                <w:w w:val="101"/>
                <w:sz w:val="18"/>
                <w:szCs w:val="18"/>
              </w:rPr>
              <w:t>职业健康安全事件；（</w:t>
            </w:r>
            <w:r>
              <w:rPr>
                <w:rFonts w:ascii="Times New Roman" w:hAnsi="Times New Roman" w:cs="Times New Roman" w:eastAsia="Times New Roman" w:hint="default"/>
                <w:spacing w:val="-10"/>
                <w:w w:val="101"/>
                <w:sz w:val="18"/>
                <w:szCs w:val="18"/>
              </w:rPr>
              <w:t>6</w:t>
            </w:r>
            <w:r>
              <w:rPr>
                <w:rFonts w:ascii="宋体" w:hAnsi="宋体" w:cs="宋体" w:eastAsia="宋体" w:hint="default"/>
                <w:spacing w:val="-10"/>
                <w:w w:val="101"/>
                <w:sz w:val="18"/>
                <w:szCs w:val="18"/>
              </w:rPr>
              <w:t>）重要业务缺</w:t>
            </w:r>
            <w:r>
              <w:rPr>
                <w:rFonts w:ascii="宋体" w:hAnsi="宋体" w:cs="宋体" w:eastAsia="宋体" w:hint="default"/>
                <w:w w:val="101"/>
                <w:sz w:val="18"/>
                <w:szCs w:val="18"/>
              </w:rPr>
              <w:t> </w:t>
            </w:r>
            <w:r>
              <w:rPr>
                <w:rFonts w:ascii="宋体" w:hAnsi="宋体" w:cs="宋体" w:eastAsia="宋体" w:hint="default"/>
                <w:spacing w:val="-3"/>
                <w:sz w:val="18"/>
                <w:szCs w:val="18"/>
              </w:rPr>
              <w:t>乏制度控制或制度系统性失效。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8"/>
                <w:w w:val="101"/>
                <w:sz w:val="18"/>
                <w:szCs w:val="18"/>
              </w:rPr>
              <w:t>2</w:t>
            </w:r>
            <w:r>
              <w:rPr>
                <w:rFonts w:ascii="宋体" w:hAnsi="宋体" w:cs="宋体" w:eastAsia="宋体" w:hint="default"/>
                <w:spacing w:val="-8"/>
                <w:w w:val="101"/>
                <w:sz w:val="18"/>
                <w:szCs w:val="18"/>
              </w:rPr>
              <w:t>、重要缺陷：（</w:t>
            </w: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）公司存在大额资</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10"/>
                <w:w w:val="101"/>
                <w:sz w:val="18"/>
                <w:szCs w:val="18"/>
              </w:rPr>
              <w:t>产运用失效的行为；（</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）公司关键经</w:t>
            </w:r>
            <w:r>
              <w:rPr>
                <w:rFonts w:ascii="宋体" w:hAnsi="宋体" w:cs="宋体" w:eastAsia="宋体" w:hint="default"/>
                <w:w w:val="101"/>
                <w:sz w:val="18"/>
                <w:szCs w:val="18"/>
              </w:rPr>
              <w:t> </w:t>
            </w:r>
            <w:r>
              <w:rPr>
                <w:rFonts w:ascii="宋体" w:hAnsi="宋体" w:cs="宋体" w:eastAsia="宋体" w:hint="default"/>
                <w:spacing w:val="-3"/>
                <w:sz w:val="18"/>
                <w:szCs w:val="18"/>
              </w:rPr>
              <w:t>营业务存在缺乏控制标准或标准失</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0"/>
                <w:w w:val="101"/>
                <w:sz w:val="18"/>
                <w:szCs w:val="18"/>
              </w:rPr>
              <w:t>效的情况；（</w:t>
            </w:r>
            <w:r>
              <w:rPr>
                <w:rFonts w:ascii="Times New Roman" w:hAnsi="Times New Roman" w:cs="Times New Roman" w:eastAsia="Times New Roman" w:hint="default"/>
                <w:spacing w:val="-10"/>
                <w:w w:val="101"/>
                <w:sz w:val="18"/>
                <w:szCs w:val="18"/>
              </w:rPr>
              <w:t>3</w:t>
            </w:r>
            <w:r>
              <w:rPr>
                <w:rFonts w:ascii="宋体" w:hAnsi="宋体" w:cs="宋体" w:eastAsia="宋体" w:hint="default"/>
                <w:spacing w:val="-10"/>
                <w:w w:val="101"/>
                <w:sz w:val="18"/>
                <w:szCs w:val="18"/>
              </w:rPr>
              <w:t>）重要业务制度控制或</w:t>
            </w:r>
            <w:r>
              <w:rPr>
                <w:rFonts w:ascii="宋体" w:hAnsi="宋体" w:cs="宋体" w:eastAsia="宋体" w:hint="default"/>
                <w:w w:val="101"/>
                <w:sz w:val="18"/>
                <w:szCs w:val="18"/>
              </w:rPr>
              <w:t> </w:t>
            </w:r>
            <w:r>
              <w:rPr>
                <w:rFonts w:ascii="宋体" w:hAnsi="宋体" w:cs="宋体" w:eastAsia="宋体" w:hint="default"/>
                <w:spacing w:val="-10"/>
                <w:w w:val="101"/>
                <w:sz w:val="18"/>
                <w:szCs w:val="18"/>
              </w:rPr>
              <w:t>系统存在缺陷；（</w:t>
            </w:r>
            <w:r>
              <w:rPr>
                <w:rFonts w:ascii="Times New Roman" w:hAnsi="Times New Roman" w:cs="Times New Roman" w:eastAsia="Times New Roman" w:hint="default"/>
                <w:spacing w:val="-10"/>
                <w:w w:val="101"/>
                <w:sz w:val="18"/>
                <w:szCs w:val="18"/>
              </w:rPr>
              <w:t>4</w:t>
            </w:r>
            <w:r>
              <w:rPr>
                <w:rFonts w:ascii="宋体" w:hAnsi="宋体" w:cs="宋体" w:eastAsia="宋体" w:hint="default"/>
                <w:spacing w:val="-10"/>
                <w:w w:val="101"/>
                <w:sz w:val="18"/>
                <w:szCs w:val="18"/>
              </w:rPr>
              <w:t>）公司出现重要的</w:t>
            </w:r>
            <w:r>
              <w:rPr>
                <w:rFonts w:ascii="宋体" w:hAnsi="宋体" w:cs="宋体" w:eastAsia="宋体" w:hint="default"/>
                <w:w w:val="101"/>
                <w:sz w:val="18"/>
                <w:szCs w:val="18"/>
              </w:rPr>
              <w:t> </w:t>
            </w:r>
            <w:r>
              <w:rPr>
                <w:rFonts w:ascii="宋体" w:hAnsi="宋体" w:cs="宋体" w:eastAsia="宋体" w:hint="default"/>
                <w:spacing w:val="-15"/>
                <w:w w:val="101"/>
                <w:sz w:val="18"/>
                <w:szCs w:val="18"/>
              </w:rPr>
              <w:t>质量、环境与职业健康安全事件；（</w:t>
            </w:r>
            <w:r>
              <w:rPr>
                <w:rFonts w:ascii="Times New Roman" w:hAnsi="Times New Roman" w:cs="Times New Roman" w:eastAsia="Times New Roman" w:hint="default"/>
                <w:spacing w:val="-15"/>
                <w:w w:val="101"/>
                <w:sz w:val="18"/>
                <w:szCs w:val="18"/>
              </w:rPr>
              <w:t>5</w:t>
            </w:r>
            <w:r>
              <w:rPr>
                <w:rFonts w:ascii="宋体" w:hAnsi="宋体" w:cs="宋体" w:eastAsia="宋体" w:hint="default"/>
                <w:spacing w:val="-15"/>
                <w:w w:val="101"/>
                <w:sz w:val="18"/>
                <w:szCs w:val="18"/>
              </w:rPr>
              <w:t>）</w:t>
            </w:r>
            <w:r>
              <w:rPr>
                <w:rFonts w:ascii="宋体" w:hAnsi="宋体" w:cs="宋体" w:eastAsia="宋体" w:hint="default"/>
                <w:spacing w:val="-85"/>
                <w:w w:val="101"/>
                <w:sz w:val="18"/>
                <w:szCs w:val="18"/>
              </w:rPr>
              <w:t> </w:t>
            </w:r>
            <w:r>
              <w:rPr>
                <w:rFonts w:ascii="宋体" w:hAnsi="宋体" w:cs="宋体" w:eastAsia="宋体" w:hint="default"/>
                <w:spacing w:val="-3"/>
                <w:sz w:val="18"/>
                <w:szCs w:val="18"/>
              </w:rPr>
              <w:t>公司管理层存在重要越权行为。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、一般缺陷的判断标准是指：除上</w:t>
            </w:r>
            <w:r>
              <w:rPr>
                <w:rFonts w:ascii="宋体" w:hAnsi="宋体" w:cs="宋体" w:eastAsia="宋体" w:hint="default"/>
                <w:sz w:val="18"/>
                <w:szCs w:val="18"/>
              </w:rPr>
            </w:r>
          </w:p>
        </w:tc>
      </w:tr>
    </w:tbl>
    <w:p>
      <w:pPr>
        <w:spacing w:after="0" w:line="304" w:lineRule="auto"/>
        <w:jc w:val="left"/>
        <w:rPr>
          <w:rFonts w:ascii="宋体" w:hAnsi="宋体" w:cs="宋体" w:eastAsia="宋体"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4"/>
        <w:gridCol w:w="3324"/>
        <w:gridCol w:w="3048"/>
      </w:tblGrid>
      <w:tr>
        <w:trPr>
          <w:trHeight w:val="10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15"/>
              <w:ind w:left="103" w:right="103"/>
              <w:jc w:val="left"/>
              <w:rPr>
                <w:rFonts w:ascii="宋体" w:hAnsi="宋体" w:cs="宋体" w:eastAsia="宋体" w:hint="default"/>
                <w:sz w:val="18"/>
                <w:szCs w:val="18"/>
              </w:rPr>
            </w:pPr>
            <w:r>
              <w:rPr>
                <w:rFonts w:ascii="宋体" w:hAnsi="宋体" w:cs="宋体" w:eastAsia="宋体" w:hint="default"/>
                <w:sz w:val="18"/>
                <w:szCs w:val="18"/>
              </w:rPr>
              <w:t>完整的目标。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、一般缺陷的认定标准：是指除上述重</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大缺陷、重要缺陷之外的其他控制缺陷</w:t>
            </w:r>
          </w:p>
        </w:tc>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1" w:lineRule="auto" w:before="10"/>
              <w:ind w:left="100" w:right="237"/>
              <w:jc w:val="left"/>
              <w:rPr>
                <w:rFonts w:ascii="宋体" w:hAnsi="宋体" w:cs="宋体" w:eastAsia="宋体" w:hint="default"/>
                <w:sz w:val="18"/>
                <w:szCs w:val="18"/>
              </w:rPr>
            </w:pPr>
            <w:r>
              <w:rPr>
                <w:rFonts w:ascii="宋体" w:hAnsi="宋体" w:cs="宋体" w:eastAsia="宋体" w:hint="default"/>
                <w:spacing w:val="-3"/>
                <w:sz w:val="18"/>
                <w:szCs w:val="18"/>
              </w:rPr>
              <w:t>述重大、重要缺陷外的其他控制缺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陷。</w:t>
            </w:r>
          </w:p>
        </w:tc>
      </w:tr>
      <w:tr>
        <w:trPr>
          <w:trHeight w:val="22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3"/>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≤潜在错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≤潜在错报。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≤潜在错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报＜利润总额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≤潜</w:t>
            </w:r>
            <w:r>
              <w:rPr>
                <w:rFonts w:ascii="宋体" w:hAnsi="宋体" w:cs="宋体" w:eastAsia="宋体" w:hint="default"/>
                <w:w w:val="101"/>
                <w:sz w:val="18"/>
                <w:szCs w:val="18"/>
              </w:rPr>
              <w:t> </w:t>
            </w:r>
            <w:r>
              <w:rPr>
                <w:rFonts w:ascii="宋体" w:hAnsi="宋体" w:cs="宋体" w:eastAsia="宋体" w:hint="default"/>
                <w:sz w:val="18"/>
                <w:szCs w:val="18"/>
              </w:rPr>
              <w:t>在错报＜资产总额的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7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、一般缺陷：潜在错报＜利润总额的</w:t>
            </w:r>
          </w:p>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；潜在错报＜资产总额的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0" w:right="237"/>
              <w:jc w:val="both"/>
              <w:rPr>
                <w:rFonts w:ascii="宋体" w:hAnsi="宋体" w:cs="宋体" w:eastAsia="宋体" w:hint="default"/>
                <w:sz w:val="18"/>
                <w:szCs w:val="18"/>
              </w:rPr>
            </w:pPr>
            <w:r>
              <w:rPr>
                <w:rFonts w:ascii="宋体" w:hAnsi="宋体" w:cs="宋体" w:eastAsia="宋体" w:hint="default"/>
                <w:spacing w:val="-3"/>
                <w:sz w:val="18"/>
                <w:szCs w:val="18"/>
              </w:rPr>
              <w:t>非财务报告内部控制缺陷评价的定</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量标准参照财务报告内部控制缺陷</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评价的定量标准执行</w:t>
            </w:r>
            <w:r>
              <w:rPr>
                <w:rFonts w:ascii="宋体" w:hAnsi="宋体" w:cs="宋体" w:eastAsia="宋体" w:hint="default"/>
                <w:sz w:val="18"/>
                <w:szCs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r>
              <w:rPr>
                <w:rFonts w:ascii="宋体" w:hAnsi="宋体" w:cs="宋体" w:eastAsia="宋体" w:hint="default"/>
                <w:sz w:val="18"/>
                <w:szCs w:val="18"/>
              </w:rPr>
            </w:r>
          </w:p>
        </w:tc>
        <w:tc>
          <w:tcPr>
            <w:tcW w:w="6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r>
              <w:rPr>
                <w:rFonts w:ascii="宋体" w:hAnsi="宋体" w:cs="宋体" w:eastAsia="宋体" w:hint="default"/>
                <w:sz w:val="18"/>
                <w:szCs w:val="18"/>
              </w:rPr>
            </w:r>
          </w:p>
        </w:tc>
        <w:tc>
          <w:tcPr>
            <w:tcW w:w="6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内部控制鉴证报告</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4"/>
        <w:gridCol w:w="6902"/>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r>
              <w:rPr>
                <w:rFonts w:ascii="宋体" w:hAnsi="宋体" w:cs="宋体" w:eastAsia="宋体" w:hint="default"/>
                <w:sz w:val="18"/>
                <w:szCs w:val="18"/>
              </w:rPr>
            </w:r>
          </w:p>
        </w:tc>
      </w:tr>
      <w:tr>
        <w:trPr>
          <w:trHeight w:val="715"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我们认为，科创信息按照《企业内部控制基本规范》及相关规定于</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日在所有重大方面保持了有效的与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财务报告有关的内部控制。</w:t>
            </w:r>
          </w:p>
        </w:tc>
      </w:tr>
      <w:tr>
        <w:trPr>
          <w:trHeight w:val="398"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5"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208"/>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期</w:t>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208"/>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引</w:t>
            </w:r>
          </w:p>
        </w:tc>
        <w:tc>
          <w:tcPr>
            <w:tcW w:w="6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4" w:lineRule="auto" w:before="53"/>
              <w:ind w:left="100" w:right="93"/>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日在巨潮资讯网（</w:t>
            </w:r>
            <w:hyperlink r:id="rId11">
              <w:r>
                <w:rPr>
                  <w:rFonts w:ascii="Times New Roman" w:hAnsi="Times New Roman" w:cs="Times New Roman" w:eastAsia="Times New Roman" w:hint="default"/>
                  <w:spacing w:val="-4"/>
                  <w:sz w:val="18"/>
                  <w:szCs w:val="18"/>
                </w:rPr>
                <w:t>http://www.cninfo.com.cn</w:t>
              </w:r>
            </w:hyperlink>
            <w:r>
              <w:rPr>
                <w:rFonts w:ascii="宋体" w:hAnsi="宋体" w:cs="宋体" w:eastAsia="宋体" w:hint="default"/>
                <w:spacing w:val="-4"/>
                <w:sz w:val="18"/>
                <w:szCs w:val="18"/>
              </w:rPr>
              <w:t>）披露的《内部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4"/>
                <w:w w:val="101"/>
                <w:sz w:val="18"/>
                <w:szCs w:val="18"/>
              </w:rPr>
              <w:t>控制鉴证报告》。</w:t>
            </w:r>
            <w:r>
              <w:rPr>
                <w:rFonts w:ascii="宋体" w:hAnsi="宋体" w:cs="宋体" w:eastAsia="宋体" w:hint="default"/>
                <w:spacing w:val="-14"/>
                <w:sz w:val="18"/>
                <w:szCs w:val="18"/>
              </w:rPr>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标准无保留</w:t>
            </w:r>
            <w:r>
              <w:rPr>
                <w:rFonts w:ascii="宋体" w:hAnsi="宋体" w:cs="宋体" w:eastAsia="宋体" w:hint="default"/>
                <w:sz w:val="18"/>
                <w:szCs w:val="18"/>
              </w:rPr>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r>
              <w:rPr>
                <w:rFonts w:ascii="宋体" w:hAnsi="宋体" w:cs="宋体" w:eastAsia="宋体" w:hint="default"/>
                <w:sz w:val="18"/>
                <w:szCs w:val="18"/>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会计师事务所是否出具非标准意见的内部控制鉴证报告</w:t>
      </w:r>
    </w:p>
    <w:p>
      <w:pPr>
        <w:pStyle w:val="BodyText"/>
        <w:spacing w:line="362" w:lineRule="auto" w:before="115"/>
        <w:ind w:right="3440" w:hanging="1"/>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会计师事务所出具的内部控制鉴证报告与董事会的自我评价报告意见是否一致</w:t>
      </w:r>
      <w:r>
        <w:rPr/>
      </w:r>
    </w:p>
    <w:p>
      <w:pPr>
        <w:pStyle w:val="BodyText"/>
        <w:spacing w:line="240" w:lineRule="auto" w:before="23"/>
        <w:ind w:right="0"/>
        <w:jc w:val="left"/>
      </w:pPr>
      <w:r>
        <w:rPr/>
        <w:t>√ 是 □</w:t>
      </w:r>
      <w:r>
        <w:rPr>
          <w:spacing w:val="2"/>
        </w:rPr>
        <w:t> </w:t>
      </w:r>
      <w:r>
        <w:rPr/>
        <w:t>否</w:t>
      </w:r>
    </w:p>
    <w:p>
      <w:pPr>
        <w:spacing w:after="0" w:line="240" w:lineRule="auto"/>
        <w:jc w:val="left"/>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124" w:right="0"/>
        <w:jc w:val="left"/>
        <w:rPr>
          <w:b w:val="0"/>
          <w:bCs w:val="0"/>
        </w:rPr>
      </w:pPr>
      <w:bookmarkStart w:name="第十节 公司债券相关情况" w:id="148"/>
      <w:bookmarkEnd w:id="148"/>
      <w:r>
        <w:rPr>
          <w:b w:val="0"/>
          <w:bCs w:val="0"/>
        </w:rPr>
      </w:r>
      <w:bookmarkStart w:name="_bookmark8" w:id="149"/>
      <w:bookmarkEnd w:id="149"/>
      <w:r>
        <w:rPr>
          <w:b w:val="0"/>
          <w:bCs w:val="0"/>
        </w:rPr>
      </w:r>
      <w:r>
        <w:rPr/>
        <w:t>第十节 公司债券相关情况</w:t>
      </w:r>
      <w:r>
        <w:rPr>
          <w:b w:val="0"/>
          <w:bCs w:val="0"/>
        </w:rPr>
      </w:r>
    </w:p>
    <w:p>
      <w:pPr>
        <w:spacing w:line="240" w:lineRule="auto" w:before="11"/>
        <w:rPr>
          <w:rFonts w:ascii="宋体" w:hAnsi="宋体" w:cs="宋体" w:eastAsia="宋体" w:hint="default"/>
          <w:b/>
          <w:bCs/>
          <w:sz w:val="42"/>
          <w:szCs w:val="42"/>
        </w:rPr>
      </w:pPr>
    </w:p>
    <w:p>
      <w:pPr>
        <w:pStyle w:val="BodyText"/>
        <w:spacing w:line="357" w:lineRule="auto"/>
        <w:ind w:right="1136"/>
        <w:jc w:val="left"/>
      </w:pPr>
      <w:r>
        <w:rPr>
          <w:spacing w:val="-3"/>
        </w:rPr>
        <w:t>公司是否存在公开发行并在证券交易所上市，且在年度报告批准报出日未到期或到期未能全额兑付的公司债券</w:t>
      </w:r>
      <w:r>
        <w:rPr>
          <w:spacing w:val="44"/>
        </w:rPr>
        <w:t> </w:t>
      </w:r>
      <w:r>
        <w:rPr>
          <w:spacing w:val="44"/>
        </w:rPr>
      </w:r>
      <w:r>
        <w:rPr/>
        <w:t>否</w:t>
      </w:r>
    </w:p>
    <w:p>
      <w:pPr>
        <w:spacing w:after="0" w:line="357" w:lineRule="auto"/>
        <w:jc w:val="left"/>
        <w:sectPr>
          <w:pgSz w:w="11910" w:h="16840"/>
          <w:pgMar w:header="78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420" w:right="2422"/>
        <w:jc w:val="center"/>
        <w:rPr>
          <w:b w:val="0"/>
          <w:bCs w:val="0"/>
        </w:rPr>
      </w:pPr>
      <w:bookmarkStart w:name="第十一节 财务报告" w:id="150"/>
      <w:bookmarkEnd w:id="150"/>
      <w:r>
        <w:rPr>
          <w:b w:val="0"/>
          <w:bCs w:val="0"/>
        </w:rPr>
      </w:r>
      <w:bookmarkStart w:name="_bookmark9" w:id="151"/>
      <w:bookmarkEnd w:id="151"/>
      <w:r>
        <w:rPr>
          <w:b w:val="0"/>
          <w:bCs w:val="0"/>
        </w:rPr>
      </w:r>
      <w:r>
        <w:rPr/>
        <w:t>第十一节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[2018]7029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r>
              <w:rPr>
                <w:rFonts w:ascii="宋体" w:hAnsi="宋体" w:cs="宋体" w:eastAsia="宋体" w:hint="default"/>
                <w:sz w:val="18"/>
                <w:szCs w:val="18"/>
              </w:rPr>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曾春卫、刘智清、冯俭专</w:t>
            </w:r>
            <w:r>
              <w:rPr>
                <w:rFonts w:ascii="宋体" w:hAnsi="宋体" w:cs="宋体" w:eastAsia="宋体" w:hint="default"/>
                <w:sz w:val="18"/>
                <w:szCs w:val="18"/>
              </w:rPr>
            </w:r>
          </w:p>
        </w:tc>
      </w:tr>
    </w:tbl>
    <w:p>
      <w:pPr>
        <w:pStyle w:val="BodyText"/>
        <w:spacing w:line="240" w:lineRule="auto" w:before="53"/>
        <w:ind w:left="2422" w:right="2422"/>
        <w:jc w:val="center"/>
      </w:pPr>
      <w:r>
        <w:rPr/>
        <w:t>审计报告正文</w:t>
      </w:r>
    </w:p>
    <w:p>
      <w:pPr>
        <w:spacing w:line="240" w:lineRule="auto" w:before="5"/>
        <w:rPr>
          <w:rFonts w:ascii="宋体" w:hAnsi="宋体" w:cs="宋体" w:eastAsia="宋体" w:hint="default"/>
          <w:sz w:val="17"/>
          <w:szCs w:val="17"/>
        </w:rPr>
      </w:pPr>
    </w:p>
    <w:p>
      <w:pPr>
        <w:spacing w:line="1639" w:lineRule="exact"/>
        <w:ind w:left="389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373316" cy="10407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1373316" cy="1040796"/>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12"/>
        <w:rPr>
          <w:rFonts w:ascii="宋体" w:hAnsi="宋体" w:cs="宋体" w:eastAsia="宋体" w:hint="default"/>
          <w:sz w:val="16"/>
          <w:szCs w:val="16"/>
        </w:rPr>
      </w:pPr>
    </w:p>
    <w:p>
      <w:pPr>
        <w:pStyle w:val="BodyText"/>
        <w:spacing w:line="240" w:lineRule="auto"/>
        <w:ind w:left="0" w:right="145"/>
        <w:jc w:val="right"/>
      </w:pPr>
      <w:r>
        <w:rPr/>
        <w:t>天职业字</w:t>
      </w:r>
      <w:r>
        <w:rPr>
          <w:rFonts w:ascii="Times New Roman" w:hAnsi="Times New Roman" w:cs="Times New Roman" w:eastAsia="Times New Roman" w:hint="default"/>
        </w:rPr>
        <w:t>[2018]7029</w:t>
      </w:r>
      <w:r>
        <w:rPr>
          <w:rFonts w:ascii="Times New Roman" w:hAnsi="Times New Roman" w:cs="Times New Roman" w:eastAsia="Times New Roman" w:hint="default"/>
          <w:spacing w:val="3"/>
        </w:rPr>
        <w:t> </w:t>
      </w:r>
      <w:r>
        <w:rPr/>
        <w:t>号</w:t>
      </w:r>
    </w:p>
    <w:p>
      <w:pPr>
        <w:spacing w:line="240" w:lineRule="auto" w:before="2"/>
        <w:rPr>
          <w:rFonts w:ascii="宋体" w:hAnsi="宋体" w:cs="宋体" w:eastAsia="宋体" w:hint="default"/>
          <w:sz w:val="29"/>
          <w:szCs w:val="29"/>
        </w:rPr>
      </w:pPr>
    </w:p>
    <w:p>
      <w:pPr>
        <w:pStyle w:val="BodyText"/>
        <w:spacing w:line="240" w:lineRule="auto" w:before="46"/>
        <w:ind w:left="153" w:right="0"/>
        <w:jc w:val="left"/>
      </w:pPr>
      <w:r>
        <w:rPr>
          <w:spacing w:val="-3"/>
        </w:rPr>
        <w:t>湖南科创信息技术股份有限公司全体股东：</w:t>
      </w:r>
      <w:r>
        <w:rPr/>
      </w:r>
    </w:p>
    <w:p>
      <w:pPr>
        <w:spacing w:line="240" w:lineRule="auto" w:before="3"/>
        <w:rPr>
          <w:rFonts w:ascii="宋体" w:hAnsi="宋体" w:cs="宋体" w:eastAsia="宋体" w:hint="default"/>
          <w:sz w:val="26"/>
          <w:szCs w:val="26"/>
        </w:rPr>
      </w:pPr>
    </w:p>
    <w:p>
      <w:pPr>
        <w:pStyle w:val="Heading4"/>
        <w:spacing w:line="240" w:lineRule="auto"/>
        <w:ind w:left="575" w:right="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line="240" w:lineRule="auto" w:before="8"/>
        <w:rPr>
          <w:rFonts w:ascii="黑体" w:hAnsi="黑体" w:cs="黑体" w:eastAsia="黑体" w:hint="default"/>
          <w:b/>
          <w:bCs/>
          <w:sz w:val="28"/>
          <w:szCs w:val="28"/>
        </w:rPr>
      </w:pPr>
    </w:p>
    <w:p>
      <w:pPr>
        <w:pStyle w:val="BodyText"/>
        <w:spacing w:line="300" w:lineRule="auto"/>
        <w:ind w:left="153" w:right="145" w:firstLine="359"/>
        <w:jc w:val="both"/>
      </w:pPr>
      <w:r>
        <w:rPr>
          <w:spacing w:val="-7"/>
          <w:w w:val="101"/>
        </w:rPr>
        <w:t>我们审计了湖南科创信息技术股份有限公司（以下简称</w:t>
      </w:r>
      <w:r>
        <w:rPr>
          <w:rFonts w:ascii="宋体" w:hAnsi="宋体" w:cs="宋体" w:eastAsia="宋体" w:hint="default"/>
          <w:spacing w:val="-7"/>
          <w:w w:val="101"/>
        </w:rPr>
        <w:t>“</w:t>
      </w:r>
      <w:r>
        <w:rPr>
          <w:spacing w:val="-7"/>
          <w:w w:val="101"/>
        </w:rPr>
        <w:t>科创信息</w:t>
      </w:r>
      <w:r>
        <w:rPr>
          <w:rFonts w:ascii="宋体" w:hAnsi="宋体" w:cs="宋体" w:eastAsia="宋体" w:hint="default"/>
          <w:spacing w:val="-7"/>
          <w:w w:val="101"/>
        </w:rPr>
        <w:t>”</w:t>
      </w:r>
      <w:r>
        <w:rPr>
          <w:spacing w:val="-7"/>
          <w:w w:val="101"/>
        </w:rPr>
        <w:t>）财务报表，包括</w:t>
      </w:r>
      <w:r>
        <w:rPr>
          <w:spacing w:val="-52"/>
          <w:w w:val="101"/>
        </w:rPr>
        <w:t> </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1"/>
          <w:w w:val="101"/>
        </w:rPr>
        <w:t> </w:t>
      </w:r>
      <w:r>
        <w:rPr>
          <w:w w:val="101"/>
        </w:rPr>
        <w:t>年</w:t>
      </w:r>
      <w:r>
        <w:rPr>
          <w:spacing w:val="-52"/>
          <w:w w:val="101"/>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1"/>
          <w:w w:val="101"/>
        </w:rPr>
        <w:t> </w:t>
      </w:r>
      <w:r>
        <w:rPr>
          <w:w w:val="101"/>
        </w:rPr>
        <w:t>月</w:t>
      </w:r>
      <w:r>
        <w:rPr>
          <w:spacing w:val="-47"/>
          <w:w w:val="101"/>
        </w:rPr>
        <w:t> </w:t>
      </w:r>
      <w:r>
        <w:rPr>
          <w:rFonts w:ascii="Times New Roman" w:hAnsi="Times New Roman" w:cs="Times New Roman" w:eastAsia="Times New Roman" w:hint="default"/>
          <w:w w:val="101"/>
        </w:rPr>
        <w:t>31</w:t>
      </w:r>
      <w:r>
        <w:rPr>
          <w:rFonts w:ascii="Times New Roman" w:hAnsi="Times New Roman" w:cs="Times New Roman" w:eastAsia="Times New Roman" w:hint="default"/>
          <w:spacing w:val="-1"/>
          <w:w w:val="101"/>
        </w:rPr>
        <w:t> </w:t>
      </w:r>
      <w:r>
        <w:rPr>
          <w:spacing w:val="-3"/>
          <w:w w:val="101"/>
        </w:rPr>
        <w:t>日的合并资产负</w:t>
      </w:r>
      <w:r>
        <w:rPr>
          <w:w w:val="101"/>
        </w:rPr>
        <w:t> </w:t>
      </w:r>
      <w:r>
        <w:rPr/>
        <w:t>债表及资产负债表，</w:t>
      </w:r>
      <w:r>
        <w:rPr>
          <w:rFonts w:ascii="Times New Roman" w:hAnsi="Times New Roman" w:cs="Times New Roman" w:eastAsia="Times New Roman" w:hint="default"/>
        </w:rPr>
        <w:t>2017 </w:t>
      </w:r>
      <w:r>
        <w:rPr>
          <w:spacing w:val="-3"/>
        </w:rPr>
        <w:t>年度合并利润表及利润表、合并现金流量表及现金流量表、合并所有者权益变动表及所有者权益</w:t>
      </w:r>
      <w:r>
        <w:rPr>
          <w:spacing w:val="-51"/>
        </w:rPr>
        <w:t> </w:t>
      </w:r>
      <w:r>
        <w:rPr>
          <w:spacing w:val="-51"/>
        </w:rPr>
      </w:r>
      <w:r>
        <w:rPr>
          <w:spacing w:val="-3"/>
        </w:rPr>
        <w:t>变动表以及相关财务报表附注。</w:t>
      </w:r>
    </w:p>
    <w:p>
      <w:pPr>
        <w:spacing w:line="240" w:lineRule="auto" w:before="3"/>
        <w:rPr>
          <w:rFonts w:ascii="宋体" w:hAnsi="宋体" w:cs="宋体" w:eastAsia="宋体" w:hint="default"/>
          <w:sz w:val="26"/>
          <w:szCs w:val="26"/>
        </w:rPr>
      </w:pPr>
    </w:p>
    <w:p>
      <w:pPr>
        <w:pStyle w:val="BodyText"/>
        <w:spacing w:line="300" w:lineRule="auto"/>
        <w:ind w:left="153" w:right="154" w:firstLine="359"/>
        <w:jc w:val="both"/>
      </w:pPr>
      <w:r>
        <w:rPr>
          <w:spacing w:val="-3"/>
        </w:rPr>
        <w:t>我们认为，后附的财务报表在所有重大方面按照企业会计准则的规定编制，公允反映了科创信息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spacing w:val="-3"/>
        </w:rPr>
        <w:t>12 </w:t>
      </w:r>
      <w:r>
        <w:rPr/>
        <w:t>月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
        </w:rPr>
        <w:t> </w:t>
      </w:r>
      <w:r>
        <w:rPr>
          <w:spacing w:val="-5"/>
        </w:rPr>
        <w:t>日的</w:t>
      </w:r>
      <w:r>
        <w:rPr>
          <w:spacing w:val="-5"/>
          <w:w w:val="101"/>
        </w:rPr>
        <w:t> </w:t>
      </w:r>
      <w:r>
        <w:rPr/>
        <w:t>合并财务状况及财务状况，</w:t>
      </w:r>
      <w:r>
        <w:rPr>
          <w:rFonts w:ascii="Times New Roman" w:hAnsi="Times New Roman" w:cs="Times New Roman" w:eastAsia="Times New Roman" w:hint="default"/>
        </w:rPr>
        <w:t>2017 </w:t>
      </w:r>
      <w:r>
        <w:rPr>
          <w:rFonts w:ascii="Times New Roman" w:hAnsi="Times New Roman" w:cs="Times New Roman" w:eastAsia="Times New Roman" w:hint="default"/>
          <w:spacing w:val="31"/>
        </w:rPr>
        <w:t> </w:t>
      </w:r>
      <w:r>
        <w:rPr>
          <w:spacing w:val="-3"/>
        </w:rPr>
        <w:t>年度的合并经营成果和合并现金流量以及经营成果和现金流量。</w:t>
      </w:r>
      <w:r>
        <w:rPr/>
      </w:r>
    </w:p>
    <w:p>
      <w:pPr>
        <w:spacing w:line="240" w:lineRule="auto" w:before="3"/>
        <w:rPr>
          <w:rFonts w:ascii="宋体" w:hAnsi="宋体" w:cs="宋体" w:eastAsia="宋体" w:hint="default"/>
          <w:sz w:val="23"/>
          <w:szCs w:val="23"/>
        </w:rPr>
      </w:pPr>
    </w:p>
    <w:p>
      <w:pPr>
        <w:pStyle w:val="Heading4"/>
        <w:spacing w:line="240" w:lineRule="auto"/>
        <w:ind w:left="575" w:right="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spacing w:line="240" w:lineRule="auto" w:before="3"/>
        <w:rPr>
          <w:rFonts w:ascii="黑体" w:hAnsi="黑体" w:cs="黑体" w:eastAsia="黑体" w:hint="default"/>
          <w:b/>
          <w:bCs/>
          <w:sz w:val="28"/>
          <w:szCs w:val="28"/>
        </w:rPr>
      </w:pPr>
    </w:p>
    <w:p>
      <w:pPr>
        <w:pStyle w:val="BodyText"/>
        <w:spacing w:line="316" w:lineRule="auto"/>
        <w:ind w:right="144" w:firstLine="359"/>
        <w:jc w:val="both"/>
      </w:pPr>
      <w:r>
        <w:rPr>
          <w:spacing w:val="-4"/>
        </w:rPr>
        <w:t>我们按照中国注册会计师审计准则的规定执行了审计工作。审计报告的</w:t>
      </w:r>
      <w:r>
        <w:rPr>
          <w:rFonts w:ascii="宋体" w:hAnsi="宋体" w:cs="宋体" w:eastAsia="宋体" w:hint="default"/>
          <w:spacing w:val="-4"/>
        </w:rPr>
        <w:t>“</w:t>
      </w:r>
      <w:r>
        <w:rPr>
          <w:spacing w:val="-4"/>
        </w:rPr>
        <w:t>注册会计师对财务报表审计的责任</w:t>
      </w:r>
      <w:r>
        <w:rPr>
          <w:rFonts w:ascii="宋体" w:hAnsi="宋体" w:cs="宋体" w:eastAsia="宋体" w:hint="default"/>
          <w:spacing w:val="-4"/>
        </w:rPr>
        <w:t>”</w:t>
      </w:r>
      <w:r>
        <w:rPr>
          <w:spacing w:val="-4"/>
        </w:rPr>
        <w:t>部分进一</w:t>
      </w:r>
      <w:r>
        <w:rPr>
          <w:w w:val="101"/>
        </w:rPr>
        <w:t> </w:t>
      </w:r>
      <w:r>
        <w:rPr>
          <w:spacing w:val="-4"/>
        </w:rPr>
        <w:t>步阐述了我们在这些准则下的责任。按照中国注册会计师职业道德守则，我们独立于科创信息，并履行了职业道德方面的其</w:t>
      </w:r>
      <w:r>
        <w:rPr>
          <w:spacing w:val="43"/>
        </w:rPr>
        <w:t> </w:t>
      </w:r>
      <w:r>
        <w:rPr>
          <w:spacing w:val="43"/>
        </w:rPr>
      </w:r>
      <w:r>
        <w:rPr>
          <w:spacing w:val="-3"/>
        </w:rPr>
        <w:t>他责任。我们相信，我们获取的审计证据是充分、适当的，为发表审计意见提供了基础。</w:t>
      </w:r>
    </w:p>
    <w:p>
      <w:pPr>
        <w:spacing w:line="240" w:lineRule="auto" w:before="9"/>
        <w:rPr>
          <w:rFonts w:ascii="宋体" w:hAnsi="宋体" w:cs="宋体" w:eastAsia="宋体" w:hint="default"/>
          <w:sz w:val="23"/>
          <w:szCs w:val="23"/>
        </w:rPr>
      </w:pPr>
    </w:p>
    <w:p>
      <w:pPr>
        <w:pStyle w:val="Heading4"/>
        <w:spacing w:line="240" w:lineRule="auto"/>
        <w:ind w:left="575" w:right="0"/>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spacing w:line="240" w:lineRule="auto" w:before="3"/>
        <w:rPr>
          <w:rFonts w:ascii="黑体" w:hAnsi="黑体" w:cs="黑体" w:eastAsia="黑体" w:hint="default"/>
          <w:b/>
          <w:bCs/>
          <w:sz w:val="28"/>
          <w:szCs w:val="28"/>
        </w:rPr>
      </w:pPr>
    </w:p>
    <w:p>
      <w:pPr>
        <w:pStyle w:val="BodyText"/>
        <w:spacing w:line="316" w:lineRule="auto"/>
        <w:ind w:right="144" w:firstLine="360"/>
        <w:jc w:val="both"/>
      </w:pPr>
      <w:r>
        <w:rPr>
          <w:spacing w:val="-4"/>
        </w:rPr>
        <w:t>关键审计事项是我们根据职业判断，认为对本期财务报表审计最为重要的事项。这些事项的应对以对财务报表整体进行</w:t>
      </w:r>
      <w:r>
        <w:rPr>
          <w:w w:val="101"/>
        </w:rPr>
        <w:t> </w:t>
      </w:r>
      <w:r>
        <w:rPr>
          <w:spacing w:val="-3"/>
        </w:rPr>
        <w:t>审计并形成审计意见为背景，我们不对这些事项单独发表意见。</w:t>
      </w:r>
      <w:r>
        <w:rPr/>
      </w:r>
    </w:p>
    <w:p>
      <w:pPr>
        <w:spacing w:after="0" w:line="316" w:lineRule="auto"/>
        <w:jc w:val="both"/>
        <w:sectPr>
          <w:pgSz w:w="11910" w:h="16840"/>
          <w:pgMar w:header="784" w:footer="1027" w:top="1100" w:bottom="1220" w:left="980" w:right="980"/>
        </w:sectPr>
      </w:pPr>
    </w:p>
    <w:p>
      <w:pPr>
        <w:spacing w:line="240" w:lineRule="auto" w:before="2"/>
        <w:rPr>
          <w:rFonts w:ascii="宋体" w:hAnsi="宋体" w:cs="宋体" w:eastAsia="宋体" w:hint="default"/>
          <w:sz w:val="23"/>
          <w:szCs w:val="23"/>
        </w:rPr>
      </w:pPr>
    </w:p>
    <w:p>
      <w:pPr>
        <w:pStyle w:val="BodyText"/>
        <w:spacing w:line="240" w:lineRule="auto" w:before="46"/>
        <w:ind w:left="232" w:right="0"/>
        <w:jc w:val="left"/>
      </w:pPr>
      <w:r>
        <w:rPr>
          <w:spacing w:val="-3"/>
        </w:rPr>
        <w:t>审计报告（续）</w:t>
      </w:r>
      <w:r>
        <w:rPr/>
      </w:r>
    </w:p>
    <w:p>
      <w:pPr>
        <w:spacing w:line="240" w:lineRule="auto" w:before="8"/>
        <w:rPr>
          <w:rFonts w:ascii="宋体" w:hAnsi="宋体" w:cs="宋体" w:eastAsia="宋体" w:hint="default"/>
          <w:sz w:val="9"/>
          <w:szCs w:val="9"/>
        </w:rPr>
      </w:pPr>
    </w:p>
    <w:p>
      <w:pPr>
        <w:pStyle w:val="BodyText"/>
        <w:spacing w:line="240" w:lineRule="auto" w:before="46"/>
        <w:ind w:left="0" w:right="145"/>
        <w:jc w:val="right"/>
      </w:pPr>
      <w:r>
        <w:rPr/>
        <w:t>天职业字</w:t>
      </w:r>
      <w:r>
        <w:rPr>
          <w:rFonts w:ascii="Times New Roman" w:hAnsi="Times New Roman" w:cs="Times New Roman" w:eastAsia="Times New Roman" w:hint="default"/>
        </w:rPr>
        <w:t>[2018]7029</w:t>
      </w:r>
      <w:r>
        <w:rPr>
          <w:rFonts w:ascii="Times New Roman" w:hAnsi="Times New Roman" w:cs="Times New Roman" w:eastAsia="Times New Roman" w:hint="default"/>
          <w:spacing w:val="3"/>
        </w:rPr>
        <w:t> </w:t>
      </w:r>
      <w:r>
        <w:rPr/>
        <w:t>号</w:t>
      </w:r>
    </w:p>
    <w:p>
      <w:pPr>
        <w:spacing w:line="240" w:lineRule="auto" w:before="13"/>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3941"/>
        <w:gridCol w:w="5170"/>
      </w:tblGrid>
      <w:tr>
        <w:trPr>
          <w:trHeight w:val="562" w:hRule="exact"/>
        </w:trPr>
        <w:tc>
          <w:tcPr>
            <w:tcW w:w="3941" w:type="dxa"/>
            <w:tcBorders>
              <w:top w:val="dotted" w:sz="4" w:space="0" w:color="000000"/>
              <w:left w:val="dotted" w:sz="4" w:space="0" w:color="000000"/>
              <w:bottom w:val="dotted" w:sz="4" w:space="0" w:color="000000"/>
              <w:right w:val="dotted" w:sz="4" w:space="0" w:color="000000"/>
            </w:tcBorders>
            <w:shd w:val="clear" w:color="auto" w:fill="80C687"/>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170" w:type="dxa"/>
            <w:tcBorders>
              <w:top w:val="dotted" w:sz="4" w:space="0" w:color="000000"/>
              <w:left w:val="dotted" w:sz="4" w:space="0" w:color="000000"/>
              <w:bottom w:val="dotted" w:sz="4" w:space="0" w:color="000000"/>
              <w:right w:val="dotted" w:sz="4" w:space="0" w:color="000000"/>
            </w:tcBorders>
            <w:shd w:val="clear" w:color="auto" w:fill="80C687"/>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0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566" w:hRule="exact"/>
        </w:trPr>
        <w:tc>
          <w:tcPr>
            <w:tcW w:w="9110" w:type="dxa"/>
            <w:gridSpan w:val="2"/>
            <w:tcBorders>
              <w:top w:val="dotted" w:sz="4" w:space="0" w:color="000000"/>
              <w:left w:val="dotted" w:sz="4" w:space="0" w:color="000000"/>
              <w:bottom w:val="dotted" w:sz="4" w:space="0" w:color="000000"/>
              <w:right w:val="dotted" w:sz="4" w:space="0" w:color="000000"/>
            </w:tcBorders>
            <w:shd w:val="clear" w:color="auto" w:fill="BCE1C0"/>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5890" w:hRule="exact"/>
        </w:trPr>
        <w:tc>
          <w:tcPr>
            <w:tcW w:w="3941" w:type="dxa"/>
            <w:tcBorders>
              <w:top w:val="dotted" w:sz="4" w:space="0" w:color="000000"/>
              <w:left w:val="dotted" w:sz="4" w:space="0" w:color="000000"/>
              <w:bottom w:val="dotted" w:sz="4" w:space="0" w:color="000000"/>
              <w:right w:val="dotted" w:sz="4" w:space="0" w:color="000000"/>
            </w:tcBorders>
          </w:tcPr>
          <w:p>
            <w:pPr>
              <w:pStyle w:val="TableParagraph"/>
              <w:spacing w:line="352" w:lineRule="auto" w:before="116"/>
              <w:ind w:left="105" w:right="41"/>
              <w:jc w:val="both"/>
              <w:rPr>
                <w:rFonts w:ascii="宋体" w:hAnsi="宋体" w:cs="宋体" w:eastAsia="宋体" w:hint="default"/>
                <w:sz w:val="18"/>
                <w:szCs w:val="18"/>
              </w:rPr>
            </w:pPr>
            <w:r>
              <w:rPr>
                <w:rFonts w:ascii="宋体" w:hAnsi="宋体" w:cs="宋体" w:eastAsia="宋体" w:hint="default"/>
                <w:spacing w:val="-6"/>
                <w:sz w:val="18"/>
                <w:szCs w:val="18"/>
              </w:rPr>
              <w:t>公司收入类型主要为系统集成收入、软件开发收</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入及</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运维收入。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年度，公司营业收入为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307,423,525.28 </w:t>
            </w:r>
            <w:r>
              <w:rPr>
                <w:rFonts w:ascii="宋体" w:hAnsi="宋体" w:cs="宋体" w:eastAsia="宋体" w:hint="default"/>
                <w:spacing w:val="-3"/>
                <w:sz w:val="18"/>
                <w:szCs w:val="18"/>
              </w:rPr>
              <w:t>元，其中系统集成收入与软件开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0"/>
                <w:sz w:val="18"/>
                <w:szCs w:val="18"/>
              </w:rPr>
              <w:t>发收入</w:t>
            </w:r>
            <w:r>
              <w:rPr>
                <w:rFonts w:ascii="宋体" w:hAnsi="宋体" w:cs="宋体" w:eastAsia="宋体" w:hint="default"/>
                <w:spacing w:val="-26"/>
                <w:sz w:val="18"/>
                <w:szCs w:val="18"/>
              </w:rPr>
              <w:t> </w:t>
            </w:r>
            <w:r>
              <w:rPr>
                <w:rFonts w:ascii="宋体" w:hAnsi="宋体" w:cs="宋体" w:eastAsia="宋体" w:hint="default"/>
                <w:spacing w:val="40"/>
                <w:sz w:val="18"/>
                <w:szCs w:val="18"/>
              </w:rPr>
              <w:t>金额分</w:t>
            </w:r>
            <w:r>
              <w:rPr>
                <w:rFonts w:ascii="宋体" w:hAnsi="宋体" w:cs="宋体" w:eastAsia="宋体" w:hint="default"/>
                <w:spacing w:val="-26"/>
                <w:sz w:val="18"/>
                <w:szCs w:val="18"/>
              </w:rPr>
              <w:t> </w:t>
            </w:r>
            <w:r>
              <w:rPr>
                <w:rFonts w:ascii="宋体" w:hAnsi="宋体" w:cs="宋体" w:eastAsia="宋体" w:hint="default"/>
                <w:spacing w:val="30"/>
                <w:sz w:val="18"/>
                <w:szCs w:val="18"/>
              </w:rPr>
              <w:t>别为</w:t>
            </w:r>
            <w:r>
              <w:rPr>
                <w:rFonts w:ascii="宋体" w:hAnsi="宋体" w:cs="宋体" w:eastAsia="宋体" w:hint="default"/>
                <w:spacing w:val="76"/>
                <w:sz w:val="18"/>
                <w:szCs w:val="18"/>
              </w:rPr>
              <w:t> </w:t>
            </w:r>
            <w:r>
              <w:rPr>
                <w:rFonts w:ascii="Times New Roman" w:hAnsi="Times New Roman" w:cs="Times New Roman" w:eastAsia="Times New Roman" w:hint="default"/>
                <w:spacing w:val="-3"/>
                <w:sz w:val="18"/>
                <w:szCs w:val="18"/>
              </w:rPr>
              <w:t>111,956,777.27</w:t>
            </w:r>
            <w:r>
              <w:rPr>
                <w:rFonts w:ascii="Times New Roman" w:hAnsi="Times New Roman" w:cs="Times New Roman" w:eastAsia="Times New Roman" w:hint="default"/>
                <w:spacing w:val="1"/>
                <w:sz w:val="18"/>
                <w:szCs w:val="18"/>
              </w:rPr>
              <w:t> </w:t>
            </w:r>
            <w:r>
              <w:rPr>
                <w:rFonts w:ascii="宋体" w:hAnsi="宋体" w:cs="宋体" w:eastAsia="宋体" w:hint="default"/>
                <w:spacing w:val="28"/>
                <w:sz w:val="18"/>
                <w:szCs w:val="18"/>
              </w:rPr>
              <w:t>元和</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175,240,006.47  </w:t>
            </w:r>
            <w:r>
              <w:rPr>
                <w:rFonts w:ascii="Times New Roman" w:hAnsi="Times New Roman" w:cs="Times New Roman" w:eastAsia="Times New Roman" w:hint="default"/>
                <w:spacing w:val="20"/>
                <w:sz w:val="18"/>
                <w:szCs w:val="18"/>
              </w:rPr>
              <w:t> </w:t>
            </w:r>
            <w:r>
              <w:rPr>
                <w:rFonts w:ascii="宋体" w:hAnsi="宋体" w:cs="宋体" w:eastAsia="宋体" w:hint="default"/>
                <w:spacing w:val="8"/>
                <w:sz w:val="18"/>
                <w:szCs w:val="18"/>
              </w:rPr>
              <w:t>元，占营业收入的比例分别为</w:t>
            </w:r>
            <w:r>
              <w:rPr>
                <w:rFonts w:ascii="宋体" w:hAnsi="宋体" w:cs="宋体" w:eastAsia="宋体" w:hint="default"/>
                <w:sz w:val="18"/>
                <w:szCs w:val="18"/>
              </w:rPr>
            </w:r>
          </w:p>
          <w:p>
            <w:pPr>
              <w:pStyle w:val="TableParagraph"/>
              <w:spacing w:line="364" w:lineRule="auto" w:before="17"/>
              <w:ind w:left="105"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36.42%</w:t>
            </w:r>
            <w:r>
              <w:rPr>
                <w:rFonts w:ascii="宋体" w:hAnsi="宋体" w:cs="宋体" w:eastAsia="宋体" w:hint="default"/>
                <w:sz w:val="18"/>
                <w:szCs w:val="18"/>
              </w:rPr>
              <w:t>和</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。对于系统集成与软件开发收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入的确认，公司将软件及其配套产品交付客户或</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系统集成安装完成，并取得客户的最终验收单或</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终验报告后确认相应收入的实现。系统集成及软</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件开发收入销售额及占比较大，存在不满足收入</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6"/>
                <w:sz w:val="18"/>
                <w:szCs w:val="18"/>
              </w:rPr>
              <w:t>确认条件下提前确认收入的错报风险。故我们将</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2"/>
                <w:sz w:val="18"/>
                <w:szCs w:val="18"/>
              </w:rPr>
              <w:t>系统集成及软件开发收入的确认作为关键审计</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4"/>
                <w:sz w:val="18"/>
                <w:szCs w:val="18"/>
              </w:rPr>
              <w:t>事项。</w:t>
            </w:r>
            <w:r>
              <w:rPr>
                <w:rFonts w:ascii="宋体" w:hAnsi="宋体" w:cs="宋体" w:eastAsia="宋体" w:hint="default"/>
                <w:sz w:val="18"/>
                <w:szCs w:val="18"/>
              </w:rPr>
            </w:r>
          </w:p>
          <w:p>
            <w:pPr>
              <w:pStyle w:val="TableParagraph"/>
              <w:spacing w:line="367" w:lineRule="auto" w:before="74"/>
              <w:ind w:left="105" w:right="7"/>
              <w:jc w:val="both"/>
              <w:rPr>
                <w:rFonts w:ascii="宋体" w:hAnsi="宋体" w:cs="宋体" w:eastAsia="宋体" w:hint="default"/>
                <w:sz w:val="18"/>
                <w:szCs w:val="18"/>
              </w:rPr>
            </w:pPr>
            <w:r>
              <w:rPr>
                <w:rFonts w:ascii="宋体" w:hAnsi="宋体" w:cs="宋体" w:eastAsia="宋体" w:hint="default"/>
                <w:w w:val="101"/>
                <w:sz w:val="18"/>
                <w:szCs w:val="18"/>
              </w:rPr>
              <w:t>相关信息参见财</w:t>
            </w:r>
            <w:r>
              <w:rPr>
                <w:rFonts w:ascii="宋体" w:hAnsi="宋体" w:cs="宋体" w:eastAsia="宋体" w:hint="default"/>
                <w:spacing w:val="-5"/>
                <w:w w:val="101"/>
                <w:sz w:val="18"/>
                <w:szCs w:val="18"/>
              </w:rPr>
              <w:t>务</w:t>
            </w:r>
            <w:r>
              <w:rPr>
                <w:rFonts w:ascii="宋体" w:hAnsi="宋体" w:cs="宋体" w:eastAsia="宋体" w:hint="default"/>
                <w:w w:val="101"/>
                <w:sz w:val="18"/>
                <w:szCs w:val="18"/>
              </w:rPr>
              <w:t>报表附注</w:t>
            </w:r>
            <w:r>
              <w:rPr>
                <w:rFonts w:ascii="宋体" w:hAnsi="宋体" w:cs="宋体" w:eastAsia="宋体" w:hint="default"/>
                <w:spacing w:val="-5"/>
                <w:w w:val="101"/>
                <w:sz w:val="18"/>
                <w:szCs w:val="18"/>
              </w:rPr>
              <w:t>“</w:t>
            </w: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（二十）</w:t>
            </w:r>
            <w:r>
              <w:rPr>
                <w:rFonts w:ascii="宋体" w:hAnsi="宋体" w:cs="宋体" w:eastAsia="宋体" w:hint="default"/>
                <w:spacing w:val="-5"/>
                <w:w w:val="101"/>
                <w:sz w:val="18"/>
                <w:szCs w:val="18"/>
              </w:rPr>
              <w:t>收</w:t>
            </w:r>
            <w:r>
              <w:rPr>
                <w:rFonts w:ascii="宋体" w:hAnsi="宋体" w:cs="宋体" w:eastAsia="宋体" w:hint="default"/>
                <w:w w:val="101"/>
                <w:sz w:val="18"/>
                <w:szCs w:val="18"/>
              </w:rPr>
              <w:t>入</w:t>
            </w:r>
            <w:r>
              <w:rPr>
                <w:rFonts w:ascii="宋体" w:hAnsi="宋体" w:cs="宋体" w:eastAsia="宋体" w:hint="default"/>
                <w:w w:val="101"/>
                <w:sz w:val="18"/>
                <w:szCs w:val="18"/>
              </w:rPr>
              <w:t> 确</w:t>
            </w:r>
            <w:r>
              <w:rPr>
                <w:rFonts w:ascii="宋体" w:hAnsi="宋体" w:cs="宋体" w:eastAsia="宋体" w:hint="default"/>
                <w:spacing w:val="-5"/>
                <w:w w:val="101"/>
                <w:sz w:val="18"/>
                <w:szCs w:val="18"/>
              </w:rPr>
              <w:t>认</w:t>
            </w:r>
            <w:r>
              <w:rPr>
                <w:rFonts w:ascii="宋体" w:hAnsi="宋体" w:cs="宋体" w:eastAsia="宋体" w:hint="default"/>
                <w:w w:val="101"/>
                <w:sz w:val="18"/>
                <w:szCs w:val="18"/>
              </w:rPr>
              <w:t>的</w:t>
            </w:r>
            <w:r>
              <w:rPr>
                <w:rFonts w:ascii="宋体" w:hAnsi="宋体" w:cs="宋体" w:eastAsia="宋体" w:hint="default"/>
                <w:spacing w:val="-5"/>
                <w:w w:val="101"/>
                <w:sz w:val="18"/>
                <w:szCs w:val="18"/>
              </w:rPr>
              <w:t>核</w:t>
            </w:r>
            <w:r>
              <w:rPr>
                <w:rFonts w:ascii="宋体" w:hAnsi="宋体" w:cs="宋体" w:eastAsia="宋体" w:hint="default"/>
                <w:spacing w:val="-1"/>
                <w:w w:val="101"/>
                <w:sz w:val="18"/>
                <w:szCs w:val="18"/>
              </w:rPr>
              <w:t>算</w:t>
            </w:r>
            <w:r>
              <w:rPr>
                <w:rFonts w:ascii="宋体" w:hAnsi="宋体" w:cs="宋体" w:eastAsia="宋体" w:hint="default"/>
                <w:spacing w:val="-48"/>
                <w:w w:val="101"/>
                <w:sz w:val="18"/>
                <w:szCs w:val="18"/>
              </w:rPr>
              <w:t>”</w:t>
            </w:r>
            <w:r>
              <w:rPr>
                <w:rFonts w:ascii="宋体" w:hAnsi="宋体" w:cs="宋体" w:eastAsia="宋体" w:hint="default"/>
                <w:spacing w:val="-53"/>
                <w:w w:val="101"/>
                <w:sz w:val="18"/>
                <w:szCs w:val="18"/>
              </w:rPr>
              <w:t>及</w:t>
            </w:r>
            <w:r>
              <w:rPr>
                <w:rFonts w:ascii="宋体" w:hAnsi="宋体" w:cs="宋体" w:eastAsia="宋体" w:hint="default"/>
                <w:w w:val="101"/>
                <w:sz w:val="18"/>
                <w:szCs w:val="18"/>
              </w:rPr>
              <w:t>“</w:t>
            </w:r>
            <w:r>
              <w:rPr>
                <w:rFonts w:ascii="宋体" w:hAnsi="宋体" w:cs="宋体" w:eastAsia="宋体" w:hint="default"/>
                <w:spacing w:val="-5"/>
                <w:w w:val="101"/>
                <w:sz w:val="18"/>
                <w:szCs w:val="18"/>
              </w:rPr>
              <w:t>六</w:t>
            </w:r>
            <w:r>
              <w:rPr>
                <w:rFonts w:ascii="宋体" w:hAnsi="宋体" w:cs="宋体" w:eastAsia="宋体" w:hint="default"/>
                <w:spacing w:val="-48"/>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8</w:t>
            </w:r>
            <w:r>
              <w:rPr>
                <w:rFonts w:ascii="宋体" w:hAnsi="宋体" w:cs="宋体" w:eastAsia="宋体" w:hint="default"/>
                <w:spacing w:val="-48"/>
                <w:w w:val="101"/>
                <w:sz w:val="18"/>
                <w:szCs w:val="18"/>
              </w:rPr>
              <w:t>、</w:t>
            </w:r>
            <w:r>
              <w:rPr>
                <w:rFonts w:ascii="宋体" w:hAnsi="宋体" w:cs="宋体" w:eastAsia="宋体" w:hint="default"/>
                <w:spacing w:val="-5"/>
                <w:w w:val="101"/>
                <w:sz w:val="18"/>
                <w:szCs w:val="18"/>
              </w:rPr>
              <w:t>营</w:t>
            </w:r>
            <w:r>
              <w:rPr>
                <w:rFonts w:ascii="宋体" w:hAnsi="宋体" w:cs="宋体" w:eastAsia="宋体" w:hint="default"/>
                <w:w w:val="101"/>
                <w:sz w:val="18"/>
                <w:szCs w:val="18"/>
              </w:rPr>
              <w:t>业</w:t>
            </w:r>
            <w:r>
              <w:rPr>
                <w:rFonts w:ascii="宋体" w:hAnsi="宋体" w:cs="宋体" w:eastAsia="宋体" w:hint="default"/>
                <w:spacing w:val="-5"/>
                <w:w w:val="101"/>
                <w:sz w:val="18"/>
                <w:szCs w:val="18"/>
              </w:rPr>
              <w:t>收</w:t>
            </w:r>
            <w:r>
              <w:rPr>
                <w:rFonts w:ascii="宋体" w:hAnsi="宋体" w:cs="宋体" w:eastAsia="宋体" w:hint="default"/>
                <w:w w:val="101"/>
                <w:sz w:val="18"/>
                <w:szCs w:val="18"/>
              </w:rPr>
              <w:t>入</w:t>
            </w:r>
            <w:r>
              <w:rPr>
                <w:rFonts w:ascii="宋体" w:hAnsi="宋体" w:cs="宋体" w:eastAsia="宋体" w:hint="default"/>
                <w:spacing w:val="-53"/>
                <w:w w:val="101"/>
                <w:sz w:val="18"/>
                <w:szCs w:val="18"/>
              </w:rPr>
              <w:t>、</w:t>
            </w:r>
            <w:r>
              <w:rPr>
                <w:rFonts w:ascii="宋体" w:hAnsi="宋体" w:cs="宋体" w:eastAsia="宋体" w:hint="default"/>
                <w:w w:val="101"/>
                <w:sz w:val="18"/>
                <w:szCs w:val="18"/>
              </w:rPr>
              <w:t>营</w:t>
            </w:r>
            <w:r>
              <w:rPr>
                <w:rFonts w:ascii="宋体" w:hAnsi="宋体" w:cs="宋体" w:eastAsia="宋体" w:hint="default"/>
                <w:spacing w:val="-5"/>
                <w:w w:val="101"/>
                <w:sz w:val="18"/>
                <w:szCs w:val="18"/>
              </w:rPr>
              <w:t>业</w:t>
            </w:r>
            <w:r>
              <w:rPr>
                <w:rFonts w:ascii="宋体" w:hAnsi="宋体" w:cs="宋体" w:eastAsia="宋体" w:hint="default"/>
                <w:w w:val="101"/>
                <w:sz w:val="18"/>
                <w:szCs w:val="18"/>
              </w:rPr>
              <w:t>成</w:t>
            </w:r>
            <w:r>
              <w:rPr>
                <w:rFonts w:ascii="宋体" w:hAnsi="宋体" w:cs="宋体" w:eastAsia="宋体" w:hint="default"/>
                <w:spacing w:val="-5"/>
                <w:w w:val="101"/>
                <w:sz w:val="18"/>
                <w:szCs w:val="18"/>
              </w:rPr>
              <w:t>本</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5170" w:type="dxa"/>
            <w:tcBorders>
              <w:top w:val="dotted" w:sz="4" w:space="0" w:color="000000"/>
              <w:left w:val="dotted" w:sz="4" w:space="0" w:color="000000"/>
              <w:bottom w:val="dotted" w:sz="4" w:space="0" w:color="000000"/>
              <w:right w:val="dotted" w:sz="4" w:space="0" w:color="000000"/>
            </w:tcBorders>
          </w:tcPr>
          <w:p>
            <w:pPr>
              <w:pStyle w:val="TableParagraph"/>
              <w:spacing w:line="367" w:lineRule="auto" w:before="116"/>
              <w:ind w:left="100" w:right="97"/>
              <w:jc w:val="both"/>
              <w:rPr>
                <w:rFonts w:ascii="宋体" w:hAnsi="宋体" w:cs="宋体" w:eastAsia="宋体" w:hint="default"/>
                <w:sz w:val="18"/>
                <w:szCs w:val="18"/>
              </w:rPr>
            </w:pPr>
            <w:r>
              <w:rPr>
                <w:rFonts w:ascii="宋体" w:hAnsi="宋体" w:cs="宋体" w:eastAsia="宋体" w:hint="default"/>
                <w:spacing w:val="-6"/>
                <w:w w:val="101"/>
                <w:sz w:val="18"/>
                <w:szCs w:val="18"/>
              </w:rPr>
              <w:t>针对系统集成及软件开发收入确认，我们主要实施了以下审计程</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z w:val="18"/>
                <w:szCs w:val="18"/>
              </w:rPr>
              <w:t>序：</w:t>
            </w:r>
          </w:p>
          <w:p>
            <w:pPr>
              <w:pStyle w:val="TableParagraph"/>
              <w:spacing w:line="355" w:lineRule="auto" w:before="72"/>
              <w:ind w:left="100" w:right="6"/>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）了解、评价收入确认相关的内部控制，并测试了关键控制</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9"/>
                <w:w w:val="101"/>
                <w:sz w:val="18"/>
                <w:szCs w:val="18"/>
              </w:rPr>
              <w:t>执行的有效性；（</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）通过对管理层访谈了解收入确认政策，检查</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6"/>
                <w:w w:val="101"/>
                <w:sz w:val="18"/>
                <w:szCs w:val="18"/>
              </w:rPr>
              <w:t>主要客户合同相关条款，并分析评价实际执行的收入确认政策是</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9"/>
                <w:w w:val="101"/>
                <w:sz w:val="18"/>
                <w:szCs w:val="18"/>
              </w:rPr>
              <w:t>否适当，复核相关会计政策是否一贯地运用；（</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）执行了实质性</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6"/>
                <w:sz w:val="18"/>
                <w:szCs w:val="18"/>
              </w:rPr>
              <w:t>分析程序，如收入增长变动分析、与同行业比较分析、毛利率及</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9"/>
                <w:w w:val="101"/>
                <w:sz w:val="18"/>
                <w:szCs w:val="18"/>
              </w:rPr>
              <w:t>应收账款周转率分析等；（</w:t>
            </w:r>
            <w:r>
              <w:rPr>
                <w:rFonts w:ascii="Times New Roman" w:hAnsi="Times New Roman" w:cs="Times New Roman" w:eastAsia="Times New Roman" w:hint="default"/>
                <w:spacing w:val="-9"/>
                <w:w w:val="101"/>
                <w:sz w:val="18"/>
                <w:szCs w:val="18"/>
              </w:rPr>
              <w:t>4</w:t>
            </w:r>
            <w:r>
              <w:rPr>
                <w:rFonts w:ascii="宋体" w:hAnsi="宋体" w:cs="宋体" w:eastAsia="宋体" w:hint="default"/>
                <w:spacing w:val="-9"/>
                <w:w w:val="101"/>
                <w:sz w:val="18"/>
                <w:szCs w:val="18"/>
              </w:rPr>
              <w:t>）采取抽样方式，检查与收入确认相</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6"/>
                <w:sz w:val="18"/>
                <w:szCs w:val="18"/>
              </w:rPr>
              <w:t>关的支持性文件，包括最终验收单或终验报告、合同等；核对所</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6"/>
                <w:w w:val="101"/>
                <w:sz w:val="18"/>
                <w:szCs w:val="18"/>
              </w:rPr>
              <w:t>选样本收入金额与项目合同金额是否匹配、验收日期与收入确认</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10"/>
                <w:w w:val="101"/>
                <w:sz w:val="18"/>
                <w:szCs w:val="18"/>
              </w:rPr>
              <w:t>期间是否一致；（</w:t>
            </w:r>
            <w:r>
              <w:rPr>
                <w:rFonts w:ascii="Times New Roman" w:hAnsi="Times New Roman" w:cs="Times New Roman" w:eastAsia="Times New Roman" w:hint="default"/>
                <w:spacing w:val="-10"/>
                <w:w w:val="101"/>
                <w:sz w:val="18"/>
                <w:szCs w:val="18"/>
              </w:rPr>
              <w:t>5</w:t>
            </w:r>
            <w:r>
              <w:rPr>
                <w:rFonts w:ascii="宋体" w:hAnsi="宋体" w:cs="宋体" w:eastAsia="宋体" w:hint="default"/>
                <w:spacing w:val="-10"/>
                <w:w w:val="101"/>
                <w:sz w:val="18"/>
                <w:szCs w:val="18"/>
              </w:rPr>
              <w:t>）针对资产负债表日前后确认的销售收入，抽</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6"/>
                <w:w w:val="101"/>
                <w:sz w:val="18"/>
                <w:szCs w:val="18"/>
              </w:rPr>
              <w:t>样检查至终验报告等支持性文件，以检查是否存在提前确认收入</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9"/>
                <w:w w:val="101"/>
                <w:sz w:val="18"/>
                <w:szCs w:val="18"/>
              </w:rPr>
              <w:t>的情况；（</w:t>
            </w:r>
            <w:r>
              <w:rPr>
                <w:rFonts w:ascii="Times New Roman" w:hAnsi="Times New Roman" w:cs="Times New Roman" w:eastAsia="Times New Roman" w:hint="default"/>
                <w:spacing w:val="-9"/>
                <w:w w:val="101"/>
                <w:sz w:val="18"/>
                <w:szCs w:val="18"/>
              </w:rPr>
              <w:t>6</w:t>
            </w:r>
            <w:r>
              <w:rPr>
                <w:rFonts w:ascii="宋体" w:hAnsi="宋体" w:cs="宋体" w:eastAsia="宋体" w:hint="default"/>
                <w:spacing w:val="-9"/>
                <w:w w:val="101"/>
                <w:sz w:val="18"/>
                <w:szCs w:val="18"/>
              </w:rPr>
              <w:t>）结合应收账款审计，对收入信息进行询证，包括合</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同名称、合同金额、开票金额、回款金额以及合同执行情况等；</w:t>
            </w:r>
          </w:p>
          <w:p>
            <w:pPr>
              <w:pStyle w:val="TableParagraph"/>
              <w:spacing w:line="348" w:lineRule="auto" w:before="38"/>
              <w:ind w:left="100" w:right="98"/>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）检查了公司新增客户和销售变动较大的客户及其关联方的</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工商信息，以评估是否存在未识别潜在的关联方关系和交易。</w:t>
            </w:r>
            <w:r>
              <w:rPr>
                <w:rFonts w:ascii="宋体" w:hAnsi="宋体" w:cs="宋体" w:eastAsia="宋体" w:hint="default"/>
                <w:sz w:val="18"/>
                <w:szCs w:val="18"/>
              </w:rPr>
            </w:r>
          </w:p>
        </w:tc>
      </w:tr>
      <w:tr>
        <w:trPr>
          <w:trHeight w:val="451" w:hRule="exact"/>
        </w:trPr>
        <w:tc>
          <w:tcPr>
            <w:tcW w:w="39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b/>
                <w:bCs/>
                <w:sz w:val="18"/>
                <w:szCs w:val="18"/>
              </w:rPr>
              <w:t>应收账款坏账准备计提的充分性</w:t>
            </w:r>
            <w:r>
              <w:rPr>
                <w:rFonts w:ascii="宋体" w:hAnsi="宋体" w:cs="宋体" w:eastAsia="宋体" w:hint="default"/>
                <w:sz w:val="18"/>
                <w:szCs w:val="18"/>
              </w:rPr>
            </w:r>
          </w:p>
        </w:tc>
        <w:tc>
          <w:tcPr>
            <w:tcW w:w="5170" w:type="dxa"/>
            <w:tcBorders>
              <w:top w:val="dotted" w:sz="4" w:space="0" w:color="000000"/>
              <w:left w:val="dotted" w:sz="4" w:space="0" w:color="000000"/>
              <w:bottom w:val="dotted" w:sz="4" w:space="0" w:color="000000"/>
              <w:right w:val="dotted" w:sz="4" w:space="0" w:color="000000"/>
            </w:tcBorders>
          </w:tcPr>
          <w:p>
            <w:pPr/>
          </w:p>
        </w:tc>
      </w:tr>
      <w:tr>
        <w:trPr>
          <w:trHeight w:val="4051" w:hRule="exact"/>
        </w:trPr>
        <w:tc>
          <w:tcPr>
            <w:tcW w:w="3941" w:type="dxa"/>
            <w:tcBorders>
              <w:top w:val="dotted" w:sz="4" w:space="0" w:color="000000"/>
              <w:left w:val="dotted" w:sz="4" w:space="0" w:color="000000"/>
              <w:bottom w:val="dotted" w:sz="4" w:space="0" w:color="000000"/>
              <w:right w:val="dotted" w:sz="4" w:space="0" w:color="000000"/>
            </w:tcBorders>
          </w:tcPr>
          <w:p>
            <w:pPr>
              <w:pStyle w:val="TableParagraph"/>
              <w:spacing w:line="360" w:lineRule="auto" w:before="116"/>
              <w:ind w:left="105" w:right="98"/>
              <w:jc w:val="both"/>
              <w:rPr>
                <w:rFonts w:ascii="宋体" w:hAnsi="宋体" w:cs="宋体" w:eastAsia="宋体" w:hint="default"/>
                <w:sz w:val="18"/>
                <w:szCs w:val="18"/>
              </w:rPr>
            </w:pPr>
            <w:r>
              <w:rPr>
                <w:rFonts w:ascii="宋体" w:hAnsi="宋体" w:cs="宋体" w:eastAsia="宋体" w:hint="default"/>
                <w:sz w:val="18"/>
                <w:szCs w:val="18"/>
              </w:rPr>
              <w:t>公司应收账款期末净额为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106,812,607.61</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期末资产总额的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17.61%</w:t>
            </w:r>
            <w:r>
              <w:rPr>
                <w:rFonts w:ascii="宋体" w:hAnsi="宋体" w:cs="宋体" w:eastAsia="宋体" w:hint="default"/>
                <w:sz w:val="18"/>
                <w:szCs w:val="18"/>
              </w:rPr>
              <w:t>，较期初增长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pacing w:val="-6"/>
                <w:sz w:val="18"/>
                <w:szCs w:val="18"/>
              </w:rPr>
              <w:t>我们关注应收账账款坏账准备计提的充分性，主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6"/>
                <w:sz w:val="18"/>
                <w:szCs w:val="18"/>
              </w:rPr>
              <w:t>要为应收账款期末金额较大，坏账准备的计提对</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2"/>
                <w:sz w:val="18"/>
                <w:szCs w:val="18"/>
              </w:rPr>
              <w:t>财务报表影响较大且需要管理层做出判断与估</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6"/>
                <w:sz w:val="18"/>
                <w:szCs w:val="18"/>
              </w:rPr>
              <w:t>计。故我们将应收账款坏账准备计提的充分性作</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为关键审计事项。</w:t>
            </w:r>
          </w:p>
          <w:p>
            <w:pPr>
              <w:pStyle w:val="TableParagraph"/>
              <w:spacing w:line="367" w:lineRule="auto" w:before="73"/>
              <w:ind w:left="105" w:right="98"/>
              <w:jc w:val="both"/>
              <w:rPr>
                <w:rFonts w:ascii="宋体" w:hAnsi="宋体" w:cs="宋体" w:eastAsia="宋体" w:hint="default"/>
                <w:sz w:val="18"/>
                <w:szCs w:val="18"/>
              </w:rPr>
            </w:pPr>
            <w:r>
              <w:rPr>
                <w:rFonts w:ascii="宋体" w:hAnsi="宋体" w:cs="宋体" w:eastAsia="宋体" w:hint="default"/>
                <w:w w:val="101"/>
                <w:sz w:val="18"/>
                <w:szCs w:val="18"/>
              </w:rPr>
              <w:t>相关信息参见财</w:t>
            </w:r>
            <w:r>
              <w:rPr>
                <w:rFonts w:ascii="宋体" w:hAnsi="宋体" w:cs="宋体" w:eastAsia="宋体" w:hint="default"/>
                <w:spacing w:val="-5"/>
                <w:w w:val="101"/>
                <w:sz w:val="18"/>
                <w:szCs w:val="18"/>
              </w:rPr>
              <w:t>务</w:t>
            </w:r>
            <w:r>
              <w:rPr>
                <w:rFonts w:ascii="宋体" w:hAnsi="宋体" w:cs="宋体" w:eastAsia="宋体" w:hint="default"/>
                <w:w w:val="101"/>
                <w:sz w:val="18"/>
                <w:szCs w:val="18"/>
              </w:rPr>
              <w:t>报表附注</w:t>
            </w:r>
            <w:r>
              <w:rPr>
                <w:rFonts w:ascii="宋体" w:hAnsi="宋体" w:cs="宋体" w:eastAsia="宋体" w:hint="default"/>
                <w:spacing w:val="-5"/>
                <w:w w:val="101"/>
                <w:sz w:val="18"/>
                <w:szCs w:val="18"/>
              </w:rPr>
              <w:t>“</w:t>
            </w: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（八）金</w:t>
            </w:r>
            <w:r>
              <w:rPr>
                <w:rFonts w:ascii="宋体" w:hAnsi="宋体" w:cs="宋体" w:eastAsia="宋体" w:hint="default"/>
                <w:spacing w:val="-5"/>
                <w:w w:val="101"/>
                <w:sz w:val="18"/>
                <w:szCs w:val="18"/>
              </w:rPr>
              <w:t>融</w:t>
            </w:r>
            <w:r>
              <w:rPr>
                <w:rFonts w:ascii="宋体" w:hAnsi="宋体" w:cs="宋体" w:eastAsia="宋体" w:hint="default"/>
                <w:w w:val="101"/>
                <w:sz w:val="18"/>
                <w:szCs w:val="18"/>
              </w:rPr>
              <w:t>工</w:t>
            </w:r>
            <w:r>
              <w:rPr>
                <w:rFonts w:ascii="宋体" w:hAnsi="宋体" w:cs="宋体" w:eastAsia="宋体" w:hint="default"/>
                <w:w w:val="101"/>
                <w:sz w:val="18"/>
                <w:szCs w:val="18"/>
              </w:rPr>
              <w:t> 具</w:t>
            </w:r>
            <w:r>
              <w:rPr>
                <w:rFonts w:ascii="宋体" w:hAnsi="宋体" w:cs="宋体" w:eastAsia="宋体" w:hint="default"/>
                <w:spacing w:val="-5"/>
                <w:w w:val="101"/>
                <w:sz w:val="18"/>
                <w:szCs w:val="18"/>
              </w:rPr>
              <w:t>”</w:t>
            </w:r>
            <w:r>
              <w:rPr>
                <w:rFonts w:ascii="宋体" w:hAnsi="宋体" w:cs="宋体" w:eastAsia="宋体" w:hint="default"/>
                <w:w w:val="101"/>
                <w:sz w:val="18"/>
                <w:szCs w:val="18"/>
              </w:rPr>
              <w:t>及</w:t>
            </w:r>
            <w:r>
              <w:rPr>
                <w:rFonts w:ascii="宋体" w:hAnsi="宋体" w:cs="宋体" w:eastAsia="宋体" w:hint="default"/>
                <w:spacing w:val="-5"/>
                <w:w w:val="101"/>
                <w:sz w:val="18"/>
                <w:szCs w:val="18"/>
              </w:rPr>
              <w:t>“</w:t>
            </w:r>
            <w:r>
              <w:rPr>
                <w:rFonts w:ascii="宋体" w:hAnsi="宋体" w:cs="宋体" w:eastAsia="宋体" w:hint="default"/>
                <w:w w:val="101"/>
                <w:sz w:val="18"/>
                <w:szCs w:val="18"/>
              </w:rPr>
              <w:t>六、</w:t>
            </w:r>
            <w:r>
              <w:rPr>
                <w:rFonts w:ascii="Times New Roman" w:hAnsi="Times New Roman" w:cs="Times New Roman" w:eastAsia="Times New Roman" w:hint="default"/>
                <w:spacing w:val="-5"/>
                <w:w w:val="101"/>
                <w:sz w:val="18"/>
                <w:szCs w:val="18"/>
              </w:rPr>
              <w:t>3</w:t>
            </w:r>
            <w:r>
              <w:rPr>
                <w:rFonts w:ascii="宋体" w:hAnsi="宋体" w:cs="宋体" w:eastAsia="宋体" w:hint="default"/>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收</w:t>
            </w:r>
            <w:r>
              <w:rPr>
                <w:rFonts w:ascii="宋体" w:hAnsi="宋体" w:cs="宋体" w:eastAsia="宋体" w:hint="default"/>
                <w:spacing w:val="-5"/>
                <w:w w:val="101"/>
                <w:sz w:val="18"/>
                <w:szCs w:val="18"/>
              </w:rPr>
              <w:t>账</w:t>
            </w:r>
            <w:r>
              <w:rPr>
                <w:rFonts w:ascii="宋体" w:hAnsi="宋体" w:cs="宋体" w:eastAsia="宋体" w:hint="default"/>
                <w:spacing w:val="-1"/>
                <w:w w:val="101"/>
                <w:sz w:val="18"/>
                <w:szCs w:val="18"/>
              </w:rPr>
              <w:t>款</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5170" w:type="dxa"/>
            <w:tcBorders>
              <w:top w:val="dotted" w:sz="4" w:space="0" w:color="000000"/>
              <w:left w:val="dotted" w:sz="4" w:space="0" w:color="000000"/>
              <w:bottom w:val="dotted" w:sz="4" w:space="0" w:color="000000"/>
              <w:right w:val="dotted" w:sz="4" w:space="0" w:color="000000"/>
            </w:tcBorders>
          </w:tcPr>
          <w:p>
            <w:pPr>
              <w:pStyle w:val="TableParagraph"/>
              <w:spacing w:line="357" w:lineRule="auto" w:before="116"/>
              <w:ind w:left="100" w:right="16"/>
              <w:jc w:val="left"/>
              <w:rPr>
                <w:rFonts w:ascii="宋体" w:hAnsi="宋体" w:cs="宋体" w:eastAsia="宋体" w:hint="default"/>
                <w:sz w:val="18"/>
                <w:szCs w:val="18"/>
              </w:rPr>
            </w:pPr>
            <w:r>
              <w:rPr>
                <w:rFonts w:ascii="宋体" w:hAnsi="宋体" w:cs="宋体" w:eastAsia="宋体" w:hint="default"/>
                <w:spacing w:val="-9"/>
                <w:w w:val="101"/>
                <w:sz w:val="18"/>
                <w:szCs w:val="18"/>
              </w:rPr>
              <w:t>针对此关键审计事项，我们主要实施了以下审计程序：（</w:t>
            </w: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）对应</w:t>
            </w:r>
            <w:r>
              <w:rPr>
                <w:rFonts w:ascii="宋体" w:hAnsi="宋体" w:cs="宋体" w:eastAsia="宋体" w:hint="default"/>
                <w:spacing w:val="-75"/>
                <w:w w:val="101"/>
                <w:sz w:val="18"/>
                <w:szCs w:val="18"/>
              </w:rPr>
              <w:t> </w:t>
            </w:r>
            <w:r>
              <w:rPr>
                <w:rFonts w:ascii="宋体" w:hAnsi="宋体" w:cs="宋体" w:eastAsia="宋体" w:hint="default"/>
                <w:spacing w:val="-75"/>
                <w:w w:val="101"/>
                <w:sz w:val="18"/>
                <w:szCs w:val="18"/>
              </w:rPr>
            </w:r>
            <w:r>
              <w:rPr>
                <w:rFonts w:ascii="宋体" w:hAnsi="宋体" w:cs="宋体" w:eastAsia="宋体" w:hint="default"/>
                <w:spacing w:val="-9"/>
                <w:w w:val="101"/>
                <w:sz w:val="18"/>
                <w:szCs w:val="18"/>
              </w:rPr>
              <w:t>收账款坏账准备计提的内控进行了解、评价及测试；（</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）分析应</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6"/>
                <w:w w:val="101"/>
                <w:sz w:val="18"/>
                <w:szCs w:val="18"/>
              </w:rPr>
              <w:t>收账款坏账准备会计政策的合理性，包括确定应收账款组合的依</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6"/>
                <w:sz w:val="18"/>
                <w:szCs w:val="18"/>
              </w:rPr>
              <w:t>据、金额重大的判断、单独计提坏账准备的判断等，复核相关会</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9"/>
                <w:w w:val="101"/>
                <w:sz w:val="18"/>
                <w:szCs w:val="18"/>
              </w:rPr>
              <w:t>计政策是否一贯地运用；（</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）对单项金额重大的应收款项，选取</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6"/>
                <w:w w:val="101"/>
                <w:sz w:val="18"/>
                <w:szCs w:val="18"/>
              </w:rPr>
              <w:t>样本获取管理层对预计未来可收回金额做出估计的依据，包括客</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9"/>
                <w:w w:val="101"/>
                <w:sz w:val="18"/>
                <w:szCs w:val="18"/>
              </w:rPr>
              <w:t>户信用记录及期后实际还款情况，并复核其合理性；（</w:t>
            </w:r>
            <w:r>
              <w:rPr>
                <w:rFonts w:ascii="Times New Roman" w:hAnsi="Times New Roman" w:cs="Times New Roman" w:eastAsia="Times New Roman" w:hint="default"/>
                <w:spacing w:val="-9"/>
                <w:w w:val="101"/>
                <w:sz w:val="18"/>
                <w:szCs w:val="18"/>
              </w:rPr>
              <w:t>4</w:t>
            </w:r>
            <w:r>
              <w:rPr>
                <w:rFonts w:ascii="宋体" w:hAnsi="宋体" w:cs="宋体" w:eastAsia="宋体" w:hint="default"/>
                <w:spacing w:val="-9"/>
                <w:w w:val="101"/>
                <w:sz w:val="18"/>
                <w:szCs w:val="18"/>
              </w:rPr>
              <w:t>）对于按</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6"/>
                <w:w w:val="101"/>
                <w:sz w:val="18"/>
                <w:szCs w:val="18"/>
              </w:rPr>
              <w:t>账龄分析法计提坏账准备的应收账款，分析公司应收账款坏账准</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6"/>
                <w:w w:val="101"/>
                <w:sz w:val="18"/>
                <w:szCs w:val="18"/>
              </w:rPr>
              <w:t>备会计估计的合理性，并选取样本对账龄准确性进行测试；（</w:t>
            </w:r>
            <w:r>
              <w:rPr>
                <w:rFonts w:ascii="Times New Roman" w:hAnsi="Times New Roman" w:cs="Times New Roman" w:eastAsia="Times New Roman" w:hint="default"/>
                <w:spacing w:val="-6"/>
                <w:w w:val="101"/>
                <w:sz w:val="18"/>
                <w:szCs w:val="18"/>
              </w:rPr>
              <w:t>5</w:t>
            </w:r>
            <w:r>
              <w:rPr>
                <w:rFonts w:ascii="宋体" w:hAnsi="宋体" w:cs="宋体" w:eastAsia="宋体" w:hint="default"/>
                <w:spacing w:val="-6"/>
                <w:w w:val="101"/>
                <w:sz w:val="18"/>
                <w:szCs w:val="18"/>
              </w:rPr>
              <w:t>）</w:t>
            </w:r>
            <w:r>
              <w:rPr>
                <w:rFonts w:ascii="宋体" w:hAnsi="宋体" w:cs="宋体" w:eastAsia="宋体" w:hint="default"/>
                <w:spacing w:val="-81"/>
                <w:w w:val="101"/>
                <w:sz w:val="18"/>
                <w:szCs w:val="18"/>
              </w:rPr>
              <w:t> </w:t>
            </w:r>
            <w:r>
              <w:rPr>
                <w:rFonts w:ascii="宋体" w:hAnsi="宋体" w:cs="宋体" w:eastAsia="宋体" w:hint="default"/>
                <w:spacing w:val="-6"/>
                <w:sz w:val="18"/>
                <w:szCs w:val="18"/>
              </w:rPr>
              <w:t>通过国家企业信用信息公示系统，抽样查阅客户工商信息，关注</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是否存在偿债能力不足的迹象。</w:t>
            </w:r>
          </w:p>
        </w:tc>
      </w:tr>
    </w:tbl>
    <w:p>
      <w:pPr>
        <w:spacing w:after="0" w:line="357" w:lineRule="auto"/>
        <w:jc w:val="left"/>
        <w:rPr>
          <w:rFonts w:ascii="宋体" w:hAnsi="宋体" w:cs="宋体" w:eastAsia="宋体" w:hint="default"/>
          <w:sz w:val="18"/>
          <w:szCs w:val="18"/>
        </w:rPr>
        <w:sectPr>
          <w:pgSz w:w="11910" w:h="16840"/>
          <w:pgMar w:header="784" w:footer="1027" w:top="1100" w:bottom="1220" w:left="900" w:right="980"/>
        </w:sectPr>
      </w:pPr>
    </w:p>
    <w:p>
      <w:pPr>
        <w:spacing w:line="240" w:lineRule="auto" w:before="7"/>
        <w:rPr>
          <w:rFonts w:ascii="宋体" w:hAnsi="宋体" w:cs="宋体" w:eastAsia="宋体" w:hint="default"/>
          <w:sz w:val="27"/>
          <w:szCs w:val="27"/>
        </w:rPr>
      </w:pPr>
    </w:p>
    <w:p>
      <w:pPr>
        <w:pStyle w:val="BodyText"/>
        <w:spacing w:line="240" w:lineRule="auto" w:before="46"/>
        <w:ind w:right="6663"/>
        <w:jc w:val="left"/>
      </w:pPr>
      <w:r>
        <w:rPr>
          <w:spacing w:val="-3"/>
        </w:rPr>
        <w:t>审计报告（续）</w:t>
      </w:r>
      <w:r>
        <w:rPr/>
      </w:r>
    </w:p>
    <w:p>
      <w:pPr>
        <w:spacing w:line="240" w:lineRule="auto" w:before="1"/>
        <w:rPr>
          <w:rFonts w:ascii="宋体" w:hAnsi="宋体" w:cs="宋体" w:eastAsia="宋体" w:hint="default"/>
          <w:sz w:val="18"/>
          <w:szCs w:val="18"/>
        </w:rPr>
      </w:pPr>
    </w:p>
    <w:p>
      <w:pPr>
        <w:pStyle w:val="BodyText"/>
        <w:spacing w:line="240" w:lineRule="auto" w:before="46"/>
        <w:ind w:left="0" w:right="185"/>
        <w:jc w:val="right"/>
      </w:pPr>
      <w:r>
        <w:rPr/>
        <w:t>天职业字</w:t>
      </w:r>
      <w:r>
        <w:rPr>
          <w:rFonts w:ascii="Times New Roman" w:hAnsi="Times New Roman" w:cs="Times New Roman" w:eastAsia="Times New Roman" w:hint="default"/>
        </w:rPr>
        <w:t>[2018]7028</w:t>
      </w:r>
      <w:r>
        <w:rPr>
          <w:rFonts w:ascii="Times New Roman" w:hAnsi="Times New Roman" w:cs="Times New Roman" w:eastAsia="Times New Roman" w:hint="default"/>
          <w:spacing w:val="3"/>
        </w:rPr>
        <w:t> </w:t>
      </w:r>
      <w:r>
        <w:rPr/>
        <w:t>号</w:t>
      </w:r>
    </w:p>
    <w:p>
      <w:pPr>
        <w:spacing w:line="240" w:lineRule="auto" w:before="11"/>
        <w:rPr>
          <w:rFonts w:ascii="宋体" w:hAnsi="宋体" w:cs="宋体" w:eastAsia="宋体" w:hint="default"/>
          <w:sz w:val="26"/>
          <w:szCs w:val="26"/>
        </w:rPr>
      </w:pPr>
    </w:p>
    <w:p>
      <w:pPr>
        <w:pStyle w:val="Heading4"/>
        <w:spacing w:line="240" w:lineRule="auto" w:before="36"/>
        <w:ind w:left="575" w:right="6663"/>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spacing w:line="240" w:lineRule="auto" w:before="3"/>
        <w:rPr>
          <w:rFonts w:ascii="黑体" w:hAnsi="黑体" w:cs="黑体" w:eastAsia="黑体" w:hint="default"/>
          <w:b/>
          <w:bCs/>
          <w:sz w:val="28"/>
          <w:szCs w:val="28"/>
        </w:rPr>
      </w:pPr>
    </w:p>
    <w:p>
      <w:pPr>
        <w:pStyle w:val="BodyText"/>
        <w:spacing w:line="300" w:lineRule="auto"/>
        <w:ind w:left="153" w:right="190" w:firstLine="359"/>
        <w:jc w:val="left"/>
      </w:pPr>
      <w:r>
        <w:rPr>
          <w:spacing w:val="-7"/>
          <w:w w:val="101"/>
        </w:rPr>
        <w:t>科创信息管理层（以下简称</w:t>
      </w:r>
      <w:r>
        <w:rPr>
          <w:rFonts w:ascii="宋体" w:hAnsi="宋体" w:cs="宋体" w:eastAsia="宋体" w:hint="default"/>
          <w:spacing w:val="-7"/>
          <w:w w:val="101"/>
        </w:rPr>
        <w:t>“</w:t>
      </w:r>
      <w:r>
        <w:rPr>
          <w:spacing w:val="-7"/>
          <w:w w:val="101"/>
        </w:rPr>
        <w:t>管理层</w:t>
      </w:r>
      <w:r>
        <w:rPr>
          <w:rFonts w:ascii="宋体" w:hAnsi="宋体" w:cs="宋体" w:eastAsia="宋体" w:hint="default"/>
          <w:spacing w:val="-7"/>
          <w:w w:val="101"/>
        </w:rPr>
        <w:t>”</w:t>
      </w:r>
      <w:r>
        <w:rPr>
          <w:spacing w:val="-7"/>
          <w:w w:val="101"/>
        </w:rPr>
        <w:t>）对其他信息负责。其他信息包括科创信息</w:t>
      </w:r>
      <w:r>
        <w:rPr>
          <w:spacing w:val="-47"/>
          <w:w w:val="101"/>
        </w:rPr>
        <w:t> </w:t>
      </w:r>
      <w:r>
        <w:rPr>
          <w:rFonts w:ascii="Times New Roman" w:hAnsi="Times New Roman" w:cs="Times New Roman" w:eastAsia="Times New Roman" w:hint="default"/>
          <w:w w:val="101"/>
        </w:rPr>
        <w:t>2017</w:t>
      </w:r>
      <w:r>
        <w:rPr>
          <w:rFonts w:ascii="Times New Roman" w:hAnsi="Times New Roman" w:cs="Times New Roman" w:eastAsia="Times New Roman" w:hint="default"/>
          <w:spacing w:val="-5"/>
          <w:w w:val="101"/>
        </w:rPr>
        <w:t> </w:t>
      </w:r>
      <w:r>
        <w:rPr>
          <w:spacing w:val="-4"/>
          <w:w w:val="101"/>
        </w:rPr>
        <w:t>年年度报告中涵盖的信息，但不</w:t>
      </w:r>
      <w:r>
        <w:rPr>
          <w:spacing w:val="-5"/>
          <w:w w:val="101"/>
        </w:rPr>
        <w:t> </w:t>
      </w:r>
      <w:r>
        <w:rPr>
          <w:spacing w:val="-3"/>
        </w:rPr>
        <w:t>包括财务报表和我们的审计报告。</w:t>
      </w:r>
      <w:r>
        <w:rPr/>
      </w:r>
    </w:p>
    <w:p>
      <w:pPr>
        <w:pStyle w:val="BodyText"/>
        <w:spacing w:line="466" w:lineRule="exact" w:before="22"/>
        <w:ind w:left="513" w:right="0"/>
        <w:jc w:val="left"/>
      </w:pPr>
      <w:r>
        <w:rPr>
          <w:spacing w:val="-3"/>
        </w:rPr>
        <w:t>我们对财务报表发表的审计意见不涵盖其他信息，我们也不对其他信息发表任何形式的鉴证结论。</w:t>
      </w:r>
      <w:r>
        <w:rPr>
          <w:spacing w:val="36"/>
        </w:rPr>
        <w:t> </w:t>
      </w:r>
      <w:r>
        <w:rPr>
          <w:spacing w:val="36"/>
        </w:rPr>
      </w:r>
      <w:r>
        <w:rPr>
          <w:spacing w:val="-4"/>
        </w:rPr>
        <w:t>结合我们对财务报表的审计，我们的责任是阅读其他信息，在此过程中，考虑其他信息是否与财务报表或我们在审计过</w:t>
      </w:r>
    </w:p>
    <w:p>
      <w:pPr>
        <w:pStyle w:val="BodyText"/>
        <w:spacing w:line="240" w:lineRule="auto" w:before="8"/>
        <w:ind w:left="153" w:right="0"/>
        <w:jc w:val="left"/>
      </w:pPr>
      <w:r>
        <w:rPr>
          <w:spacing w:val="-3"/>
        </w:rPr>
        <w:t>程中了解到的情况存在重大不一致或者似乎存在重大错报。</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5"/>
        </w:rPr>
        <w:t>基于我们已执行的工作，如果我们确定其他信息存在重大错报，我们应当报告该事实。在这方面，我们无任何事项需要</w:t>
      </w:r>
      <w:r>
        <w:rPr>
          <w:w w:val="101"/>
        </w:rPr>
        <w:t> </w:t>
      </w:r>
      <w:r>
        <w:rPr>
          <w:spacing w:val="-4"/>
        </w:rPr>
        <w:t>报告。</w:t>
      </w:r>
      <w:r>
        <w:rPr/>
      </w:r>
    </w:p>
    <w:p>
      <w:pPr>
        <w:spacing w:line="240" w:lineRule="auto" w:before="0"/>
        <w:rPr>
          <w:rFonts w:ascii="宋体" w:hAnsi="宋体" w:cs="宋体" w:eastAsia="宋体" w:hint="default"/>
          <w:sz w:val="18"/>
          <w:szCs w:val="18"/>
        </w:rPr>
      </w:pPr>
    </w:p>
    <w:p>
      <w:pPr>
        <w:pStyle w:val="Heading4"/>
        <w:spacing w:line="240" w:lineRule="auto" w:before="122"/>
        <w:ind w:left="575" w:right="0"/>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3"/>
        <w:rPr>
          <w:rFonts w:ascii="黑体" w:hAnsi="黑体" w:cs="黑体" w:eastAsia="黑体" w:hint="default"/>
          <w:b/>
          <w:bCs/>
          <w:sz w:val="28"/>
          <w:szCs w:val="28"/>
        </w:rPr>
      </w:pPr>
    </w:p>
    <w:p>
      <w:pPr>
        <w:pStyle w:val="BodyText"/>
        <w:spacing w:line="316" w:lineRule="auto"/>
        <w:ind w:right="0" w:firstLine="360"/>
        <w:jc w:val="left"/>
      </w:pPr>
      <w:r>
        <w:rPr>
          <w:spacing w:val="-5"/>
        </w:rPr>
        <w:t>管理层负责按照企业会计准则的规定编制财务报表，使其实现公允反映，并设计、执行和维护必要的内部控制，以使财</w:t>
      </w:r>
      <w:r>
        <w:rPr>
          <w:w w:val="101"/>
        </w:rPr>
        <w:t> </w:t>
      </w:r>
      <w:r>
        <w:rPr>
          <w:spacing w:val="-3"/>
        </w:rPr>
        <w:t>务报表不存在由于舞弊或错误导致的重大错报。</w:t>
      </w:r>
      <w:r>
        <w:rPr/>
      </w:r>
    </w:p>
    <w:p>
      <w:pPr>
        <w:spacing w:line="240" w:lineRule="auto" w:before="2"/>
        <w:rPr>
          <w:rFonts w:ascii="宋体" w:hAnsi="宋体" w:cs="宋体" w:eastAsia="宋体" w:hint="default"/>
          <w:sz w:val="13"/>
          <w:szCs w:val="13"/>
        </w:rPr>
      </w:pPr>
    </w:p>
    <w:p>
      <w:pPr>
        <w:pStyle w:val="BodyText"/>
        <w:spacing w:line="316" w:lineRule="auto"/>
        <w:ind w:right="175" w:firstLine="360"/>
        <w:jc w:val="left"/>
      </w:pPr>
      <w:r>
        <w:rPr>
          <w:spacing w:val="-4"/>
          <w:w w:val="101"/>
        </w:rPr>
        <w:t>在编制财务报表时，管理层负责评估科创信息的持续经营能力，披露与持续经营相关的事项（如适用），并运用持续经</w:t>
      </w:r>
      <w:r>
        <w:rPr>
          <w:w w:val="101"/>
        </w:rPr>
        <w:t> </w:t>
      </w:r>
      <w:r>
        <w:rPr>
          <w:spacing w:val="-3"/>
        </w:rPr>
        <w:t>营假设，除非计划进行清算、终止运营或别无其他现实的选择。</w:t>
      </w:r>
      <w:r>
        <w:rPr/>
      </w:r>
    </w:p>
    <w:p>
      <w:pPr>
        <w:spacing w:line="240" w:lineRule="auto" w:before="7"/>
        <w:rPr>
          <w:rFonts w:ascii="宋体" w:hAnsi="宋体" w:cs="宋体" w:eastAsia="宋体" w:hint="default"/>
          <w:sz w:val="13"/>
          <w:szCs w:val="13"/>
        </w:rPr>
      </w:pPr>
    </w:p>
    <w:p>
      <w:pPr>
        <w:pStyle w:val="BodyText"/>
        <w:spacing w:line="240" w:lineRule="auto"/>
        <w:ind w:left="512" w:right="0"/>
        <w:jc w:val="left"/>
      </w:pPr>
      <w:r>
        <w:rPr>
          <w:spacing w:val="-3"/>
        </w:rPr>
        <w:t>治理层负责监督科创信息的财务报告过程。</w:t>
      </w:r>
      <w:r>
        <w:rPr/>
      </w:r>
    </w:p>
    <w:p>
      <w:pPr>
        <w:spacing w:line="240" w:lineRule="auto" w:before="0"/>
        <w:rPr>
          <w:rFonts w:ascii="宋体" w:hAnsi="宋体" w:cs="宋体" w:eastAsia="宋体" w:hint="default"/>
          <w:sz w:val="18"/>
          <w:szCs w:val="18"/>
        </w:rPr>
      </w:pPr>
    </w:p>
    <w:p>
      <w:pPr>
        <w:pStyle w:val="Heading4"/>
        <w:spacing w:line="240" w:lineRule="auto" w:before="127"/>
        <w:ind w:left="575" w:right="0"/>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8"/>
        <w:rPr>
          <w:rFonts w:ascii="黑体" w:hAnsi="黑体" w:cs="黑体" w:eastAsia="黑体" w:hint="default"/>
          <w:b/>
          <w:bCs/>
          <w:sz w:val="28"/>
          <w:szCs w:val="28"/>
        </w:rPr>
      </w:pPr>
    </w:p>
    <w:p>
      <w:pPr>
        <w:pStyle w:val="BodyText"/>
        <w:spacing w:line="316" w:lineRule="auto"/>
        <w:ind w:right="184" w:firstLine="360"/>
        <w:jc w:val="both"/>
      </w:pPr>
      <w:r>
        <w:rPr>
          <w:spacing w:val="-5"/>
          <w:w w:val="101"/>
        </w:rPr>
        <w:t>我们的目标是对财务报表整体是否不存在由于舞弊或错误导致的重大错报获取合理保证，并出具包含审计意见的审计报 </w:t>
      </w: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2"/>
        </w:rPr>
        <w:t> </w:t>
      </w:r>
      <w:r>
        <w:rPr>
          <w:spacing w:val="42"/>
        </w:rPr>
      </w:r>
      <w:r>
        <w:rPr/>
        <w:t>重大的。</w:t>
      </w:r>
    </w:p>
    <w:p>
      <w:pPr>
        <w:spacing w:line="240" w:lineRule="auto" w:before="2"/>
        <w:rPr>
          <w:rFonts w:ascii="宋体" w:hAnsi="宋体" w:cs="宋体" w:eastAsia="宋体" w:hint="default"/>
          <w:sz w:val="13"/>
          <w:szCs w:val="13"/>
        </w:rPr>
      </w:pPr>
    </w:p>
    <w:p>
      <w:pPr>
        <w:pStyle w:val="BodyText"/>
        <w:spacing w:line="240" w:lineRule="auto"/>
        <w:ind w:left="512" w:right="0"/>
        <w:jc w:val="left"/>
      </w:pPr>
      <w:r>
        <w:rPr>
          <w:spacing w:val="-3"/>
        </w:rPr>
        <w:t>在按照审计准则执行审计工作的过程中，我们运用职业判断，并保持职业怀疑。同时，我们也执行以下工作：</w:t>
      </w:r>
      <w:r>
        <w:rPr/>
      </w:r>
    </w:p>
    <w:p>
      <w:pPr>
        <w:spacing w:line="240" w:lineRule="auto" w:before="12"/>
        <w:rPr>
          <w:rFonts w:ascii="宋体" w:hAnsi="宋体" w:cs="宋体" w:eastAsia="宋体" w:hint="default"/>
          <w:sz w:val="17"/>
          <w:szCs w:val="17"/>
        </w:rPr>
      </w:pPr>
    </w:p>
    <w:p>
      <w:pPr>
        <w:pStyle w:val="BodyText"/>
        <w:spacing w:line="309" w:lineRule="auto"/>
        <w:ind w:right="0" w:firstLine="360"/>
        <w:jc w:val="left"/>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1"/>
        </w:rPr>
        <w:t> </w:t>
      </w:r>
      <w:r>
        <w:rPr>
          <w:spacing w:val="61"/>
        </w:rPr>
      </w:r>
      <w:r>
        <w:rPr>
          <w:spacing w:val="-3"/>
        </w:rPr>
        <w:t>未能发现由于舞弊导致的重大错报的风险高于未能发现由于错误导致的重大错报的风险。</w:t>
      </w:r>
    </w:p>
    <w:p>
      <w:pPr>
        <w:spacing w:line="240" w:lineRule="auto" w:before="8"/>
        <w:rPr>
          <w:rFonts w:ascii="宋体" w:hAnsi="宋体" w:cs="宋体" w:eastAsia="宋体" w:hint="default"/>
          <w:sz w:val="13"/>
          <w:szCs w:val="13"/>
        </w:rPr>
      </w:pPr>
    </w:p>
    <w:p>
      <w:pPr>
        <w:pStyle w:val="BodyText"/>
        <w:spacing w:line="240" w:lineRule="auto"/>
        <w:ind w:left="512" w:right="0"/>
        <w:jc w:val="left"/>
      </w:pPr>
      <w:r>
        <w:rPr>
          <w:spacing w:val="-3"/>
        </w:rPr>
        <w:t>（</w:t>
      </w:r>
      <w:r>
        <w:rPr>
          <w:rFonts w:ascii="Times New Roman" w:hAnsi="Times New Roman" w:cs="Times New Roman" w:eastAsia="Times New Roman" w:hint="default"/>
          <w:spacing w:val="-3"/>
        </w:rPr>
        <w:t>2</w:t>
      </w:r>
      <w:r>
        <w:rPr>
          <w:spacing w:val="-3"/>
        </w:rPr>
        <w:t>）了解与审计相关的内部控制，以设计恰当的审计程序，但目的并非对内部控制的有效性发表意见。</w:t>
      </w:r>
      <w:r>
        <w:rPr/>
      </w:r>
    </w:p>
    <w:p>
      <w:pPr>
        <w:spacing w:line="240" w:lineRule="auto" w:before="12"/>
        <w:rPr>
          <w:rFonts w:ascii="宋体" w:hAnsi="宋体" w:cs="宋体" w:eastAsia="宋体" w:hint="default"/>
          <w:sz w:val="16"/>
          <w:szCs w:val="16"/>
        </w:rPr>
      </w:pPr>
    </w:p>
    <w:p>
      <w:pPr>
        <w:pStyle w:val="BodyText"/>
        <w:spacing w:line="240" w:lineRule="auto"/>
        <w:ind w:left="512" w:right="0"/>
        <w:jc w:val="left"/>
      </w:pPr>
      <w:r>
        <w:rPr>
          <w:spacing w:val="-3"/>
        </w:rPr>
        <w:t>（</w:t>
      </w:r>
      <w:r>
        <w:rPr>
          <w:rFonts w:ascii="Times New Roman" w:hAnsi="Times New Roman" w:cs="Times New Roman" w:eastAsia="Times New Roman" w:hint="default"/>
          <w:spacing w:val="-3"/>
        </w:rPr>
        <w:t>3</w:t>
      </w:r>
      <w:r>
        <w:rPr>
          <w:spacing w:val="-3"/>
        </w:rPr>
        <w:t>）评价管理层选用会计政策的恰当性和作出会计估计及相关披露的合理性。</w:t>
      </w:r>
    </w:p>
    <w:p>
      <w:pPr>
        <w:spacing w:line="240" w:lineRule="auto" w:before="7"/>
        <w:rPr>
          <w:rFonts w:ascii="宋体" w:hAnsi="宋体" w:cs="宋体" w:eastAsia="宋体" w:hint="default"/>
          <w:sz w:val="16"/>
          <w:szCs w:val="16"/>
        </w:rPr>
      </w:pPr>
    </w:p>
    <w:p>
      <w:pPr>
        <w:pStyle w:val="BodyText"/>
        <w:spacing w:line="312" w:lineRule="auto"/>
        <w:ind w:right="184" w:firstLine="360"/>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）对管理层使用持续经营假设的恰当性得出结论。同时，根据获取的审计证据，就可能导致对科创信息持续经营能</w:t>
      </w:r>
      <w:r>
        <w:rPr>
          <w:spacing w:val="-5"/>
          <w:w w:val="101"/>
        </w:rPr>
        <w:t> </w:t>
      </w:r>
      <w:r>
        <w:rPr>
          <w:spacing w:val="-4"/>
        </w:rPr>
        <w:t>力产生重大疑虑的事项或情况是否存在重大不确定性得出结论。如果我们得出结论认为存在重大不确定性，审计准则要求我</w:t>
      </w:r>
      <w:r>
        <w:rPr>
          <w:spacing w:val="38"/>
        </w:rPr>
        <w:t> </w:t>
      </w:r>
      <w:r>
        <w:rPr>
          <w:spacing w:val="38"/>
        </w:rPr>
      </w:r>
      <w:r>
        <w:rPr>
          <w:spacing w:val="-4"/>
        </w:rPr>
        <w:t>们在审计报告中提请报表使用者注意财务报表中的相关披露；如果披露不充分，我们应当发表非无保留意见。我们的结论基</w:t>
      </w:r>
      <w:r>
        <w:rPr>
          <w:spacing w:val="43"/>
        </w:rPr>
        <w:t> </w:t>
      </w:r>
      <w:r>
        <w:rPr>
          <w:spacing w:val="43"/>
        </w:rPr>
      </w:r>
      <w:r>
        <w:rPr>
          <w:spacing w:val="-3"/>
        </w:rPr>
        <w:t>于截至审计报告日可获得的信息。然而，未来的事项或情况可能导致科创信息不能持续经营。</w:t>
      </w:r>
    </w:p>
    <w:p>
      <w:pPr>
        <w:spacing w:after="0" w:line="312" w:lineRule="auto"/>
        <w:jc w:val="both"/>
        <w:sectPr>
          <w:pgSz w:w="11910" w:h="16840"/>
          <w:pgMar w:header="784" w:footer="1027" w:top="1100" w:bottom="1220" w:left="980" w:right="94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3"/>
        </w:rPr>
        <w:t>审计报告（续）</w:t>
      </w:r>
      <w:r>
        <w:rPr/>
      </w:r>
    </w:p>
    <w:p>
      <w:pPr>
        <w:spacing w:line="240" w:lineRule="auto" w:before="10"/>
        <w:rPr>
          <w:rFonts w:ascii="宋体" w:hAnsi="宋体" w:cs="宋体" w:eastAsia="宋体" w:hint="default"/>
          <w:sz w:val="18"/>
          <w:szCs w:val="18"/>
        </w:rPr>
      </w:pPr>
    </w:p>
    <w:p>
      <w:pPr>
        <w:pStyle w:val="BodyText"/>
        <w:spacing w:line="240" w:lineRule="auto" w:before="46"/>
        <w:ind w:left="0" w:right="206"/>
        <w:jc w:val="right"/>
      </w:pPr>
      <w:r>
        <w:rPr/>
        <w:t>天职业字</w:t>
      </w:r>
      <w:r>
        <w:rPr>
          <w:rFonts w:ascii="Times New Roman" w:hAnsi="Times New Roman" w:cs="Times New Roman" w:eastAsia="Times New Roman" w:hint="default"/>
        </w:rPr>
        <w:t>[2018]7028</w:t>
      </w:r>
      <w:r>
        <w:rPr>
          <w:rFonts w:ascii="Times New Roman" w:hAnsi="Times New Roman" w:cs="Times New Roman" w:eastAsia="Times New Roman" w:hint="default"/>
          <w:spacing w:val="3"/>
        </w:rPr>
        <w:t> </w:t>
      </w:r>
      <w:r>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spacing w:line="240" w:lineRule="auto"/>
        <w:ind w:left="512" w:right="0"/>
        <w:jc w:val="left"/>
      </w:pPr>
      <w:r>
        <w:rPr>
          <w:w w:val="101"/>
        </w:rPr>
        <w:t>（</w:t>
      </w:r>
      <w:r>
        <w:rPr>
          <w:rFonts w:ascii="Times New Roman" w:hAnsi="Times New Roman" w:cs="Times New Roman" w:eastAsia="Times New Roman" w:hint="default"/>
          <w:w w:val="101"/>
        </w:rPr>
        <w:t>5</w:t>
      </w:r>
      <w:r>
        <w:rPr>
          <w:spacing w:val="-5"/>
          <w:w w:val="101"/>
        </w:rPr>
        <w:t>）</w:t>
      </w:r>
      <w:r>
        <w:rPr>
          <w:w w:val="101"/>
        </w:rPr>
        <w:t>评</w:t>
      </w:r>
      <w:r>
        <w:rPr>
          <w:spacing w:val="-5"/>
          <w:w w:val="101"/>
        </w:rPr>
        <w:t>价</w:t>
      </w:r>
      <w:r>
        <w:rPr>
          <w:w w:val="101"/>
        </w:rPr>
        <w:t>财</w:t>
      </w:r>
      <w:r>
        <w:rPr>
          <w:spacing w:val="-5"/>
          <w:w w:val="101"/>
        </w:rPr>
        <w:t>务</w:t>
      </w:r>
      <w:r>
        <w:rPr>
          <w:w w:val="101"/>
        </w:rPr>
        <w:t>报</w:t>
      </w:r>
      <w:r>
        <w:rPr>
          <w:spacing w:val="-5"/>
          <w:w w:val="101"/>
        </w:rPr>
        <w:t>表</w:t>
      </w:r>
      <w:r>
        <w:rPr>
          <w:w w:val="101"/>
        </w:rPr>
        <w:t>的</w:t>
      </w:r>
      <w:r>
        <w:rPr>
          <w:spacing w:val="-5"/>
          <w:w w:val="101"/>
        </w:rPr>
        <w:t>总</w:t>
      </w:r>
      <w:r>
        <w:rPr>
          <w:w w:val="101"/>
        </w:rPr>
        <w:t>体</w:t>
      </w:r>
      <w:r>
        <w:rPr>
          <w:spacing w:val="-5"/>
          <w:w w:val="101"/>
        </w:rPr>
        <w:t>列</w:t>
      </w:r>
      <w:r>
        <w:rPr>
          <w:w w:val="101"/>
        </w:rPr>
        <w:t>报</w:t>
      </w:r>
      <w:r>
        <w:rPr>
          <w:spacing w:val="-5"/>
          <w:w w:val="101"/>
        </w:rPr>
        <w:t>、</w:t>
      </w:r>
      <w:r>
        <w:rPr>
          <w:w w:val="101"/>
        </w:rPr>
        <w:t>结</w:t>
      </w:r>
      <w:r>
        <w:rPr>
          <w:spacing w:val="-5"/>
          <w:w w:val="101"/>
        </w:rPr>
        <w:t>构</w:t>
      </w:r>
      <w:r>
        <w:rPr>
          <w:w w:val="101"/>
        </w:rPr>
        <w:t>和</w:t>
      </w:r>
      <w:r>
        <w:rPr>
          <w:spacing w:val="-5"/>
          <w:w w:val="101"/>
        </w:rPr>
        <w:t>内</w:t>
      </w:r>
      <w:r>
        <w:rPr>
          <w:w w:val="101"/>
        </w:rPr>
        <w:t>容</w:t>
      </w:r>
      <w:r>
        <w:rPr>
          <w:spacing w:val="-5"/>
          <w:w w:val="101"/>
        </w:rPr>
        <w:t>（</w:t>
      </w:r>
      <w:r>
        <w:rPr>
          <w:w w:val="101"/>
        </w:rPr>
        <w:t>包</w:t>
      </w:r>
      <w:r>
        <w:rPr>
          <w:spacing w:val="-5"/>
          <w:w w:val="101"/>
        </w:rPr>
        <w:t>括</w:t>
      </w:r>
      <w:r>
        <w:rPr>
          <w:w w:val="101"/>
        </w:rPr>
        <w:t>披</w:t>
      </w:r>
      <w:r>
        <w:rPr>
          <w:spacing w:val="-5"/>
          <w:w w:val="101"/>
        </w:rPr>
        <w:t>露</w:t>
      </w:r>
      <w:r>
        <w:rPr>
          <w:spacing w:val="-92"/>
          <w:w w:val="101"/>
        </w:rPr>
        <w:t>）</w:t>
      </w:r>
      <w:r>
        <w:rPr>
          <w:spacing w:val="-5"/>
          <w:w w:val="101"/>
        </w:rPr>
        <w:t>，并</w:t>
      </w:r>
      <w:r>
        <w:rPr>
          <w:w w:val="101"/>
        </w:rPr>
        <w:t>评</w:t>
      </w:r>
      <w:r>
        <w:rPr>
          <w:spacing w:val="-5"/>
          <w:w w:val="101"/>
        </w:rPr>
        <w:t>价</w:t>
      </w:r>
      <w:r>
        <w:rPr>
          <w:w w:val="101"/>
        </w:rPr>
        <w:t>财</w:t>
      </w:r>
      <w:r>
        <w:rPr>
          <w:spacing w:val="-5"/>
          <w:w w:val="101"/>
        </w:rPr>
        <w:t>务</w:t>
      </w:r>
      <w:r>
        <w:rPr>
          <w:w w:val="101"/>
        </w:rPr>
        <w:t>报</w:t>
      </w:r>
      <w:r>
        <w:rPr>
          <w:spacing w:val="-5"/>
          <w:w w:val="101"/>
        </w:rPr>
        <w:t>表</w:t>
      </w:r>
      <w:r>
        <w:rPr>
          <w:w w:val="101"/>
        </w:rPr>
        <w:t>是</w:t>
      </w:r>
      <w:r>
        <w:rPr>
          <w:spacing w:val="-5"/>
          <w:w w:val="101"/>
        </w:rPr>
        <w:t>否</w:t>
      </w:r>
      <w:r>
        <w:rPr>
          <w:w w:val="101"/>
        </w:rPr>
        <w:t>公</w:t>
      </w:r>
      <w:r>
        <w:rPr>
          <w:spacing w:val="-5"/>
          <w:w w:val="101"/>
        </w:rPr>
        <w:t>允</w:t>
      </w:r>
      <w:r>
        <w:rPr>
          <w:w w:val="101"/>
        </w:rPr>
        <w:t>反</w:t>
      </w:r>
      <w:r>
        <w:rPr>
          <w:spacing w:val="-5"/>
          <w:w w:val="101"/>
        </w:rPr>
        <w:t>映</w:t>
      </w:r>
      <w:r>
        <w:rPr>
          <w:w w:val="101"/>
        </w:rPr>
        <w:t>相</w:t>
      </w:r>
      <w:r>
        <w:rPr>
          <w:spacing w:val="-5"/>
          <w:w w:val="101"/>
        </w:rPr>
        <w:t>关</w:t>
      </w:r>
      <w:r>
        <w:rPr>
          <w:w w:val="101"/>
        </w:rPr>
        <w:t>交</w:t>
      </w:r>
      <w:r>
        <w:rPr>
          <w:spacing w:val="-5"/>
          <w:w w:val="101"/>
        </w:rPr>
        <w:t>易</w:t>
      </w:r>
      <w:r>
        <w:rPr>
          <w:w w:val="101"/>
        </w:rPr>
        <w:t>和</w:t>
      </w:r>
      <w:r>
        <w:rPr>
          <w:spacing w:val="-5"/>
          <w:w w:val="101"/>
        </w:rPr>
        <w:t>事</w:t>
      </w:r>
      <w:r>
        <w:rPr>
          <w:w w:val="101"/>
        </w:rPr>
        <w:t>项。</w:t>
      </w:r>
      <w:r>
        <w:rPr/>
      </w:r>
    </w:p>
    <w:p>
      <w:pPr>
        <w:spacing w:line="240" w:lineRule="auto" w:before="7"/>
        <w:rPr>
          <w:rFonts w:ascii="宋体" w:hAnsi="宋体" w:cs="宋体" w:eastAsia="宋体" w:hint="default"/>
          <w:sz w:val="16"/>
          <w:szCs w:val="16"/>
        </w:rPr>
      </w:pPr>
    </w:p>
    <w:p>
      <w:pPr>
        <w:pStyle w:val="BodyText"/>
        <w:spacing w:line="300" w:lineRule="auto"/>
        <w:ind w:right="113" w:firstLine="359"/>
        <w:jc w:val="both"/>
      </w:pPr>
      <w:r>
        <w:rPr>
          <w:spacing w:val="-4"/>
        </w:rPr>
        <w:t>（</w:t>
      </w:r>
      <w:r>
        <w:rPr>
          <w:rFonts w:ascii="Times New Roman" w:hAnsi="Times New Roman" w:cs="Times New Roman" w:eastAsia="Times New Roman" w:hint="default"/>
          <w:spacing w:val="-4"/>
        </w:rPr>
        <w:t>6</w:t>
      </w:r>
      <w:r>
        <w:rPr>
          <w:spacing w:val="-4"/>
        </w:rPr>
        <w:t>）就科创信息实体或业务活动的财务信息获取充分、适当的审计证据，以对财务报表发表审计意见。我们负责指导、</w:t>
      </w:r>
      <w:r>
        <w:rPr>
          <w:w w:val="101"/>
        </w:rPr>
        <w:t> </w:t>
      </w:r>
      <w:r>
        <w:rPr>
          <w:spacing w:val="-3"/>
        </w:rPr>
        <w:t>监督和执行集团审计，并对审计意见承担全部责任。</w:t>
      </w:r>
      <w:r>
        <w:rPr/>
      </w:r>
    </w:p>
    <w:p>
      <w:pPr>
        <w:spacing w:line="240" w:lineRule="auto" w:before="2"/>
        <w:rPr>
          <w:rFonts w:ascii="宋体" w:hAnsi="宋体" w:cs="宋体" w:eastAsia="宋体" w:hint="default"/>
          <w:sz w:val="14"/>
          <w:szCs w:val="14"/>
        </w:rPr>
      </w:pPr>
    </w:p>
    <w:p>
      <w:pPr>
        <w:pStyle w:val="BodyText"/>
        <w:spacing w:line="316" w:lineRule="auto"/>
        <w:ind w:right="204"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spacing w:line="240" w:lineRule="auto" w:before="7"/>
        <w:rPr>
          <w:rFonts w:ascii="宋体" w:hAnsi="宋体" w:cs="宋体" w:eastAsia="宋体" w:hint="default"/>
          <w:sz w:val="13"/>
          <w:szCs w:val="13"/>
        </w:rPr>
      </w:pPr>
    </w:p>
    <w:p>
      <w:pPr>
        <w:pStyle w:val="BodyText"/>
        <w:spacing w:line="316" w:lineRule="auto"/>
        <w:ind w:right="215" w:firstLine="360"/>
        <w:jc w:val="both"/>
      </w:pPr>
      <w:r>
        <w:rPr>
          <w:w w:val="101"/>
        </w:rPr>
        <w:t>我</w:t>
      </w:r>
      <w:r>
        <w:rPr>
          <w:spacing w:val="-5"/>
          <w:w w:val="101"/>
        </w:rPr>
        <w:t>们</w:t>
      </w:r>
      <w:r>
        <w:rPr>
          <w:w w:val="101"/>
        </w:rPr>
        <w:t>还</w:t>
      </w:r>
      <w:r>
        <w:rPr>
          <w:spacing w:val="-5"/>
          <w:w w:val="101"/>
        </w:rPr>
        <w:t>就</w:t>
      </w:r>
      <w:r>
        <w:rPr>
          <w:w w:val="101"/>
        </w:rPr>
        <w:t>已</w:t>
      </w:r>
      <w:r>
        <w:rPr>
          <w:spacing w:val="-5"/>
          <w:w w:val="101"/>
        </w:rPr>
        <w:t>遵</w:t>
      </w:r>
      <w:r>
        <w:rPr>
          <w:w w:val="101"/>
        </w:rPr>
        <w:t>守</w:t>
      </w:r>
      <w:r>
        <w:rPr>
          <w:spacing w:val="-5"/>
          <w:w w:val="101"/>
        </w:rPr>
        <w:t>与</w:t>
      </w:r>
      <w:r>
        <w:rPr>
          <w:w w:val="101"/>
        </w:rPr>
        <w:t>独</w:t>
      </w:r>
      <w:r>
        <w:rPr>
          <w:spacing w:val="-5"/>
          <w:w w:val="101"/>
        </w:rPr>
        <w:t>立</w:t>
      </w:r>
      <w:r>
        <w:rPr>
          <w:w w:val="101"/>
        </w:rPr>
        <w:t>性</w:t>
      </w:r>
      <w:r>
        <w:rPr>
          <w:spacing w:val="-5"/>
          <w:w w:val="101"/>
        </w:rPr>
        <w:t>相</w:t>
      </w:r>
      <w:r>
        <w:rPr>
          <w:w w:val="101"/>
        </w:rPr>
        <w:t>关</w:t>
      </w:r>
      <w:r>
        <w:rPr>
          <w:spacing w:val="-5"/>
          <w:w w:val="101"/>
        </w:rPr>
        <w:t>的</w:t>
      </w:r>
      <w:r>
        <w:rPr>
          <w:w w:val="101"/>
        </w:rPr>
        <w:t>职</w:t>
      </w:r>
      <w:r>
        <w:rPr>
          <w:spacing w:val="-5"/>
          <w:w w:val="101"/>
        </w:rPr>
        <w:t>业</w:t>
      </w:r>
      <w:r>
        <w:rPr>
          <w:w w:val="101"/>
        </w:rPr>
        <w:t>道</w:t>
      </w:r>
      <w:r>
        <w:rPr>
          <w:spacing w:val="-5"/>
          <w:w w:val="101"/>
        </w:rPr>
        <w:t>德</w:t>
      </w:r>
      <w:r>
        <w:rPr>
          <w:w w:val="101"/>
        </w:rPr>
        <w:t>要</w:t>
      </w:r>
      <w:r>
        <w:rPr>
          <w:spacing w:val="-5"/>
          <w:w w:val="101"/>
        </w:rPr>
        <w:t>求</w:t>
      </w:r>
      <w:r>
        <w:rPr>
          <w:w w:val="101"/>
        </w:rPr>
        <w:t>向</w:t>
      </w:r>
      <w:r>
        <w:rPr>
          <w:spacing w:val="-5"/>
          <w:w w:val="101"/>
        </w:rPr>
        <w:t>治</w:t>
      </w:r>
      <w:r>
        <w:rPr>
          <w:w w:val="101"/>
        </w:rPr>
        <w:t>理</w:t>
      </w:r>
      <w:r>
        <w:rPr>
          <w:spacing w:val="-5"/>
          <w:w w:val="101"/>
        </w:rPr>
        <w:t>层</w:t>
      </w:r>
      <w:r>
        <w:rPr>
          <w:w w:val="101"/>
        </w:rPr>
        <w:t>提</w:t>
      </w:r>
      <w:r>
        <w:rPr>
          <w:spacing w:val="-5"/>
          <w:w w:val="101"/>
        </w:rPr>
        <w:t>供声</w:t>
      </w:r>
      <w:r>
        <w:rPr>
          <w:w w:val="101"/>
        </w:rPr>
        <w:t>明</w:t>
      </w:r>
      <w:r>
        <w:rPr>
          <w:spacing w:val="-87"/>
          <w:w w:val="101"/>
        </w:rPr>
        <w:t>，</w:t>
      </w:r>
      <w:r>
        <w:rPr>
          <w:w w:val="101"/>
        </w:rPr>
        <w:t>并</w:t>
      </w:r>
      <w:r>
        <w:rPr>
          <w:spacing w:val="-5"/>
          <w:w w:val="101"/>
        </w:rPr>
        <w:t>与</w:t>
      </w:r>
      <w:r>
        <w:rPr>
          <w:w w:val="101"/>
        </w:rPr>
        <w:t>治</w:t>
      </w:r>
      <w:r>
        <w:rPr>
          <w:spacing w:val="-5"/>
          <w:w w:val="101"/>
        </w:rPr>
        <w:t>理</w:t>
      </w:r>
      <w:r>
        <w:rPr>
          <w:w w:val="101"/>
        </w:rPr>
        <w:t>层</w:t>
      </w:r>
      <w:r>
        <w:rPr>
          <w:spacing w:val="-5"/>
          <w:w w:val="101"/>
        </w:rPr>
        <w:t>沟</w:t>
      </w:r>
      <w:r>
        <w:rPr>
          <w:w w:val="101"/>
        </w:rPr>
        <w:t>通</w:t>
      </w:r>
      <w:r>
        <w:rPr>
          <w:spacing w:val="-5"/>
          <w:w w:val="101"/>
        </w:rPr>
        <w:t>可</w:t>
      </w:r>
      <w:r>
        <w:rPr>
          <w:w w:val="101"/>
        </w:rPr>
        <w:t>能</w:t>
      </w:r>
      <w:r>
        <w:rPr>
          <w:spacing w:val="-5"/>
          <w:w w:val="101"/>
        </w:rPr>
        <w:t>被</w:t>
      </w:r>
      <w:r>
        <w:rPr>
          <w:w w:val="101"/>
        </w:rPr>
        <w:t>合</w:t>
      </w:r>
      <w:r>
        <w:rPr>
          <w:spacing w:val="-5"/>
          <w:w w:val="101"/>
        </w:rPr>
        <w:t>理</w:t>
      </w:r>
      <w:r>
        <w:rPr>
          <w:w w:val="101"/>
        </w:rPr>
        <w:t>认</w:t>
      </w:r>
      <w:r>
        <w:rPr>
          <w:spacing w:val="-5"/>
          <w:w w:val="101"/>
        </w:rPr>
        <w:t>为</w:t>
      </w:r>
      <w:r>
        <w:rPr>
          <w:w w:val="101"/>
        </w:rPr>
        <w:t>影</w:t>
      </w:r>
      <w:r>
        <w:rPr>
          <w:spacing w:val="-5"/>
          <w:w w:val="101"/>
        </w:rPr>
        <w:t>响</w:t>
      </w:r>
      <w:r>
        <w:rPr>
          <w:w w:val="101"/>
        </w:rPr>
        <w:t>我</w:t>
      </w:r>
      <w:r>
        <w:rPr>
          <w:spacing w:val="-5"/>
          <w:w w:val="101"/>
        </w:rPr>
        <w:t>们</w:t>
      </w:r>
      <w:r>
        <w:rPr>
          <w:spacing w:val="-2"/>
          <w:w w:val="101"/>
        </w:rPr>
        <w:t>独</w:t>
      </w:r>
      <w:r>
        <w:rPr>
          <w:spacing w:val="-5"/>
          <w:w w:val="101"/>
        </w:rPr>
        <w:t>立</w:t>
      </w:r>
      <w:r>
        <w:rPr>
          <w:w w:val="101"/>
        </w:rPr>
        <w:t>性</w:t>
      </w:r>
      <w:r>
        <w:rPr>
          <w:spacing w:val="-5"/>
          <w:w w:val="101"/>
        </w:rPr>
        <w:t>的所</w:t>
      </w:r>
      <w:r>
        <w:rPr>
          <w:spacing w:val="-5"/>
          <w:w w:val="101"/>
        </w:rPr>
        <w:t> </w:t>
      </w:r>
      <w:r>
        <w:rPr>
          <w:w w:val="101"/>
        </w:rPr>
        <w:t>有</w:t>
      </w:r>
      <w:r>
        <w:rPr>
          <w:spacing w:val="-5"/>
          <w:w w:val="101"/>
        </w:rPr>
        <w:t>关</w:t>
      </w:r>
      <w:r>
        <w:rPr>
          <w:w w:val="101"/>
        </w:rPr>
        <w:t>系</w:t>
      </w:r>
      <w:r>
        <w:rPr>
          <w:spacing w:val="-5"/>
          <w:w w:val="101"/>
        </w:rPr>
        <w:t>和</w:t>
      </w:r>
      <w:r>
        <w:rPr>
          <w:w w:val="101"/>
        </w:rPr>
        <w:t>其</w:t>
      </w:r>
      <w:r>
        <w:rPr>
          <w:spacing w:val="-5"/>
          <w:w w:val="101"/>
        </w:rPr>
        <w:t>他</w:t>
      </w:r>
      <w:r>
        <w:rPr>
          <w:w w:val="101"/>
        </w:rPr>
        <w:t>事</w:t>
      </w:r>
      <w:r>
        <w:rPr>
          <w:spacing w:val="-5"/>
          <w:w w:val="101"/>
        </w:rPr>
        <w:t>项</w:t>
      </w:r>
      <w:r>
        <w:rPr>
          <w:w w:val="101"/>
        </w:rPr>
        <w:t>，</w:t>
      </w:r>
      <w:r>
        <w:rPr>
          <w:spacing w:val="-5"/>
          <w:w w:val="101"/>
        </w:rPr>
        <w:t>以</w:t>
      </w:r>
      <w:r>
        <w:rPr>
          <w:w w:val="101"/>
        </w:rPr>
        <w:t>及</w:t>
      </w:r>
      <w:r>
        <w:rPr>
          <w:spacing w:val="-5"/>
          <w:w w:val="101"/>
        </w:rPr>
        <w:t>相</w:t>
      </w:r>
      <w:r>
        <w:rPr>
          <w:w w:val="101"/>
        </w:rPr>
        <w:t>关</w:t>
      </w:r>
      <w:r>
        <w:rPr>
          <w:spacing w:val="-5"/>
          <w:w w:val="101"/>
        </w:rPr>
        <w:t>的</w:t>
      </w:r>
      <w:r>
        <w:rPr>
          <w:w w:val="101"/>
        </w:rPr>
        <w:t>防</w:t>
      </w:r>
      <w:r>
        <w:rPr>
          <w:spacing w:val="-5"/>
          <w:w w:val="101"/>
        </w:rPr>
        <w:t>范</w:t>
      </w:r>
      <w:r>
        <w:rPr>
          <w:w w:val="101"/>
        </w:rPr>
        <w:t>措</w:t>
      </w:r>
      <w:r>
        <w:rPr>
          <w:spacing w:val="-5"/>
          <w:w w:val="101"/>
        </w:rPr>
        <w:t>施</w:t>
      </w:r>
      <w:r>
        <w:rPr>
          <w:w w:val="101"/>
        </w:rPr>
        <w:t>（</w:t>
      </w:r>
      <w:r>
        <w:rPr>
          <w:spacing w:val="-5"/>
          <w:w w:val="101"/>
        </w:rPr>
        <w:t>如</w:t>
      </w:r>
      <w:r>
        <w:rPr>
          <w:w w:val="101"/>
        </w:rPr>
        <w:t>适用</w:t>
      </w:r>
      <w:r>
        <w:rPr>
          <w:spacing w:val="-96"/>
          <w:w w:val="101"/>
        </w:rPr>
        <w:t>）</w:t>
      </w:r>
      <w:r>
        <w:rPr>
          <w:w w:val="101"/>
        </w:rPr>
        <w:t>。</w:t>
      </w:r>
      <w:r>
        <w:rPr/>
      </w:r>
    </w:p>
    <w:p>
      <w:pPr>
        <w:spacing w:line="240" w:lineRule="auto" w:before="2"/>
        <w:rPr>
          <w:rFonts w:ascii="宋体" w:hAnsi="宋体" w:cs="宋体" w:eastAsia="宋体" w:hint="default"/>
          <w:sz w:val="13"/>
          <w:szCs w:val="13"/>
        </w:rPr>
      </w:pPr>
    </w:p>
    <w:p>
      <w:pPr>
        <w:pStyle w:val="BodyText"/>
        <w:spacing w:line="316" w:lineRule="auto"/>
        <w:ind w:right="204"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6"/>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此页无正文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85" w:type="dxa"/>
        <w:tblLayout w:type="fixed"/>
        <w:tblCellMar>
          <w:top w:w="0" w:type="dxa"/>
          <w:left w:w="0" w:type="dxa"/>
          <w:bottom w:w="0" w:type="dxa"/>
          <w:right w:w="0" w:type="dxa"/>
        </w:tblCellMar>
        <w:tblLook w:val="01E0"/>
      </w:tblPr>
      <w:tblGrid>
        <w:gridCol w:w="2771"/>
        <w:gridCol w:w="2637"/>
        <w:gridCol w:w="2242"/>
      </w:tblGrid>
      <w:tr>
        <w:trPr>
          <w:trHeight w:val="953" w:hRule="exact"/>
        </w:trPr>
        <w:tc>
          <w:tcPr>
            <w:tcW w:w="2771"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2" w:lineRule="exact"/>
              <w:ind w:left="765"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65" w:right="0"/>
              <w:jc w:val="left"/>
              <w:rPr>
                <w:rFonts w:ascii="宋体" w:hAnsi="宋体" w:cs="宋体" w:eastAsia="宋体" w:hint="default"/>
                <w:sz w:val="18"/>
                <w:szCs w:val="18"/>
              </w:rPr>
            </w:pPr>
            <w:r>
              <w:rPr>
                <w:rFonts w:ascii="宋体" w:hAnsi="宋体" w:cs="宋体" w:eastAsia="宋体" w:hint="default"/>
                <w:spacing w:val="-3"/>
                <w:sz w:val="18"/>
                <w:szCs w:val="18"/>
              </w:rPr>
              <w:t>（项目合伙人）</w:t>
            </w:r>
            <w:r>
              <w:rPr>
                <w:rFonts w:ascii="宋体" w:hAnsi="宋体" w:cs="宋体" w:eastAsia="宋体" w:hint="default"/>
                <w:sz w:val="18"/>
                <w:szCs w:val="18"/>
              </w:rPr>
            </w:r>
          </w:p>
        </w:tc>
        <w:tc>
          <w:tcPr>
            <w:tcW w:w="224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653" w:right="0"/>
              <w:jc w:val="left"/>
              <w:rPr>
                <w:rFonts w:ascii="宋体" w:hAnsi="宋体" w:cs="宋体" w:eastAsia="宋体" w:hint="default"/>
                <w:sz w:val="18"/>
                <w:szCs w:val="18"/>
              </w:rPr>
            </w:pPr>
            <w:r>
              <w:rPr>
                <w:rFonts w:ascii="宋体" w:hAnsi="宋体" w:cs="宋体" w:eastAsia="宋体" w:hint="default"/>
                <w:spacing w:val="-4"/>
                <w:sz w:val="18"/>
                <w:szCs w:val="18"/>
              </w:rPr>
              <w:t>曾春卫</w:t>
            </w:r>
            <w:r>
              <w:rPr>
                <w:rFonts w:ascii="宋体" w:hAnsi="宋体" w:cs="宋体" w:eastAsia="宋体" w:hint="default"/>
                <w:sz w:val="18"/>
                <w:szCs w:val="18"/>
              </w:rPr>
            </w:r>
          </w:p>
        </w:tc>
      </w:tr>
      <w:tr>
        <w:trPr>
          <w:trHeight w:val="1368"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540" w:lineRule="atLeast" w:before="114"/>
              <w:ind w:left="200" w:right="763" w:firstLine="451"/>
              <w:jc w:val="left"/>
              <w:rPr>
                <w:rFonts w:ascii="宋体" w:hAnsi="宋体" w:cs="宋体" w:eastAsia="宋体" w:hint="default"/>
                <w:sz w:val="18"/>
                <w:szCs w:val="18"/>
              </w:rPr>
            </w:pPr>
            <w:r>
              <w:rPr>
                <w:rFonts w:ascii="宋体" w:hAnsi="宋体" w:cs="宋体" w:eastAsia="宋体" w:hint="default"/>
                <w:spacing w:val="-3"/>
                <w:sz w:val="18"/>
                <w:szCs w:val="18"/>
              </w:rPr>
              <w:t>中国</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5"/>
                <w:w w:val="101"/>
                <w:sz w:val="18"/>
                <w:szCs w:val="18"/>
              </w:rPr>
              <w:t> </w:t>
            </w:r>
            <w:r>
              <w:rPr>
                <w:rFonts w:ascii="宋体" w:hAnsi="宋体" w:cs="宋体" w:eastAsia="宋体" w:hint="default"/>
                <w:spacing w:val="-2"/>
                <w:sz w:val="18"/>
                <w:szCs w:val="18"/>
              </w:rPr>
              <w:t>二○一八年四月十九日</w:t>
            </w: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424"/>
              <w:jc w:val="right"/>
              <w:rPr>
                <w:rFonts w:ascii="宋体" w:hAnsi="宋体" w:cs="宋体" w:eastAsia="宋体" w:hint="default"/>
                <w:sz w:val="18"/>
                <w:szCs w:val="18"/>
              </w:rPr>
            </w:pPr>
            <w:r>
              <w:rPr>
                <w:rFonts w:ascii="宋体" w:hAnsi="宋体" w:cs="宋体" w:eastAsia="宋体" w:hint="default"/>
                <w:spacing w:val="-2"/>
                <w:sz w:val="18"/>
                <w:szCs w:val="18"/>
              </w:rPr>
              <w:t>中国注册会计师：</w:t>
            </w:r>
          </w:p>
        </w:tc>
        <w:tc>
          <w:tcPr>
            <w:tcW w:w="224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53" w:right="0"/>
              <w:jc w:val="left"/>
              <w:rPr>
                <w:rFonts w:ascii="宋体" w:hAnsi="宋体" w:cs="宋体" w:eastAsia="宋体" w:hint="default"/>
                <w:sz w:val="18"/>
                <w:szCs w:val="18"/>
              </w:rPr>
            </w:pPr>
            <w:r>
              <w:rPr>
                <w:rFonts w:ascii="宋体" w:hAnsi="宋体" w:cs="宋体" w:eastAsia="宋体" w:hint="default"/>
                <w:spacing w:val="-4"/>
                <w:sz w:val="18"/>
                <w:szCs w:val="18"/>
              </w:rPr>
              <w:t>刘智清</w:t>
            </w:r>
            <w:r>
              <w:rPr>
                <w:rFonts w:ascii="宋体" w:hAnsi="宋体" w:cs="宋体" w:eastAsia="宋体" w:hint="default"/>
                <w:sz w:val="18"/>
                <w:szCs w:val="18"/>
              </w:rPr>
            </w:r>
          </w:p>
        </w:tc>
      </w:tr>
      <w:tr>
        <w:trPr>
          <w:trHeight w:val="986" w:hRule="exact"/>
        </w:trPr>
        <w:tc>
          <w:tcPr>
            <w:tcW w:w="2771"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425"/>
              <w:jc w:val="right"/>
              <w:rPr>
                <w:rFonts w:ascii="宋体" w:hAnsi="宋体" w:cs="宋体" w:eastAsia="宋体" w:hint="default"/>
                <w:sz w:val="18"/>
                <w:szCs w:val="18"/>
              </w:rPr>
            </w:pPr>
            <w:r>
              <w:rPr>
                <w:rFonts w:ascii="宋体" w:hAnsi="宋体" w:cs="宋体" w:eastAsia="宋体" w:hint="default"/>
                <w:spacing w:val="-2"/>
                <w:sz w:val="18"/>
                <w:szCs w:val="18"/>
              </w:rPr>
              <w:t>中国注册会计师：</w:t>
            </w:r>
          </w:p>
        </w:tc>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652" w:right="0"/>
              <w:jc w:val="left"/>
              <w:rPr>
                <w:rFonts w:ascii="宋体" w:hAnsi="宋体" w:cs="宋体" w:eastAsia="宋体" w:hint="default"/>
                <w:sz w:val="18"/>
                <w:szCs w:val="18"/>
              </w:rPr>
            </w:pPr>
            <w:r>
              <w:rPr>
                <w:rFonts w:ascii="宋体" w:hAnsi="宋体" w:cs="宋体" w:eastAsia="宋体" w:hint="default"/>
                <w:spacing w:val="-4"/>
                <w:sz w:val="18"/>
                <w:szCs w:val="18"/>
              </w:rPr>
              <w:t>冯俭专</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20" w:lineRule="exact"/>
        <w:ind w:left="64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12.6pt;height:.5pt;mso-position-horizontal-relative:char;mso-position-vertical-relative:line" coordorigin="0,0" coordsize="2252,10">
            <v:group style="position:absolute;left:5;top:5;width:2242;height:2" coordorigin="5,5" coordsize="2242,2">
              <v:shape style="position:absolute;left:5;top:5;width:2242;height:2" coordorigin="5,5" coordsize="2242,0" path="m5,5l2246,5e" filled="false" stroked="true" strokeweight=".481pt" strokecolor="#000000">
                <v:path arrowok="t"/>
              </v:shape>
            </v:group>
          </v:group>
        </w:pict>
      </w:r>
      <w:r>
        <w:rPr>
          <w:rFonts w:ascii="Times New Roman" w:hAnsi="Times New Roman" w:cs="Times New Roman" w:eastAsia="Times New Roman" w:hint="default"/>
          <w:sz w:val="2"/>
          <w:szCs w:val="2"/>
        </w:rPr>
      </w:r>
    </w:p>
    <w:p>
      <w:pPr>
        <w:pStyle w:val="BodyText"/>
        <w:spacing w:line="240" w:lineRule="auto"/>
        <w:ind w:right="0"/>
        <w:jc w:val="left"/>
        <w:rPr>
          <w:rFonts w:ascii="宋体" w:hAnsi="宋体" w:cs="宋体" w:eastAsia="宋体" w:hint="default"/>
        </w:rPr>
      </w:pPr>
      <w:r>
        <w:rPr>
          <w:rFonts w:ascii="宋体"/>
          <w:w w:val="101"/>
        </w:rPr>
        <w:t> </w:t>
      </w:r>
      <w:r>
        <w:rPr>
          <w:rFonts w:ascii="宋体"/>
        </w:rPr>
      </w:r>
    </w:p>
    <w:p>
      <w:pPr>
        <w:pStyle w:val="BodyText"/>
        <w:spacing w:line="240" w:lineRule="auto" w:before="76"/>
        <w:ind w:right="0"/>
        <w:jc w:val="left"/>
        <w:rPr>
          <w:rFonts w:ascii="宋体" w:hAnsi="宋体" w:cs="宋体" w:eastAsia="宋体" w:hint="default"/>
        </w:rPr>
      </w:pPr>
      <w:r>
        <w:rPr>
          <w:rFonts w:ascii="宋体"/>
          <w:w w:val="101"/>
        </w:rPr>
        <w:t> </w:t>
      </w:r>
      <w:r>
        <w:rPr>
          <w:rFonts w:ascii="宋体"/>
        </w:rPr>
      </w:r>
    </w:p>
    <w:p>
      <w:pPr>
        <w:pStyle w:val="BodyText"/>
        <w:spacing w:line="240" w:lineRule="auto" w:before="76"/>
        <w:ind w:right="0"/>
        <w:jc w:val="left"/>
        <w:rPr>
          <w:rFonts w:ascii="宋体" w:hAnsi="宋体" w:cs="宋体" w:eastAsia="宋体" w:hint="default"/>
        </w:rPr>
      </w:pPr>
      <w:r>
        <w:rPr>
          <w:rFonts w:ascii="宋体"/>
          <w:w w:val="101"/>
        </w:rPr>
        <w:t> </w:t>
      </w:r>
      <w:r>
        <w:rPr>
          <w:rFonts w:ascii="宋体"/>
        </w:rPr>
      </w:r>
    </w:p>
    <w:p>
      <w:pPr>
        <w:pStyle w:val="BodyText"/>
        <w:spacing w:line="240" w:lineRule="auto" w:before="76"/>
        <w:ind w:right="0"/>
        <w:jc w:val="left"/>
        <w:rPr>
          <w:rFonts w:ascii="宋体" w:hAnsi="宋体" w:cs="宋体" w:eastAsia="宋体" w:hint="default"/>
        </w:rPr>
      </w:pPr>
      <w:r>
        <w:rPr>
          <w:rFonts w:ascii="宋体"/>
          <w:w w:val="101"/>
        </w:rPr>
        <w:t> </w:t>
      </w:r>
      <w:r>
        <w:rPr>
          <w:rFonts w:ascii="宋体"/>
        </w:rPr>
      </w:r>
    </w:p>
    <w:p>
      <w:pPr>
        <w:spacing w:after="0" w:line="240" w:lineRule="auto"/>
        <w:jc w:val="left"/>
        <w:rPr>
          <w:rFonts w:ascii="宋体" w:hAnsi="宋体" w:cs="宋体" w:eastAsia="宋体" w:hint="default"/>
        </w:rPr>
        <w:sectPr>
          <w:pgSz w:w="11910" w:h="16840"/>
          <w:pgMar w:header="784" w:footer="1027" w:top="1100" w:bottom="1220" w:left="980" w:right="92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二、财务报表" w:id="153"/>
      <w:bookmarkEnd w:id="153"/>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财务附注中报表的单位为：人民币元</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4" w:footer="1027" w:top="1100" w:bottom="1220" w:left="980" w:right="980"/>
        </w:sectPr>
      </w:pPr>
    </w:p>
    <w:p>
      <w:pPr>
        <w:pStyle w:val="BodyText"/>
        <w:spacing w:line="240" w:lineRule="auto" w:before="46"/>
        <w:ind w:right="0"/>
        <w:jc w:val="left"/>
      </w:pPr>
      <w:r>
        <w:rPr>
          <w:spacing w:val="-3"/>
        </w:rPr>
        <w:t>编制单位：湖南科创信息技术股份有限公司</w:t>
      </w:r>
      <w:r>
        <w:rPr/>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980" w:right="980"/>
          <w:cols w:num="3" w:equalWidth="0">
            <w:col w:w="3571" w:space="504"/>
            <w:col w:w="1642" w:space="3202"/>
            <w:col w:w="1031"/>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流动资产：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316,170,312.69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114,774,838.34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结算备付金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w:t>
            </w:r>
            <w:r>
              <w:rPr>
                <w:rFonts w:ascii="宋体" w:hAnsi="宋体" w:cs="宋体" w:eastAsia="宋体" w:hint="default"/>
                <w:spacing w:val="-5"/>
                <w:w w:val="101"/>
                <w:sz w:val="18"/>
                <w:szCs w:val="18"/>
              </w:rPr>
              <w:t> </w:t>
            </w:r>
            <w:r>
              <w:rPr>
                <w:rFonts w:ascii="宋体" w:hAnsi="宋体" w:cs="宋体" w:eastAsia="宋体" w:hint="default"/>
                <w:spacing w:val="-3"/>
                <w:sz w:val="18"/>
                <w:szCs w:val="18"/>
              </w:rPr>
              <w:t>当期损益的金融资产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1,964,488.04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106,812,607.61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77,331,812.34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3,863,588.72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3,785,226.45</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应收保费</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应收分保账款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应收分保合同准备金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其他应收款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12,193,218.50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8,600,652.00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买入返售金融资产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67,578,474.64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61,284,269.34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9,209.89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1,846.77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508,591,900.09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266,528,645.24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发放贷款及垫款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长期应收款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7,860,000.00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7,198,662.08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7,413,090.34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65,244,454.67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69,395,712.05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1,315,641.33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1,315,641.33</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13,309,652.29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11,673,403.88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2,913,261.20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2,261,377.41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97,841,671.57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92,059,225.01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606,433,571.66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358,587,870.25</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流动负债：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70,000,000.00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38,900,000.00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吸收存款及同业存放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w:t>
            </w:r>
            <w:r>
              <w:rPr>
                <w:rFonts w:ascii="宋体" w:hAnsi="宋体" w:cs="宋体" w:eastAsia="宋体" w:hint="default"/>
                <w:spacing w:val="-5"/>
                <w:w w:val="101"/>
                <w:sz w:val="18"/>
                <w:szCs w:val="18"/>
              </w:rPr>
              <w:t> </w:t>
            </w:r>
            <w:r>
              <w:rPr>
                <w:rFonts w:ascii="宋体" w:hAnsi="宋体" w:cs="宋体" w:eastAsia="宋体" w:hint="default"/>
                <w:spacing w:val="-3"/>
                <w:sz w:val="18"/>
                <w:szCs w:val="18"/>
              </w:rPr>
              <w:t>当期损益的金融负债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13,158,636.00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1,300,950.00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37,898,597.33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29,389,113.45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37,298,630.40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56,804,527.65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卖出回购金融资产款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应付手续费及佣金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17,161,121.88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15,126,185.52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12,097,700.14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13,430,977.53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其他应付款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8,783,455.42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4,286,844.69</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应付分保账款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保险合同准备金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代理承销证券款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196,398,141.17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159,238,598.84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其中：优先股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长期应付款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专项应付款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7,452,670.61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6,350,134.89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22,452,670.61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21,350,134.89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218,850,811.78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180,588,733.73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92,945,999.00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69,705,999.00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其中：优先股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146,839,528.80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7,426,628.80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减：库存股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19,269,620.84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14,963,210.06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未分配利润</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119,830,978.30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85,219,081.03</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378,886,126.94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177,314,918.89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少数股东权益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8,696,632.94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684,217.63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387,582,759.88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177,999,136.52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606,433,571.66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358,587,870.25</w:t>
            </w:r>
          </w:p>
        </w:tc>
      </w:tr>
    </w:tbl>
    <w:p>
      <w:pPr>
        <w:spacing w:line="240" w:lineRule="auto" w:before="2"/>
        <w:rPr>
          <w:rFonts w:ascii="Times New Roman" w:hAnsi="Times New Roman" w:cs="Times New Roman" w:eastAsia="Times New Roman" w:hint="default"/>
          <w:sz w:val="23"/>
          <w:szCs w:val="23"/>
        </w:rPr>
      </w:pPr>
    </w:p>
    <w:p>
      <w:pPr>
        <w:pStyle w:val="BodyText"/>
        <w:tabs>
          <w:tab w:pos="3513" w:val="left" w:leader="none"/>
          <w:tab w:pos="7742" w:val="left" w:leader="none"/>
        </w:tabs>
        <w:spacing w:line="240" w:lineRule="auto" w:before="46"/>
        <w:ind w:left="0" w:right="241"/>
        <w:jc w:val="right"/>
      </w:pPr>
      <w:r>
        <w:rPr>
          <w:spacing w:val="-3"/>
        </w:rPr>
        <w:t>法定代表人：费耀平</w:t>
        <w:tab/>
        <w:t>主管会计工作负责人：金卓钧</w:t>
        <w:tab/>
      </w:r>
      <w:r>
        <w:rPr>
          <w:spacing w:val="-2"/>
        </w:rPr>
        <w:t>会计机构负责人：龙仲</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流动资产：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308,800,080.61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111,681,565.64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w:t>
            </w:r>
            <w:r>
              <w:rPr>
                <w:rFonts w:ascii="宋体" w:hAnsi="宋体" w:cs="宋体" w:eastAsia="宋体" w:hint="default"/>
                <w:spacing w:val="-5"/>
                <w:w w:val="101"/>
                <w:sz w:val="18"/>
                <w:szCs w:val="18"/>
              </w:rPr>
              <w:t> </w:t>
            </w:r>
            <w:r>
              <w:rPr>
                <w:rFonts w:ascii="宋体" w:hAnsi="宋体" w:cs="宋体" w:eastAsia="宋体" w:hint="default"/>
                <w:spacing w:val="-3"/>
                <w:sz w:val="18"/>
                <w:szCs w:val="18"/>
              </w:rPr>
              <w:t>当期损益的金融资产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1,964,488.04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106,404,070.70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76,707,714.73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3,863,588.72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3,785,226.45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其他应收款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13,889,816.61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10,143,728.41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65,725,202.39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60,861,702.25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1,846.77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500,647,247.07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263,931,784.25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长期应收款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13,080,000.00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3,658,400.00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7,198,662.08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7,413,090.34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65,197,788.57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69,325,119.49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1,315,641.33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1,315,641.33</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13,309,652.29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11,673,403.88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2,971,469.84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2,283,998.16</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103,073,214.11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95,669,653.20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603,720,461.18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359,601,437.45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流动负债：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70,000,000.00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38,900,000.00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w:t>
            </w:r>
            <w:r>
              <w:rPr>
                <w:rFonts w:ascii="宋体" w:hAnsi="宋体" w:cs="宋体" w:eastAsia="宋体" w:hint="default"/>
                <w:spacing w:val="-5"/>
                <w:w w:val="101"/>
                <w:sz w:val="18"/>
                <w:szCs w:val="18"/>
              </w:rPr>
              <w:t> </w:t>
            </w:r>
            <w:r>
              <w:rPr>
                <w:rFonts w:ascii="宋体" w:hAnsi="宋体" w:cs="宋体" w:eastAsia="宋体" w:hint="default"/>
                <w:spacing w:val="-3"/>
                <w:sz w:val="18"/>
                <w:szCs w:val="18"/>
              </w:rPr>
              <w:t>当期损益的金融负债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13,158,636.00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1,300,950.00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37,446,448.61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31,412,547.62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46,051,511.84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56,527,625.76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15,114,156.23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14,161,455.37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11,872,630.48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13,060,118.98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其他应付款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8,760,059.12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4,246,656.85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202,403,442.28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159,609,354.58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其中：优先股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长期应付款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专项应付款</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7,213,481.35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6,029,073.16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22,213,481.35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21,029,073.16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224,616,923.63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180,638,427.74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92,945,999.00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69,705,999.00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其中：优先股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146,839,528.80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7,426,628.80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减：库存股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19,269,620.84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14,963,210.06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未分配利润</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120,048,388.91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86,867,171.85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379,103,537.55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178,963,009.71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603,720,461.18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359,601,437.45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82"/>
        <w:gridCol w:w="3206"/>
        <w:gridCol w:w="3278"/>
      </w:tblGrid>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307,423,525.28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271,433,199.11</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其中：营业收入</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307,423,525.28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271,433,199.11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利息收入</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已赚保费</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手续费及佣金收入</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268,630,816.30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237,462,418.64</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其中：营业成本</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187,706,439.81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162,003,848.23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利息支出</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082"/>
        <w:gridCol w:w="3206"/>
        <w:gridCol w:w="3278"/>
      </w:tblGrid>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手续费及佣金支出</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赔付支出净额</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26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提取保险合同准备金净</w:t>
            </w:r>
            <w:r>
              <w:rPr>
                <w:rFonts w:ascii="宋体" w:hAnsi="宋体" w:cs="宋体" w:eastAsia="宋体" w:hint="default"/>
                <w:spacing w:val="-5"/>
                <w:w w:val="101"/>
                <w:sz w:val="18"/>
                <w:szCs w:val="18"/>
              </w:rPr>
              <w:t> </w:t>
            </w:r>
            <w:r>
              <w:rPr>
                <w:rFonts w:ascii="宋体" w:hAnsi="宋体" w:cs="宋体" w:eastAsia="宋体" w:hint="default"/>
                <w:sz w:val="18"/>
                <w:szCs w:val="18"/>
              </w:rPr>
              <w:t>额</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保单红利支出</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分保费用</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2,523,028.35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2,250,683.49</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销售费用</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20,432,647.18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20,578,242.38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管理费用</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51,075,121.28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48,988,283.09</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财务费用</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2,558,774.29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1,633,022.98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资产减值损失</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4,334,805.39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2,008,338.47</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加：公允价值变动收益（损失以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投资收益（损失以</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w w:val="101"/>
                <w:sz w:val="18"/>
                <w:szCs w:val="18"/>
              </w:rPr>
              <w:t> </w:t>
            </w:r>
            <w:r>
              <w:rPr>
                <w:rFonts w:ascii="宋体" w:hAnsi="宋体" w:cs="宋体" w:eastAsia="宋体" w:hint="default"/>
                <w:spacing w:val="-4"/>
                <w:sz w:val="18"/>
                <w:szCs w:val="18"/>
              </w:rPr>
              <w:t>填列）</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700,251.44</w:t>
            </w: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4"/>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8"/>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8"/>
                <w:sz w:val="18"/>
                <w:szCs w:val="18"/>
              </w:rPr>
              <w:t>汇兑收益（损失以</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资产处置收益（损失以</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-7,460.00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-27,750.50</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其他收益</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9,720,938.46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三、营业利润（亏损以</w:t>
            </w:r>
            <w:r>
              <w:rPr>
                <w:rFonts w:ascii="宋体" w:hAnsi="宋体" w:cs="宋体" w:eastAsia="宋体"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号填列）</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48,506,187.44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34,643,281.41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3,837,757.48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9,171,947.86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60,814.35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2,713.21</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pacing w:val="-39"/>
                <w:sz w:val="18"/>
                <w:szCs w:val="18"/>
              </w:rPr>
              <w:t> </w:t>
            </w:r>
            <w:r>
              <w:rPr>
                <w:rFonts w:ascii="宋体" w:hAnsi="宋体" w:cs="宋体" w:eastAsia="宋体" w:hint="default"/>
                <w:spacing w:val="-4"/>
                <w:sz w:val="18"/>
                <w:szCs w:val="18"/>
              </w:rPr>
              <w:t>填列）</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52,283,130.57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43,812,516.06</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7,715,927.29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5,913,294.03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
                <w:sz w:val="18"/>
                <w:szCs w:val="18"/>
              </w:rPr>
              <w:t>五、净利润（净亏损以</w:t>
            </w:r>
            <w:r>
              <w:rPr>
                <w:rFonts w:ascii="宋体" w:hAnsi="宋体" w:cs="宋体" w:eastAsia="宋体"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号填列）</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44,567,203.28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37,899,222.03</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号填列）</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44,567,203.28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37,899,222.03</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号填列）</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归属于母公司所有者的净利润</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44,494,787.97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37,490,815.73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少数股东损益</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72,415.31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408,406.30</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082"/>
        <w:gridCol w:w="3206"/>
        <w:gridCol w:w="3278"/>
      </w:tblGrid>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26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归属母公司所有者的其他综合收</w:t>
            </w:r>
            <w:r>
              <w:rPr>
                <w:rFonts w:ascii="宋体" w:hAnsi="宋体" w:cs="宋体" w:eastAsia="宋体" w:hint="default"/>
                <w:spacing w:val="-5"/>
                <w:w w:val="101"/>
                <w:sz w:val="18"/>
                <w:szCs w:val="18"/>
              </w:rPr>
              <w:t> </w:t>
            </w:r>
            <w:r>
              <w:rPr>
                <w:rFonts w:ascii="宋体" w:hAnsi="宋体" w:cs="宋体" w:eastAsia="宋体" w:hint="default"/>
                <w:sz w:val="18"/>
                <w:szCs w:val="18"/>
              </w:rPr>
              <w:t>益的税后净额</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（一）以后不能重分类进损益的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4" w:lineRule="auto" w:before="53"/>
              <w:ind w:left="105" w:right="12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r>
              <w:rPr>
                <w:rFonts w:ascii="宋体" w:hAnsi="宋体" w:cs="宋体" w:eastAsia="宋体" w:hint="default"/>
                <w:w w:val="101"/>
                <w:sz w:val="18"/>
                <w:szCs w:val="18"/>
              </w:rPr>
              <w:t> </w:t>
            </w:r>
            <w:r>
              <w:rPr>
                <w:rFonts w:ascii="宋体" w:hAnsi="宋体" w:cs="宋体" w:eastAsia="宋体" w:hint="default"/>
                <w:sz w:val="18"/>
                <w:szCs w:val="18"/>
              </w:rPr>
              <w:t>净负债或净资产的变动</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3"/>
              <w:ind w:left="105" w:right="12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不能重分类进损益的其他综合收益</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中享有的份额</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（二）以后将重分类进损益的其</w:t>
            </w:r>
            <w:r>
              <w:rPr>
                <w:rFonts w:ascii="宋体" w:hAnsi="宋体" w:cs="宋体" w:eastAsia="宋体" w:hint="default"/>
                <w:w w:val="101"/>
                <w:sz w:val="18"/>
                <w:szCs w:val="18"/>
              </w:rPr>
              <w:t> </w:t>
            </w:r>
            <w:r>
              <w:rPr>
                <w:rFonts w:ascii="宋体" w:hAnsi="宋体" w:cs="宋体" w:eastAsia="宋体" w:hint="default"/>
                <w:spacing w:val="-3"/>
                <w:sz w:val="18"/>
                <w:szCs w:val="18"/>
              </w:rPr>
              <w:t>他综合收益</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5" w:right="12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以后将重分类进损益的其他综合收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益中享有的份额</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4" w:lineRule="auto" w:before="53"/>
              <w:ind w:left="105" w:right="12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3"/>
              <w:ind w:left="105" w:right="12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3"/>
              <w:ind w:left="105" w:right="122"/>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现金流量套期损益的有</w:t>
            </w:r>
            <w:r>
              <w:rPr>
                <w:rFonts w:ascii="宋体" w:hAnsi="宋体" w:cs="宋体" w:eastAsia="宋体" w:hint="default"/>
                <w:w w:val="101"/>
                <w:sz w:val="18"/>
                <w:szCs w:val="18"/>
              </w:rPr>
              <w:t> </w:t>
            </w:r>
            <w:r>
              <w:rPr>
                <w:rFonts w:ascii="宋体" w:hAnsi="宋体" w:cs="宋体" w:eastAsia="宋体" w:hint="default"/>
                <w:spacing w:val="-4"/>
                <w:sz w:val="18"/>
                <w:szCs w:val="18"/>
              </w:rPr>
              <w:t>效部分</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26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归属于少数股东的其他综合收益</w:t>
            </w:r>
            <w:r>
              <w:rPr>
                <w:rFonts w:ascii="宋体" w:hAnsi="宋体" w:cs="宋体" w:eastAsia="宋体" w:hint="default"/>
                <w:spacing w:val="-5"/>
                <w:w w:val="101"/>
                <w:sz w:val="18"/>
                <w:szCs w:val="18"/>
              </w:rPr>
              <w:t> </w:t>
            </w:r>
            <w:r>
              <w:rPr>
                <w:rFonts w:ascii="宋体" w:hAnsi="宋体" w:cs="宋体" w:eastAsia="宋体" w:hint="default"/>
                <w:spacing w:val="-3"/>
                <w:sz w:val="18"/>
                <w:szCs w:val="18"/>
              </w:rPr>
              <w:t>的税后净额</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44,567,203.28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37,899,222.03</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26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归属于母公司所有者的综合收</w:t>
            </w:r>
            <w:r>
              <w:rPr>
                <w:rFonts w:ascii="宋体" w:hAnsi="宋体" w:cs="宋体" w:eastAsia="宋体" w:hint="default"/>
                <w:spacing w:val="-5"/>
                <w:w w:val="101"/>
                <w:sz w:val="18"/>
                <w:szCs w:val="18"/>
              </w:rPr>
              <w:t> </w:t>
            </w:r>
            <w:r>
              <w:rPr>
                <w:rFonts w:ascii="宋体" w:hAnsi="宋体" w:cs="宋体" w:eastAsia="宋体" w:hint="default"/>
                <w:spacing w:val="-4"/>
                <w:sz w:val="18"/>
                <w:szCs w:val="18"/>
              </w:rPr>
              <w:t>益总额</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44,494,787.97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37,490,815.73</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26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归属于少数股东的综合收益总</w:t>
            </w:r>
            <w:r>
              <w:rPr>
                <w:rFonts w:ascii="宋体" w:hAnsi="宋体" w:cs="宋体" w:eastAsia="宋体" w:hint="default"/>
                <w:spacing w:val="-5"/>
                <w:w w:val="101"/>
                <w:sz w:val="18"/>
                <w:szCs w:val="18"/>
              </w:rPr>
              <w:t> </w:t>
            </w:r>
            <w:r>
              <w:rPr>
                <w:rFonts w:ascii="宋体" w:hAnsi="宋体" w:cs="宋体" w:eastAsia="宋体" w:hint="default"/>
                <w:sz w:val="18"/>
                <w:szCs w:val="18"/>
              </w:rPr>
              <w:t>额</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72,415.31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408,406.30</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0.620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0.540</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r>
              <w:rPr>
                <w:rFonts w:ascii="宋体" w:hAnsi="宋体" w:cs="宋体" w:eastAsia="宋体" w:hint="default"/>
                <w:sz w:val="18"/>
                <w:szCs w:val="18"/>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0.620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0.540</w:t>
            </w:r>
          </w:p>
        </w:tc>
      </w:tr>
    </w:tbl>
    <w:p>
      <w:pPr>
        <w:spacing w:line="240" w:lineRule="auto" w:before="2"/>
        <w:rPr>
          <w:rFonts w:ascii="Times New Roman" w:hAnsi="Times New Roman" w:cs="Times New Roman" w:eastAsia="Times New Roman" w:hint="default"/>
          <w:sz w:val="23"/>
          <w:szCs w:val="23"/>
        </w:rPr>
      </w:pPr>
    </w:p>
    <w:p>
      <w:pPr>
        <w:pStyle w:val="BodyText"/>
        <w:tabs>
          <w:tab w:pos="3666" w:val="left" w:leader="none"/>
          <w:tab w:pos="7895" w:val="left" w:leader="none"/>
        </w:tabs>
        <w:spacing w:line="240" w:lineRule="auto" w:before="46"/>
        <w:ind w:right="0"/>
        <w:jc w:val="left"/>
      </w:pPr>
      <w:r>
        <w:rPr>
          <w:spacing w:val="-3"/>
        </w:rPr>
        <w:t>法定代表人：费耀平</w:t>
        <w:tab/>
        <w:t>主管会计工作负责人：金卓钧</w:t>
        <w:tab/>
      </w:r>
      <w:r>
        <w:rPr/>
        <w:t>会计机构负责人：龙仲</w:t>
      </w:r>
    </w:p>
    <w:p>
      <w:pPr>
        <w:spacing w:after="0" w:line="240" w:lineRule="auto"/>
        <w:jc w:val="left"/>
        <w:sectPr>
          <w:pgSz w:w="11910" w:h="16840"/>
          <w:pgMar w:header="784" w:footer="1027" w:top="1100" w:bottom="1220" w:left="980" w:right="98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299,301,234.72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263,269,747.05</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183,447,421.91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158,019,172.30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税金及附加</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2,384,787.48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2,109,720.87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19,099,240.28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19,235,991.57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48,460,794.18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46,599,208.74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2,555,185.95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1,627,727.67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4,546,951.40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685,013.95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加：公允价值变动收益（损失</w:t>
            </w:r>
            <w:r>
              <w:rPr>
                <w:rFonts w:ascii="宋体" w:hAnsi="宋体" w:cs="宋体" w:eastAsia="宋体" w:hint="default"/>
                <w:spacing w:val="-5"/>
                <w:w w:val="101"/>
                <w:sz w:val="18"/>
                <w:szCs w:val="18"/>
              </w:rPr>
              <w:t> </w:t>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投资收益（损失以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-1,494,258.11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-1,098,838.14</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其中：对联营企业和合营</w:t>
            </w:r>
            <w:r>
              <w:rPr>
                <w:rFonts w:ascii="宋体" w:hAnsi="宋体" w:cs="宋体" w:eastAsia="宋体" w:hint="default"/>
                <w:spacing w:val="-5"/>
                <w:w w:val="101"/>
                <w:sz w:val="18"/>
                <w:szCs w:val="18"/>
              </w:rPr>
              <w:t> </w:t>
            </w:r>
            <w:r>
              <w:rPr>
                <w:rFonts w:ascii="宋体" w:hAnsi="宋体" w:cs="宋体" w:eastAsia="宋体" w:hint="default"/>
                <w:spacing w:val="-3"/>
                <w:sz w:val="18"/>
                <w:szCs w:val="18"/>
              </w:rPr>
              <w:t>企业的投资收益</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0"/>
                <w:sz w:val="18"/>
                <w:szCs w:val="18"/>
              </w:rPr>
              <w:t>资产处置收益（损失以</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-7,460.00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-27,750.50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9,675,185.63</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50"/>
                <w:sz w:val="18"/>
                <w:szCs w:val="18"/>
              </w:rPr>
              <w:t> </w:t>
            </w: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46,980,321.04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33,866,323.31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3,824,940.47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8,989,189.34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60,814.35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1,942.99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46"/>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50,744,447.16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42,853,569.66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7,680,339.40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6,126,254.42</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50"/>
                <w:sz w:val="18"/>
                <w:szCs w:val="18"/>
              </w:rPr>
              <w:t> </w:t>
            </w: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43,064,107.76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36,727,315.24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（一）持续经营净利润（净亏</w:t>
            </w:r>
            <w:r>
              <w:rPr>
                <w:rFonts w:ascii="宋体" w:hAnsi="宋体" w:cs="宋体" w:eastAsia="宋体" w:hint="default"/>
                <w:spacing w:val="-5"/>
                <w:w w:val="101"/>
                <w:sz w:val="18"/>
                <w:szCs w:val="18"/>
              </w:rPr>
              <w:t> </w:t>
            </w:r>
            <w:r>
              <w:rPr>
                <w:rFonts w:ascii="宋体" w:hAnsi="宋体" w:cs="宋体" w:eastAsia="宋体" w:hint="default"/>
                <w:spacing w:val="-3"/>
                <w:sz w:val="18"/>
                <w:szCs w:val="18"/>
              </w:rPr>
              <w:t>损以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43,064,107.76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36,727,315.24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（二）终止经营净利润（净亏</w:t>
            </w:r>
            <w:r>
              <w:rPr>
                <w:rFonts w:ascii="宋体" w:hAnsi="宋体" w:cs="宋体" w:eastAsia="宋体" w:hint="default"/>
                <w:spacing w:val="-5"/>
                <w:w w:val="101"/>
                <w:sz w:val="18"/>
                <w:szCs w:val="18"/>
              </w:rPr>
              <w:t> </w:t>
            </w:r>
            <w:r>
              <w:rPr>
                <w:rFonts w:ascii="宋体" w:hAnsi="宋体" w:cs="宋体" w:eastAsia="宋体" w:hint="default"/>
                <w:spacing w:val="-3"/>
                <w:sz w:val="18"/>
                <w:szCs w:val="18"/>
              </w:rPr>
              <w:t>损以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（一）以后不能重分类进损益</w:t>
            </w:r>
            <w:r>
              <w:rPr>
                <w:rFonts w:ascii="宋体" w:hAnsi="宋体" w:cs="宋体" w:eastAsia="宋体" w:hint="default"/>
                <w:spacing w:val="-5"/>
                <w:w w:val="101"/>
                <w:sz w:val="18"/>
                <w:szCs w:val="18"/>
              </w:rPr>
              <w:t> </w:t>
            </w:r>
            <w:r>
              <w:rPr>
                <w:rFonts w:ascii="宋体" w:hAnsi="宋体" w:cs="宋体" w:eastAsia="宋体" w:hint="default"/>
                <w:spacing w:val="-3"/>
                <w:sz w:val="18"/>
                <w:szCs w:val="18"/>
              </w:rPr>
              <w:t>的其他综合收益</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36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划净负债或净资产的变动</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3"/>
              <w:ind w:left="105" w:right="151"/>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w:t>
            </w:r>
            <w:r>
              <w:rPr>
                <w:rFonts w:ascii="宋体" w:hAnsi="宋体" w:cs="宋体" w:eastAsia="宋体" w:hint="default"/>
                <w:spacing w:val="-5"/>
                <w:w w:val="101"/>
                <w:sz w:val="18"/>
                <w:szCs w:val="18"/>
              </w:rPr>
              <w:t> </w:t>
            </w:r>
            <w:r>
              <w:rPr>
                <w:rFonts w:ascii="宋体" w:hAnsi="宋体" w:cs="宋体" w:eastAsia="宋体" w:hint="default"/>
                <w:spacing w:val="-3"/>
                <w:sz w:val="18"/>
                <w:szCs w:val="18"/>
              </w:rPr>
              <w:t>位不能重分类进损益的其他综合收</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益中享有的份额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（二）以后将重分类进损益的</w:t>
            </w:r>
            <w:r>
              <w:rPr>
                <w:rFonts w:ascii="宋体" w:hAnsi="宋体" w:cs="宋体" w:eastAsia="宋体" w:hint="default"/>
                <w:spacing w:val="-5"/>
                <w:w w:val="101"/>
                <w:sz w:val="18"/>
                <w:szCs w:val="18"/>
              </w:rPr>
              <w:t> </w:t>
            </w: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3"/>
              <w:ind w:left="105" w:right="151"/>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权益法下在被投资单</w:t>
            </w:r>
            <w:r>
              <w:rPr>
                <w:rFonts w:ascii="宋体" w:hAnsi="宋体" w:cs="宋体" w:eastAsia="宋体" w:hint="default"/>
                <w:spacing w:val="-5"/>
                <w:w w:val="101"/>
                <w:sz w:val="18"/>
                <w:szCs w:val="18"/>
              </w:rPr>
              <w:t> </w:t>
            </w:r>
            <w:r>
              <w:rPr>
                <w:rFonts w:ascii="宋体" w:hAnsi="宋体" w:cs="宋体" w:eastAsia="宋体" w:hint="default"/>
                <w:spacing w:val="-3"/>
                <w:sz w:val="18"/>
                <w:szCs w:val="18"/>
              </w:rPr>
              <w:t>位以后将重分类进损益的其他综合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收益中享有的份额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3"/>
              <w:ind w:left="105" w:right="19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w:t>
            </w:r>
            <w:r>
              <w:rPr>
                <w:rFonts w:ascii="宋体" w:hAnsi="宋体" w:cs="宋体" w:eastAsia="宋体" w:hint="default"/>
                <w:spacing w:val="-5"/>
                <w:w w:val="101"/>
                <w:sz w:val="18"/>
                <w:szCs w:val="18"/>
              </w:rPr>
              <w:t> </w:t>
            </w:r>
            <w:r>
              <w:rPr>
                <w:rFonts w:ascii="宋体" w:hAnsi="宋体" w:cs="宋体" w:eastAsia="宋体" w:hint="default"/>
                <w:spacing w:val="-3"/>
                <w:sz w:val="18"/>
                <w:szCs w:val="18"/>
              </w:rPr>
              <w:t>允价值变动损益</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4" w:lineRule="auto" w:before="53"/>
              <w:ind w:left="105" w:right="19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w:t>
            </w:r>
            <w:r>
              <w:rPr>
                <w:rFonts w:ascii="宋体" w:hAnsi="宋体" w:cs="宋体" w:eastAsia="宋体" w:hint="default"/>
                <w:spacing w:val="-5"/>
                <w:w w:val="101"/>
                <w:sz w:val="18"/>
                <w:szCs w:val="18"/>
              </w:rPr>
              <w:t> </w:t>
            </w:r>
            <w:r>
              <w:rPr>
                <w:rFonts w:ascii="宋体" w:hAnsi="宋体" w:cs="宋体" w:eastAsia="宋体" w:hint="default"/>
                <w:spacing w:val="-3"/>
                <w:sz w:val="18"/>
                <w:szCs w:val="18"/>
              </w:rPr>
              <w:t>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4" w:lineRule="auto" w:before="53"/>
              <w:ind w:left="105" w:right="19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w:t>
            </w:r>
            <w:r>
              <w:rPr>
                <w:rFonts w:ascii="宋体" w:hAnsi="宋体" w:cs="宋体" w:eastAsia="宋体" w:hint="default"/>
                <w:spacing w:val="-5"/>
                <w:w w:val="101"/>
                <w:sz w:val="18"/>
                <w:szCs w:val="18"/>
              </w:rPr>
              <w:t> </w:t>
            </w: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3"/>
              <w:ind w:left="105" w:right="194"/>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外币财务报表折算差</w:t>
            </w:r>
            <w:r>
              <w:rPr>
                <w:rFonts w:ascii="宋体" w:hAnsi="宋体" w:cs="宋体" w:eastAsia="宋体" w:hint="default"/>
                <w:spacing w:val="-5"/>
                <w:w w:val="101"/>
                <w:sz w:val="18"/>
                <w:szCs w:val="18"/>
              </w:rPr>
              <w:t> </w:t>
            </w: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0" w:right="0"/>
              <w:jc w:val="left"/>
              <w:rPr>
                <w:rFonts w:ascii="Times New Roman" w:hAnsi="Times New Roman" w:cs="Times New Roman" w:eastAsia="Times New Roman" w:hint="default"/>
                <w:sz w:val="18"/>
                <w:szCs w:val="18"/>
              </w:rPr>
            </w:pPr>
            <w:r>
              <w:rPr>
                <w:rFonts w:ascii="Times New Roman"/>
                <w:sz w:val="18"/>
              </w:rPr>
              <w:t>43,064,107.76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0" w:right="0"/>
              <w:jc w:val="left"/>
              <w:rPr>
                <w:rFonts w:ascii="Times New Roman" w:hAnsi="Times New Roman" w:cs="Times New Roman" w:eastAsia="Times New Roman" w:hint="default"/>
                <w:sz w:val="18"/>
                <w:szCs w:val="18"/>
              </w:rPr>
            </w:pPr>
            <w:r>
              <w:rPr>
                <w:rFonts w:ascii="Times New Roman"/>
                <w:sz w:val="18"/>
              </w:rPr>
              <w:t>36,727,315.24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8" w:right="0"/>
              <w:jc w:val="left"/>
              <w:rPr>
                <w:rFonts w:ascii="Times New Roman" w:hAnsi="Times New Roman" w:cs="Times New Roman" w:eastAsia="Times New Roman" w:hint="default"/>
                <w:sz w:val="18"/>
                <w:szCs w:val="18"/>
              </w:rPr>
            </w:pPr>
            <w:r>
              <w:rPr>
                <w:rFonts w:ascii="Times New Roman"/>
                <w:sz w:val="18"/>
              </w:rPr>
              <w:t>275,350,430.62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258,099,649.08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客户存款和同业存放款项净增</w:t>
            </w:r>
            <w:r>
              <w:rPr>
                <w:rFonts w:ascii="宋体" w:hAnsi="宋体" w:cs="宋体" w:eastAsia="宋体" w:hint="default"/>
                <w:spacing w:val="-5"/>
                <w:w w:val="101"/>
                <w:sz w:val="18"/>
                <w:szCs w:val="18"/>
              </w:rPr>
              <w:t> </w:t>
            </w: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向中央银行借款净增加额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向其他金融机构拆入资金净增</w:t>
            </w:r>
            <w:r>
              <w:rPr>
                <w:rFonts w:ascii="宋体" w:hAnsi="宋体" w:cs="宋体" w:eastAsia="宋体" w:hint="default"/>
                <w:spacing w:val="-5"/>
                <w:w w:val="101"/>
                <w:sz w:val="18"/>
                <w:szCs w:val="18"/>
              </w:rPr>
              <w:t> </w:t>
            </w: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收到原保险合同保费取得的现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收到再保险业务现金净额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处置以公允价值计量且其变动</w:t>
            </w:r>
            <w:r>
              <w:rPr>
                <w:rFonts w:ascii="宋体" w:hAnsi="宋体" w:cs="宋体" w:eastAsia="宋体" w:hint="default"/>
                <w:spacing w:val="-5"/>
                <w:w w:val="101"/>
                <w:sz w:val="18"/>
                <w:szCs w:val="18"/>
              </w:rPr>
              <w:t> </w:t>
            </w:r>
            <w:r>
              <w:rPr>
                <w:rFonts w:ascii="宋体" w:hAnsi="宋体" w:cs="宋体" w:eastAsia="宋体" w:hint="default"/>
                <w:spacing w:val="-3"/>
                <w:sz w:val="18"/>
                <w:szCs w:val="18"/>
              </w:rPr>
              <w:t>计入当期损益的金融资产净增加额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收取利息、手续费及佣金的现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4,394,075.03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5,549,325.03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6,247,039.61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8,602,391.17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285,991,545.26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272,251,365.28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124,067,680.48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147,248,534.53</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客户贷款及垫款净增加额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存放中央银行和同业款项净增</w:t>
            </w:r>
            <w:r>
              <w:rPr>
                <w:rFonts w:ascii="宋体" w:hAnsi="宋体" w:cs="宋体" w:eastAsia="宋体" w:hint="default"/>
                <w:spacing w:val="-5"/>
                <w:w w:val="101"/>
                <w:sz w:val="18"/>
                <w:szCs w:val="18"/>
              </w:rPr>
              <w:t> </w:t>
            </w:r>
            <w:r>
              <w:rPr>
                <w:rFonts w:ascii="宋体" w:hAnsi="宋体" w:cs="宋体" w:eastAsia="宋体" w:hint="default"/>
                <w:sz w:val="18"/>
                <w:szCs w:val="18"/>
              </w:rPr>
              <w:t>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支付原保险合同赔付款项的现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支付利息、手续费及佣金的现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支付保单红利的现金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w:t>
            </w:r>
            <w:r>
              <w:rPr>
                <w:rFonts w:ascii="宋体" w:hAnsi="宋体" w:cs="宋体" w:eastAsia="宋体" w:hint="default"/>
                <w:spacing w:val="-5"/>
                <w:w w:val="101"/>
                <w:sz w:val="18"/>
                <w:szCs w:val="18"/>
              </w:rPr>
              <w:t> </w:t>
            </w:r>
            <w:r>
              <w:rPr>
                <w:rFonts w:ascii="宋体" w:hAnsi="宋体" w:cs="宋体" w:eastAsia="宋体" w:hint="default"/>
                <w:sz w:val="18"/>
                <w:szCs w:val="18"/>
              </w:rPr>
              <w:t>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91,692,342.49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79,752,403.76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22,205,952.28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17,957,842.73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40,563,493.32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26,340,927.40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278,529,468.57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271,299,708.42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7,462,076.69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951,656.86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36,690.41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w:t>
            </w:r>
            <w:r>
              <w:rPr>
                <w:rFonts w:ascii="宋体" w:hAnsi="宋体" w:cs="宋体" w:eastAsia="宋体" w:hint="default"/>
                <w:spacing w:val="-5"/>
                <w:w w:val="101"/>
                <w:sz w:val="18"/>
                <w:szCs w:val="18"/>
              </w:rPr>
              <w:t> </w:t>
            </w:r>
            <w:r>
              <w:rPr>
                <w:rFonts w:ascii="宋体" w:hAnsi="宋体" w:cs="宋体" w:eastAsia="宋体" w:hint="default"/>
                <w:spacing w:val="-3"/>
                <w:sz w:val="18"/>
                <w:szCs w:val="18"/>
              </w:rPr>
              <w:t>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w:t>
            </w:r>
            <w:r>
              <w:rPr>
                <w:rFonts w:ascii="宋体" w:hAnsi="宋体" w:cs="宋体" w:eastAsia="宋体" w:hint="default"/>
                <w:spacing w:val="-5"/>
                <w:w w:val="101"/>
                <w:sz w:val="18"/>
                <w:szCs w:val="18"/>
              </w:rPr>
              <w:t> </w:t>
            </w:r>
            <w:r>
              <w:rPr>
                <w:rFonts w:ascii="宋体" w:hAnsi="宋体" w:cs="宋体" w:eastAsia="宋体" w:hint="default"/>
                <w:sz w:val="18"/>
                <w:szCs w:val="18"/>
              </w:rPr>
              <w:t>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182,606.45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6,219,296.86</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w:t>
            </w:r>
            <w:r>
              <w:rPr>
                <w:rFonts w:ascii="宋体" w:hAnsi="宋体" w:cs="宋体" w:eastAsia="宋体" w:hint="default"/>
                <w:spacing w:val="-5"/>
                <w:w w:val="101"/>
                <w:sz w:val="18"/>
                <w:szCs w:val="18"/>
              </w:rPr>
              <w:t> </w:t>
            </w:r>
            <w:r>
              <w:rPr>
                <w:rFonts w:ascii="宋体" w:hAnsi="宋体" w:cs="宋体" w:eastAsia="宋体" w:hint="default"/>
                <w:sz w:val="18"/>
                <w:szCs w:val="18"/>
              </w:rPr>
              <w:t>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2"/>
                <w:sz w:val="18"/>
              </w:rPr>
              <w:t>11,158,357.17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5,933,935.06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w:t>
            </w:r>
            <w:r>
              <w:rPr>
                <w:rFonts w:ascii="宋体" w:hAnsi="宋体" w:cs="宋体" w:eastAsia="宋体" w:hint="default"/>
                <w:spacing w:val="-5"/>
                <w:w w:val="101"/>
                <w:sz w:val="18"/>
                <w:szCs w:val="18"/>
              </w:rPr>
              <w:t> </w:t>
            </w:r>
            <w:r>
              <w:rPr>
                <w:rFonts w:ascii="宋体" w:hAnsi="宋体" w:cs="宋体" w:eastAsia="宋体" w:hint="default"/>
                <w:sz w:val="18"/>
                <w:szCs w:val="18"/>
              </w:rPr>
              <w:t>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2,219,919.01</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11,158,357.17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14,153,854.07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-11,158,357.17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-7,934,557.21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180,528,300.00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其中：子公司吸收少数股东投</w:t>
            </w:r>
            <w:r>
              <w:rPr>
                <w:rFonts w:ascii="宋体" w:hAnsi="宋体" w:cs="宋体" w:eastAsia="宋体" w:hint="default"/>
                <w:spacing w:val="-5"/>
                <w:w w:val="101"/>
                <w:sz w:val="18"/>
                <w:szCs w:val="18"/>
              </w:rPr>
              <w:t> </w:t>
            </w:r>
            <w:r>
              <w:rPr>
                <w:rFonts w:ascii="宋体" w:hAnsi="宋体" w:cs="宋体" w:eastAsia="宋体" w:hint="default"/>
                <w:sz w:val="18"/>
                <w:szCs w:val="18"/>
              </w:rPr>
              <w:t>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7,940,000.00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70,000,000.00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58,900,000.00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发行债券收到的现金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250,528,300.00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58,900,000.00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38,900,000.00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w:t>
            </w:r>
            <w:r>
              <w:rPr>
                <w:rFonts w:ascii="宋体" w:hAnsi="宋体" w:cs="宋体" w:eastAsia="宋体" w:hint="default"/>
                <w:spacing w:val="-5"/>
                <w:w w:val="101"/>
                <w:sz w:val="18"/>
                <w:szCs w:val="18"/>
              </w:rPr>
              <w:t> </w:t>
            </w:r>
            <w:r>
              <w:rPr>
                <w:rFonts w:ascii="宋体" w:hAnsi="宋体" w:cs="宋体" w:eastAsia="宋体" w:hint="default"/>
                <w:sz w:val="18"/>
                <w:szCs w:val="18"/>
              </w:rPr>
              <w:t>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8,140,139.38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10,052,006.00</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其中：子公司支付给少数股东</w:t>
            </w:r>
            <w:r>
              <w:rPr>
                <w:rFonts w:ascii="宋体" w:hAnsi="宋体" w:cs="宋体" w:eastAsia="宋体" w:hint="default"/>
                <w:spacing w:val="-5"/>
                <w:w w:val="101"/>
                <w:sz w:val="18"/>
                <w:szCs w:val="18"/>
              </w:rPr>
              <w:t> </w:t>
            </w:r>
            <w:r>
              <w:rPr>
                <w:rFonts w:ascii="宋体" w:hAnsi="宋体" w:cs="宋体" w:eastAsia="宋体" w:hint="default"/>
                <w:sz w:val="18"/>
                <w:szCs w:val="18"/>
              </w:rPr>
              <w:t>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5,837,300.00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52,877,439.38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47,052,006.00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197,650,860.62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11,847,994.00</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的影响</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193,954,580.14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4,865,093.65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w:t>
            </w:r>
            <w:r>
              <w:rPr>
                <w:rFonts w:ascii="宋体" w:hAnsi="宋体" w:cs="宋体" w:eastAsia="宋体" w:hint="default"/>
                <w:spacing w:val="-5"/>
                <w:w w:val="101"/>
                <w:sz w:val="18"/>
                <w:szCs w:val="18"/>
              </w:rPr>
              <w:t> </w:t>
            </w: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2"/>
                <w:sz w:val="18"/>
              </w:rPr>
              <w:t>114,254,575.25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109,389,481.60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308,209,155.39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114,254,575.25</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5"/>
          <w:szCs w:val="25"/>
        </w:rPr>
      </w:pPr>
    </w:p>
    <w:p>
      <w:pPr>
        <w:pStyle w:val="Heading4"/>
        <w:spacing w:line="240" w:lineRule="auto" w:before="36"/>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45"/>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275,409,579.72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251,063,643.12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4,348,323.20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5,366,607.25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6,225,985.43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7,808,553.49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285,983,888.35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264,238,803.86</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123,650,441.58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144,702,493.41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w:t>
            </w:r>
            <w:r>
              <w:rPr>
                <w:rFonts w:ascii="宋体" w:hAnsi="宋体" w:cs="宋体" w:eastAsia="宋体" w:hint="default"/>
                <w:spacing w:val="-5"/>
                <w:w w:val="101"/>
                <w:sz w:val="18"/>
                <w:szCs w:val="18"/>
              </w:rPr>
              <w:t> </w:t>
            </w:r>
            <w:r>
              <w:rPr>
                <w:rFonts w:ascii="宋体" w:hAnsi="宋体" w:cs="宋体" w:eastAsia="宋体" w:hint="default"/>
                <w:sz w:val="18"/>
                <w:szCs w:val="18"/>
              </w:rPr>
              <w:t>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86,451,930.93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75,676,832.55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21,338,033.01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17,815,341.98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39,223,915.52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24,837,546.74</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270,664,321.04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263,032,214.68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15,319,567.31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1,206,589.18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36,690.41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w:t>
            </w:r>
            <w:r>
              <w:rPr>
                <w:rFonts w:ascii="宋体" w:hAnsi="宋体" w:cs="宋体" w:eastAsia="宋体" w:hint="default"/>
                <w:spacing w:val="-5"/>
                <w:w w:val="101"/>
                <w:sz w:val="18"/>
                <w:szCs w:val="18"/>
              </w:rPr>
              <w:t> </w:t>
            </w:r>
            <w:r>
              <w:rPr>
                <w:rFonts w:ascii="宋体" w:hAnsi="宋体" w:cs="宋体" w:eastAsia="宋体" w:hint="default"/>
                <w:spacing w:val="-3"/>
                <w:sz w:val="18"/>
                <w:szCs w:val="18"/>
              </w:rPr>
              <w:t>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w:t>
            </w:r>
            <w:r>
              <w:rPr>
                <w:rFonts w:ascii="宋体" w:hAnsi="宋体" w:cs="宋体" w:eastAsia="宋体" w:hint="default"/>
                <w:spacing w:val="-5"/>
                <w:w w:val="101"/>
                <w:sz w:val="18"/>
                <w:szCs w:val="18"/>
              </w:rPr>
              <w:t> </w:t>
            </w:r>
            <w:r>
              <w:rPr>
                <w:rFonts w:ascii="宋体" w:hAnsi="宋体" w:cs="宋体" w:eastAsia="宋体" w:hint="default"/>
                <w:sz w:val="18"/>
                <w:szCs w:val="18"/>
              </w:rPr>
              <w:t>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182,606.45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6,219,296.86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w:t>
            </w:r>
            <w:r>
              <w:rPr>
                <w:rFonts w:ascii="宋体" w:hAnsi="宋体" w:cs="宋体" w:eastAsia="宋体" w:hint="default"/>
                <w:spacing w:val="-5"/>
                <w:w w:val="101"/>
                <w:sz w:val="18"/>
                <w:szCs w:val="18"/>
              </w:rPr>
              <w:t> </w:t>
            </w:r>
            <w:r>
              <w:rPr>
                <w:rFonts w:ascii="宋体" w:hAnsi="宋体" w:cs="宋体" w:eastAsia="宋体" w:hint="default"/>
                <w:sz w:val="18"/>
                <w:szCs w:val="18"/>
              </w:rPr>
              <w:t>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3,292,807.17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5,898,653.35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12,060,000.00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2,638,400.00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w:t>
            </w:r>
            <w:r>
              <w:rPr>
                <w:rFonts w:ascii="宋体" w:hAnsi="宋体" w:cs="宋体" w:eastAsia="宋体" w:hint="default"/>
                <w:spacing w:val="-5"/>
                <w:w w:val="101"/>
                <w:sz w:val="18"/>
                <w:szCs w:val="18"/>
              </w:rPr>
              <w:t> </w:t>
            </w:r>
            <w:r>
              <w:rPr>
                <w:rFonts w:ascii="宋体" w:hAnsi="宋体" w:cs="宋体" w:eastAsia="宋体" w:hint="default"/>
                <w:sz w:val="18"/>
                <w:szCs w:val="18"/>
              </w:rPr>
              <w:t>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15,352,807.17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14,537,053.35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-15,352,807.17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-8,317,756.49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172,588,300.00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70,000,000.00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58,900,000.00</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发行债券收到的现金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242,588,300.00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58,900,000.00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38,900,000.00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37,000,000.00</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w:t>
            </w:r>
            <w:r>
              <w:rPr>
                <w:rFonts w:ascii="宋体" w:hAnsi="宋体" w:cs="宋体" w:eastAsia="宋体" w:hint="default"/>
                <w:spacing w:val="-5"/>
                <w:w w:val="101"/>
                <w:sz w:val="18"/>
                <w:szCs w:val="18"/>
              </w:rPr>
              <w:t> </w:t>
            </w:r>
            <w:r>
              <w:rPr>
                <w:rFonts w:ascii="宋体" w:hAnsi="宋体" w:cs="宋体" w:eastAsia="宋体" w:hint="default"/>
                <w:sz w:val="18"/>
                <w:szCs w:val="18"/>
              </w:rPr>
              <w:t>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8,140,139.38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10,052,006.00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w:t>
            </w:r>
            <w:r>
              <w:rPr>
                <w:rFonts w:ascii="宋体" w:hAnsi="宋体" w:cs="宋体" w:eastAsia="宋体" w:hint="default"/>
                <w:spacing w:val="-5"/>
                <w:w w:val="101"/>
                <w:sz w:val="18"/>
                <w:szCs w:val="18"/>
              </w:rPr>
              <w:t> </w:t>
            </w: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5,837,300.00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52,877,439.38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47,052,006.00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189,710,860.62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11,847,994.00</w:t>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的影响</w:t>
            </w:r>
            <w:r>
              <w:rPr>
                <w:rFonts w:ascii="宋体" w:hAnsi="宋体" w:cs="宋体" w:eastAsia="宋体" w:hint="default"/>
                <w:sz w:val="18"/>
                <w:szCs w:val="18"/>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189,677,620.76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4,736,826.69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1" w:lineRule="auto" w:before="53"/>
              <w:ind w:left="105" w:right="15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w:t>
            </w:r>
            <w:r>
              <w:rPr>
                <w:rFonts w:ascii="宋体" w:hAnsi="宋体" w:cs="宋体" w:eastAsia="宋体" w:hint="default"/>
                <w:spacing w:val="-5"/>
                <w:w w:val="101"/>
                <w:sz w:val="18"/>
                <w:szCs w:val="18"/>
              </w:rPr>
              <w:t> </w:t>
            </w: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2"/>
                <w:sz w:val="18"/>
              </w:rPr>
              <w:t>111,161,302.55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106,424,475.86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300,838,923.31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111,161,302.55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spacing w:line="240" w:lineRule="auto" w:before="36"/>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46"/>
        <w:jc w:val="right"/>
      </w:pPr>
      <w:r>
        <w:rPr>
          <w:spacing w:val="-2"/>
        </w:rPr>
        <w:t>单位：元</w:t>
      </w:r>
    </w:p>
    <w:p>
      <w:pPr>
        <w:spacing w:after="0" w:line="240" w:lineRule="auto"/>
        <w:jc w:val="right"/>
        <w:sectPr>
          <w:pgSz w:w="11910" w:h="16840"/>
          <w:pgMar w:header="784" w:footer="1027" w:top="110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415" w:type="dxa"/>
        <w:tblLayout w:type="fixed"/>
        <w:tblCellMar>
          <w:top w:w="0" w:type="dxa"/>
          <w:left w:w="0" w:type="dxa"/>
          <w:bottom w:w="0" w:type="dxa"/>
          <w:right w:w="0" w:type="dxa"/>
        </w:tblCellMar>
        <w:tblLook w:val="01E0"/>
      </w:tblPr>
      <w:tblGrid>
        <w:gridCol w:w="1982"/>
        <w:gridCol w:w="1046"/>
        <w:gridCol w:w="792"/>
        <w:gridCol w:w="821"/>
        <w:gridCol w:w="600"/>
        <w:gridCol w:w="979"/>
        <w:gridCol w:w="821"/>
        <w:gridCol w:w="787"/>
        <w:gridCol w:w="600"/>
        <w:gridCol w:w="1133"/>
        <w:gridCol w:w="917"/>
        <w:gridCol w:w="1061"/>
        <w:gridCol w:w="917"/>
        <w:gridCol w:w="1224"/>
      </w:tblGrid>
      <w:tr>
        <w:trPr>
          <w:trHeight w:val="413" w:hRule="exact"/>
        </w:trPr>
        <w:tc>
          <w:tcPr>
            <w:tcW w:w="19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698"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982" w:type="dxa"/>
            <w:vMerge/>
            <w:tcBorders>
              <w:left w:val="single" w:sz="4" w:space="0" w:color="000000"/>
              <w:right w:val="single" w:sz="4" w:space="0" w:color="000000"/>
            </w:tcBorders>
            <w:shd w:val="clear" w:color="auto" w:fill="D4D4D4"/>
          </w:tcPr>
          <w:p>
            <w:pPr/>
          </w:p>
        </w:tc>
        <w:tc>
          <w:tcPr>
            <w:tcW w:w="9557"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z w:val="18"/>
                <w:szCs w:val="18"/>
              </w:rPr>
            </w:r>
          </w:p>
        </w:tc>
        <w:tc>
          <w:tcPr>
            <w:tcW w:w="91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28" w:lineRule="auto"/>
              <w:ind w:left="182" w:right="185"/>
              <w:jc w:val="left"/>
              <w:rPr>
                <w:rFonts w:ascii="宋体" w:hAnsi="宋体" w:cs="宋体" w:eastAsia="宋体" w:hint="default"/>
                <w:sz w:val="18"/>
                <w:szCs w:val="18"/>
              </w:rPr>
            </w:pPr>
            <w:r>
              <w:rPr>
                <w:rFonts w:ascii="宋体" w:hAnsi="宋体" w:cs="宋体" w:eastAsia="宋体" w:hint="default"/>
                <w:spacing w:val="-4"/>
                <w:sz w:val="18"/>
                <w:szCs w:val="18"/>
              </w:rPr>
              <w:t>少数股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东权益</w:t>
            </w:r>
            <w:r>
              <w:rPr>
                <w:rFonts w:ascii="宋体" w:hAnsi="宋体" w:cs="宋体" w:eastAsia="宋体" w:hint="default"/>
                <w:sz w:val="18"/>
                <w:szCs w:val="18"/>
              </w:rPr>
            </w:r>
          </w:p>
        </w:tc>
        <w:tc>
          <w:tcPr>
            <w:tcW w:w="122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28" w:lineRule="auto"/>
              <w:ind w:left="427" w:right="156" w:hanging="269"/>
              <w:jc w:val="left"/>
              <w:rPr>
                <w:rFonts w:ascii="宋体" w:hAnsi="宋体" w:cs="宋体" w:eastAsia="宋体" w:hint="default"/>
                <w:sz w:val="18"/>
                <w:szCs w:val="18"/>
              </w:rPr>
            </w:pPr>
            <w:r>
              <w:rPr>
                <w:rFonts w:ascii="宋体" w:hAnsi="宋体" w:cs="宋体" w:eastAsia="宋体" w:hint="default"/>
                <w:spacing w:val="-3"/>
                <w:sz w:val="18"/>
                <w:szCs w:val="18"/>
              </w:rPr>
              <w:t>所有者权益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合计</w:t>
            </w:r>
          </w:p>
        </w:tc>
      </w:tr>
      <w:tr>
        <w:trPr>
          <w:trHeight w:val="418" w:hRule="exact"/>
        </w:trPr>
        <w:tc>
          <w:tcPr>
            <w:tcW w:w="1982" w:type="dxa"/>
            <w:vMerge/>
            <w:tcBorders>
              <w:left w:val="single" w:sz="4" w:space="0" w:color="000000"/>
              <w:right w:val="single" w:sz="4" w:space="0" w:color="000000"/>
            </w:tcBorders>
            <w:shd w:val="clear" w:color="auto" w:fill="D4D4D4"/>
          </w:tcPr>
          <w:p>
            <w:pPr/>
          </w:p>
        </w:tc>
        <w:tc>
          <w:tcPr>
            <w:tcW w:w="104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1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5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7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21"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225" w:right="137" w:hanging="92"/>
              <w:jc w:val="left"/>
              <w:rPr>
                <w:rFonts w:ascii="宋体" w:hAnsi="宋体" w:cs="宋体" w:eastAsia="宋体" w:hint="default"/>
                <w:sz w:val="18"/>
                <w:szCs w:val="18"/>
              </w:rPr>
            </w:pPr>
            <w:r>
              <w:rPr>
                <w:rFonts w:ascii="宋体" w:hAnsi="宋体" w:cs="宋体" w:eastAsia="宋体" w:hint="default"/>
                <w:spacing w:val="-4"/>
                <w:sz w:val="18"/>
                <w:szCs w:val="18"/>
              </w:rPr>
              <w:t>减：库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存股</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119" w:right="117"/>
              <w:jc w:val="left"/>
              <w:rPr>
                <w:rFonts w:ascii="宋体" w:hAnsi="宋体" w:cs="宋体" w:eastAsia="宋体" w:hint="default"/>
                <w:sz w:val="18"/>
                <w:szCs w:val="18"/>
              </w:rPr>
            </w:pPr>
            <w:r>
              <w:rPr>
                <w:rFonts w:ascii="宋体" w:hAnsi="宋体" w:cs="宋体" w:eastAsia="宋体" w:hint="default"/>
                <w:spacing w:val="-4"/>
                <w:sz w:val="18"/>
                <w:szCs w:val="18"/>
              </w:rPr>
              <w:t>其他综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合收益</w:t>
            </w:r>
            <w:r>
              <w:rPr>
                <w:rFonts w:ascii="宋体" w:hAnsi="宋体" w:cs="宋体" w:eastAsia="宋体" w:hint="default"/>
                <w:sz w:val="18"/>
                <w:szCs w:val="18"/>
              </w:rPr>
            </w:r>
          </w:p>
        </w:tc>
        <w:tc>
          <w:tcPr>
            <w:tcW w:w="600"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115" w:right="10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17"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182" w:right="185"/>
              <w:jc w:val="left"/>
              <w:rPr>
                <w:rFonts w:ascii="宋体" w:hAnsi="宋体" w:cs="宋体" w:eastAsia="宋体" w:hint="default"/>
                <w:sz w:val="18"/>
                <w:szCs w:val="18"/>
              </w:rPr>
            </w:pPr>
            <w:r>
              <w:rPr>
                <w:rFonts w:ascii="宋体" w:hAnsi="宋体" w:cs="宋体" w:eastAsia="宋体" w:hint="default"/>
                <w:spacing w:val="-4"/>
                <w:sz w:val="18"/>
                <w:szCs w:val="18"/>
              </w:rPr>
              <w:t>一般风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险准备</w:t>
            </w:r>
            <w:r>
              <w:rPr>
                <w:rFonts w:ascii="宋体" w:hAnsi="宋体" w:cs="宋体" w:eastAsia="宋体" w:hint="default"/>
                <w:sz w:val="18"/>
                <w:szCs w:val="18"/>
              </w:rPr>
            </w:r>
          </w:p>
        </w:tc>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436" w:right="16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917" w:type="dxa"/>
            <w:vMerge/>
            <w:tcBorders>
              <w:left w:val="single" w:sz="4" w:space="0" w:color="000000"/>
              <w:right w:val="single" w:sz="4" w:space="0" w:color="000000"/>
            </w:tcBorders>
            <w:shd w:val="clear" w:color="auto" w:fill="D4D4D4"/>
          </w:tcPr>
          <w:p>
            <w:pPr/>
          </w:p>
        </w:tc>
        <w:tc>
          <w:tcPr>
            <w:tcW w:w="1224" w:type="dxa"/>
            <w:vMerge/>
            <w:tcBorders>
              <w:left w:val="single" w:sz="4" w:space="0" w:color="000000"/>
              <w:right w:val="single" w:sz="4" w:space="0" w:color="000000"/>
            </w:tcBorders>
            <w:shd w:val="clear" w:color="auto" w:fill="D4D4D4"/>
          </w:tcPr>
          <w:p>
            <w:pPr/>
          </w:p>
        </w:tc>
      </w:tr>
      <w:tr>
        <w:trPr>
          <w:trHeight w:val="413" w:hRule="exact"/>
        </w:trPr>
        <w:tc>
          <w:tcPr>
            <w:tcW w:w="1982" w:type="dxa"/>
            <w:vMerge/>
            <w:tcBorders>
              <w:left w:val="single" w:sz="4" w:space="0" w:color="000000"/>
              <w:bottom w:val="single" w:sz="4" w:space="0" w:color="000000"/>
              <w:right w:val="single" w:sz="4" w:space="0" w:color="000000"/>
            </w:tcBorders>
            <w:shd w:val="clear" w:color="auto" w:fill="D4D4D4"/>
          </w:tcPr>
          <w:p>
            <w:pPr/>
          </w:p>
        </w:tc>
        <w:tc>
          <w:tcPr>
            <w:tcW w:w="1046" w:type="dxa"/>
            <w:vMerge/>
            <w:tcBorders>
              <w:left w:val="single" w:sz="4" w:space="0" w:color="000000"/>
              <w:bottom w:val="single" w:sz="4" w:space="0" w:color="000000"/>
              <w:right w:val="single" w:sz="4" w:space="0" w:color="000000"/>
            </w:tcBorders>
            <w:shd w:val="clear" w:color="auto" w:fill="D4D4D4"/>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24" w:right="0"/>
              <w:jc w:val="left"/>
              <w:rPr>
                <w:rFonts w:ascii="宋体" w:hAnsi="宋体" w:cs="宋体" w:eastAsia="宋体" w:hint="default"/>
                <w:sz w:val="18"/>
                <w:szCs w:val="18"/>
              </w:rPr>
            </w:pPr>
            <w:r>
              <w:rPr>
                <w:rFonts w:ascii="宋体" w:hAnsi="宋体" w:cs="宋体" w:eastAsia="宋体" w:hint="default"/>
                <w:spacing w:val="-4"/>
                <w:sz w:val="18"/>
                <w:szCs w:val="18"/>
              </w:rPr>
              <w:t>优先股</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9" w:type="dxa"/>
            <w:vMerge/>
            <w:tcBorders>
              <w:left w:val="single" w:sz="4" w:space="0" w:color="000000"/>
              <w:bottom w:val="single" w:sz="4" w:space="0" w:color="000000"/>
              <w:right w:val="single" w:sz="4" w:space="0" w:color="000000"/>
            </w:tcBorders>
            <w:shd w:val="clear" w:color="auto" w:fill="D4D4D4"/>
          </w:tcPr>
          <w:p>
            <w:pPr/>
          </w:p>
        </w:tc>
        <w:tc>
          <w:tcPr>
            <w:tcW w:w="821"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00"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917" w:type="dxa"/>
            <w:vMerge/>
            <w:tcBorders>
              <w:left w:val="single" w:sz="4" w:space="0" w:color="000000"/>
              <w:bottom w:val="single" w:sz="4" w:space="0" w:color="000000"/>
              <w:right w:val="single" w:sz="4" w:space="0" w:color="000000"/>
            </w:tcBorders>
            <w:shd w:val="clear" w:color="auto" w:fill="D4D4D4"/>
          </w:tcPr>
          <w:p>
            <w:pPr/>
          </w:p>
        </w:tc>
        <w:tc>
          <w:tcPr>
            <w:tcW w:w="1061" w:type="dxa"/>
            <w:vMerge/>
            <w:tcBorders>
              <w:left w:val="single" w:sz="4" w:space="0" w:color="000000"/>
              <w:bottom w:val="single" w:sz="4" w:space="0" w:color="000000"/>
              <w:right w:val="single" w:sz="4" w:space="0" w:color="000000"/>
            </w:tcBorders>
            <w:shd w:val="clear" w:color="auto" w:fill="D4D4D4"/>
          </w:tcPr>
          <w:p>
            <w:pPr/>
          </w:p>
        </w:tc>
        <w:tc>
          <w:tcPr>
            <w:tcW w:w="917" w:type="dxa"/>
            <w:vMerge/>
            <w:tcBorders>
              <w:left w:val="single" w:sz="4" w:space="0" w:color="000000"/>
              <w:bottom w:val="single" w:sz="4" w:space="0" w:color="000000"/>
              <w:right w:val="single" w:sz="4" w:space="0" w:color="000000"/>
            </w:tcBorders>
            <w:shd w:val="clear" w:color="auto" w:fill="D4D4D4"/>
          </w:tcPr>
          <w:p>
            <w:pPr/>
          </w:p>
        </w:tc>
        <w:tc>
          <w:tcPr>
            <w:tcW w:w="1224" w:type="dxa"/>
            <w:vMerge/>
            <w:tcBorders>
              <w:left w:val="single" w:sz="4" w:space="0" w:color="000000"/>
              <w:bottom w:val="single" w:sz="4" w:space="0" w:color="000000"/>
              <w:right w:val="single" w:sz="4" w:space="0" w:color="000000"/>
            </w:tcBorders>
            <w:shd w:val="clear" w:color="auto" w:fill="D4D4D4"/>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2"/>
                <w:sz w:val="18"/>
              </w:rPr>
              <w:t>7,426,628.</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80</w:t>
            </w: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14,963,210.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06</w:t>
            </w: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85,219,081</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684,217.</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177,999,136.</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52</w:t>
            </w: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7"/>
                <w:sz w:val="18"/>
                <w:szCs w:val="18"/>
              </w:rPr>
              <w:t>加：会计政策变更</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 </w:t>
            </w:r>
            <w:r>
              <w:rPr>
                <w:rFonts w:ascii="宋体" w:hAnsi="宋体" w:cs="宋体" w:eastAsia="宋体" w:hint="default"/>
                <w:spacing w:val="-4"/>
                <w:sz w:val="18"/>
                <w:szCs w:val="18"/>
              </w:rPr>
              <w:t>前期差错更正</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2"/>
                <w:sz w:val="18"/>
              </w:rPr>
              <w:t>7,426,628.</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80</w:t>
            </w: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14,963,210.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06</w:t>
            </w: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85,219,081</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684,217.</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177,999,136.</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52</w:t>
            </w: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w:t>
            </w:r>
          </w:p>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pacing w:val="-14"/>
                <w:sz w:val="18"/>
                <w:szCs w:val="18"/>
              </w:rPr>
              <w:t>（减少以</w:t>
            </w:r>
            <w:r>
              <w:rPr>
                <w:rFonts w:ascii="宋体" w:hAnsi="宋体" w:cs="宋体" w:eastAsia="宋体" w:hint="default"/>
                <w:spacing w:val="-14"/>
                <w:sz w:val="18"/>
                <w:szCs w:val="18"/>
              </w:rPr>
              <w:t>“</w:t>
            </w:r>
            <w:r>
              <w:rPr>
                <w:rFonts w:ascii="宋体" w:hAnsi="宋体" w:cs="宋体" w:eastAsia="宋体" w:hint="default"/>
                <w:spacing w:val="-14"/>
                <w:sz w:val="18"/>
                <w:szCs w:val="18"/>
              </w:rPr>
              <w:t>－</w:t>
            </w:r>
            <w:r>
              <w:rPr>
                <w:rFonts w:ascii="宋体" w:hAnsi="宋体" w:cs="宋体" w:eastAsia="宋体" w:hint="default"/>
                <w:spacing w:val="-14"/>
                <w:sz w:val="18"/>
                <w:szCs w:val="18"/>
              </w:rPr>
              <w:t>”</w:t>
            </w:r>
            <w:r>
              <w:rPr>
                <w:rFonts w:ascii="宋体" w:hAnsi="宋体" w:cs="宋体" w:eastAsia="宋体" w:hint="default"/>
                <w:spacing w:val="-14"/>
                <w:sz w:val="18"/>
                <w:szCs w:val="18"/>
              </w:rPr>
              <w:t>号填列）</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23,240,000</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139,412,9</w:t>
            </w:r>
          </w:p>
          <w:p>
            <w:pPr>
              <w:pStyle w:val="TableParagraph"/>
              <w:spacing w:line="240" w:lineRule="auto" w:before="114"/>
              <w:ind w:left="465" w:right="0"/>
              <w:jc w:val="left"/>
              <w:rPr>
                <w:rFonts w:ascii="Times New Roman" w:hAnsi="Times New Roman" w:cs="Times New Roman" w:eastAsia="Times New Roman" w:hint="default"/>
                <w:sz w:val="18"/>
                <w:szCs w:val="18"/>
              </w:rPr>
            </w:pPr>
            <w:r>
              <w:rPr>
                <w:rFonts w:ascii="Times New Roman"/>
                <w:sz w:val="18"/>
              </w:rPr>
              <w:t>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4,306,410.7</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3"/>
                <w:sz w:val="18"/>
              </w:rPr>
              <w:t>34,611,897</w:t>
            </w:r>
            <w:r>
              <w:rPr>
                <w:rFonts w:ascii="Times New Roman"/>
                <w:sz w:val="18"/>
              </w:rPr>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.27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8,012,41</w:t>
            </w:r>
          </w:p>
          <w:p>
            <w:pPr>
              <w:pStyle w:val="TableParagraph"/>
              <w:spacing w:line="240" w:lineRule="auto" w:before="114"/>
              <w:ind w:left="484" w:right="0"/>
              <w:jc w:val="left"/>
              <w:rPr>
                <w:rFonts w:ascii="Times New Roman" w:hAnsi="Times New Roman" w:cs="Times New Roman" w:eastAsia="Times New Roman" w:hint="default"/>
                <w:sz w:val="18"/>
                <w:szCs w:val="18"/>
              </w:rPr>
            </w:pPr>
            <w:r>
              <w:rPr>
                <w:rFonts w:ascii="Times New Roman"/>
                <w:sz w:val="18"/>
              </w:rPr>
              <w:t>5.31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209,583,623.</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36</w:t>
            </w: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44,494,787</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.97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72,415.3</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44,567,203.2</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0" w:right="98"/>
              <w:jc w:val="left"/>
              <w:rPr>
                <w:rFonts w:ascii="宋体" w:hAnsi="宋体" w:cs="宋体" w:eastAsia="宋体" w:hint="default"/>
                <w:sz w:val="18"/>
                <w:szCs w:val="18"/>
              </w:rPr>
            </w:pPr>
            <w:r>
              <w:rPr>
                <w:rFonts w:ascii="宋体" w:hAnsi="宋体" w:cs="宋体" w:eastAsia="宋体" w:hint="default"/>
                <w:spacing w:val="-6"/>
                <w:sz w:val="18"/>
                <w:szCs w:val="18"/>
              </w:rPr>
              <w:t>（二）所有者投入和减</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少资本</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23,240,000</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139,412,9</w:t>
            </w:r>
          </w:p>
          <w:p>
            <w:pPr>
              <w:pStyle w:val="TableParagraph"/>
              <w:spacing w:line="240" w:lineRule="auto" w:before="114"/>
              <w:ind w:left="465" w:right="0"/>
              <w:jc w:val="left"/>
              <w:rPr>
                <w:rFonts w:ascii="Times New Roman" w:hAnsi="Times New Roman" w:cs="Times New Roman" w:eastAsia="Times New Roman" w:hint="default"/>
                <w:sz w:val="18"/>
                <w:szCs w:val="18"/>
              </w:rPr>
            </w:pPr>
            <w:r>
              <w:rPr>
                <w:rFonts w:ascii="Times New Roman"/>
                <w:sz w:val="18"/>
              </w:rPr>
              <w:t>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7,940,00</w:t>
            </w:r>
          </w:p>
          <w:p>
            <w:pPr>
              <w:pStyle w:val="TableParagraph"/>
              <w:spacing w:line="240" w:lineRule="auto" w:before="114"/>
              <w:ind w:left="484" w:right="0"/>
              <w:jc w:val="left"/>
              <w:rPr>
                <w:rFonts w:ascii="Times New Roman" w:hAnsi="Times New Roman" w:cs="Times New Roman" w:eastAsia="Times New Roman" w:hint="default"/>
                <w:sz w:val="18"/>
                <w:szCs w:val="18"/>
              </w:rPr>
            </w:pPr>
            <w:r>
              <w:rPr>
                <w:rFonts w:ascii="Times New Roman"/>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170,592,900.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00</w:t>
            </w: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．股东投入的普通股</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23,240,000</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139,412,9</w:t>
            </w:r>
          </w:p>
          <w:p>
            <w:pPr>
              <w:pStyle w:val="TableParagraph"/>
              <w:spacing w:line="240" w:lineRule="auto" w:before="114"/>
              <w:ind w:left="465" w:right="0"/>
              <w:jc w:val="left"/>
              <w:rPr>
                <w:rFonts w:ascii="Times New Roman" w:hAnsi="Times New Roman" w:cs="Times New Roman" w:eastAsia="Times New Roman" w:hint="default"/>
                <w:sz w:val="18"/>
                <w:szCs w:val="18"/>
              </w:rPr>
            </w:pPr>
            <w:r>
              <w:rPr>
                <w:rFonts w:ascii="Times New Roman"/>
                <w:sz w:val="18"/>
              </w:rPr>
              <w:t>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7,940,00</w:t>
            </w:r>
          </w:p>
          <w:p>
            <w:pPr>
              <w:pStyle w:val="TableParagraph"/>
              <w:spacing w:line="240" w:lineRule="auto" w:before="114"/>
              <w:ind w:left="484" w:right="0"/>
              <w:jc w:val="left"/>
              <w:rPr>
                <w:rFonts w:ascii="Times New Roman" w:hAnsi="Times New Roman" w:cs="Times New Roman" w:eastAsia="Times New Roman" w:hint="default"/>
                <w:sz w:val="18"/>
                <w:szCs w:val="18"/>
              </w:rPr>
            </w:pPr>
            <w:r>
              <w:rPr>
                <w:rFonts w:ascii="Times New Roman"/>
                <w:sz w:val="18"/>
              </w:rPr>
              <w:t>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170,592,900.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00</w:t>
            </w: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1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者投入资本</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914" w:footer="1022" w:top="1120" w:bottom="1220" w:left="1020" w:right="1300"/>
          <w:pgNumType w:start="81"/>
        </w:sectPr>
      </w:pPr>
    </w:p>
    <w:tbl>
      <w:tblPr>
        <w:tblW w:w="0" w:type="auto"/>
        <w:jc w:val="left"/>
        <w:tblInd w:w="135" w:type="dxa"/>
        <w:tblLayout w:type="fixed"/>
        <w:tblCellMar>
          <w:top w:w="0" w:type="dxa"/>
          <w:left w:w="0" w:type="dxa"/>
          <w:bottom w:w="0" w:type="dxa"/>
          <w:right w:w="0" w:type="dxa"/>
        </w:tblCellMar>
        <w:tblLook w:val="01E0"/>
      </w:tblPr>
      <w:tblGrid>
        <w:gridCol w:w="1982"/>
        <w:gridCol w:w="1046"/>
        <w:gridCol w:w="792"/>
        <w:gridCol w:w="821"/>
        <w:gridCol w:w="600"/>
        <w:gridCol w:w="979"/>
        <w:gridCol w:w="821"/>
        <w:gridCol w:w="787"/>
        <w:gridCol w:w="600"/>
        <w:gridCol w:w="1133"/>
        <w:gridCol w:w="917"/>
        <w:gridCol w:w="1061"/>
        <w:gridCol w:w="917"/>
        <w:gridCol w:w="1224"/>
      </w:tblGrid>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1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者权益的金额</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4,306,410.7</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-9,882,890.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70</w:t>
            </w: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-5,576,479.92</w:t>
            </w: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．提取盈余公积</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4,306,410.7</w:t>
            </w: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-4,306,410.</w:t>
            </w:r>
          </w:p>
          <w:p>
            <w:pPr>
              <w:pStyle w:val="TableParagraph"/>
              <w:spacing w:line="240" w:lineRule="auto" w:before="119"/>
              <w:ind w:right="95"/>
              <w:jc w:val="right"/>
              <w:rPr>
                <w:rFonts w:ascii="Times New Roman" w:hAnsi="Times New Roman" w:cs="Times New Roman" w:eastAsia="Times New Roman" w:hint="default"/>
                <w:sz w:val="18"/>
                <w:szCs w:val="18"/>
              </w:rPr>
            </w:pPr>
            <w:r>
              <w:rPr>
                <w:rFonts w:ascii="Times New Roman"/>
                <w:sz w:val="18"/>
              </w:rPr>
              <w:t>78</w:t>
            </w: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．提取一般风险准备</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的分配</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-5,576,479.</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92</w:t>
            </w: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-5,576,479.92</w:t>
            </w:r>
          </w:p>
        </w:tc>
      </w:tr>
      <w:tr>
        <w:trPr>
          <w:trHeight w:val="408"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58"/>
              <w:ind w:left="100" w:right="98"/>
              <w:jc w:val="left"/>
              <w:rPr>
                <w:rFonts w:ascii="宋体" w:hAnsi="宋体" w:cs="宋体" w:eastAsia="宋体" w:hint="default"/>
                <w:sz w:val="18"/>
                <w:szCs w:val="18"/>
              </w:rPr>
            </w:pPr>
            <w:r>
              <w:rPr>
                <w:rFonts w:ascii="宋体" w:hAnsi="宋体" w:cs="宋体" w:eastAsia="宋体" w:hint="default"/>
                <w:spacing w:val="-6"/>
                <w:sz w:val="18"/>
                <w:szCs w:val="18"/>
              </w:rPr>
              <w:t>（四）所有者权益内部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结转</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r>
              <w:rPr>
                <w:rFonts w:ascii="宋体" w:hAnsi="宋体" w:cs="宋体" w:eastAsia="宋体" w:hint="default"/>
                <w:sz w:val="18"/>
                <w:szCs w:val="18"/>
              </w:rPr>
            </w:r>
          </w:p>
          <w:p>
            <w:pPr>
              <w:pStyle w:val="TableParagraph"/>
              <w:spacing w:line="240" w:lineRule="auto" w:before="72"/>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r>
              <w:rPr>
                <w:rFonts w:ascii="宋体" w:hAnsi="宋体" w:cs="宋体" w:eastAsia="宋体" w:hint="default"/>
                <w:sz w:val="18"/>
                <w:szCs w:val="18"/>
              </w:rPr>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（六）其他</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4" w:footer="1022" w:top="1160" w:bottom="122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1982"/>
        <w:gridCol w:w="1046"/>
        <w:gridCol w:w="792"/>
        <w:gridCol w:w="821"/>
        <w:gridCol w:w="600"/>
        <w:gridCol w:w="979"/>
        <w:gridCol w:w="821"/>
        <w:gridCol w:w="787"/>
        <w:gridCol w:w="600"/>
        <w:gridCol w:w="1133"/>
        <w:gridCol w:w="917"/>
        <w:gridCol w:w="1061"/>
        <w:gridCol w:w="917"/>
        <w:gridCol w:w="1224"/>
      </w:tblGrid>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92,945,999</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146,839,5</w:t>
            </w:r>
          </w:p>
          <w:p>
            <w:pPr>
              <w:pStyle w:val="TableParagraph"/>
              <w:spacing w:line="240" w:lineRule="auto" w:before="114"/>
              <w:ind w:left="465" w:right="0"/>
              <w:jc w:val="left"/>
              <w:rPr>
                <w:rFonts w:ascii="Times New Roman" w:hAnsi="Times New Roman" w:cs="Times New Roman" w:eastAsia="Times New Roman" w:hint="default"/>
                <w:sz w:val="18"/>
                <w:szCs w:val="18"/>
              </w:rPr>
            </w:pPr>
            <w:r>
              <w:rPr>
                <w:rFonts w:ascii="Times New Roman"/>
                <w:sz w:val="18"/>
              </w:rPr>
              <w:t>28.80</w:t>
            </w:r>
          </w:p>
        </w:tc>
        <w:tc>
          <w:tcPr>
            <w:tcW w:w="821"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19,269,620.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84</w:t>
            </w:r>
          </w:p>
        </w:tc>
        <w:tc>
          <w:tcPr>
            <w:tcW w:w="9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pacing w:val="-3"/>
                <w:sz w:val="18"/>
              </w:rPr>
              <w:t>119,830,97</w:t>
            </w:r>
            <w:r>
              <w:rPr>
                <w:rFonts w:ascii="Times New Roman"/>
                <w:sz w:val="18"/>
              </w:rPr>
            </w:r>
          </w:p>
          <w:p>
            <w:pPr>
              <w:pStyle w:val="TableParagraph"/>
              <w:spacing w:line="240" w:lineRule="auto" w:before="114"/>
              <w:ind w:left="633" w:right="0"/>
              <w:jc w:val="left"/>
              <w:rPr>
                <w:rFonts w:ascii="Times New Roman" w:hAnsi="Times New Roman" w:cs="Times New Roman" w:eastAsia="Times New Roman" w:hint="default"/>
                <w:sz w:val="18"/>
                <w:szCs w:val="18"/>
              </w:rPr>
            </w:pPr>
            <w:r>
              <w:rPr>
                <w:rFonts w:ascii="Times New Roman"/>
                <w:sz w:val="18"/>
              </w:rPr>
              <w:t>8.30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8,696,63</w:t>
            </w:r>
          </w:p>
          <w:p>
            <w:pPr>
              <w:pStyle w:val="TableParagraph"/>
              <w:spacing w:line="240" w:lineRule="auto" w:before="114"/>
              <w:ind w:left="484" w:right="0"/>
              <w:jc w:val="left"/>
              <w:rPr>
                <w:rFonts w:ascii="Times New Roman" w:hAnsi="Times New Roman" w:cs="Times New Roman" w:eastAsia="Times New Roman" w:hint="default"/>
                <w:sz w:val="18"/>
                <w:szCs w:val="18"/>
              </w:rPr>
            </w:pPr>
            <w:r>
              <w:rPr>
                <w:rFonts w:ascii="Times New Roman"/>
                <w:sz w:val="18"/>
              </w:rPr>
              <w:t>2.94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387,582,759.</w:t>
            </w:r>
          </w:p>
          <w:p>
            <w:pPr>
              <w:pStyle w:val="TableParagraph"/>
              <w:spacing w:line="240" w:lineRule="auto" w:before="114"/>
              <w:ind w:right="93"/>
              <w:jc w:val="right"/>
              <w:rPr>
                <w:rFonts w:ascii="Times New Roman" w:hAnsi="Times New Roman" w:cs="Times New Roman" w:eastAsia="Times New Roman" w:hint="default"/>
                <w:sz w:val="18"/>
                <w:szCs w:val="18"/>
              </w:rPr>
            </w:pPr>
            <w:r>
              <w:rPr>
                <w:rFonts w:ascii="Times New Roman"/>
                <w:sz w:val="18"/>
              </w:rPr>
              <w:t>88</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pStyle w:val="BodyText"/>
        <w:spacing w:line="240" w:lineRule="auto"/>
        <w:ind w:left="140" w:right="0"/>
        <w:jc w:val="left"/>
      </w:pPr>
      <w:r>
        <w:rPr/>
        <w:t>上期金额</w:t>
      </w:r>
    </w:p>
    <w:p>
      <w:pPr>
        <w:pStyle w:val="BodyText"/>
        <w:spacing w:line="240" w:lineRule="auto" w:before="124"/>
        <w:ind w:left="0" w:right="133"/>
        <w:jc w:val="right"/>
      </w:pPr>
      <w:r>
        <w:rPr>
          <w:spacing w:val="-2"/>
        </w:rPr>
        <w:t>单位：元</w:t>
      </w:r>
    </w:p>
    <w:p>
      <w:pPr>
        <w:spacing w:line="240" w:lineRule="auto" w:before="9"/>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982"/>
        <w:gridCol w:w="1118"/>
        <w:gridCol w:w="696"/>
        <w:gridCol w:w="778"/>
        <w:gridCol w:w="538"/>
        <w:gridCol w:w="946"/>
        <w:gridCol w:w="946"/>
        <w:gridCol w:w="883"/>
        <w:gridCol w:w="653"/>
        <w:gridCol w:w="1104"/>
        <w:gridCol w:w="763"/>
        <w:gridCol w:w="1037"/>
        <w:gridCol w:w="1013"/>
        <w:gridCol w:w="1166"/>
      </w:tblGrid>
      <w:tr>
        <w:trPr>
          <w:trHeight w:val="439" w:hRule="exact"/>
        </w:trPr>
        <w:tc>
          <w:tcPr>
            <w:tcW w:w="198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640"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39" w:hRule="exact"/>
        </w:trPr>
        <w:tc>
          <w:tcPr>
            <w:tcW w:w="1982" w:type="dxa"/>
            <w:vMerge/>
            <w:tcBorders>
              <w:left w:val="single" w:sz="4" w:space="0" w:color="000000"/>
              <w:right w:val="single" w:sz="4" w:space="0" w:color="000000"/>
            </w:tcBorders>
            <w:shd w:val="clear" w:color="auto" w:fill="D4D4D4"/>
          </w:tcPr>
          <w:p>
            <w:pPr/>
          </w:p>
        </w:tc>
        <w:tc>
          <w:tcPr>
            <w:tcW w:w="946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z w:val="18"/>
                <w:szCs w:val="18"/>
              </w:rPr>
            </w:r>
          </w:p>
        </w:tc>
        <w:tc>
          <w:tcPr>
            <w:tcW w:w="10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28" w:lineRule="auto"/>
              <w:ind w:left="321" w:right="137" w:hanging="183"/>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28" w:lineRule="auto"/>
              <w:ind w:left="393" w:right="132" w:hanging="269"/>
              <w:jc w:val="left"/>
              <w:rPr>
                <w:rFonts w:ascii="宋体" w:hAnsi="宋体" w:cs="宋体" w:eastAsia="宋体" w:hint="default"/>
                <w:sz w:val="18"/>
                <w:szCs w:val="18"/>
              </w:rPr>
            </w:pPr>
            <w:r>
              <w:rPr>
                <w:rFonts w:ascii="宋体" w:hAnsi="宋体" w:cs="宋体" w:eastAsia="宋体" w:hint="default"/>
                <w:spacing w:val="-3"/>
                <w:sz w:val="18"/>
                <w:szCs w:val="18"/>
              </w:rPr>
              <w:t>所有者权益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合计</w:t>
            </w:r>
          </w:p>
        </w:tc>
      </w:tr>
      <w:tr>
        <w:trPr>
          <w:trHeight w:val="446" w:hRule="exact"/>
        </w:trPr>
        <w:tc>
          <w:tcPr>
            <w:tcW w:w="1982" w:type="dxa"/>
            <w:vMerge/>
            <w:tcBorders>
              <w:left w:val="single" w:sz="4" w:space="0" w:color="000000"/>
              <w:right w:val="single" w:sz="4" w:space="0" w:color="000000"/>
            </w:tcBorders>
            <w:shd w:val="clear" w:color="auto" w:fill="D4D4D4"/>
          </w:tcPr>
          <w:p>
            <w:pPr/>
          </w:p>
        </w:tc>
        <w:tc>
          <w:tcPr>
            <w:tcW w:w="11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01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7"/>
              <w:ind w:left="4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4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4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22"/>
                <w:szCs w:val="22"/>
              </w:rPr>
            </w:pPr>
          </w:p>
          <w:p>
            <w:pPr>
              <w:pStyle w:val="TableParagraph"/>
              <w:spacing w:line="328" w:lineRule="auto"/>
              <w:ind w:left="374" w:right="103" w:hanging="269"/>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22"/>
                <w:szCs w:val="22"/>
              </w:rPr>
            </w:pPr>
          </w:p>
          <w:p>
            <w:pPr>
              <w:pStyle w:val="TableParagraph"/>
              <w:spacing w:line="328" w:lineRule="auto"/>
              <w:ind w:left="167" w:right="165"/>
              <w:jc w:val="left"/>
              <w:rPr>
                <w:rFonts w:ascii="宋体" w:hAnsi="宋体" w:cs="宋体" w:eastAsia="宋体" w:hint="default"/>
                <w:sz w:val="18"/>
                <w:szCs w:val="18"/>
              </w:rPr>
            </w:pPr>
            <w:r>
              <w:rPr>
                <w:rFonts w:ascii="宋体" w:hAnsi="宋体" w:cs="宋体" w:eastAsia="宋体" w:hint="default"/>
                <w:spacing w:val="-4"/>
                <w:sz w:val="18"/>
                <w:szCs w:val="18"/>
              </w:rPr>
              <w:t>其他综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合收益</w:t>
            </w:r>
            <w:r>
              <w:rPr>
                <w:rFonts w:ascii="宋体" w:hAnsi="宋体" w:cs="宋体" w:eastAsia="宋体" w:hint="default"/>
                <w:sz w:val="18"/>
                <w:szCs w:val="18"/>
              </w:rPr>
            </w:r>
          </w:p>
        </w:tc>
        <w:tc>
          <w:tcPr>
            <w:tcW w:w="6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22"/>
                <w:szCs w:val="22"/>
              </w:rPr>
            </w:pPr>
          </w:p>
          <w:p>
            <w:pPr>
              <w:pStyle w:val="TableParagraph"/>
              <w:spacing w:line="328" w:lineRule="auto"/>
              <w:ind w:left="139" w:right="137"/>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110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22"/>
                <w:szCs w:val="22"/>
              </w:rPr>
            </w:pPr>
          </w:p>
          <w:p>
            <w:pPr>
              <w:pStyle w:val="TableParagraph"/>
              <w:spacing w:line="328" w:lineRule="auto"/>
              <w:ind w:left="110" w:right="103"/>
              <w:jc w:val="left"/>
              <w:rPr>
                <w:rFonts w:ascii="宋体" w:hAnsi="宋体" w:cs="宋体" w:eastAsia="宋体" w:hint="default"/>
                <w:sz w:val="18"/>
                <w:szCs w:val="18"/>
              </w:rPr>
            </w:pPr>
            <w:r>
              <w:rPr>
                <w:rFonts w:ascii="宋体" w:hAnsi="宋体" w:cs="宋体" w:eastAsia="宋体" w:hint="default"/>
                <w:spacing w:val="-4"/>
                <w:sz w:val="18"/>
                <w:szCs w:val="18"/>
              </w:rPr>
              <w:t>一般风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险准备</w:t>
            </w:r>
            <w:r>
              <w:rPr>
                <w:rFonts w:ascii="宋体" w:hAnsi="宋体" w:cs="宋体" w:eastAsia="宋体" w:hint="default"/>
                <w:sz w:val="18"/>
                <w:szCs w:val="18"/>
              </w:rPr>
            </w:r>
          </w:p>
        </w:tc>
        <w:tc>
          <w:tcPr>
            <w:tcW w:w="10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22"/>
                <w:szCs w:val="22"/>
              </w:rPr>
            </w:pPr>
          </w:p>
          <w:p>
            <w:pPr>
              <w:pStyle w:val="TableParagraph"/>
              <w:spacing w:line="328" w:lineRule="auto"/>
              <w:ind w:left="427" w:right="146"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1013" w:type="dxa"/>
            <w:vMerge/>
            <w:tcBorders>
              <w:left w:val="single" w:sz="4" w:space="0" w:color="000000"/>
              <w:right w:val="single" w:sz="4" w:space="0" w:color="000000"/>
            </w:tcBorders>
            <w:shd w:val="clear" w:color="auto" w:fill="D4D4D4"/>
          </w:tcPr>
          <w:p>
            <w:pPr/>
          </w:p>
        </w:tc>
        <w:tc>
          <w:tcPr>
            <w:tcW w:w="1166" w:type="dxa"/>
            <w:vMerge/>
            <w:tcBorders>
              <w:left w:val="single" w:sz="4" w:space="0" w:color="000000"/>
              <w:right w:val="single" w:sz="4" w:space="0" w:color="000000"/>
            </w:tcBorders>
            <w:shd w:val="clear" w:color="auto" w:fill="D4D4D4"/>
          </w:tcPr>
          <w:p>
            <w:pPr/>
          </w:p>
        </w:tc>
      </w:tr>
      <w:tr>
        <w:trPr>
          <w:trHeight w:val="744" w:hRule="exact"/>
        </w:trPr>
        <w:tc>
          <w:tcPr>
            <w:tcW w:w="1982" w:type="dxa"/>
            <w:vMerge/>
            <w:tcBorders>
              <w:left w:val="single" w:sz="4" w:space="0" w:color="000000"/>
              <w:bottom w:val="single" w:sz="4" w:space="0" w:color="000000"/>
              <w:right w:val="single" w:sz="4" w:space="0" w:color="000000"/>
            </w:tcBorders>
            <w:shd w:val="clear" w:color="auto" w:fill="D4D4D4"/>
          </w:tcPr>
          <w:p>
            <w:pPr/>
          </w:p>
        </w:tc>
        <w:tc>
          <w:tcPr>
            <w:tcW w:w="1118" w:type="dxa"/>
            <w:vMerge/>
            <w:tcBorders>
              <w:left w:val="single" w:sz="4" w:space="0" w:color="000000"/>
              <w:bottom w:val="single" w:sz="4" w:space="0" w:color="000000"/>
              <w:right w:val="single" w:sz="4" w:space="0" w:color="000000"/>
            </w:tcBorders>
            <w:shd w:val="clear" w:color="auto" w:fill="D4D4D4"/>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68"/>
              <w:ind w:left="249" w:right="16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68"/>
              <w:ind w:left="172" w:right="17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946" w:type="dxa"/>
            <w:vMerge/>
            <w:tcBorders>
              <w:left w:val="single" w:sz="4" w:space="0" w:color="000000"/>
              <w:bottom w:val="single" w:sz="4" w:space="0" w:color="000000"/>
              <w:right w:val="single" w:sz="4" w:space="0" w:color="000000"/>
            </w:tcBorders>
            <w:shd w:val="clear" w:color="auto" w:fill="D4D4D4"/>
          </w:tcPr>
          <w:p>
            <w:pPr/>
          </w:p>
        </w:tc>
        <w:tc>
          <w:tcPr>
            <w:tcW w:w="946" w:type="dxa"/>
            <w:vMerge/>
            <w:tcBorders>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1104" w:type="dxa"/>
            <w:vMerge/>
            <w:tcBorders>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1037" w:type="dxa"/>
            <w:vMerge/>
            <w:tcBorders>
              <w:left w:val="single" w:sz="4" w:space="0" w:color="000000"/>
              <w:bottom w:val="single" w:sz="4" w:space="0" w:color="000000"/>
              <w:right w:val="single" w:sz="4" w:space="0" w:color="000000"/>
            </w:tcBorders>
            <w:shd w:val="clear" w:color="auto" w:fill="D4D4D4"/>
          </w:tcPr>
          <w:p>
            <w:pPr/>
          </w:p>
        </w:tc>
        <w:tc>
          <w:tcPr>
            <w:tcW w:w="1013" w:type="dxa"/>
            <w:vMerge/>
            <w:tcBorders>
              <w:left w:val="single" w:sz="4" w:space="0" w:color="000000"/>
              <w:bottom w:val="single" w:sz="4" w:space="0" w:color="000000"/>
              <w:right w:val="single" w:sz="4" w:space="0" w:color="000000"/>
            </w:tcBorders>
            <w:shd w:val="clear" w:color="auto" w:fill="D4D4D4"/>
          </w:tcPr>
          <w:p>
            <w:pPr/>
          </w:p>
        </w:tc>
        <w:tc>
          <w:tcPr>
            <w:tcW w:w="1166" w:type="dxa"/>
            <w:vMerge/>
            <w:tcBorders>
              <w:left w:val="single" w:sz="4" w:space="0" w:color="000000"/>
              <w:bottom w:val="single" w:sz="4" w:space="0" w:color="000000"/>
              <w:right w:val="single" w:sz="4" w:space="0" w:color="000000"/>
            </w:tcBorders>
            <w:shd w:val="clear" w:color="auto" w:fill="D4D4D4"/>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7,426,628</w:t>
            </w:r>
          </w:p>
          <w:p>
            <w:pPr>
              <w:pStyle w:val="TableParagraph"/>
              <w:spacing w:line="240" w:lineRule="auto" w:before="114"/>
              <w:ind w:left="609" w:right="0"/>
              <w:jc w:val="left"/>
              <w:rPr>
                <w:rFonts w:ascii="Times New Roman" w:hAnsi="Times New Roman" w:cs="Times New Roman" w:eastAsia="Times New Roman" w:hint="default"/>
                <w:sz w:val="18"/>
                <w:szCs w:val="18"/>
              </w:rPr>
            </w:pPr>
            <w:r>
              <w:rPr>
                <w:rFonts w:ascii="Times New Roman"/>
                <w:sz w:val="18"/>
              </w:rPr>
              <w:t>.80</w:t>
            </w: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2"/>
                <w:sz w:val="18"/>
              </w:rPr>
              <w:t>11,290,478.</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53</w:t>
            </w: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59,765,716</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.71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2"/>
                <w:sz w:val="18"/>
              </w:rPr>
              <w:t>1,076,418.</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27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149,265,241.</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31</w:t>
            </w:r>
          </w:p>
        </w:tc>
      </w:tr>
      <w:tr>
        <w:trPr>
          <w:trHeight w:val="451"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7"/>
                <w:sz w:val="18"/>
                <w:szCs w:val="18"/>
              </w:rPr>
              <w:t>加：会计政策变更</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4"/>
                <w:sz w:val="18"/>
                <w:szCs w:val="18"/>
              </w:rPr>
              <w:t>前期差错更正</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7,426,628</w:t>
            </w:r>
          </w:p>
          <w:p>
            <w:pPr>
              <w:pStyle w:val="TableParagraph"/>
              <w:spacing w:line="240" w:lineRule="auto" w:before="114"/>
              <w:ind w:left="609" w:right="0"/>
              <w:jc w:val="left"/>
              <w:rPr>
                <w:rFonts w:ascii="Times New Roman" w:hAnsi="Times New Roman" w:cs="Times New Roman" w:eastAsia="Times New Roman" w:hint="default"/>
                <w:sz w:val="18"/>
                <w:szCs w:val="18"/>
              </w:rPr>
            </w:pPr>
            <w:r>
              <w:rPr>
                <w:rFonts w:ascii="Times New Roman"/>
                <w:sz w:val="18"/>
              </w:rPr>
              <w:t>.80</w:t>
            </w: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pacing w:val="-2"/>
                <w:sz w:val="18"/>
              </w:rPr>
              <w:t>11,290,478.</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53</w:t>
            </w: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59,765,716</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.71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2"/>
                <w:sz w:val="18"/>
              </w:rPr>
              <w:t>1,076,418.</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27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149,265,241.</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31</w:t>
            </w: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w:t>
            </w:r>
          </w:p>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pacing w:val="-14"/>
                <w:sz w:val="18"/>
                <w:szCs w:val="18"/>
              </w:rPr>
              <w:t>（减少以</w:t>
            </w:r>
            <w:r>
              <w:rPr>
                <w:rFonts w:ascii="宋体" w:hAnsi="宋体" w:cs="宋体" w:eastAsia="宋体" w:hint="default"/>
                <w:spacing w:val="-14"/>
                <w:sz w:val="18"/>
                <w:szCs w:val="18"/>
              </w:rPr>
              <w:t>“</w:t>
            </w:r>
            <w:r>
              <w:rPr>
                <w:rFonts w:ascii="宋体" w:hAnsi="宋体" w:cs="宋体" w:eastAsia="宋体" w:hint="default"/>
                <w:spacing w:val="-14"/>
                <w:sz w:val="18"/>
                <w:szCs w:val="18"/>
              </w:rPr>
              <w:t>－</w:t>
            </w:r>
            <w:r>
              <w:rPr>
                <w:rFonts w:ascii="宋体" w:hAnsi="宋体" w:cs="宋体" w:eastAsia="宋体" w:hint="default"/>
                <w:spacing w:val="-14"/>
                <w:sz w:val="18"/>
                <w:szCs w:val="18"/>
              </w:rPr>
              <w:t>”</w:t>
            </w:r>
            <w:r>
              <w:rPr>
                <w:rFonts w:ascii="宋体" w:hAnsi="宋体" w:cs="宋体" w:eastAsia="宋体" w:hint="default"/>
                <w:spacing w:val="-14"/>
                <w:sz w:val="18"/>
                <w:szCs w:val="18"/>
              </w:rPr>
              <w:t>号填列）</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3,672,731.5</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25,453,364</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.32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-392,200.6</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28,733,895.2</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37,490,815</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.73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408,406.3</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37,899,222.0</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0" w:right="98"/>
              <w:jc w:val="left"/>
              <w:rPr>
                <w:rFonts w:ascii="宋体" w:hAnsi="宋体" w:cs="宋体" w:eastAsia="宋体" w:hint="default"/>
                <w:sz w:val="18"/>
                <w:szCs w:val="18"/>
              </w:rPr>
            </w:pPr>
            <w:r>
              <w:rPr>
                <w:rFonts w:ascii="宋体" w:hAnsi="宋体" w:cs="宋体" w:eastAsia="宋体" w:hint="default"/>
                <w:spacing w:val="-6"/>
                <w:sz w:val="18"/>
                <w:szCs w:val="18"/>
              </w:rPr>
              <w:t>（二）所有者投入和减</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少资本</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4" w:footer="1022" w:top="1120" w:bottom="1220" w:left="1300" w:right="1300"/>
        </w:sectPr>
      </w:pPr>
    </w:p>
    <w:tbl>
      <w:tblPr>
        <w:tblW w:w="0" w:type="auto"/>
        <w:jc w:val="left"/>
        <w:tblInd w:w="135" w:type="dxa"/>
        <w:tblLayout w:type="fixed"/>
        <w:tblCellMar>
          <w:top w:w="0" w:type="dxa"/>
          <w:left w:w="0" w:type="dxa"/>
          <w:bottom w:w="0" w:type="dxa"/>
          <w:right w:w="0" w:type="dxa"/>
        </w:tblCellMar>
        <w:tblLook w:val="01E0"/>
      </w:tblPr>
      <w:tblGrid>
        <w:gridCol w:w="1982"/>
        <w:gridCol w:w="1118"/>
        <w:gridCol w:w="696"/>
        <w:gridCol w:w="778"/>
        <w:gridCol w:w="538"/>
        <w:gridCol w:w="946"/>
        <w:gridCol w:w="946"/>
        <w:gridCol w:w="883"/>
        <w:gridCol w:w="653"/>
        <w:gridCol w:w="1104"/>
        <w:gridCol w:w="763"/>
        <w:gridCol w:w="1037"/>
        <w:gridCol w:w="1013"/>
        <w:gridCol w:w="1166"/>
      </w:tblGrid>
      <w:tr>
        <w:trPr>
          <w:trHeight w:val="49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．股东投入的普通股</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63"/>
              <w:ind w:left="100" w:right="1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者投入资本</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1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者权益的金额</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3,672,731.5</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-12,037,45</w:t>
            </w:r>
          </w:p>
          <w:p>
            <w:pPr>
              <w:pStyle w:val="TableParagraph"/>
              <w:spacing w:line="240" w:lineRule="auto" w:before="114"/>
              <w:ind w:left="609" w:right="0"/>
              <w:jc w:val="left"/>
              <w:rPr>
                <w:rFonts w:ascii="Times New Roman" w:hAnsi="Times New Roman" w:cs="Times New Roman" w:eastAsia="Times New Roman" w:hint="default"/>
                <w:sz w:val="18"/>
                <w:szCs w:val="18"/>
              </w:rPr>
            </w:pPr>
            <w:r>
              <w:rPr>
                <w:rFonts w:ascii="Times New Roman"/>
                <w:sz w:val="18"/>
              </w:rPr>
              <w:t>1.41</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-8,364,719.8</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．提取盈余公积</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3,672,731.5</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-3,672,731</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.53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．提取一般风险准备</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的分配</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-8,364,719</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.88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-8,364,719.8</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46"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7"/>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58"/>
              <w:ind w:left="100" w:right="98"/>
              <w:jc w:val="left"/>
              <w:rPr>
                <w:rFonts w:ascii="宋体" w:hAnsi="宋体" w:cs="宋体" w:eastAsia="宋体" w:hint="default"/>
                <w:sz w:val="18"/>
                <w:szCs w:val="18"/>
              </w:rPr>
            </w:pPr>
            <w:r>
              <w:rPr>
                <w:rFonts w:ascii="宋体" w:hAnsi="宋体" w:cs="宋体" w:eastAsia="宋体" w:hint="default"/>
                <w:spacing w:val="-6"/>
                <w:sz w:val="18"/>
                <w:szCs w:val="18"/>
              </w:rPr>
              <w:t>（四）所有者权益内部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结转</w:t>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r>
              <w:rPr>
                <w:rFonts w:ascii="宋体" w:hAnsi="宋体" w:cs="宋体" w:eastAsia="宋体" w:hint="default"/>
                <w:sz w:val="18"/>
                <w:szCs w:val="18"/>
              </w:rPr>
            </w:r>
          </w:p>
          <w:p>
            <w:pPr>
              <w:pStyle w:val="TableParagraph"/>
              <w:spacing w:line="240" w:lineRule="auto" w:before="72"/>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r>
              <w:rPr>
                <w:rFonts w:ascii="宋体" w:hAnsi="宋体" w:cs="宋体" w:eastAsia="宋体" w:hint="default"/>
                <w:sz w:val="18"/>
                <w:szCs w:val="18"/>
              </w:rPr>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7"/>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4" w:footer="1022" w:top="1160" w:bottom="1220" w:left="1300" w:right="1300"/>
        </w:sectPr>
      </w:pPr>
    </w:p>
    <w:p>
      <w:pPr>
        <w:spacing w:line="240" w:lineRule="auto" w:before="12"/>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1982"/>
        <w:gridCol w:w="1118"/>
        <w:gridCol w:w="696"/>
        <w:gridCol w:w="778"/>
        <w:gridCol w:w="538"/>
        <w:gridCol w:w="946"/>
        <w:gridCol w:w="946"/>
        <w:gridCol w:w="883"/>
        <w:gridCol w:w="653"/>
        <w:gridCol w:w="1104"/>
        <w:gridCol w:w="763"/>
        <w:gridCol w:w="1037"/>
        <w:gridCol w:w="1013"/>
        <w:gridCol w:w="1166"/>
      </w:tblGrid>
      <w:tr>
        <w:trPr>
          <w:trHeight w:val="422"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（六）其他</w:t>
            </w:r>
            <w:r>
              <w:rPr>
                <w:rFonts w:ascii="宋体" w:hAnsi="宋体" w:cs="宋体" w:eastAsia="宋体" w:hint="default"/>
                <w:sz w:val="18"/>
                <w:szCs w:val="18"/>
              </w:rPr>
            </w:r>
          </w:p>
        </w:tc>
        <w:tc>
          <w:tcPr>
            <w:tcW w:w="11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-800,606.9</w:t>
            </w: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-800,606.94</w:t>
            </w:r>
          </w:p>
        </w:tc>
      </w:tr>
      <w:tr>
        <w:trPr>
          <w:trHeight w:val="730" w:hRule="exact"/>
        </w:trPr>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69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7,426,628</w:t>
            </w:r>
          </w:p>
          <w:p>
            <w:pPr>
              <w:pStyle w:val="TableParagraph"/>
              <w:spacing w:line="240" w:lineRule="auto" w:before="114"/>
              <w:ind w:left="609" w:right="0"/>
              <w:jc w:val="left"/>
              <w:rPr>
                <w:rFonts w:ascii="Times New Roman" w:hAnsi="Times New Roman" w:cs="Times New Roman" w:eastAsia="Times New Roman" w:hint="default"/>
                <w:sz w:val="18"/>
                <w:szCs w:val="18"/>
              </w:rPr>
            </w:pPr>
            <w:r>
              <w:rPr>
                <w:rFonts w:ascii="Times New Roman"/>
                <w:sz w:val="18"/>
              </w:rPr>
              <w:t>.80</w:t>
            </w:r>
          </w:p>
        </w:tc>
        <w:tc>
          <w:tcPr>
            <w:tcW w:w="94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14,963,210.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06</w:t>
            </w:r>
          </w:p>
        </w:tc>
        <w:tc>
          <w:tcPr>
            <w:tcW w:w="76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85,219,081</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684,217.6</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177,999,136.</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52</w:t>
            </w:r>
          </w:p>
        </w:tc>
      </w:tr>
    </w:tbl>
    <w:p>
      <w:pPr>
        <w:spacing w:line="240" w:lineRule="auto" w:before="7"/>
        <w:rPr>
          <w:rFonts w:ascii="宋体" w:hAnsi="宋体" w:cs="宋体" w:eastAsia="宋体" w:hint="default"/>
          <w:sz w:val="19"/>
          <w:szCs w:val="19"/>
        </w:rPr>
      </w:pPr>
    </w:p>
    <w:p>
      <w:pPr>
        <w:pStyle w:val="Heading4"/>
        <w:spacing w:line="240" w:lineRule="auto" w:before="36"/>
        <w:ind w:left="140"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140" w:right="0"/>
        <w:jc w:val="left"/>
      </w:pPr>
      <w:r>
        <w:rPr/>
        <w:t>本期金额</w:t>
      </w:r>
    </w:p>
    <w:p>
      <w:pPr>
        <w:pStyle w:val="BodyText"/>
        <w:spacing w:line="240" w:lineRule="auto" w:before="129"/>
        <w:ind w:left="0" w:right="133"/>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098"/>
        <w:gridCol w:w="1003"/>
        <w:gridCol w:w="970"/>
        <w:gridCol w:w="965"/>
        <w:gridCol w:w="970"/>
        <w:gridCol w:w="1157"/>
        <w:gridCol w:w="1162"/>
        <w:gridCol w:w="1157"/>
        <w:gridCol w:w="1162"/>
        <w:gridCol w:w="1162"/>
        <w:gridCol w:w="979"/>
        <w:gridCol w:w="1138"/>
      </w:tblGrid>
      <w:tr>
        <w:trPr>
          <w:trHeight w:val="410" w:hRule="exact"/>
        </w:trPr>
        <w:tc>
          <w:tcPr>
            <w:tcW w:w="20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82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10" w:hRule="exact"/>
        </w:trPr>
        <w:tc>
          <w:tcPr>
            <w:tcW w:w="20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90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0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5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pacing w:val="-3"/>
                <w:sz w:val="18"/>
                <w:szCs w:val="18"/>
              </w:rPr>
              <w:t>减：库存股</w:t>
            </w:r>
            <w:r>
              <w:rPr>
                <w:rFonts w:ascii="宋体" w:hAnsi="宋体" w:cs="宋体" w:eastAsia="宋体" w:hint="default"/>
                <w:sz w:val="18"/>
                <w:szCs w:val="18"/>
              </w:rPr>
            </w:r>
          </w:p>
        </w:tc>
        <w:tc>
          <w:tcPr>
            <w:tcW w:w="1157"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04"/>
              <w:ind w:left="479" w:right="127" w:hanging="360"/>
              <w:jc w:val="left"/>
              <w:rPr>
                <w:rFonts w:ascii="宋体" w:hAnsi="宋体" w:cs="宋体" w:eastAsia="宋体" w:hint="default"/>
                <w:sz w:val="18"/>
                <w:szCs w:val="18"/>
              </w:rPr>
            </w:pPr>
            <w:r>
              <w:rPr>
                <w:rFonts w:ascii="宋体" w:hAnsi="宋体" w:cs="宋体" w:eastAsia="宋体" w:hint="default"/>
                <w:spacing w:val="-3"/>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1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79"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04"/>
              <w:ind w:left="393" w:right="117"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1138"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04"/>
              <w:ind w:left="383" w:right="113" w:hanging="269"/>
              <w:jc w:val="left"/>
              <w:rPr>
                <w:rFonts w:ascii="宋体" w:hAnsi="宋体" w:cs="宋体" w:eastAsia="宋体" w:hint="default"/>
                <w:sz w:val="18"/>
                <w:szCs w:val="18"/>
              </w:rPr>
            </w:pPr>
            <w:r>
              <w:rPr>
                <w:rFonts w:ascii="宋体" w:hAnsi="宋体" w:cs="宋体" w:eastAsia="宋体" w:hint="default"/>
                <w:spacing w:val="-3"/>
                <w:sz w:val="18"/>
                <w:szCs w:val="18"/>
              </w:rPr>
              <w:t>所有者权益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合计</w:t>
            </w:r>
          </w:p>
        </w:tc>
      </w:tr>
      <w:tr>
        <w:trPr>
          <w:trHeight w:val="413" w:hRule="exact"/>
        </w:trPr>
        <w:tc>
          <w:tcPr>
            <w:tcW w:w="2098" w:type="dxa"/>
            <w:vMerge/>
            <w:tcBorders>
              <w:left w:val="single" w:sz="4" w:space="0" w:color="000000"/>
              <w:bottom w:val="single" w:sz="4" w:space="0" w:color="000000"/>
              <w:right w:val="single" w:sz="4" w:space="0" w:color="000000"/>
            </w:tcBorders>
            <w:shd w:val="clear" w:color="auto" w:fill="D4D4D4"/>
          </w:tcPr>
          <w:p>
            <w:pPr/>
          </w:p>
        </w:tc>
        <w:tc>
          <w:tcPr>
            <w:tcW w:w="1003" w:type="dxa"/>
            <w:vMerge/>
            <w:tcBorders>
              <w:left w:val="single" w:sz="4" w:space="0" w:color="000000"/>
              <w:bottom w:val="single" w:sz="4" w:space="0" w:color="000000"/>
              <w:right w:val="single" w:sz="4" w:space="0" w:color="000000"/>
            </w:tcBorders>
            <w:shd w:val="clear" w:color="auto" w:fill="D4D4D4"/>
          </w:tcPr>
          <w:p>
            <w:pPr/>
          </w:p>
        </w:tc>
        <w:tc>
          <w:tcPr>
            <w:tcW w:w="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pacing w:val="-4"/>
                <w:sz w:val="18"/>
                <w:szCs w:val="18"/>
              </w:rPr>
              <w:t>优先股</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7" w:type="dxa"/>
            <w:vMerge/>
            <w:tcBorders>
              <w:left w:val="single" w:sz="4" w:space="0" w:color="000000"/>
              <w:bottom w:val="single" w:sz="4" w:space="0" w:color="000000"/>
              <w:right w:val="single" w:sz="4" w:space="0" w:color="000000"/>
            </w:tcBorders>
            <w:shd w:val="clear" w:color="auto" w:fill="D4D4D4"/>
          </w:tcPr>
          <w:p>
            <w:pPr/>
          </w:p>
        </w:tc>
        <w:tc>
          <w:tcPr>
            <w:tcW w:w="1162" w:type="dxa"/>
            <w:vMerge/>
            <w:tcBorders>
              <w:left w:val="single" w:sz="4" w:space="0" w:color="000000"/>
              <w:bottom w:val="single" w:sz="4" w:space="0" w:color="000000"/>
              <w:right w:val="single" w:sz="4" w:space="0" w:color="000000"/>
            </w:tcBorders>
            <w:shd w:val="clear" w:color="auto" w:fill="D4D4D4"/>
          </w:tcPr>
          <w:p>
            <w:pPr/>
          </w:p>
        </w:tc>
        <w:tc>
          <w:tcPr>
            <w:tcW w:w="1157" w:type="dxa"/>
            <w:vMerge/>
            <w:tcBorders>
              <w:left w:val="single" w:sz="4" w:space="0" w:color="000000"/>
              <w:bottom w:val="single" w:sz="4" w:space="0" w:color="000000"/>
              <w:right w:val="single" w:sz="4" w:space="0" w:color="000000"/>
            </w:tcBorders>
            <w:shd w:val="clear" w:color="auto" w:fill="D4D4D4"/>
          </w:tcPr>
          <w:p>
            <w:pPr/>
          </w:p>
        </w:tc>
        <w:tc>
          <w:tcPr>
            <w:tcW w:w="1162" w:type="dxa"/>
            <w:vMerge/>
            <w:tcBorders>
              <w:left w:val="single" w:sz="4" w:space="0" w:color="000000"/>
              <w:bottom w:val="single" w:sz="4" w:space="0" w:color="000000"/>
              <w:right w:val="single" w:sz="4" w:space="0" w:color="000000"/>
            </w:tcBorders>
            <w:shd w:val="clear" w:color="auto" w:fill="D4D4D4"/>
          </w:tcPr>
          <w:p>
            <w:pPr/>
          </w:p>
        </w:tc>
        <w:tc>
          <w:tcPr>
            <w:tcW w:w="1162" w:type="dxa"/>
            <w:vMerge/>
            <w:tcBorders>
              <w:left w:val="single" w:sz="4" w:space="0" w:color="000000"/>
              <w:bottom w:val="single" w:sz="4" w:space="0" w:color="000000"/>
              <w:right w:val="single" w:sz="4" w:space="0" w:color="000000"/>
            </w:tcBorders>
            <w:shd w:val="clear" w:color="auto" w:fill="D4D4D4"/>
          </w:tcPr>
          <w:p>
            <w:pPr/>
          </w:p>
        </w:tc>
        <w:tc>
          <w:tcPr>
            <w:tcW w:w="979" w:type="dxa"/>
            <w:vMerge/>
            <w:tcBorders>
              <w:left w:val="single" w:sz="4" w:space="0" w:color="000000"/>
              <w:bottom w:val="single" w:sz="4" w:space="0" w:color="000000"/>
              <w:right w:val="single" w:sz="4" w:space="0" w:color="000000"/>
            </w:tcBorders>
            <w:shd w:val="clear" w:color="auto" w:fill="D4D4D4"/>
          </w:tcPr>
          <w:p>
            <w:pPr/>
          </w:p>
        </w:tc>
        <w:tc>
          <w:tcPr>
            <w:tcW w:w="1138" w:type="dxa"/>
            <w:vMerge/>
            <w:tcBorders>
              <w:left w:val="single" w:sz="4" w:space="0" w:color="000000"/>
              <w:bottom w:val="single" w:sz="4" w:space="0" w:color="000000"/>
              <w:right w:val="single" w:sz="4" w:space="0" w:color="000000"/>
            </w:tcBorders>
            <w:shd w:val="clear" w:color="auto" w:fill="D4D4D4"/>
          </w:tcPr>
          <w:p>
            <w:pPr/>
          </w:p>
        </w:tc>
      </w:tr>
      <w:tr>
        <w:trPr>
          <w:trHeight w:val="730"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69,705,99</w:t>
            </w:r>
          </w:p>
          <w:p>
            <w:pPr>
              <w:pStyle w:val="TableParagraph"/>
              <w:spacing w:line="240" w:lineRule="auto" w:before="114"/>
              <w:ind w:left="571" w:right="0"/>
              <w:jc w:val="left"/>
              <w:rPr>
                <w:rFonts w:ascii="Times New Roman" w:hAnsi="Times New Roman" w:cs="Times New Roman" w:eastAsia="Times New Roman" w:hint="default"/>
                <w:sz w:val="18"/>
                <w:szCs w:val="18"/>
              </w:rPr>
            </w:pPr>
            <w:r>
              <w:rPr>
                <w:rFonts w:ascii="Times New Roman"/>
                <w:sz w:val="18"/>
              </w:rPr>
              <w:t>9.00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7,426,628.8</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14,963,210.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86,867,17</w:t>
            </w:r>
          </w:p>
          <w:p>
            <w:pPr>
              <w:pStyle w:val="TableParagraph"/>
              <w:spacing w:line="240" w:lineRule="auto" w:before="114"/>
              <w:ind w:left="552" w:right="0"/>
              <w:jc w:val="left"/>
              <w:rPr>
                <w:rFonts w:ascii="Times New Roman" w:hAnsi="Times New Roman" w:cs="Times New Roman" w:eastAsia="Times New Roman" w:hint="default"/>
                <w:sz w:val="18"/>
                <w:szCs w:val="18"/>
              </w:rPr>
            </w:pPr>
            <w:r>
              <w:rPr>
                <w:rFonts w:ascii="Times New Roman"/>
                <w:sz w:val="18"/>
              </w:rPr>
              <w:t>1.85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178,963,009</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.71</w:t>
            </w:r>
          </w:p>
        </w:tc>
      </w:tr>
      <w:tr>
        <w:trPr>
          <w:trHeight w:val="413"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加：会计政策变更</w:t>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前期差错更正</w:t>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w:t>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69,705,99</w:t>
            </w:r>
          </w:p>
          <w:p>
            <w:pPr>
              <w:pStyle w:val="TableParagraph"/>
              <w:spacing w:line="240" w:lineRule="auto" w:before="114"/>
              <w:ind w:left="571" w:right="0"/>
              <w:jc w:val="left"/>
              <w:rPr>
                <w:rFonts w:ascii="Times New Roman" w:hAnsi="Times New Roman" w:cs="Times New Roman" w:eastAsia="Times New Roman" w:hint="default"/>
                <w:sz w:val="18"/>
                <w:szCs w:val="18"/>
              </w:rPr>
            </w:pPr>
            <w:r>
              <w:rPr>
                <w:rFonts w:ascii="Times New Roman"/>
                <w:sz w:val="18"/>
              </w:rPr>
              <w:t>9.00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7,426,628.8</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14,963,210.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86,867,17</w:t>
            </w:r>
          </w:p>
          <w:p>
            <w:pPr>
              <w:pStyle w:val="TableParagraph"/>
              <w:spacing w:line="240" w:lineRule="auto" w:before="114"/>
              <w:ind w:left="552" w:right="0"/>
              <w:jc w:val="left"/>
              <w:rPr>
                <w:rFonts w:ascii="Times New Roman" w:hAnsi="Times New Roman" w:cs="Times New Roman" w:eastAsia="Times New Roman" w:hint="default"/>
                <w:sz w:val="18"/>
                <w:szCs w:val="18"/>
              </w:rPr>
            </w:pPr>
            <w:r>
              <w:rPr>
                <w:rFonts w:ascii="Times New Roman"/>
                <w:sz w:val="18"/>
              </w:rPr>
              <w:t>1.85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178,963,009</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.71</w:t>
            </w:r>
          </w:p>
        </w:tc>
      </w:tr>
      <w:tr>
        <w:trPr>
          <w:trHeight w:val="730"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pacing w:val="-3"/>
                <w:sz w:val="18"/>
                <w:szCs w:val="18"/>
              </w:rPr>
              <w:t>（减少以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23,240,00</w:t>
            </w:r>
          </w:p>
          <w:p>
            <w:pPr>
              <w:pStyle w:val="TableParagraph"/>
              <w:spacing w:line="240" w:lineRule="auto" w:before="114"/>
              <w:ind w:left="571" w:right="0"/>
              <w:jc w:val="left"/>
              <w:rPr>
                <w:rFonts w:ascii="Times New Roman" w:hAnsi="Times New Roman" w:cs="Times New Roman" w:eastAsia="Times New Roman" w:hint="default"/>
                <w:sz w:val="18"/>
                <w:szCs w:val="18"/>
              </w:rPr>
            </w:pPr>
            <w:r>
              <w:rPr>
                <w:rFonts w:ascii="Times New Roman"/>
                <w:sz w:val="18"/>
              </w:rPr>
              <w:t>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139,412,900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4,306,410.7</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33,181,21</w:t>
            </w:r>
          </w:p>
          <w:p>
            <w:pPr>
              <w:pStyle w:val="TableParagraph"/>
              <w:spacing w:line="240" w:lineRule="auto" w:before="114"/>
              <w:ind w:left="552" w:right="0"/>
              <w:jc w:val="left"/>
              <w:rPr>
                <w:rFonts w:ascii="Times New Roman" w:hAnsi="Times New Roman" w:cs="Times New Roman" w:eastAsia="Times New Roman" w:hint="default"/>
                <w:sz w:val="18"/>
                <w:szCs w:val="18"/>
              </w:rPr>
            </w:pPr>
            <w:r>
              <w:rPr>
                <w:rFonts w:ascii="Times New Roman"/>
                <w:sz w:val="18"/>
              </w:rPr>
              <w:t>7.06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200,140,527</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.84</w:t>
            </w: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43,064,10</w:t>
            </w:r>
          </w:p>
          <w:p>
            <w:pPr>
              <w:pStyle w:val="TableParagraph"/>
              <w:spacing w:line="240" w:lineRule="auto" w:before="114"/>
              <w:ind w:left="552" w:right="0"/>
              <w:jc w:val="left"/>
              <w:rPr>
                <w:rFonts w:ascii="Times New Roman" w:hAnsi="Times New Roman" w:cs="Times New Roman" w:eastAsia="Times New Roman" w:hint="default"/>
                <w:sz w:val="18"/>
                <w:szCs w:val="18"/>
              </w:rPr>
            </w:pPr>
            <w:r>
              <w:rPr>
                <w:rFonts w:ascii="Times New Roman"/>
                <w:sz w:val="18"/>
              </w:rPr>
              <w:t>7.76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43,064,107.</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76</w:t>
            </w:r>
          </w:p>
        </w:tc>
      </w:tr>
      <w:tr>
        <w:trPr>
          <w:trHeight w:val="408"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68" w:right="0"/>
              <w:jc w:val="left"/>
              <w:rPr>
                <w:rFonts w:ascii="Times New Roman" w:hAnsi="Times New Roman" w:cs="Times New Roman" w:eastAsia="Times New Roman" w:hint="default"/>
                <w:sz w:val="18"/>
                <w:szCs w:val="18"/>
              </w:rPr>
            </w:pPr>
            <w:r>
              <w:rPr>
                <w:rFonts w:ascii="Times New Roman"/>
                <w:sz w:val="18"/>
              </w:rPr>
              <w:t>23,240,00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3" w:right="0"/>
              <w:jc w:val="left"/>
              <w:rPr>
                <w:rFonts w:ascii="Times New Roman" w:hAnsi="Times New Roman" w:cs="Times New Roman" w:eastAsia="Times New Roman" w:hint="default"/>
                <w:sz w:val="18"/>
                <w:szCs w:val="18"/>
              </w:rPr>
            </w:pPr>
            <w:r>
              <w:rPr>
                <w:rFonts w:ascii="Times New Roman"/>
                <w:sz w:val="18"/>
              </w:rPr>
              <w:t>139,412,900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9" w:right="0"/>
              <w:jc w:val="left"/>
              <w:rPr>
                <w:rFonts w:ascii="Times New Roman" w:hAnsi="Times New Roman" w:cs="Times New Roman" w:eastAsia="Times New Roman" w:hint="default"/>
                <w:sz w:val="18"/>
                <w:szCs w:val="18"/>
              </w:rPr>
            </w:pPr>
            <w:r>
              <w:rPr>
                <w:rFonts w:ascii="Times New Roman"/>
                <w:sz w:val="18"/>
              </w:rPr>
              <w:t>162,652,900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914" w:footer="1022" w:top="1120" w:bottom="1220" w:left="1300" w:right="1300"/>
        </w:sectPr>
      </w:pPr>
    </w:p>
    <w:tbl>
      <w:tblPr>
        <w:tblW w:w="0" w:type="auto"/>
        <w:jc w:val="left"/>
        <w:tblInd w:w="135" w:type="dxa"/>
        <w:tblLayout w:type="fixed"/>
        <w:tblCellMar>
          <w:top w:w="0" w:type="dxa"/>
          <w:left w:w="0" w:type="dxa"/>
          <w:bottom w:w="0" w:type="dxa"/>
          <w:right w:w="0" w:type="dxa"/>
        </w:tblCellMar>
        <w:tblLook w:val="01E0"/>
      </w:tblPr>
      <w:tblGrid>
        <w:gridCol w:w="2098"/>
        <w:gridCol w:w="1003"/>
        <w:gridCol w:w="970"/>
        <w:gridCol w:w="965"/>
        <w:gridCol w:w="970"/>
        <w:gridCol w:w="1157"/>
        <w:gridCol w:w="1162"/>
        <w:gridCol w:w="1157"/>
        <w:gridCol w:w="1162"/>
        <w:gridCol w:w="1162"/>
        <w:gridCol w:w="979"/>
        <w:gridCol w:w="1138"/>
      </w:tblGrid>
      <w:tr>
        <w:trPr>
          <w:trHeight w:val="370"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pacing w:val="-4"/>
                <w:sz w:val="18"/>
                <w:szCs w:val="18"/>
              </w:rPr>
              <w:t>少资本</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71" w:right="0"/>
              <w:jc w:val="left"/>
              <w:rPr>
                <w:rFonts w:ascii="Times New Roman" w:hAnsi="Times New Roman" w:cs="Times New Roman" w:eastAsia="Times New Roman" w:hint="default"/>
                <w:sz w:val="18"/>
                <w:szCs w:val="18"/>
              </w:rPr>
            </w:pPr>
            <w:r>
              <w:rPr>
                <w:rFonts w:ascii="Times New Roman"/>
                <w:sz w:val="18"/>
              </w:rPr>
              <w:t>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z w:val="18"/>
              </w:rPr>
              <w:t>.00</w:t>
            </w:r>
          </w:p>
        </w:tc>
      </w:tr>
      <w:tr>
        <w:trPr>
          <w:trHeight w:val="730"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．股东投入的普通股</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23,240,00</w:t>
            </w:r>
          </w:p>
          <w:p>
            <w:pPr>
              <w:pStyle w:val="TableParagraph"/>
              <w:spacing w:line="240" w:lineRule="auto" w:before="114"/>
              <w:ind w:left="571" w:right="0"/>
              <w:jc w:val="left"/>
              <w:rPr>
                <w:rFonts w:ascii="Times New Roman" w:hAnsi="Times New Roman" w:cs="Times New Roman" w:eastAsia="Times New Roman" w:hint="default"/>
                <w:sz w:val="18"/>
                <w:szCs w:val="18"/>
              </w:rPr>
            </w:pPr>
            <w:r>
              <w:rPr>
                <w:rFonts w:ascii="Times New Roman"/>
                <w:sz w:val="18"/>
              </w:rPr>
              <w:t>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139,412,900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162,652,900</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.00</w:t>
            </w: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63"/>
              <w:ind w:left="100" w:right="9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投入资本</w:t>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9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权益的金额</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4,306,410.7</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-9,882,89</w:t>
            </w:r>
          </w:p>
          <w:p>
            <w:pPr>
              <w:pStyle w:val="TableParagraph"/>
              <w:spacing w:line="240" w:lineRule="auto" w:before="114"/>
              <w:ind w:left="552" w:right="0"/>
              <w:jc w:val="left"/>
              <w:rPr>
                <w:rFonts w:ascii="Times New Roman" w:hAnsi="Times New Roman" w:cs="Times New Roman" w:eastAsia="Times New Roman" w:hint="default"/>
                <w:sz w:val="18"/>
                <w:szCs w:val="18"/>
              </w:rPr>
            </w:pPr>
            <w:r>
              <w:rPr>
                <w:rFonts w:ascii="Times New Roman"/>
                <w:sz w:val="18"/>
              </w:rPr>
              <w:t>0.70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-5,576,479.9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730"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．提取盈余公积</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4,306,410.7</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-4,306,41</w:t>
            </w:r>
          </w:p>
          <w:p>
            <w:pPr>
              <w:pStyle w:val="TableParagraph"/>
              <w:spacing w:line="240" w:lineRule="auto" w:before="114"/>
              <w:ind w:left="552" w:right="0"/>
              <w:jc w:val="left"/>
              <w:rPr>
                <w:rFonts w:ascii="Times New Roman" w:hAnsi="Times New Roman" w:cs="Times New Roman" w:eastAsia="Times New Roman" w:hint="default"/>
                <w:sz w:val="18"/>
                <w:szCs w:val="18"/>
              </w:rPr>
            </w:pPr>
            <w:r>
              <w:rPr>
                <w:rFonts w:ascii="Times New Roman"/>
                <w:sz w:val="18"/>
              </w:rPr>
              <w:t>0.78</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8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的分配</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-5,576,47</w:t>
            </w:r>
          </w:p>
          <w:p>
            <w:pPr>
              <w:pStyle w:val="TableParagraph"/>
              <w:spacing w:line="240" w:lineRule="auto" w:before="114"/>
              <w:ind w:left="552" w:right="0"/>
              <w:jc w:val="left"/>
              <w:rPr>
                <w:rFonts w:ascii="Times New Roman" w:hAnsi="Times New Roman" w:cs="Times New Roman" w:eastAsia="Times New Roman" w:hint="default"/>
                <w:sz w:val="18"/>
                <w:szCs w:val="18"/>
              </w:rPr>
            </w:pPr>
            <w:r>
              <w:rPr>
                <w:rFonts w:ascii="Times New Roman"/>
                <w:sz w:val="18"/>
              </w:rPr>
              <w:t>9.92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-5,576,479.9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8"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0" w:right="18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结转</w:t>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r>
              <w:rPr>
                <w:rFonts w:ascii="宋体" w:hAnsi="宋体" w:cs="宋体" w:eastAsia="宋体" w:hint="default"/>
                <w:sz w:val="18"/>
                <w:szCs w:val="18"/>
              </w:rPr>
            </w:r>
          </w:p>
          <w:p>
            <w:pPr>
              <w:pStyle w:val="TableParagraph"/>
              <w:spacing w:line="240" w:lineRule="auto" w:before="72"/>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r>
              <w:rPr>
                <w:rFonts w:ascii="宋体" w:hAnsi="宋体" w:cs="宋体" w:eastAsia="宋体" w:hint="default"/>
                <w:sz w:val="18"/>
                <w:szCs w:val="18"/>
              </w:rPr>
            </w:r>
          </w:p>
          <w:p>
            <w:pPr>
              <w:pStyle w:val="TableParagraph"/>
              <w:spacing w:line="240" w:lineRule="auto" w:before="72"/>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4" w:footer="1022" w:top="1160" w:bottom="1220" w:left="1300" w:right="1300"/>
        </w:sectPr>
      </w:pPr>
    </w:p>
    <w:p>
      <w:pPr>
        <w:spacing w:line="240" w:lineRule="auto" w:before="12"/>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098"/>
        <w:gridCol w:w="1003"/>
        <w:gridCol w:w="970"/>
        <w:gridCol w:w="965"/>
        <w:gridCol w:w="970"/>
        <w:gridCol w:w="1157"/>
        <w:gridCol w:w="1162"/>
        <w:gridCol w:w="1157"/>
        <w:gridCol w:w="1162"/>
        <w:gridCol w:w="1162"/>
        <w:gridCol w:w="979"/>
        <w:gridCol w:w="1138"/>
      </w:tblGrid>
      <w:tr>
        <w:trPr>
          <w:trHeight w:val="408"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（六）其他</w:t>
            </w:r>
            <w:r>
              <w:rPr>
                <w:rFonts w:ascii="宋体" w:hAnsi="宋体" w:cs="宋体" w:eastAsia="宋体" w:hint="default"/>
                <w:sz w:val="18"/>
                <w:szCs w:val="18"/>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92,945,99</w:t>
            </w:r>
          </w:p>
          <w:p>
            <w:pPr>
              <w:pStyle w:val="TableParagraph"/>
              <w:spacing w:line="240" w:lineRule="auto" w:before="114"/>
              <w:ind w:left="571" w:right="0"/>
              <w:jc w:val="left"/>
              <w:rPr>
                <w:rFonts w:ascii="Times New Roman" w:hAnsi="Times New Roman" w:cs="Times New Roman" w:eastAsia="Times New Roman" w:hint="default"/>
                <w:sz w:val="18"/>
                <w:szCs w:val="18"/>
              </w:rPr>
            </w:pPr>
            <w:r>
              <w:rPr>
                <w:rFonts w:ascii="Times New Roman"/>
                <w:sz w:val="18"/>
              </w:rPr>
              <w:t>9.00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146,839,528</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.80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19,269,620.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84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120,048,3</w:t>
            </w:r>
          </w:p>
          <w:p>
            <w:pPr>
              <w:pStyle w:val="TableParagraph"/>
              <w:spacing w:line="240" w:lineRule="auto" w:before="114"/>
              <w:ind w:left="465" w:right="0"/>
              <w:jc w:val="left"/>
              <w:rPr>
                <w:rFonts w:ascii="Times New Roman" w:hAnsi="Times New Roman" w:cs="Times New Roman" w:eastAsia="Times New Roman" w:hint="default"/>
                <w:sz w:val="18"/>
                <w:szCs w:val="18"/>
              </w:rPr>
            </w:pPr>
            <w:r>
              <w:rPr>
                <w:rFonts w:ascii="Times New Roman"/>
                <w:sz w:val="18"/>
              </w:rPr>
              <w:t>88.91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379,103,537</w:t>
            </w:r>
          </w:p>
          <w:p>
            <w:pPr>
              <w:pStyle w:val="TableParagraph"/>
              <w:spacing w:line="240" w:lineRule="auto" w:before="114"/>
              <w:ind w:right="94"/>
              <w:jc w:val="right"/>
              <w:rPr>
                <w:rFonts w:ascii="Times New Roman" w:hAnsi="Times New Roman" w:cs="Times New Roman" w:eastAsia="Times New Roman" w:hint="default"/>
                <w:sz w:val="18"/>
                <w:szCs w:val="18"/>
              </w:rPr>
            </w:pPr>
            <w:r>
              <w:rPr>
                <w:rFonts w:ascii="Times New Roman"/>
                <w:sz w:val="18"/>
              </w:rPr>
              <w:t>.55</w:t>
            </w:r>
          </w:p>
        </w:tc>
      </w:tr>
    </w:tbl>
    <w:p>
      <w:pPr>
        <w:spacing w:line="240" w:lineRule="auto" w:before="6"/>
        <w:rPr>
          <w:rFonts w:ascii="宋体" w:hAnsi="宋体" w:cs="宋体" w:eastAsia="宋体" w:hint="default"/>
          <w:sz w:val="28"/>
          <w:szCs w:val="28"/>
        </w:rPr>
      </w:pPr>
    </w:p>
    <w:p>
      <w:pPr>
        <w:pStyle w:val="BodyText"/>
        <w:spacing w:line="240" w:lineRule="auto" w:before="46"/>
        <w:ind w:left="140" w:right="0"/>
        <w:jc w:val="left"/>
      </w:pPr>
      <w:r>
        <w:rPr/>
        <w:t>上期金额</w:t>
      </w:r>
    </w:p>
    <w:p>
      <w:pPr>
        <w:pStyle w:val="BodyText"/>
        <w:spacing w:line="240" w:lineRule="auto" w:before="124"/>
        <w:ind w:left="0" w:right="133"/>
        <w:jc w:val="right"/>
      </w:pPr>
      <w:r>
        <w:rPr>
          <w:spacing w:val="-2"/>
        </w:rPr>
        <w:t>单位：元</w:t>
      </w:r>
    </w:p>
    <w:p>
      <w:pPr>
        <w:spacing w:line="240" w:lineRule="auto" w:before="2"/>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074"/>
        <w:gridCol w:w="1123"/>
        <w:gridCol w:w="830"/>
        <w:gridCol w:w="960"/>
        <w:gridCol w:w="955"/>
        <w:gridCol w:w="1147"/>
        <w:gridCol w:w="1147"/>
        <w:gridCol w:w="1147"/>
        <w:gridCol w:w="1147"/>
        <w:gridCol w:w="1152"/>
        <w:gridCol w:w="974"/>
        <w:gridCol w:w="1123"/>
      </w:tblGrid>
      <w:tr>
        <w:trPr>
          <w:trHeight w:val="406" w:hRule="exact"/>
        </w:trPr>
        <w:tc>
          <w:tcPr>
            <w:tcW w:w="2074" w:type="dxa"/>
            <w:tcBorders>
              <w:top w:val="single" w:sz="4" w:space="0" w:color="000000"/>
              <w:left w:val="single" w:sz="4" w:space="0" w:color="000000"/>
              <w:bottom w:val="nil" w:sz="6" w:space="0" w:color="auto"/>
              <w:right w:val="single" w:sz="4" w:space="0" w:color="000000"/>
            </w:tcBorders>
            <w:shd w:val="clear" w:color="auto" w:fill="D4D4D4"/>
          </w:tcPr>
          <w:p>
            <w:pPr/>
          </w:p>
        </w:tc>
        <w:tc>
          <w:tcPr>
            <w:tcW w:w="11707"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8" w:hRule="exact"/>
        </w:trPr>
        <w:tc>
          <w:tcPr>
            <w:tcW w:w="207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4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8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3"/>
                <w:sz w:val="18"/>
                <w:szCs w:val="18"/>
              </w:rPr>
              <w:t>减：库存股</w:t>
            </w:r>
            <w:r>
              <w:rPr>
                <w:rFonts w:ascii="宋体" w:hAnsi="宋体" w:cs="宋体" w:eastAsia="宋体" w:hint="default"/>
                <w:sz w:val="18"/>
                <w:szCs w:val="18"/>
              </w:rPr>
            </w:r>
          </w:p>
        </w:tc>
        <w:tc>
          <w:tcPr>
            <w:tcW w:w="1147"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479" w:right="117" w:hanging="360"/>
              <w:jc w:val="left"/>
              <w:rPr>
                <w:rFonts w:ascii="宋体" w:hAnsi="宋体" w:cs="宋体" w:eastAsia="宋体" w:hint="default"/>
                <w:sz w:val="18"/>
                <w:szCs w:val="18"/>
              </w:rPr>
            </w:pPr>
            <w:r>
              <w:rPr>
                <w:rFonts w:ascii="宋体" w:hAnsi="宋体" w:cs="宋体" w:eastAsia="宋体" w:hint="default"/>
                <w:spacing w:val="-3"/>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1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74"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388" w:right="117"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1123" w:type="dxa"/>
            <w:vMerge w:val="restart"/>
            <w:tcBorders>
              <w:top w:val="single" w:sz="4" w:space="0" w:color="000000"/>
              <w:left w:val="single" w:sz="4" w:space="0" w:color="000000"/>
              <w:right w:val="single" w:sz="4" w:space="0" w:color="000000"/>
            </w:tcBorders>
            <w:shd w:val="clear" w:color="auto" w:fill="D4D4D4"/>
          </w:tcPr>
          <w:p>
            <w:pPr>
              <w:pStyle w:val="TableParagraph"/>
              <w:spacing w:line="328" w:lineRule="auto" w:before="111"/>
              <w:ind w:left="374" w:right="108" w:hanging="269"/>
              <w:jc w:val="left"/>
              <w:rPr>
                <w:rFonts w:ascii="宋体" w:hAnsi="宋体" w:cs="宋体" w:eastAsia="宋体" w:hint="default"/>
                <w:sz w:val="18"/>
                <w:szCs w:val="18"/>
              </w:rPr>
            </w:pPr>
            <w:r>
              <w:rPr>
                <w:rFonts w:ascii="宋体" w:hAnsi="宋体" w:cs="宋体" w:eastAsia="宋体" w:hint="default"/>
                <w:spacing w:val="-3"/>
                <w:sz w:val="18"/>
                <w:szCs w:val="18"/>
              </w:rPr>
              <w:t>所有者权益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合计</w:t>
            </w:r>
          </w:p>
        </w:tc>
      </w:tr>
      <w:tr>
        <w:trPr>
          <w:trHeight w:val="408" w:hRule="exact"/>
        </w:trPr>
        <w:tc>
          <w:tcPr>
            <w:tcW w:w="2074"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shd w:val="clear" w:color="auto" w:fill="D4D4D4"/>
          </w:tcPr>
          <w:p>
            <w:pPr/>
          </w:p>
        </w:tc>
        <w:tc>
          <w:tcPr>
            <w:tcW w:w="8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pacing w:val="-4"/>
                <w:sz w:val="18"/>
                <w:szCs w:val="18"/>
              </w:rPr>
              <w:t>优先股</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pacing w:val="-4"/>
                <w:sz w:val="18"/>
                <w:szCs w:val="18"/>
              </w:rPr>
              <w:t>永续债</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7" w:type="dxa"/>
            <w:vMerge/>
            <w:tcBorders>
              <w:left w:val="single" w:sz="4" w:space="0" w:color="000000"/>
              <w:bottom w:val="single" w:sz="4" w:space="0" w:color="000000"/>
              <w:right w:val="single" w:sz="4" w:space="0" w:color="000000"/>
            </w:tcBorders>
            <w:shd w:val="clear" w:color="auto" w:fill="D4D4D4"/>
          </w:tcPr>
          <w:p>
            <w:pPr/>
          </w:p>
        </w:tc>
        <w:tc>
          <w:tcPr>
            <w:tcW w:w="1147" w:type="dxa"/>
            <w:vMerge/>
            <w:tcBorders>
              <w:left w:val="single" w:sz="4" w:space="0" w:color="000000"/>
              <w:bottom w:val="single" w:sz="4" w:space="0" w:color="000000"/>
              <w:right w:val="single" w:sz="4" w:space="0" w:color="000000"/>
            </w:tcBorders>
            <w:shd w:val="clear" w:color="auto" w:fill="D4D4D4"/>
          </w:tcPr>
          <w:p>
            <w:pPr/>
          </w:p>
        </w:tc>
        <w:tc>
          <w:tcPr>
            <w:tcW w:w="1147" w:type="dxa"/>
            <w:vMerge/>
            <w:tcBorders>
              <w:left w:val="single" w:sz="4" w:space="0" w:color="000000"/>
              <w:bottom w:val="single" w:sz="4" w:space="0" w:color="000000"/>
              <w:right w:val="single" w:sz="4" w:space="0" w:color="000000"/>
            </w:tcBorders>
            <w:shd w:val="clear" w:color="auto" w:fill="D4D4D4"/>
          </w:tcPr>
          <w:p>
            <w:pPr/>
          </w:p>
        </w:tc>
        <w:tc>
          <w:tcPr>
            <w:tcW w:w="1147"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shd w:val="clear" w:color="auto" w:fill="D4D4D4"/>
          </w:tcPr>
          <w:p>
            <w:pP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7,426,628.8</w:t>
            </w: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2"/>
                <w:sz w:val="18"/>
              </w:rPr>
              <w:t>11,290,478.</w:t>
            </w: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62,177,30</w:t>
            </w:r>
          </w:p>
          <w:p>
            <w:pPr>
              <w:pStyle w:val="TableParagraph"/>
              <w:spacing w:line="240" w:lineRule="auto" w:before="119"/>
              <w:ind w:left="542" w:right="0"/>
              <w:jc w:val="left"/>
              <w:rPr>
                <w:rFonts w:ascii="Times New Roman" w:hAnsi="Times New Roman" w:cs="Times New Roman" w:eastAsia="Times New Roman" w:hint="default"/>
                <w:sz w:val="18"/>
                <w:szCs w:val="18"/>
              </w:rPr>
            </w:pPr>
            <w:r>
              <w:rPr>
                <w:rFonts w:ascii="Times New Roman"/>
                <w:sz w:val="18"/>
              </w:rPr>
              <w:t>8.02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150,600,414</w:t>
            </w: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.35</w:t>
            </w:r>
          </w:p>
        </w:tc>
      </w:tr>
      <w:tr>
        <w:trPr>
          <w:trHeight w:val="408"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加：会计政策变更</w:t>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前期差错更正</w:t>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w:t>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7,426,628.8</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2"/>
                <w:sz w:val="18"/>
              </w:rPr>
              <w:t>11,290,478.</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62,177,30</w:t>
            </w:r>
          </w:p>
          <w:p>
            <w:pPr>
              <w:pStyle w:val="TableParagraph"/>
              <w:spacing w:line="240" w:lineRule="auto" w:before="114"/>
              <w:ind w:left="542" w:right="0"/>
              <w:jc w:val="left"/>
              <w:rPr>
                <w:rFonts w:ascii="Times New Roman" w:hAnsi="Times New Roman" w:cs="Times New Roman" w:eastAsia="Times New Roman" w:hint="default"/>
                <w:sz w:val="18"/>
                <w:szCs w:val="18"/>
              </w:rPr>
            </w:pPr>
            <w:r>
              <w:rPr>
                <w:rFonts w:ascii="Times New Roman"/>
                <w:sz w:val="18"/>
              </w:rPr>
              <w:t>8.02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150,600,414</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.35</w:t>
            </w: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86"/>
              <w:ind w:left="100" w:right="0"/>
              <w:jc w:val="left"/>
              <w:rPr>
                <w:rFonts w:ascii="宋体" w:hAnsi="宋体" w:cs="宋体" w:eastAsia="宋体" w:hint="default"/>
                <w:sz w:val="18"/>
                <w:szCs w:val="18"/>
              </w:rPr>
            </w:pPr>
            <w:r>
              <w:rPr>
                <w:rFonts w:ascii="宋体" w:hAnsi="宋体" w:cs="宋体" w:eastAsia="宋体" w:hint="default"/>
                <w:spacing w:val="-5"/>
                <w:sz w:val="18"/>
                <w:szCs w:val="18"/>
              </w:rPr>
              <w:t>（减少以</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pacing w:val="-5"/>
                <w:sz w:val="18"/>
                <w:szCs w:val="18"/>
              </w:rPr>
              <w:t>号填列）</w:t>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3,672,731.5</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24,689,86</w:t>
            </w:r>
          </w:p>
          <w:p>
            <w:pPr>
              <w:pStyle w:val="TableParagraph"/>
              <w:spacing w:line="240" w:lineRule="auto" w:before="114"/>
              <w:ind w:left="542" w:right="0"/>
              <w:jc w:val="left"/>
              <w:rPr>
                <w:rFonts w:ascii="Times New Roman" w:hAnsi="Times New Roman" w:cs="Times New Roman" w:eastAsia="Times New Roman" w:hint="default"/>
                <w:sz w:val="18"/>
                <w:szCs w:val="18"/>
              </w:rPr>
            </w:pPr>
            <w:r>
              <w:rPr>
                <w:rFonts w:ascii="Times New Roman"/>
                <w:sz w:val="18"/>
              </w:rPr>
              <w:t>3.83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28,362,595.</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36</w:t>
            </w:r>
          </w:p>
        </w:tc>
      </w:tr>
      <w:tr>
        <w:trPr>
          <w:trHeight w:val="730"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36,727,31</w:t>
            </w:r>
          </w:p>
          <w:p>
            <w:pPr>
              <w:pStyle w:val="TableParagraph"/>
              <w:spacing w:line="240" w:lineRule="auto" w:before="114"/>
              <w:ind w:left="542" w:right="0"/>
              <w:jc w:val="left"/>
              <w:rPr>
                <w:rFonts w:ascii="Times New Roman" w:hAnsi="Times New Roman" w:cs="Times New Roman" w:eastAsia="Times New Roman" w:hint="default"/>
                <w:sz w:val="18"/>
                <w:szCs w:val="18"/>
              </w:rPr>
            </w:pPr>
            <w:r>
              <w:rPr>
                <w:rFonts w:ascii="Times New Roman"/>
                <w:sz w:val="18"/>
              </w:rPr>
              <w:t>5.24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36,727,315.</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24</w:t>
            </w: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0" w:right="156"/>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少资本</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．股东投入的普通股</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4" w:footer="1022" w:top="1120" w:bottom="1220" w:left="1300" w:right="1300"/>
        </w:sectPr>
      </w:pPr>
    </w:p>
    <w:tbl>
      <w:tblPr>
        <w:tblW w:w="0" w:type="auto"/>
        <w:jc w:val="left"/>
        <w:tblInd w:w="135" w:type="dxa"/>
        <w:tblLayout w:type="fixed"/>
        <w:tblCellMar>
          <w:top w:w="0" w:type="dxa"/>
          <w:left w:w="0" w:type="dxa"/>
          <w:bottom w:w="0" w:type="dxa"/>
          <w:right w:w="0" w:type="dxa"/>
        </w:tblCellMar>
        <w:tblLook w:val="01E0"/>
      </w:tblPr>
      <w:tblGrid>
        <w:gridCol w:w="2074"/>
        <w:gridCol w:w="1123"/>
        <w:gridCol w:w="830"/>
        <w:gridCol w:w="960"/>
        <w:gridCol w:w="955"/>
        <w:gridCol w:w="1147"/>
        <w:gridCol w:w="1147"/>
        <w:gridCol w:w="1147"/>
        <w:gridCol w:w="1147"/>
        <w:gridCol w:w="1152"/>
        <w:gridCol w:w="974"/>
        <w:gridCol w:w="1123"/>
      </w:tblGrid>
      <w:tr>
        <w:trPr>
          <w:trHeight w:val="730"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10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投入资本</w:t>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0" w:right="10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权益的金额</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3,672,731.5</w:t>
            </w: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-12,037,4</w:t>
            </w:r>
          </w:p>
          <w:p>
            <w:pPr>
              <w:pStyle w:val="TableParagraph"/>
              <w:spacing w:line="240" w:lineRule="auto" w:before="119"/>
              <w:ind w:left="456" w:right="0"/>
              <w:jc w:val="left"/>
              <w:rPr>
                <w:rFonts w:ascii="Times New Roman" w:hAnsi="Times New Roman" w:cs="Times New Roman" w:eastAsia="Times New Roman" w:hint="default"/>
                <w:sz w:val="18"/>
                <w:szCs w:val="18"/>
              </w:rPr>
            </w:pPr>
            <w:r>
              <w:rPr>
                <w:rFonts w:ascii="Times New Roman"/>
                <w:sz w:val="18"/>
              </w:rPr>
              <w:t>51.41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-8,364,719.</w:t>
            </w: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88</w:t>
            </w:r>
          </w:p>
        </w:tc>
      </w:tr>
      <w:tr>
        <w:trPr>
          <w:trHeight w:val="730"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．提取盈余公积</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3,672,731.5</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-3,672,73</w:t>
            </w:r>
          </w:p>
          <w:p>
            <w:pPr>
              <w:pStyle w:val="TableParagraph"/>
              <w:spacing w:line="240" w:lineRule="auto" w:before="114"/>
              <w:ind w:left="542" w:right="0"/>
              <w:jc w:val="left"/>
              <w:rPr>
                <w:rFonts w:ascii="Times New Roman" w:hAnsi="Times New Roman" w:cs="Times New Roman" w:eastAsia="Times New Roman" w:hint="default"/>
                <w:sz w:val="18"/>
                <w:szCs w:val="18"/>
              </w:rPr>
            </w:pPr>
            <w:r>
              <w:rPr>
                <w:rFonts w:ascii="Times New Roman"/>
                <w:sz w:val="18"/>
              </w:rPr>
              <w:t>1.53</w:t>
            </w: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0" w:right="7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的分配</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-8,364,71</w:t>
            </w:r>
          </w:p>
          <w:p>
            <w:pPr>
              <w:pStyle w:val="TableParagraph"/>
              <w:spacing w:line="240" w:lineRule="auto" w:before="119"/>
              <w:ind w:left="542" w:right="0"/>
              <w:jc w:val="left"/>
              <w:rPr>
                <w:rFonts w:ascii="Times New Roman" w:hAnsi="Times New Roman" w:cs="Times New Roman" w:eastAsia="Times New Roman" w:hint="default"/>
                <w:sz w:val="18"/>
                <w:szCs w:val="18"/>
              </w:rPr>
            </w:pPr>
            <w:r>
              <w:rPr>
                <w:rFonts w:ascii="Times New Roman"/>
                <w:sz w:val="18"/>
              </w:rPr>
              <w:t>9.88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-8,364,719.</w:t>
            </w: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88</w:t>
            </w:r>
          </w:p>
        </w:tc>
      </w:tr>
      <w:tr>
        <w:trPr>
          <w:trHeight w:val="408"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58"/>
              <w:ind w:left="100" w:right="156"/>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结转</w:t>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72"/>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r>
              <w:rPr>
                <w:rFonts w:ascii="宋体" w:hAnsi="宋体" w:cs="宋体" w:eastAsia="宋体" w:hint="default"/>
                <w:sz w:val="18"/>
                <w:szCs w:val="18"/>
              </w:rPr>
            </w:r>
          </w:p>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pacing w:val="-3"/>
                <w:sz w:val="18"/>
                <w:szCs w:val="18"/>
              </w:rPr>
              <w:t>（或股本）</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（六）其他</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4" w:footer="1022" w:top="1160" w:bottom="122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074"/>
        <w:gridCol w:w="1123"/>
        <w:gridCol w:w="830"/>
        <w:gridCol w:w="960"/>
        <w:gridCol w:w="955"/>
        <w:gridCol w:w="1147"/>
        <w:gridCol w:w="1147"/>
        <w:gridCol w:w="1147"/>
        <w:gridCol w:w="1147"/>
        <w:gridCol w:w="1152"/>
        <w:gridCol w:w="974"/>
        <w:gridCol w:w="1123"/>
      </w:tblGrid>
      <w:tr>
        <w:trPr>
          <w:trHeight w:val="730" w:hRule="exact"/>
        </w:trPr>
        <w:tc>
          <w:tcPr>
            <w:tcW w:w="2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69,705,999.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7,426,628.8</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14,963,210.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86,867,17</w:t>
            </w:r>
          </w:p>
          <w:p>
            <w:pPr>
              <w:pStyle w:val="TableParagraph"/>
              <w:spacing w:line="240" w:lineRule="auto" w:before="114"/>
              <w:ind w:left="542" w:right="0"/>
              <w:jc w:val="left"/>
              <w:rPr>
                <w:rFonts w:ascii="Times New Roman" w:hAnsi="Times New Roman" w:cs="Times New Roman" w:eastAsia="Times New Roman" w:hint="default"/>
                <w:sz w:val="18"/>
                <w:szCs w:val="18"/>
              </w:rPr>
            </w:pPr>
            <w:r>
              <w:rPr>
                <w:rFonts w:ascii="Times New Roman"/>
                <w:sz w:val="18"/>
              </w:rPr>
              <w:t>1.85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178,963,009</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.71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14" w:footer="1022" w:top="1120" w:bottom="1220" w:left="1300" w:right="1300"/>
        </w:sectPr>
      </w:pPr>
    </w:p>
    <w:p>
      <w:pPr>
        <w:spacing w:line="240" w:lineRule="auto" w:before="8"/>
        <w:rPr>
          <w:rFonts w:ascii="Times New Roman" w:hAnsi="Times New Roman" w:cs="Times New Roman" w:eastAsia="Times New Roman" w:hint="default"/>
          <w:sz w:val="23"/>
          <w:szCs w:val="23"/>
        </w:rPr>
      </w:pPr>
    </w:p>
    <w:p>
      <w:pPr>
        <w:pStyle w:val="Heading2"/>
        <w:spacing w:line="240" w:lineRule="auto" w:before="26"/>
        <w:ind w:right="6663"/>
        <w:jc w:val="left"/>
        <w:rPr>
          <w:b w:val="0"/>
          <w:bCs w:val="0"/>
        </w:rPr>
      </w:pPr>
      <w:bookmarkStart w:name="三、公司基本情况" w:id="162"/>
      <w:bookmarkEnd w:id="162"/>
      <w:r>
        <w:rPr>
          <w:b w:val="0"/>
          <w:bCs w:val="0"/>
        </w:rPr>
      </w:r>
      <w:r>
        <w:rPr/>
        <w:t>三、公司基本情况</w:t>
      </w:r>
      <w:r>
        <w:rPr>
          <w:b w:val="0"/>
          <w:bCs w:val="0"/>
        </w:rPr>
      </w:r>
    </w:p>
    <w:p>
      <w:pPr>
        <w:spacing w:line="240" w:lineRule="auto" w:before="7"/>
        <w:rPr>
          <w:rFonts w:ascii="宋体" w:hAnsi="宋体" w:cs="宋体" w:eastAsia="宋体" w:hint="default"/>
          <w:b/>
          <w:bCs/>
          <w:sz w:val="27"/>
          <w:szCs w:val="27"/>
        </w:rPr>
      </w:pPr>
    </w:p>
    <w:p>
      <w:pPr>
        <w:pStyle w:val="BodyText"/>
        <w:spacing w:line="439" w:lineRule="auto"/>
        <w:ind w:left="512" w:right="2325"/>
        <w:jc w:val="left"/>
      </w:pPr>
      <w:r>
        <w:rPr>
          <w:rFonts w:ascii="Times New Roman" w:hAnsi="Times New Roman" w:cs="Times New Roman" w:eastAsia="Times New Roman" w:hint="default"/>
          <w:spacing w:val="-3"/>
        </w:rPr>
        <w:t>1</w:t>
      </w:r>
      <w:r>
        <w:rPr>
          <w:spacing w:val="-3"/>
        </w:rPr>
        <w:t>、公司注册地、总部地址和组织形式</w:t>
      </w:r>
      <w:r>
        <w:rPr>
          <w:spacing w:val="-35"/>
        </w:rPr>
        <w:t> </w:t>
      </w:r>
      <w:r>
        <w:rPr>
          <w:spacing w:val="-35"/>
        </w:rPr>
      </w:r>
      <w:r>
        <w:rPr>
          <w:spacing w:val="-12"/>
          <w:w w:val="101"/>
        </w:rPr>
        <w:t>湖南科创信息技术股份有限公司（以下简称</w:t>
      </w:r>
      <w:r>
        <w:rPr>
          <w:rFonts w:ascii="宋体" w:hAnsi="宋体" w:cs="宋体" w:eastAsia="宋体" w:hint="default"/>
          <w:spacing w:val="-12"/>
          <w:w w:val="101"/>
        </w:rPr>
        <w:t>“</w:t>
      </w:r>
      <w:r>
        <w:rPr>
          <w:spacing w:val="-12"/>
          <w:w w:val="101"/>
        </w:rPr>
        <w:t>本公司</w:t>
      </w:r>
      <w:r>
        <w:rPr>
          <w:rFonts w:ascii="宋体" w:hAnsi="宋体" w:cs="宋体" w:eastAsia="宋体" w:hint="default"/>
          <w:spacing w:val="-12"/>
          <w:w w:val="101"/>
        </w:rPr>
        <w:t>”</w:t>
      </w:r>
      <w:r>
        <w:rPr>
          <w:spacing w:val="-12"/>
          <w:w w:val="101"/>
        </w:rPr>
        <w:t>或</w:t>
      </w:r>
      <w:r>
        <w:rPr>
          <w:rFonts w:ascii="宋体" w:hAnsi="宋体" w:cs="宋体" w:eastAsia="宋体" w:hint="default"/>
          <w:spacing w:val="-12"/>
          <w:w w:val="101"/>
        </w:rPr>
        <w:t>“</w:t>
      </w:r>
      <w:r>
        <w:rPr>
          <w:spacing w:val="-12"/>
          <w:w w:val="101"/>
        </w:rPr>
        <w:t>公司</w:t>
      </w:r>
      <w:r>
        <w:rPr>
          <w:rFonts w:ascii="宋体" w:hAnsi="宋体" w:cs="宋体" w:eastAsia="宋体" w:hint="default"/>
          <w:spacing w:val="-12"/>
          <w:w w:val="101"/>
        </w:rPr>
        <w:t>”</w:t>
      </w:r>
      <w:r>
        <w:rPr>
          <w:spacing w:val="-12"/>
          <w:w w:val="101"/>
        </w:rPr>
        <w:t>）。</w:t>
      </w:r>
      <w:r>
        <w:rPr>
          <w:spacing w:val="-75"/>
          <w:w w:val="101"/>
        </w:rPr>
        <w:t> </w:t>
      </w:r>
      <w:r>
        <w:rPr>
          <w:spacing w:val="-3"/>
        </w:rPr>
        <w:t>公司注册地和总部地址：长沙市岳麓区青山路</w:t>
      </w:r>
      <w:r>
        <w:rPr>
          <w:rFonts w:ascii="Times New Roman" w:hAnsi="Times New Roman" w:cs="Times New Roman" w:eastAsia="Times New Roman" w:hint="default"/>
          <w:spacing w:val="-3"/>
        </w:rPr>
        <w:t>678</w:t>
      </w:r>
      <w:r>
        <w:rPr>
          <w:spacing w:val="-3"/>
        </w:rPr>
        <w:t>号。</w:t>
      </w:r>
      <w:r>
        <w:rPr>
          <w:spacing w:val="-20"/>
        </w:rPr>
        <w:t> </w:t>
      </w:r>
      <w:r>
        <w:rPr>
          <w:spacing w:val="-6"/>
          <w:w w:val="101"/>
        </w:rPr>
        <w:t>组织形式：股份有限公司（上市、自然人投资或控股）。</w:t>
      </w:r>
      <w:r>
        <w:rPr>
          <w:spacing w:val="-89"/>
          <w:w w:val="101"/>
        </w:rPr>
        <w:t> </w:t>
      </w:r>
      <w:r>
        <w:rPr>
          <w:spacing w:val="-89"/>
          <w:w w:val="101"/>
        </w:rPr>
      </w:r>
      <w:r>
        <w:rPr>
          <w:spacing w:val="-3"/>
        </w:rPr>
        <w:t>公司共同控制人：费耀平、李杰、李建华、刘应龙、刘星沙。</w:t>
      </w:r>
      <w:r>
        <w:rPr>
          <w:spacing w:val="-15"/>
        </w:rPr>
        <w:t> </w:t>
      </w:r>
      <w:r>
        <w:rPr>
          <w:spacing w:val="-15"/>
        </w:rPr>
      </w:r>
      <w:r>
        <w:rPr>
          <w:rFonts w:ascii="Times New Roman" w:hAnsi="Times New Roman" w:cs="Times New Roman" w:eastAsia="Times New Roman" w:hint="default"/>
          <w:spacing w:val="-3"/>
        </w:rPr>
        <w:t>2</w:t>
      </w:r>
      <w:r>
        <w:rPr>
          <w:spacing w:val="-3"/>
        </w:rPr>
        <w:t>、公司的行业性质、经营范围</w:t>
      </w:r>
      <w:r>
        <w:rPr/>
      </w:r>
    </w:p>
    <w:p>
      <w:pPr>
        <w:pStyle w:val="BodyText"/>
        <w:spacing w:line="309" w:lineRule="auto" w:before="27"/>
        <w:ind w:right="177" w:firstLine="360"/>
        <w:jc w:val="left"/>
      </w:pPr>
      <w:r>
        <w:rPr>
          <w:w w:val="101"/>
        </w:rPr>
        <w:t>公</w:t>
      </w:r>
      <w:r>
        <w:rPr>
          <w:spacing w:val="-5"/>
          <w:w w:val="101"/>
        </w:rPr>
        <w:t>司</w:t>
      </w:r>
      <w:r>
        <w:rPr>
          <w:w w:val="101"/>
        </w:rPr>
        <w:t>的</w:t>
      </w:r>
      <w:r>
        <w:rPr>
          <w:spacing w:val="-5"/>
          <w:w w:val="101"/>
        </w:rPr>
        <w:t>行</w:t>
      </w:r>
      <w:r>
        <w:rPr>
          <w:w w:val="101"/>
        </w:rPr>
        <w:t>业</w:t>
      </w:r>
      <w:r>
        <w:rPr>
          <w:spacing w:val="-5"/>
          <w:w w:val="101"/>
        </w:rPr>
        <w:t>性</w:t>
      </w:r>
      <w:r>
        <w:rPr>
          <w:w w:val="101"/>
        </w:rPr>
        <w:t>质</w:t>
      </w:r>
      <w:r>
        <w:rPr>
          <w:spacing w:val="-15"/>
          <w:w w:val="101"/>
        </w:rPr>
        <w:t>：</w:t>
      </w:r>
      <w:r>
        <w:rPr>
          <w:w w:val="101"/>
        </w:rPr>
        <w:t>按</w:t>
      </w:r>
      <w:r>
        <w:rPr>
          <w:spacing w:val="-5"/>
          <w:w w:val="101"/>
        </w:rPr>
        <w:t>中</w:t>
      </w:r>
      <w:r>
        <w:rPr>
          <w:w w:val="101"/>
        </w:rPr>
        <w:t>国</w:t>
      </w:r>
      <w:r>
        <w:rPr>
          <w:spacing w:val="-5"/>
          <w:w w:val="101"/>
        </w:rPr>
        <w:t>证</w:t>
      </w:r>
      <w:r>
        <w:rPr>
          <w:w w:val="101"/>
        </w:rPr>
        <w:t>监</w:t>
      </w:r>
      <w:r>
        <w:rPr>
          <w:spacing w:val="-15"/>
          <w:w w:val="101"/>
        </w:rPr>
        <w:t>会</w:t>
      </w:r>
      <w:r>
        <w:rPr>
          <w:w w:val="101"/>
        </w:rPr>
        <w:t>《</w:t>
      </w:r>
      <w:r>
        <w:rPr>
          <w:spacing w:val="-5"/>
          <w:w w:val="101"/>
        </w:rPr>
        <w:t>上</w:t>
      </w:r>
      <w:r>
        <w:rPr>
          <w:w w:val="101"/>
        </w:rPr>
        <w:t>市</w:t>
      </w:r>
      <w:r>
        <w:rPr>
          <w:spacing w:val="-5"/>
          <w:w w:val="101"/>
        </w:rPr>
        <w:t>公</w:t>
      </w:r>
      <w:r>
        <w:rPr>
          <w:w w:val="101"/>
        </w:rPr>
        <w:t>司</w:t>
      </w:r>
      <w:r>
        <w:rPr>
          <w:spacing w:val="-5"/>
          <w:w w:val="101"/>
        </w:rPr>
        <w:t>行</w:t>
      </w:r>
      <w:r>
        <w:rPr>
          <w:w w:val="101"/>
        </w:rPr>
        <w:t>业</w:t>
      </w:r>
      <w:r>
        <w:rPr>
          <w:spacing w:val="-5"/>
          <w:w w:val="101"/>
        </w:rPr>
        <w:t>分</w:t>
      </w:r>
      <w:r>
        <w:rPr>
          <w:w w:val="101"/>
        </w:rPr>
        <w:t>类</w:t>
      </w:r>
      <w:r>
        <w:rPr>
          <w:spacing w:val="-5"/>
          <w:w w:val="101"/>
        </w:rPr>
        <w:t>指</w:t>
      </w:r>
      <w:r>
        <w:rPr>
          <w:w w:val="101"/>
        </w:rPr>
        <w:t>引</w:t>
      </w:r>
      <w:r>
        <w:rPr>
          <w:spacing w:val="-96"/>
          <w:w w:val="101"/>
        </w:rPr>
        <w:t>》</w:t>
      </w:r>
      <w:r>
        <w:rPr>
          <w:spacing w:val="-15"/>
          <w:w w:val="101"/>
        </w:rPr>
        <w:t>，</w:t>
      </w:r>
      <w:r>
        <w:rPr>
          <w:w w:val="101"/>
        </w:rPr>
        <w:t>公</w:t>
      </w:r>
      <w:r>
        <w:rPr>
          <w:spacing w:val="-5"/>
          <w:w w:val="101"/>
        </w:rPr>
        <w:t>司</w:t>
      </w:r>
      <w:r>
        <w:rPr>
          <w:w w:val="101"/>
        </w:rPr>
        <w:t>所</w:t>
      </w:r>
      <w:r>
        <w:rPr>
          <w:spacing w:val="-5"/>
          <w:w w:val="101"/>
        </w:rPr>
        <w:t>处</w:t>
      </w:r>
      <w:r>
        <w:rPr>
          <w:w w:val="101"/>
        </w:rPr>
        <w:t>行</w:t>
      </w:r>
      <w:r>
        <w:rPr>
          <w:spacing w:val="-5"/>
          <w:w w:val="101"/>
        </w:rPr>
        <w:t>业</w:t>
      </w:r>
      <w:r>
        <w:rPr>
          <w:w w:val="101"/>
        </w:rPr>
        <w:t>的</w:t>
      </w:r>
      <w:r>
        <w:rPr>
          <w:spacing w:val="-5"/>
          <w:w w:val="101"/>
        </w:rPr>
        <w:t>行</w:t>
      </w:r>
      <w:r>
        <w:rPr>
          <w:w w:val="101"/>
        </w:rPr>
        <w:t>业</w:t>
      </w:r>
      <w:r>
        <w:rPr>
          <w:spacing w:val="-5"/>
          <w:w w:val="101"/>
        </w:rPr>
        <w:t>编</w:t>
      </w:r>
      <w:r>
        <w:rPr>
          <w:w w:val="101"/>
        </w:rPr>
        <w:t>码</w:t>
      </w:r>
      <w:r>
        <w:rPr>
          <w:spacing w:val="-6"/>
          <w:w w:val="101"/>
        </w:rPr>
        <w:t>为</w:t>
      </w:r>
      <w:r>
        <w:rPr>
          <w:rFonts w:ascii="宋体" w:hAnsi="宋体" w:cs="宋体" w:eastAsia="宋体" w:hint="default"/>
          <w:w w:val="101"/>
        </w:rPr>
        <w:t> </w:t>
      </w:r>
      <w:r>
        <w:rPr>
          <w:rFonts w:ascii="宋体" w:hAnsi="宋体" w:cs="宋体" w:eastAsia="宋体" w:hint="default"/>
          <w:spacing w:val="1"/>
        </w:rPr>
        <w:t> </w:t>
      </w:r>
      <w:r>
        <w:rPr>
          <w:rFonts w:ascii="Times New Roman" w:hAnsi="Times New Roman" w:cs="Times New Roman" w:eastAsia="Times New Roman" w:hint="default"/>
          <w:spacing w:val="-9"/>
          <w:w w:val="101"/>
        </w:rPr>
        <w:t>I</w:t>
      </w:r>
      <w:r>
        <w:rPr>
          <w:rFonts w:ascii="Times New Roman" w:hAnsi="Times New Roman" w:cs="Times New Roman" w:eastAsia="Times New Roman" w:hint="default"/>
          <w:w w:val="101"/>
        </w:rPr>
        <w:t>65</w:t>
      </w:r>
      <w:r>
        <w:rPr>
          <w:spacing w:val="-10"/>
          <w:w w:val="101"/>
        </w:rPr>
        <w:t>，即</w:t>
      </w:r>
      <w:r>
        <w:rPr>
          <w:rFonts w:ascii="宋体" w:hAnsi="宋体" w:cs="宋体" w:eastAsia="宋体" w:hint="default"/>
          <w:spacing w:val="-5"/>
          <w:w w:val="101"/>
        </w:rPr>
        <w:t>“</w:t>
      </w:r>
      <w:r>
        <w:rPr>
          <w:w w:val="101"/>
        </w:rPr>
        <w:t>软</w:t>
      </w:r>
      <w:r>
        <w:rPr>
          <w:spacing w:val="-5"/>
          <w:w w:val="101"/>
        </w:rPr>
        <w:t>件</w:t>
      </w:r>
      <w:r>
        <w:rPr>
          <w:w w:val="101"/>
        </w:rPr>
        <w:t>和</w:t>
      </w:r>
      <w:r>
        <w:rPr>
          <w:spacing w:val="-5"/>
          <w:w w:val="101"/>
        </w:rPr>
        <w:t>信</w:t>
      </w:r>
      <w:r>
        <w:rPr>
          <w:w w:val="101"/>
        </w:rPr>
        <w:t>息</w:t>
      </w:r>
      <w:r>
        <w:rPr>
          <w:spacing w:val="-5"/>
          <w:w w:val="101"/>
        </w:rPr>
        <w:t>技</w:t>
      </w:r>
      <w:r>
        <w:rPr>
          <w:w w:val="101"/>
        </w:rPr>
        <w:t>术服</w:t>
      </w:r>
      <w:r>
        <w:rPr>
          <w:w w:val="101"/>
        </w:rPr>
        <w:t> 务业</w:t>
      </w:r>
      <w:r>
        <w:rPr>
          <w:rFonts w:ascii="宋体" w:hAnsi="宋体" w:cs="宋体" w:eastAsia="宋体" w:hint="default"/>
          <w:spacing w:val="-96"/>
          <w:w w:val="101"/>
        </w:rPr>
        <w:t>”</w:t>
      </w:r>
      <w:r>
        <w:rPr>
          <w:w w:val="101"/>
        </w:rPr>
        <w:t>。</w:t>
      </w:r>
      <w:r>
        <w:rPr/>
      </w:r>
    </w:p>
    <w:p>
      <w:pPr>
        <w:pStyle w:val="BodyText"/>
        <w:spacing w:line="326" w:lineRule="auto" w:before="154"/>
        <w:ind w:right="0" w:firstLine="360"/>
        <w:jc w:val="left"/>
      </w:pPr>
      <w:r>
        <w:rPr>
          <w:spacing w:val="-6"/>
        </w:rPr>
        <w:t>公司经营范围：计算机技术开发、技术服务；计算机检测控制系统的研究；建筑行业工程设计；监控系统的设计、安装；</w:t>
      </w:r>
      <w:r>
        <w:rPr>
          <w:w w:val="101"/>
        </w:rPr>
        <w:t> </w:t>
      </w:r>
      <w:r>
        <w:rPr>
          <w:spacing w:val="-4"/>
        </w:rPr>
        <w:t>互联网信息服务；第二类增值电信业务中的信息服务业务；信息系统集成服务；计算机网络系统工程服务；电子产品及配件</w:t>
      </w:r>
      <w:r>
        <w:rPr>
          <w:spacing w:val="40"/>
        </w:rPr>
        <w:t> </w:t>
      </w:r>
      <w:r>
        <w:rPr>
          <w:spacing w:val="40"/>
        </w:rPr>
      </w:r>
      <w:r>
        <w:rPr>
          <w:spacing w:val="-3"/>
        </w:rPr>
        <w:t>的技术咨询服务；监控系统工程安装服务；计算机检测控制系统的技术咨询服务；防盗系统的设计、安装；电子产品生产；</w:t>
      </w:r>
      <w:r>
        <w:rPr>
          <w:spacing w:val="61"/>
        </w:rPr>
        <w:t> </w:t>
      </w:r>
      <w:r>
        <w:rPr>
          <w:spacing w:val="61"/>
        </w:rPr>
      </w:r>
      <w:r>
        <w:rPr>
          <w:spacing w:val="-3"/>
        </w:rPr>
        <w:t>工业自动控制系统装置制造；计算机、办公设备和专用设备维修；建设工程施工；监控系统的维护；电子产品、网络技术、</w:t>
      </w:r>
      <w:r>
        <w:rPr>
          <w:spacing w:val="61"/>
        </w:rPr>
        <w:t> </w:t>
      </w:r>
      <w:r>
        <w:rPr>
          <w:spacing w:val="61"/>
        </w:rPr>
      </w:r>
      <w:r>
        <w:rPr>
          <w:spacing w:val="-4"/>
          <w:w w:val="101"/>
        </w:rPr>
        <w:t>通讯产品、通讯技术的研发；计算机软件、计算机检测控制系统、家用电器、办公用品的销售。（依法须经批准的项目，经</w:t>
      </w:r>
      <w:r>
        <w:rPr>
          <w:w w:val="101"/>
        </w:rPr>
        <w:t> </w:t>
      </w:r>
      <w:r>
        <w:rPr>
          <w:spacing w:val="-3"/>
        </w:rPr>
        <w:t>相关部门批准后方可开展经营活动）</w:t>
      </w:r>
    </w:p>
    <w:p>
      <w:pPr>
        <w:pStyle w:val="BodyText"/>
        <w:spacing w:line="424" w:lineRule="auto" w:before="141"/>
        <w:ind w:left="512" w:right="0"/>
        <w:jc w:val="left"/>
      </w:pPr>
      <w:r>
        <w:rPr>
          <w:rFonts w:ascii="Times New Roman" w:hAnsi="Times New Roman" w:cs="Times New Roman" w:eastAsia="Times New Roman" w:hint="default"/>
          <w:spacing w:val="-3"/>
        </w:rPr>
        <w:t>3</w:t>
      </w:r>
      <w:r>
        <w:rPr>
          <w:spacing w:val="-3"/>
        </w:rPr>
        <w:t>、财务报告的批准报出机构和财务报告批准报出日</w:t>
      </w:r>
      <w:r>
        <w:rPr>
          <w:spacing w:val="-17"/>
        </w:rPr>
        <w:t> </w:t>
      </w:r>
      <w:r>
        <w:rPr>
          <w:spacing w:val="-17"/>
        </w:rPr>
      </w:r>
      <w:r>
        <w:rPr>
          <w:spacing w:val="-3"/>
        </w:rPr>
        <w:t>公司财务报告的批准报出机构为公司董事会，财务报告批准报出日为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19</w:t>
      </w:r>
      <w:r>
        <w:rPr>
          <w:spacing w:val="-3"/>
        </w:rPr>
        <w:t>日。</w:t>
      </w:r>
    </w:p>
    <w:p>
      <w:pPr>
        <w:pStyle w:val="BodyText"/>
        <w:spacing w:line="328" w:lineRule="auto" w:before="39"/>
        <w:ind w:right="0" w:firstLine="360"/>
        <w:jc w:val="left"/>
      </w:pPr>
      <w:r>
        <w:rPr>
          <w:spacing w:val="-4"/>
        </w:rPr>
        <w:t>本公司合并财务报表的合并范围以控制为基础确定，包括本公司及全部子公司的财务报表。子公司，是指被本公司控制</w:t>
      </w:r>
      <w:r>
        <w:rPr>
          <w:w w:val="101"/>
        </w:rPr>
        <w:t> </w:t>
      </w:r>
      <w:r>
        <w:rPr>
          <w:spacing w:val="-3"/>
        </w:rPr>
        <w:t>的企业或主体。</w:t>
      </w:r>
      <w:r>
        <w:rPr/>
      </w:r>
    </w:p>
    <w:p>
      <w:pPr>
        <w:pStyle w:val="BodyText"/>
        <w:spacing w:line="328" w:lineRule="auto" w:before="14"/>
        <w:ind w:right="194" w:firstLine="360"/>
        <w:jc w:val="both"/>
      </w:pPr>
      <w:r>
        <w:rPr>
          <w:spacing w:val="-5"/>
          <w:w w:val="101"/>
        </w:rPr>
        <w:t>公司将北京科创鑫源信息技术有限公司、永兴科创南方技术服务有限公司和湖南科创信息系统集成有限公司纳入合并财 </w:t>
      </w:r>
      <w:r>
        <w:rPr>
          <w:spacing w:val="-3"/>
        </w:rPr>
        <w:t>务报表范围。合并财务报表范围发生变化的详细情况见本财务报表附注</w:t>
      </w:r>
      <w:r>
        <w:rPr>
          <w:rFonts w:ascii="宋体" w:hAnsi="宋体" w:cs="宋体" w:eastAsia="宋体" w:hint="default"/>
          <w:spacing w:val="-3"/>
        </w:rPr>
        <w:t>“</w:t>
      </w:r>
      <w:r>
        <w:rPr>
          <w:spacing w:val="-3"/>
        </w:rPr>
        <w:t>七、报告期合并范围的变动</w:t>
      </w:r>
      <w:r>
        <w:rPr>
          <w:rFonts w:ascii="宋体" w:hAnsi="宋体" w:cs="宋体" w:eastAsia="宋体" w:hint="default"/>
          <w:spacing w:val="-3"/>
        </w:rPr>
        <w:t>”</w:t>
      </w:r>
      <w:r>
        <w:rPr>
          <w:spacing w:val="-3"/>
        </w:rPr>
        <w:t>和 </w:t>
      </w:r>
      <w:r>
        <w:rPr>
          <w:rFonts w:ascii="宋体" w:hAnsi="宋体" w:cs="宋体" w:eastAsia="宋体" w:hint="default"/>
          <w:spacing w:val="-3"/>
        </w:rPr>
        <w:t>“</w:t>
      </w:r>
      <w:r>
        <w:rPr>
          <w:spacing w:val="-3"/>
        </w:rPr>
        <w:t>八、在其他主</w:t>
      </w:r>
      <w:r>
        <w:rPr>
          <w:spacing w:val="-19"/>
        </w:rPr>
        <w:t> </w:t>
      </w:r>
      <w:r>
        <w:rPr>
          <w:spacing w:val="-19"/>
        </w:rPr>
      </w:r>
      <w:r>
        <w:rPr>
          <w:spacing w:val="-15"/>
          <w:w w:val="101"/>
        </w:rPr>
        <w:t>体中的权益</w:t>
      </w:r>
      <w:r>
        <w:rPr>
          <w:rFonts w:ascii="宋体" w:hAnsi="宋体" w:cs="宋体" w:eastAsia="宋体" w:hint="default"/>
          <w:spacing w:val="-15"/>
          <w:w w:val="101"/>
        </w:rPr>
        <w:t>”</w:t>
      </w:r>
      <w:r>
        <w:rPr>
          <w:spacing w:val="-15"/>
          <w:w w:val="101"/>
        </w:rPr>
        <w:t>。</w:t>
      </w:r>
      <w:r>
        <w:rPr>
          <w:spacing w:val="-15"/>
        </w:rPr>
      </w:r>
    </w:p>
    <w:p>
      <w:pPr>
        <w:spacing w:line="240" w:lineRule="auto" w:before="9"/>
        <w:rPr>
          <w:rFonts w:ascii="宋体" w:hAnsi="宋体" w:cs="宋体" w:eastAsia="宋体" w:hint="default"/>
          <w:sz w:val="20"/>
          <w:szCs w:val="20"/>
        </w:rPr>
      </w:pPr>
    </w:p>
    <w:p>
      <w:pPr>
        <w:pStyle w:val="Heading2"/>
        <w:spacing w:line="240" w:lineRule="auto"/>
        <w:ind w:right="6663"/>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6663"/>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7"/>
          <w:szCs w:val="27"/>
        </w:rPr>
      </w:pPr>
    </w:p>
    <w:p>
      <w:pPr>
        <w:pStyle w:val="BodyText"/>
        <w:spacing w:line="328" w:lineRule="auto"/>
        <w:ind w:right="0" w:firstLine="360"/>
        <w:jc w:val="left"/>
        <w:rPr>
          <w:rFonts w:ascii="宋体" w:hAnsi="宋体" w:cs="宋体" w:eastAsia="宋体" w:hint="default"/>
        </w:rPr>
      </w:pPr>
      <w:r>
        <w:rPr>
          <w:spacing w:val="-4"/>
        </w:rPr>
        <w:t>本财务报表以公司持续经营假设为基础，根据实际发生的交易事项，按照企业会计准则的有关规定，并基于以下所述重</w:t>
      </w:r>
      <w:r>
        <w:rPr>
          <w:w w:val="101"/>
        </w:rPr>
        <w:t> </w:t>
      </w:r>
      <w:r>
        <w:rPr>
          <w:spacing w:val="-3"/>
        </w:rPr>
        <w:t>要会计政策、会计估计进行编制。</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6663"/>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12" w:right="0"/>
        <w:jc w:val="left"/>
        <w:rPr>
          <w:rFonts w:ascii="宋体" w:hAnsi="宋体" w:cs="宋体" w:eastAsia="宋体" w:hint="default"/>
        </w:rPr>
      </w:pPr>
      <w:r>
        <w:rPr>
          <w:spacing w:val="-3"/>
        </w:rPr>
        <w:t>本公司自本报告期末起</w:t>
      </w:r>
      <w:r>
        <w:rPr>
          <w:rFonts w:ascii="Times New Roman" w:hAnsi="Times New Roman" w:cs="Times New Roman" w:eastAsia="Times New Roman" w:hint="default"/>
          <w:spacing w:val="-3"/>
        </w:rPr>
        <w:t>12</w:t>
      </w:r>
      <w:r>
        <w:rPr>
          <w:spacing w:val="-3"/>
        </w:rPr>
        <w:t>个月内具备持续经营能力，不存在导致持续经营能力产生重大怀疑的事项。</w:t>
      </w:r>
      <w:r>
        <w:rPr>
          <w:rFonts w:ascii="宋体" w:hAnsi="宋体" w:cs="宋体" w:eastAsia="宋体" w:hint="default"/>
        </w:rPr>
        <w:t> </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pStyle w:val="BodyText"/>
        <w:spacing w:line="367" w:lineRule="auto"/>
        <w:ind w:right="6663"/>
        <w:jc w:val="left"/>
      </w:pPr>
      <w:r>
        <w:rPr>
          <w:spacing w:val="-3"/>
        </w:rPr>
        <w:t>公司是否需要遵守特殊行业的披露要求</w:t>
      </w:r>
      <w:r>
        <w:rPr>
          <w:spacing w:val="-44"/>
        </w:rPr>
        <w:t> </w:t>
      </w:r>
      <w:r>
        <w:rPr>
          <w:spacing w:val="-44"/>
        </w:rPr>
      </w:r>
      <w:r>
        <w:rPr/>
        <w:t>否</w:t>
      </w:r>
    </w:p>
    <w:p>
      <w:pPr>
        <w:pStyle w:val="BodyText"/>
        <w:spacing w:line="240" w:lineRule="auto" w:before="29"/>
        <w:ind w:right="6663"/>
        <w:jc w:val="left"/>
      </w:pPr>
      <w:r>
        <w:rPr>
          <w:spacing w:val="-3"/>
        </w:rPr>
        <w:t>具体会计政策和会计估计提示：</w:t>
      </w:r>
    </w:p>
    <w:p>
      <w:pPr>
        <w:spacing w:after="0" w:line="240" w:lineRule="auto"/>
        <w:jc w:val="left"/>
        <w:sectPr>
          <w:headerReference w:type="default" r:id="rId18"/>
          <w:footerReference w:type="default" r:id="rId19"/>
          <w:pgSz w:w="11910" w:h="16840"/>
          <w:pgMar w:header="914" w:footer="1027" w:top="1100" w:bottom="1220" w:left="980" w:right="940"/>
          <w:pgNumType w:start="90"/>
        </w:sectPr>
      </w:pPr>
    </w:p>
    <w:p>
      <w:pPr>
        <w:spacing w:line="240" w:lineRule="auto" w:before="10"/>
        <w:rPr>
          <w:rFonts w:ascii="宋体" w:hAnsi="宋体" w:cs="宋体" w:eastAsia="宋体" w:hint="default"/>
          <w:sz w:val="20"/>
          <w:szCs w:val="20"/>
        </w:rPr>
      </w:pPr>
    </w:p>
    <w:p>
      <w:pPr>
        <w:pStyle w:val="BodyText"/>
        <w:spacing w:line="328" w:lineRule="auto" w:before="46"/>
        <w:ind w:right="184" w:firstLine="360"/>
        <w:jc w:val="both"/>
        <w:rPr>
          <w:rFonts w:ascii="宋体" w:hAnsi="宋体" w:cs="宋体" w:eastAsia="宋体" w:hint="default"/>
          <w:sz w:val="21"/>
          <w:szCs w:val="21"/>
        </w:rPr>
      </w:pPr>
      <w:r>
        <w:rPr>
          <w:spacing w:val="-4"/>
        </w:rPr>
        <w:t>本公司对应收款项坏账准备计提、固定资产折旧、无形资产摊销、收入确认等交易或事项制定了具体会计政策和会计估</w:t>
      </w:r>
      <w:r>
        <w:rPr>
          <w:w w:val="101"/>
        </w:rPr>
        <w:t> </w:t>
      </w:r>
      <w:r>
        <w:rPr>
          <w:spacing w:val="-3"/>
        </w:rPr>
        <w:t>计。</w:t>
      </w:r>
      <w:r>
        <w:rPr>
          <w:rFonts w:ascii="宋体" w:hAnsi="宋体" w:cs="宋体" w:eastAsia="宋体" w:hint="default"/>
          <w:w w:val="100"/>
          <w:sz w:val="21"/>
          <w:szCs w:val="21"/>
        </w:rPr>
        <w:t> </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right="185" w:firstLine="422"/>
        <w:jc w:val="both"/>
      </w:pPr>
      <w:r>
        <w:rPr>
          <w:spacing w:val="-2"/>
        </w:rPr>
        <w:t>本公司基于下述编制基础编制的财务报表符合财政部已颁布的最新企业会计准则及其应用指南、解释以及其他相关规</w:t>
      </w:r>
      <w:r>
        <w:rPr>
          <w:w w:val="101"/>
        </w:rPr>
        <w:t> </w:t>
      </w:r>
      <w:r>
        <w:rPr>
          <w:spacing w:val="-3"/>
        </w:rPr>
        <w:t>定</w:t>
      </w:r>
      <w:r>
        <w:rPr>
          <w:rFonts w:ascii="Times New Roman" w:hAnsi="Times New Roman" w:cs="Times New Roman" w:eastAsia="Times New Roman" w:hint="default"/>
          <w:spacing w:val="-3"/>
        </w:rPr>
        <w:t>(</w:t>
      </w:r>
      <w:r>
        <w:rPr>
          <w:spacing w:val="-3"/>
        </w:rPr>
        <w:t>统称</w:t>
      </w:r>
      <w:r>
        <w:rPr>
          <w:rFonts w:ascii="宋体" w:hAnsi="宋体" w:cs="宋体" w:eastAsia="宋体" w:hint="default"/>
          <w:spacing w:val="-3"/>
        </w:rPr>
        <w:t>“</w:t>
      </w:r>
      <w:r>
        <w:rPr>
          <w:spacing w:val="-3"/>
        </w:rPr>
        <w:t>企业会计准则</w:t>
      </w:r>
      <w:r>
        <w:rPr>
          <w:rFonts w:ascii="宋体" w:hAnsi="宋体" w:cs="宋体" w:eastAsia="宋体" w:hint="default"/>
          <w:spacing w:val="-3"/>
        </w:rPr>
        <w:t>”</w:t>
      </w:r>
      <w:r>
        <w:rPr>
          <w:rFonts w:ascii="Times New Roman" w:hAnsi="Times New Roman" w:cs="Times New Roman" w:eastAsia="Times New Roman" w:hint="default"/>
          <w:spacing w:val="-3"/>
        </w:rPr>
        <w:t>)</w:t>
      </w:r>
      <w:r>
        <w:rPr>
          <w:spacing w:val="-3"/>
        </w:rPr>
        <w:t>的要求，真实完整地反映了合并及公司的财务状况、经营成果和现金流量等有关信息。</w:t>
      </w:r>
      <w:r>
        <w:rPr/>
      </w:r>
    </w:p>
    <w:p>
      <w:pPr>
        <w:pStyle w:val="BodyText"/>
        <w:spacing w:line="309" w:lineRule="auto" w:before="118"/>
        <w:ind w:right="194" w:firstLine="273"/>
        <w:jc w:val="both"/>
        <w:rPr>
          <w:rFonts w:ascii="宋体" w:hAnsi="宋体" w:cs="宋体" w:eastAsia="宋体" w:hint="default"/>
        </w:rPr>
      </w:pPr>
      <w:r>
        <w:rPr>
          <w:spacing w:val="-3"/>
        </w:rPr>
        <w:t>此外，本公司的财务报表在所有重大方面符合中国证券监督管理委员会</w:t>
      </w:r>
      <w:r>
        <w:rPr>
          <w:rFonts w:ascii="Times New Roman" w:hAnsi="Times New Roman" w:cs="Times New Roman" w:eastAsia="Times New Roman" w:hint="default"/>
          <w:spacing w:val="-3"/>
        </w:rPr>
        <w:t>2014</w:t>
      </w:r>
      <w:r>
        <w:rPr>
          <w:spacing w:val="-3"/>
        </w:rPr>
        <w:t>年修订的《公开发行证券的公司信息披露编</w:t>
      </w:r>
      <w:r>
        <w:rPr>
          <w:spacing w:val="-5"/>
          <w:w w:val="101"/>
        </w:rPr>
        <w:t> </w:t>
      </w:r>
      <w:r>
        <w:rPr>
          <w:spacing w:val="-3"/>
        </w:rPr>
        <w:t>报规则第</w:t>
      </w:r>
      <w:r>
        <w:rPr>
          <w:rFonts w:ascii="Times New Roman" w:hAnsi="Times New Roman" w:cs="Times New Roman" w:eastAsia="Times New Roman" w:hint="default"/>
          <w:spacing w:val="-3"/>
        </w:rPr>
        <w:t>15</w:t>
      </w:r>
      <w:r>
        <w:rPr>
          <w:spacing w:val="-3"/>
        </w:rPr>
        <w:t>号</w:t>
      </w:r>
      <w:r>
        <w:rPr>
          <w:rFonts w:ascii="宋体" w:hAnsi="宋体" w:cs="宋体" w:eastAsia="宋体" w:hint="default"/>
          <w:spacing w:val="-3"/>
        </w:rPr>
        <w:t>—</w:t>
      </w:r>
      <w:r>
        <w:rPr>
          <w:spacing w:val="-3"/>
        </w:rPr>
        <w:t>财务报告的一般规定》有关财务报表及其附注的披露要求。</w:t>
      </w:r>
      <w:r>
        <w:rPr>
          <w:rFonts w:ascii="宋体" w:hAnsi="宋体" w:cs="宋体" w:eastAsia="宋体" w:hint="default"/>
        </w:rPr>
        <w:t> </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512" w:right="0"/>
        <w:jc w:val="left"/>
      </w:pPr>
      <w:r>
        <w:rPr>
          <w:spacing w:val="-3"/>
        </w:rPr>
        <w:t>本公司的会计年度从公历</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r>
    </w:p>
    <w:p>
      <w:pPr>
        <w:spacing w:line="240" w:lineRule="auto" w:before="4"/>
        <w:rPr>
          <w:rFonts w:ascii="宋体" w:hAnsi="宋体" w:cs="宋体" w:eastAsia="宋体" w:hint="default"/>
          <w:sz w:val="26"/>
          <w:szCs w:val="26"/>
        </w:rPr>
      </w:pPr>
    </w:p>
    <w:p>
      <w:pPr>
        <w:pStyle w:val="Heading4"/>
        <w:spacing w:line="240" w:lineRule="auto"/>
        <w:ind w:right="0"/>
        <w:jc w:val="both"/>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7"/>
          <w:szCs w:val="27"/>
        </w:rPr>
      </w:pPr>
    </w:p>
    <w:p>
      <w:pPr>
        <w:pStyle w:val="BodyText"/>
        <w:spacing w:line="304" w:lineRule="auto"/>
        <w:ind w:right="99" w:firstLine="360"/>
        <w:jc w:val="both"/>
        <w:rPr>
          <w:rFonts w:ascii="宋体" w:hAnsi="宋体" w:cs="宋体" w:eastAsia="宋体" w:hint="default"/>
        </w:rPr>
      </w:pPr>
      <w:r>
        <w:rPr>
          <w:spacing w:val="-6"/>
          <w:w w:val="101"/>
        </w:rPr>
        <w:t>正常营业周期，是指企业从购买用于加工的资产起至实现现金或现金等价物的期间。本公司以</w:t>
      </w:r>
      <w:r>
        <w:rPr>
          <w:rFonts w:ascii="Times New Roman" w:hAnsi="Times New Roman" w:cs="Times New Roman" w:eastAsia="Times New Roman" w:hint="default"/>
          <w:spacing w:val="-6"/>
          <w:w w:val="101"/>
        </w:rPr>
        <w:t>12</w:t>
      </w:r>
      <w:r>
        <w:rPr>
          <w:spacing w:val="-6"/>
          <w:w w:val="101"/>
        </w:rPr>
        <w:t>个月作为正常营业周期，</w:t>
      </w:r>
      <w:r>
        <w:rPr>
          <w:w w:val="101"/>
        </w:rPr>
        <w:t> </w:t>
      </w:r>
      <w:r>
        <w:rPr>
          <w:spacing w:val="-3"/>
        </w:rPr>
        <w:t>并以其作为资产与负债流动性划分的标准。</w:t>
      </w:r>
      <w:r>
        <w:rPr>
          <w:rFonts w:ascii="宋体" w:hAnsi="宋体" w:cs="宋体" w:eastAsia="宋体" w:hint="default"/>
        </w:rPr>
        <w:t> </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12" w:right="0"/>
        <w:jc w:val="left"/>
        <w:rPr>
          <w:rFonts w:ascii="宋体" w:hAnsi="宋体" w:cs="宋体" w:eastAsia="宋体" w:hint="default"/>
        </w:rPr>
      </w:pPr>
      <w:r>
        <w:rPr>
          <w:spacing w:val="-3"/>
        </w:rPr>
        <w:t>本公司采用人民币作为记账本位币。</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both"/>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7"/>
          <w:szCs w:val="27"/>
        </w:rPr>
      </w:pPr>
    </w:p>
    <w:p>
      <w:pPr>
        <w:pStyle w:val="BodyText"/>
        <w:spacing w:line="420" w:lineRule="auto"/>
        <w:ind w:left="512" w:right="0"/>
        <w:jc w:val="left"/>
      </w:pPr>
      <w:r>
        <w:rPr>
          <w:rFonts w:ascii="Times New Roman" w:hAnsi="Times New Roman" w:cs="Times New Roman" w:eastAsia="Times New Roman" w:hint="default"/>
          <w:spacing w:val="-3"/>
        </w:rPr>
        <w:t>1</w:t>
      </w:r>
      <w:r>
        <w:rPr>
          <w:spacing w:val="-3"/>
        </w:rPr>
        <w:t>、同一控制下企业合并的会计处理方法</w:t>
      </w:r>
      <w:r>
        <w:rPr>
          <w:spacing w:val="-39"/>
        </w:rPr>
        <w:t> </w:t>
      </w:r>
      <w:r>
        <w:rPr>
          <w:spacing w:val="-39"/>
        </w:rPr>
      </w:r>
      <w:r>
        <w:rPr>
          <w:spacing w:val="-5"/>
        </w:rPr>
        <w:t>本公司在一次交易取得或通过多次交易分步实现同一控制下企业合并，企业合并中取得的资产和负债，按照合并日在被</w:t>
      </w:r>
    </w:p>
    <w:p>
      <w:pPr>
        <w:pStyle w:val="BodyText"/>
        <w:spacing w:line="187" w:lineRule="exact"/>
        <w:ind w:right="0"/>
        <w:jc w:val="both"/>
      </w:pPr>
      <w:r>
        <w:rPr>
          <w:spacing w:val="-4"/>
        </w:rPr>
        <w:t>合并方在最终控制方合并财务报表中的的账面价值计量。本公司取得的净资产账面价值与支付的合并对价账面价值（或发行</w:t>
      </w:r>
    </w:p>
    <w:p>
      <w:pPr>
        <w:pStyle w:val="BodyText"/>
        <w:spacing w:line="240" w:lineRule="auto" w:before="86"/>
        <w:ind w:right="0"/>
        <w:jc w:val="both"/>
        <w:rPr>
          <w:rFonts w:ascii="宋体" w:hAnsi="宋体" w:cs="宋体" w:eastAsia="宋体" w:hint="default"/>
        </w:rPr>
      </w:pPr>
      <w:r>
        <w:rPr>
          <w:spacing w:val="-3"/>
        </w:rPr>
        <w:t>股份面值总额）的差额，调整资本公积；资本公积不足冲减的，调整留存收益。</w:t>
      </w:r>
      <w:r>
        <w:rPr>
          <w:rFonts w:ascii="宋体" w:hAnsi="宋体" w:cs="宋体" w:eastAsia="宋体" w:hint="default"/>
        </w:rPr>
        <w:t> </w:t>
      </w:r>
    </w:p>
    <w:p>
      <w:pPr>
        <w:pStyle w:val="BodyText"/>
        <w:spacing w:line="420" w:lineRule="atLeast" w:before="35"/>
        <w:ind w:left="512" w:right="0"/>
        <w:jc w:val="left"/>
      </w:pPr>
      <w:r>
        <w:rPr>
          <w:rFonts w:ascii="Times New Roman" w:hAnsi="Times New Roman" w:cs="Times New Roman" w:eastAsia="Times New Roman" w:hint="default"/>
          <w:spacing w:val="-3"/>
        </w:rPr>
        <w:t>2</w:t>
      </w:r>
      <w:r>
        <w:rPr>
          <w:spacing w:val="-3"/>
        </w:rPr>
        <w:t>、非同一控制下企业合并的会计处理方法</w:t>
      </w:r>
      <w:r>
        <w:rPr>
          <w:spacing w:val="-29"/>
        </w:rPr>
        <w:t> </w:t>
      </w:r>
      <w:r>
        <w:rPr>
          <w:spacing w:val="-29"/>
        </w:rPr>
      </w:r>
      <w:r>
        <w:rPr>
          <w:spacing w:val="-5"/>
        </w:rPr>
        <w:t>本公司在购买日对合并成本大于合并中取得的被购买方可辨认净资产公允价值份额的差额，确认为商誉；如果合并成本</w:t>
      </w:r>
    </w:p>
    <w:p>
      <w:pPr>
        <w:pStyle w:val="BodyText"/>
        <w:spacing w:line="326" w:lineRule="auto" w:before="86"/>
        <w:ind w:right="184"/>
        <w:jc w:val="both"/>
        <w:rPr>
          <w:rFonts w:ascii="宋体" w:hAnsi="宋体" w:cs="宋体" w:eastAsia="宋体" w:hint="default"/>
        </w:rPr>
      </w:pPr>
      <w:r>
        <w:rPr>
          <w:spacing w:val="-4"/>
        </w:rPr>
        <w:t>小于合并中取得的被购买方可辨认净资产公允价值份额，首先对取得的被购买方各项可辨认资产、负债及或有负债的公允价</w:t>
      </w:r>
      <w:r>
        <w:rPr>
          <w:spacing w:val="43"/>
        </w:rPr>
        <w:t> </w:t>
      </w:r>
      <w:r>
        <w:rPr>
          <w:spacing w:val="43"/>
        </w:rPr>
      </w:r>
      <w:r>
        <w:rPr>
          <w:spacing w:val="-4"/>
        </w:rPr>
        <w:t>值以及合并成本的计量进行复核，经复核后合并成本仍小于合并中取得的被购买方可辨认净资产公允价值份额的，其差额计</w:t>
      </w:r>
      <w:r>
        <w:rPr>
          <w:spacing w:val="44"/>
        </w:rPr>
        <w:t> </w:t>
      </w:r>
      <w:r>
        <w:rPr>
          <w:spacing w:val="44"/>
        </w:rPr>
      </w:r>
      <w:r>
        <w:rPr>
          <w:spacing w:val="-3"/>
        </w:rPr>
        <w:t>入当期损益。</w:t>
      </w:r>
      <w:r>
        <w:rPr>
          <w:rFonts w:ascii="宋体" w:hAnsi="宋体" w:cs="宋体" w:eastAsia="宋体" w:hint="default"/>
        </w:rPr>
        <w:t> </w:t>
      </w:r>
    </w:p>
    <w:p>
      <w:pPr>
        <w:pStyle w:val="BodyText"/>
        <w:spacing w:line="240" w:lineRule="auto" w:before="141"/>
        <w:ind w:left="512" w:right="0"/>
        <w:jc w:val="left"/>
        <w:rPr>
          <w:rFonts w:ascii="宋体" w:hAnsi="宋体" w:cs="宋体" w:eastAsia="宋体" w:hint="default"/>
        </w:rPr>
      </w:pPr>
      <w:r>
        <w:rPr>
          <w:spacing w:val="-3"/>
        </w:rPr>
        <w:t>通过多次交易分步实现非同一控制下企业合并，应按以下顺序处理：</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21" w:lineRule="auto"/>
        <w:ind w:right="189" w:firstLine="360"/>
        <w:jc w:val="both"/>
      </w:pPr>
      <w:r>
        <w:rPr>
          <w:spacing w:val="-3"/>
        </w:rPr>
        <w:t>（</w:t>
      </w:r>
      <w:r>
        <w:rPr>
          <w:rFonts w:ascii="Times New Roman" w:hAnsi="Times New Roman" w:cs="Times New Roman" w:eastAsia="Times New Roman" w:hint="default"/>
          <w:spacing w:val="-3"/>
        </w:rPr>
        <w:t>1</w:t>
      </w:r>
      <w:r>
        <w:rPr>
          <w:spacing w:val="-3"/>
        </w:rPr>
        <w:t>）调整长期股权投资初始投资成本。购买日之前持有股权采用权益法核算的，按照该股权在购买日的公允价值进行</w:t>
      </w:r>
      <w:r>
        <w:rPr>
          <w:w w:val="101"/>
        </w:rPr>
        <w:t> </w:t>
      </w:r>
      <w:r>
        <w:rPr>
          <w:spacing w:val="-4"/>
        </w:rPr>
        <w:t>重新计量，公允价值与其账面价值的差额计入当期投资收益；购买日之前持有的被购买方的股权涉及权益法核算下的其他综</w:t>
      </w:r>
      <w:r>
        <w:rPr>
          <w:spacing w:val="39"/>
        </w:rPr>
        <w:t> </w:t>
      </w:r>
      <w:r>
        <w:rPr>
          <w:spacing w:val="39"/>
        </w:rPr>
      </w:r>
      <w:r>
        <w:rPr>
          <w:spacing w:val="-5"/>
        </w:rPr>
        <w:t>合收益、其他所有者权益变动的，转为购买日所属当期收益，由于被投资方重新计量设定受益计划净负债或净资产变动而产</w:t>
      </w:r>
      <w:r>
        <w:rPr>
          <w:spacing w:val="2"/>
        </w:rPr>
        <w:t> </w:t>
      </w:r>
      <w:r>
        <w:rPr>
          <w:spacing w:val="2"/>
        </w:rPr>
      </w:r>
      <w:r>
        <w:rPr>
          <w:spacing w:val="-3"/>
        </w:rPr>
        <w:t>生的其他综合收益除外。</w:t>
      </w:r>
      <w:r>
        <w:rPr/>
      </w:r>
    </w:p>
    <w:p>
      <w:pPr>
        <w:pStyle w:val="BodyText"/>
        <w:spacing w:line="309" w:lineRule="auto" w:before="145"/>
        <w:ind w:right="194" w:firstLine="360"/>
        <w:jc w:val="both"/>
      </w:pPr>
      <w:r>
        <w:rPr>
          <w:spacing w:val="-6"/>
          <w:w w:val="101"/>
        </w:rPr>
        <w:t>（</w:t>
      </w:r>
      <w:r>
        <w:rPr>
          <w:rFonts w:ascii="Times New Roman" w:hAnsi="Times New Roman" w:cs="Times New Roman" w:eastAsia="Times New Roman" w:hint="default"/>
          <w:spacing w:val="-6"/>
          <w:w w:val="101"/>
        </w:rPr>
        <w:t>2</w:t>
      </w:r>
      <w:r>
        <w:rPr>
          <w:spacing w:val="-6"/>
          <w:w w:val="101"/>
        </w:rPr>
        <w:t>）确认商誉（或计入当期损益的金额）。将第一步调整后长期股权投资初始投资成本与购买日应享有子公司可辨认净</w:t>
      </w:r>
      <w:r>
        <w:rPr>
          <w:spacing w:val="-5"/>
          <w:w w:val="101"/>
        </w:rPr>
        <w:t> </w:t>
      </w:r>
      <w:r>
        <w:rPr>
          <w:spacing w:val="-3"/>
        </w:rPr>
        <w:t>资产公允价值份额比较，前者大于后者，差额确认为商誉；前者小于后者，差额计入当期损益。</w:t>
      </w:r>
      <w:r>
        <w:rPr/>
      </w:r>
    </w:p>
    <w:p>
      <w:pPr>
        <w:spacing w:after="0" w:line="309" w:lineRule="auto"/>
        <w:jc w:val="both"/>
        <w:sectPr>
          <w:pgSz w:w="11910" w:h="16840"/>
          <w:pgMar w:header="914" w:footer="1027" w:top="1120" w:bottom="1220" w:left="980" w:right="940"/>
        </w:sectPr>
      </w:pPr>
    </w:p>
    <w:p>
      <w:pPr>
        <w:spacing w:line="240" w:lineRule="auto" w:before="10"/>
        <w:rPr>
          <w:rFonts w:ascii="宋体" w:hAnsi="宋体" w:cs="宋体" w:eastAsia="宋体" w:hint="default"/>
          <w:sz w:val="20"/>
          <w:szCs w:val="20"/>
        </w:rPr>
      </w:pPr>
    </w:p>
    <w:p>
      <w:pPr>
        <w:pStyle w:val="BodyText"/>
        <w:spacing w:line="240" w:lineRule="auto" w:before="46"/>
        <w:ind w:left="512" w:right="0"/>
        <w:jc w:val="left"/>
      </w:pPr>
      <w:r>
        <w:rPr>
          <w:rFonts w:ascii="Times New Roman" w:hAnsi="Times New Roman" w:cs="Times New Roman" w:eastAsia="Times New Roman" w:hint="default"/>
          <w:spacing w:val="-3"/>
        </w:rPr>
        <w:t>3</w:t>
      </w:r>
      <w:r>
        <w:rPr>
          <w:spacing w:val="-3"/>
        </w:rPr>
        <w:t>、通过多次交易分步处置股权至丧失对子公司控制权的情形</w:t>
      </w:r>
    </w:p>
    <w:p>
      <w:pPr>
        <w:pStyle w:val="BodyText"/>
        <w:spacing w:line="420" w:lineRule="atLeast" w:before="21"/>
        <w:ind w:left="512" w:right="0"/>
        <w:jc w:val="left"/>
      </w:pPr>
      <w:r>
        <w:rPr>
          <w:spacing w:val="-3"/>
        </w:rPr>
        <w:t>（</w:t>
      </w:r>
      <w:r>
        <w:rPr>
          <w:rFonts w:ascii="Times New Roman" w:hAnsi="Times New Roman" w:cs="Times New Roman" w:eastAsia="Times New Roman" w:hint="default"/>
          <w:spacing w:val="-3"/>
        </w:rPr>
        <w:t>1</w:t>
      </w:r>
      <w:r>
        <w:rPr>
          <w:spacing w:val="-3"/>
        </w:rPr>
        <w:t>）判断分步处置股权至丧失对子公司控制权过程中的各项交易是否属于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的原则</w:t>
      </w:r>
      <w:r>
        <w:rPr>
          <w:spacing w:val="31"/>
        </w:rPr>
        <w:t> </w:t>
      </w:r>
      <w:r>
        <w:rPr>
          <w:spacing w:val="31"/>
        </w:rPr>
      </w:r>
      <w:r>
        <w:rPr>
          <w:spacing w:val="-4"/>
        </w:rPr>
        <w:t>处置对子公司股权投资的各项交易的条款、条件以及经济影响符合以下一种或多种情况，通常表明应将多次交易事项作</w:t>
      </w:r>
    </w:p>
    <w:p>
      <w:pPr>
        <w:pStyle w:val="BodyText"/>
        <w:spacing w:line="240" w:lineRule="auto" w:before="86"/>
        <w:ind w:right="0"/>
        <w:jc w:val="left"/>
        <w:rPr>
          <w:rFonts w:ascii="宋体" w:hAnsi="宋体" w:cs="宋体" w:eastAsia="宋体" w:hint="default"/>
        </w:rPr>
      </w:pPr>
      <w:r>
        <w:rPr>
          <w:spacing w:val="-3"/>
        </w:rPr>
        <w:t>为一揽子交易进行会计处理：</w:t>
      </w:r>
      <w:r>
        <w:rPr>
          <w:rFonts w:ascii="宋体" w:hAnsi="宋体" w:cs="宋体" w:eastAsia="宋体" w:hint="default"/>
        </w:rPr>
        <w:t> </w:t>
      </w:r>
    </w:p>
    <w:p>
      <w:pPr>
        <w:spacing w:line="240" w:lineRule="auto" w:before="5"/>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①这些交易是同时或者在考虑了彼此影响的情况下订立的；</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②这些交易整体才能达成一项完整的商业结果；</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③一项交易的发生取决于其他至少一项交易的发生；</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④一项交易单独看是不经济的，但是和其他交易一并考虑时是经济的。</w:t>
      </w:r>
      <w:r>
        <w:rPr>
          <w:rFonts w:ascii="宋体" w:hAnsi="宋体" w:cs="宋体" w:eastAsia="宋体" w:hint="default"/>
        </w:rPr>
        <w:t> </w:t>
      </w:r>
    </w:p>
    <w:p>
      <w:pPr>
        <w:pStyle w:val="BodyText"/>
        <w:spacing w:line="420" w:lineRule="atLeast" w:before="35"/>
        <w:ind w:left="512" w:right="0"/>
        <w:jc w:val="left"/>
      </w:pPr>
      <w:r>
        <w:rPr>
          <w:spacing w:val="-3"/>
        </w:rPr>
        <w:t>（</w:t>
      </w:r>
      <w:r>
        <w:rPr>
          <w:rFonts w:ascii="Times New Roman" w:hAnsi="Times New Roman" w:cs="Times New Roman" w:eastAsia="Times New Roman" w:hint="default"/>
          <w:spacing w:val="-3"/>
        </w:rPr>
        <w:t>2</w:t>
      </w:r>
      <w:r>
        <w:rPr>
          <w:spacing w:val="-3"/>
        </w:rPr>
        <w:t>）分步处置股权至丧失对子公司控制权过程中的各项交易属于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的会计处理方法</w:t>
      </w:r>
      <w:r>
        <w:rPr>
          <w:spacing w:val="31"/>
        </w:rPr>
        <w:t> </w:t>
      </w:r>
      <w:r>
        <w:rPr>
          <w:spacing w:val="31"/>
        </w:rPr>
      </w:r>
      <w:r>
        <w:rPr>
          <w:spacing w:val="-5"/>
          <w:w w:val="101"/>
        </w:rPr>
        <w:t>处置对子公司股权投资直至丧失控制权的各项交易属于一揽子交易的，应当将各项交易作为一项处置子公司并丧失控制</w:t>
      </w:r>
      <w:r>
        <w:rPr/>
      </w:r>
    </w:p>
    <w:p>
      <w:pPr>
        <w:pStyle w:val="BodyText"/>
        <w:spacing w:line="328" w:lineRule="auto" w:before="86"/>
        <w:ind w:right="0"/>
        <w:jc w:val="left"/>
        <w:rPr>
          <w:rFonts w:ascii="宋体" w:hAnsi="宋体" w:cs="宋体" w:eastAsia="宋体" w:hint="default"/>
        </w:rPr>
      </w:pPr>
      <w:r>
        <w:rPr>
          <w:spacing w:val="-4"/>
        </w:rPr>
        <w:t>权的交易进行会计处理；但是，在丧失控制权之前每一次处置价款与处置投资对应的享有该子公司净资产份额的差额，在合</w:t>
      </w:r>
      <w:r>
        <w:rPr>
          <w:spacing w:val="43"/>
        </w:rPr>
        <w:t> </w:t>
      </w:r>
      <w:r>
        <w:rPr>
          <w:spacing w:val="43"/>
        </w:rPr>
      </w:r>
      <w:r>
        <w:rPr>
          <w:spacing w:val="-3"/>
        </w:rPr>
        <w:t>并财务报表中应当确认为其他综合收益，在丧失控制权时一并转入丧失控制权当期的损益。</w:t>
      </w:r>
      <w:r>
        <w:rPr>
          <w:rFonts w:ascii="宋体" w:hAnsi="宋体" w:cs="宋体" w:eastAsia="宋体" w:hint="default"/>
        </w:rPr>
        <w:t> </w:t>
      </w:r>
    </w:p>
    <w:p>
      <w:pPr>
        <w:pStyle w:val="BodyText"/>
        <w:spacing w:line="328" w:lineRule="auto" w:before="134"/>
        <w:ind w:right="144" w:firstLine="360"/>
        <w:jc w:val="both"/>
        <w:rPr>
          <w:rFonts w:ascii="宋体" w:hAnsi="宋体" w:cs="宋体" w:eastAsia="宋体" w:hint="default"/>
        </w:rPr>
      </w:pPr>
      <w:r>
        <w:rPr>
          <w:spacing w:val="-4"/>
        </w:rPr>
        <w:t>在合并财务报表中，对于剩余股权，应当按照其在丧失控制权日的公允价值进行重新计量。处置股权取得的对价与剩余</w:t>
      </w:r>
      <w:r>
        <w:rPr>
          <w:w w:val="101"/>
        </w:rPr>
        <w:t> </w:t>
      </w:r>
      <w:r>
        <w:rPr>
          <w:spacing w:val="-4"/>
        </w:rPr>
        <w:t>股权公允价值之和，减去按原持股比例计算应享有原子公司自购买日开始持续计算的净资产的份额之间的差额，计入丧失控</w:t>
      </w:r>
      <w:r>
        <w:rPr>
          <w:spacing w:val="42"/>
        </w:rPr>
        <w:t> </w:t>
      </w:r>
      <w:r>
        <w:rPr>
          <w:spacing w:val="42"/>
        </w:rPr>
      </w:r>
      <w:r>
        <w:rPr>
          <w:spacing w:val="-3"/>
        </w:rPr>
        <w:t>制权当期的投资收益。与原子公司股权投资相关的其他综合收益，应当在丧失控制权时转为当期投资收益。</w:t>
      </w:r>
      <w:r>
        <w:rPr>
          <w:rFonts w:ascii="宋体" w:hAnsi="宋体" w:cs="宋体" w:eastAsia="宋体" w:hint="default"/>
        </w:rPr>
        <w:t> </w:t>
      </w:r>
    </w:p>
    <w:p>
      <w:pPr>
        <w:pStyle w:val="BodyText"/>
        <w:spacing w:line="240" w:lineRule="auto" w:before="139"/>
        <w:ind w:left="512" w:right="0"/>
        <w:jc w:val="left"/>
      </w:pPr>
      <w:r>
        <w:rPr>
          <w:spacing w:val="-3"/>
        </w:rPr>
        <w:t>（</w:t>
      </w:r>
      <w:r>
        <w:rPr>
          <w:rFonts w:ascii="Times New Roman" w:hAnsi="Times New Roman" w:cs="Times New Roman" w:eastAsia="Times New Roman" w:hint="default"/>
          <w:spacing w:val="-3"/>
        </w:rPr>
        <w:t>3</w:t>
      </w:r>
      <w:r>
        <w:rPr>
          <w:spacing w:val="-3"/>
        </w:rPr>
        <w:t>）分步处置股权至丧失对子公司控制权过程中的各项交易不属于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的会计处理方法</w:t>
      </w:r>
    </w:p>
    <w:p>
      <w:pPr>
        <w:spacing w:line="240" w:lineRule="auto" w:before="9"/>
        <w:rPr>
          <w:rFonts w:ascii="宋体" w:hAnsi="宋体" w:cs="宋体" w:eastAsia="宋体" w:hint="default"/>
          <w:sz w:val="14"/>
          <w:szCs w:val="14"/>
        </w:rPr>
      </w:pPr>
    </w:p>
    <w:p>
      <w:pPr>
        <w:pStyle w:val="BodyText"/>
        <w:spacing w:line="328" w:lineRule="auto"/>
        <w:ind w:right="154" w:firstLine="360"/>
        <w:jc w:val="both"/>
        <w:rPr>
          <w:rFonts w:ascii="宋体" w:hAnsi="宋体" w:cs="宋体" w:eastAsia="宋体" w:hint="default"/>
        </w:rPr>
      </w:pPr>
      <w:r>
        <w:rPr>
          <w:w w:val="101"/>
        </w:rPr>
        <w:t>处</w:t>
      </w:r>
      <w:r>
        <w:rPr>
          <w:spacing w:val="-5"/>
          <w:w w:val="101"/>
        </w:rPr>
        <w:t>置</w:t>
      </w:r>
      <w:r>
        <w:rPr>
          <w:w w:val="101"/>
        </w:rPr>
        <w:t>对</w:t>
      </w:r>
      <w:r>
        <w:rPr>
          <w:spacing w:val="-5"/>
          <w:w w:val="101"/>
        </w:rPr>
        <w:t>子</w:t>
      </w:r>
      <w:r>
        <w:rPr>
          <w:w w:val="101"/>
        </w:rPr>
        <w:t>公</w:t>
      </w:r>
      <w:r>
        <w:rPr>
          <w:spacing w:val="-5"/>
          <w:w w:val="101"/>
        </w:rPr>
        <w:t>司</w:t>
      </w:r>
      <w:r>
        <w:rPr>
          <w:w w:val="101"/>
        </w:rPr>
        <w:t>的</w:t>
      </w:r>
      <w:r>
        <w:rPr>
          <w:spacing w:val="-5"/>
          <w:w w:val="101"/>
        </w:rPr>
        <w:t>投</w:t>
      </w:r>
      <w:r>
        <w:rPr>
          <w:w w:val="101"/>
        </w:rPr>
        <w:t>资</w:t>
      </w:r>
      <w:r>
        <w:rPr>
          <w:spacing w:val="-5"/>
          <w:w w:val="101"/>
        </w:rPr>
        <w:t>未</w:t>
      </w:r>
      <w:r>
        <w:rPr>
          <w:w w:val="101"/>
        </w:rPr>
        <w:t>丧</w:t>
      </w:r>
      <w:r>
        <w:rPr>
          <w:spacing w:val="-5"/>
          <w:w w:val="101"/>
        </w:rPr>
        <w:t>失</w:t>
      </w:r>
      <w:r>
        <w:rPr>
          <w:w w:val="101"/>
        </w:rPr>
        <w:t>控</w:t>
      </w:r>
      <w:r>
        <w:rPr>
          <w:spacing w:val="-5"/>
          <w:w w:val="101"/>
        </w:rPr>
        <w:t>制</w:t>
      </w:r>
      <w:r>
        <w:rPr>
          <w:w w:val="101"/>
        </w:rPr>
        <w:t>权</w:t>
      </w:r>
      <w:r>
        <w:rPr>
          <w:spacing w:val="-5"/>
          <w:w w:val="101"/>
        </w:rPr>
        <w:t>的</w:t>
      </w:r>
      <w:r>
        <w:rPr>
          <w:spacing w:val="-82"/>
          <w:w w:val="101"/>
        </w:rPr>
        <w:t>，</w:t>
      </w:r>
      <w:r>
        <w:rPr>
          <w:spacing w:val="-5"/>
          <w:w w:val="101"/>
        </w:rPr>
        <w:t>合</w:t>
      </w:r>
      <w:r>
        <w:rPr>
          <w:w w:val="101"/>
        </w:rPr>
        <w:t>并</w:t>
      </w:r>
      <w:r>
        <w:rPr>
          <w:spacing w:val="-5"/>
          <w:w w:val="101"/>
        </w:rPr>
        <w:t>财</w:t>
      </w:r>
      <w:r>
        <w:rPr>
          <w:w w:val="101"/>
        </w:rPr>
        <w:t>务</w:t>
      </w:r>
      <w:r>
        <w:rPr>
          <w:spacing w:val="-5"/>
          <w:w w:val="101"/>
        </w:rPr>
        <w:t>报</w:t>
      </w:r>
      <w:r>
        <w:rPr>
          <w:w w:val="101"/>
        </w:rPr>
        <w:t>表</w:t>
      </w:r>
      <w:r>
        <w:rPr>
          <w:spacing w:val="-5"/>
          <w:w w:val="101"/>
        </w:rPr>
        <w:t>中</w:t>
      </w:r>
      <w:r>
        <w:rPr>
          <w:w w:val="101"/>
        </w:rPr>
        <w:t>处</w:t>
      </w:r>
      <w:r>
        <w:rPr>
          <w:spacing w:val="-5"/>
          <w:w w:val="101"/>
        </w:rPr>
        <w:t>置价</w:t>
      </w:r>
      <w:r>
        <w:rPr>
          <w:w w:val="101"/>
        </w:rPr>
        <w:t>款</w:t>
      </w:r>
      <w:r>
        <w:rPr>
          <w:spacing w:val="-5"/>
          <w:w w:val="101"/>
        </w:rPr>
        <w:t>与</w:t>
      </w:r>
      <w:r>
        <w:rPr>
          <w:w w:val="101"/>
        </w:rPr>
        <w:t>处</w:t>
      </w:r>
      <w:r>
        <w:rPr>
          <w:spacing w:val="-5"/>
          <w:w w:val="101"/>
        </w:rPr>
        <w:t>置</w:t>
      </w:r>
      <w:r>
        <w:rPr>
          <w:w w:val="101"/>
        </w:rPr>
        <w:t>投</w:t>
      </w:r>
      <w:r>
        <w:rPr>
          <w:spacing w:val="-5"/>
          <w:w w:val="101"/>
        </w:rPr>
        <w:t>资</w:t>
      </w:r>
      <w:r>
        <w:rPr>
          <w:w w:val="101"/>
        </w:rPr>
        <w:t>对</w:t>
      </w:r>
      <w:r>
        <w:rPr>
          <w:spacing w:val="-5"/>
          <w:w w:val="101"/>
        </w:rPr>
        <w:t>应</w:t>
      </w:r>
      <w:r>
        <w:rPr>
          <w:w w:val="101"/>
        </w:rPr>
        <w:t>的</w:t>
      </w:r>
      <w:r>
        <w:rPr>
          <w:spacing w:val="-5"/>
          <w:w w:val="101"/>
        </w:rPr>
        <w:t>享</w:t>
      </w:r>
      <w:r>
        <w:rPr>
          <w:w w:val="101"/>
        </w:rPr>
        <w:t>有</w:t>
      </w:r>
      <w:r>
        <w:rPr>
          <w:spacing w:val="-5"/>
          <w:w w:val="101"/>
        </w:rPr>
        <w:t>该</w:t>
      </w:r>
      <w:r>
        <w:rPr>
          <w:w w:val="101"/>
        </w:rPr>
        <w:t>子</w:t>
      </w:r>
      <w:r>
        <w:rPr>
          <w:spacing w:val="-5"/>
          <w:w w:val="101"/>
        </w:rPr>
        <w:t>公</w:t>
      </w:r>
      <w:r>
        <w:rPr>
          <w:w w:val="101"/>
        </w:rPr>
        <w:t>司</w:t>
      </w:r>
      <w:r>
        <w:rPr>
          <w:spacing w:val="-5"/>
          <w:w w:val="101"/>
        </w:rPr>
        <w:t>净</w:t>
      </w:r>
      <w:r>
        <w:rPr>
          <w:w w:val="101"/>
        </w:rPr>
        <w:t>资</w:t>
      </w:r>
      <w:r>
        <w:rPr>
          <w:spacing w:val="-5"/>
          <w:w w:val="101"/>
        </w:rPr>
        <w:t>产</w:t>
      </w:r>
      <w:r>
        <w:rPr>
          <w:w w:val="101"/>
        </w:rPr>
        <w:t>份</w:t>
      </w:r>
      <w:r>
        <w:rPr>
          <w:spacing w:val="-5"/>
          <w:w w:val="101"/>
        </w:rPr>
        <w:t>额</w:t>
      </w:r>
      <w:r>
        <w:rPr>
          <w:w w:val="101"/>
        </w:rPr>
        <w:t>的</w:t>
      </w:r>
      <w:r>
        <w:rPr>
          <w:spacing w:val="-5"/>
          <w:w w:val="101"/>
        </w:rPr>
        <w:t>差</w:t>
      </w:r>
      <w:r>
        <w:rPr>
          <w:w w:val="101"/>
        </w:rPr>
        <w:t>额</w:t>
      </w:r>
      <w:r>
        <w:rPr>
          <w:spacing w:val="-5"/>
          <w:w w:val="101"/>
        </w:rPr>
        <w:t>计入</w:t>
      </w:r>
      <w:r>
        <w:rPr>
          <w:spacing w:val="-5"/>
          <w:w w:val="101"/>
        </w:rPr>
        <w:t> </w:t>
      </w:r>
      <w:r>
        <w:rPr>
          <w:w w:val="101"/>
        </w:rPr>
        <w:t>资</w:t>
      </w:r>
      <w:r>
        <w:rPr>
          <w:spacing w:val="-5"/>
          <w:w w:val="101"/>
        </w:rPr>
        <w:t>本</w:t>
      </w:r>
      <w:r>
        <w:rPr>
          <w:w w:val="101"/>
        </w:rPr>
        <w:t>公</w:t>
      </w:r>
      <w:r>
        <w:rPr>
          <w:spacing w:val="-5"/>
          <w:w w:val="101"/>
        </w:rPr>
        <w:t>积</w:t>
      </w:r>
      <w:r>
        <w:rPr>
          <w:w w:val="101"/>
        </w:rPr>
        <w:t>（</w:t>
      </w:r>
      <w:r>
        <w:rPr>
          <w:spacing w:val="-5"/>
          <w:w w:val="101"/>
        </w:rPr>
        <w:t>资</w:t>
      </w:r>
      <w:r>
        <w:rPr>
          <w:w w:val="101"/>
        </w:rPr>
        <w:t>本</w:t>
      </w:r>
      <w:r>
        <w:rPr>
          <w:spacing w:val="-5"/>
          <w:w w:val="101"/>
        </w:rPr>
        <w:t>溢</w:t>
      </w:r>
      <w:r>
        <w:rPr>
          <w:w w:val="101"/>
        </w:rPr>
        <w:t>价</w:t>
      </w:r>
      <w:r>
        <w:rPr>
          <w:spacing w:val="-5"/>
          <w:w w:val="101"/>
        </w:rPr>
        <w:t>或</w:t>
      </w:r>
      <w:r>
        <w:rPr>
          <w:w w:val="101"/>
        </w:rPr>
        <w:t>股</w:t>
      </w:r>
      <w:r>
        <w:rPr>
          <w:spacing w:val="-5"/>
          <w:w w:val="101"/>
        </w:rPr>
        <w:t>本</w:t>
      </w:r>
      <w:r>
        <w:rPr>
          <w:w w:val="101"/>
        </w:rPr>
        <w:t>溢价</w:t>
      </w:r>
      <w:r>
        <w:rPr>
          <w:spacing w:val="-96"/>
          <w:w w:val="101"/>
        </w:rPr>
        <w:t>）</w:t>
      </w:r>
      <w:r>
        <w:rPr>
          <w:w w:val="101"/>
        </w:rPr>
        <w:t>，</w:t>
      </w:r>
      <w:r>
        <w:rPr>
          <w:spacing w:val="-5"/>
          <w:w w:val="101"/>
        </w:rPr>
        <w:t>资</w:t>
      </w:r>
      <w:r>
        <w:rPr>
          <w:w w:val="101"/>
        </w:rPr>
        <w:t>本</w:t>
      </w:r>
      <w:r>
        <w:rPr>
          <w:spacing w:val="-5"/>
          <w:w w:val="101"/>
        </w:rPr>
        <w:t>溢</w:t>
      </w:r>
      <w:r>
        <w:rPr>
          <w:w w:val="101"/>
        </w:rPr>
        <w:t>价</w:t>
      </w:r>
      <w:r>
        <w:rPr>
          <w:spacing w:val="-5"/>
          <w:w w:val="101"/>
        </w:rPr>
        <w:t>不</w:t>
      </w:r>
      <w:r>
        <w:rPr>
          <w:w w:val="101"/>
        </w:rPr>
        <w:t>足</w:t>
      </w:r>
      <w:r>
        <w:rPr>
          <w:spacing w:val="-5"/>
          <w:w w:val="101"/>
        </w:rPr>
        <w:t>冲</w:t>
      </w:r>
      <w:r>
        <w:rPr>
          <w:w w:val="101"/>
        </w:rPr>
        <w:t>减</w:t>
      </w:r>
      <w:r>
        <w:rPr>
          <w:spacing w:val="-5"/>
          <w:w w:val="101"/>
        </w:rPr>
        <w:t>的</w:t>
      </w:r>
      <w:r>
        <w:rPr>
          <w:w w:val="101"/>
        </w:rPr>
        <w:t>，</w:t>
      </w:r>
      <w:r>
        <w:rPr>
          <w:spacing w:val="-5"/>
          <w:w w:val="101"/>
        </w:rPr>
        <w:t>应</w:t>
      </w:r>
      <w:r>
        <w:rPr>
          <w:w w:val="101"/>
        </w:rPr>
        <w:t>当</w:t>
      </w:r>
      <w:r>
        <w:rPr>
          <w:spacing w:val="-5"/>
          <w:w w:val="101"/>
        </w:rPr>
        <w:t>调</w:t>
      </w:r>
      <w:r>
        <w:rPr>
          <w:w w:val="101"/>
        </w:rPr>
        <w:t>整</w:t>
      </w:r>
      <w:r>
        <w:rPr>
          <w:spacing w:val="-5"/>
          <w:w w:val="101"/>
        </w:rPr>
        <w:t>留</w:t>
      </w:r>
      <w:r>
        <w:rPr>
          <w:w w:val="101"/>
        </w:rPr>
        <w:t>存</w:t>
      </w:r>
      <w:r>
        <w:rPr>
          <w:spacing w:val="-5"/>
          <w:w w:val="101"/>
        </w:rPr>
        <w:t>收</w:t>
      </w:r>
      <w:r>
        <w:rPr>
          <w:w w:val="101"/>
        </w:rPr>
        <w:t>益</w:t>
      </w:r>
      <w:r>
        <w:rPr>
          <w:spacing w:val="-6"/>
          <w:w w:val="101"/>
        </w:rPr>
        <w:t>。</w:t>
      </w:r>
      <w:r>
        <w:rPr>
          <w:rFonts w:ascii="宋体" w:hAnsi="宋体" w:cs="宋体" w:eastAsia="宋体" w:hint="default"/>
          <w:w w:val="101"/>
        </w:rPr>
        <w:t> </w:t>
      </w:r>
      <w:r>
        <w:rPr>
          <w:rFonts w:ascii="宋体" w:hAnsi="宋体" w:cs="宋体" w:eastAsia="宋体" w:hint="default"/>
        </w:rPr>
      </w:r>
    </w:p>
    <w:p>
      <w:pPr>
        <w:pStyle w:val="BodyText"/>
        <w:spacing w:line="326" w:lineRule="auto" w:before="139"/>
        <w:ind w:right="144" w:firstLine="360"/>
        <w:jc w:val="both"/>
        <w:rPr>
          <w:rFonts w:ascii="宋体" w:hAnsi="宋体" w:cs="宋体" w:eastAsia="宋体" w:hint="default"/>
          <w:sz w:val="21"/>
          <w:szCs w:val="21"/>
        </w:rPr>
      </w:pPr>
      <w:r>
        <w:rPr>
          <w:spacing w:val="-4"/>
        </w:rPr>
        <w:t>处置对子公司的投资丧失控制权的，在合并财务报表中，对于剩余股权，应当按照其在丧失控制权日的公允价值进行重</w:t>
      </w:r>
      <w:r>
        <w:rPr>
          <w:w w:val="101"/>
        </w:rPr>
        <w:t> </w:t>
      </w:r>
      <w:r>
        <w:rPr>
          <w:spacing w:val="-5"/>
        </w:rPr>
        <w:t>新计量。处置股权取得的对价与剩余股权公允价值之和，减去按原持股比例计算应享有原有子公司自购买日开始持续计算的</w:t>
      </w:r>
      <w:r>
        <w:rPr/>
        <w:t> </w:t>
      </w:r>
      <w:r>
        <w:rPr/>
      </w:r>
      <w:r>
        <w:rPr>
          <w:spacing w:val="-4"/>
        </w:rPr>
        <w:t>净资产的份额之间的差额，计入丧失控制权当期的投资收益。与原有子公司股权投资相关的其他综合收益，应当在丧失控制</w:t>
      </w:r>
      <w:r>
        <w:rPr>
          <w:spacing w:val="43"/>
        </w:rPr>
        <w:t> </w:t>
      </w:r>
      <w:r>
        <w:rPr>
          <w:spacing w:val="43"/>
        </w:rPr>
      </w:r>
      <w:r>
        <w:rPr>
          <w:spacing w:val="-3"/>
        </w:rPr>
        <w:t>权时转为当期投资收益。</w:t>
      </w:r>
      <w:r>
        <w:rPr>
          <w:rFonts w:ascii="宋体" w:hAnsi="宋体" w:cs="宋体" w:eastAsia="宋体" w:hint="default"/>
          <w:w w:val="100"/>
          <w:sz w:val="21"/>
          <w:szCs w:val="21"/>
        </w:rPr>
        <w:t> </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
        <w:rPr>
          <w:rFonts w:ascii="宋体" w:hAnsi="宋体" w:cs="宋体" w:eastAsia="宋体" w:hint="default"/>
          <w:b/>
          <w:bCs/>
          <w:sz w:val="27"/>
          <w:szCs w:val="27"/>
        </w:rPr>
      </w:pPr>
    </w:p>
    <w:p>
      <w:pPr>
        <w:pStyle w:val="BodyText"/>
        <w:spacing w:line="309" w:lineRule="auto"/>
        <w:ind w:right="145" w:firstLine="359"/>
        <w:jc w:val="both"/>
      </w:pPr>
      <w:r>
        <w:rPr>
          <w:spacing w:val="-4"/>
        </w:rPr>
        <w:t>合并财务报表以母公司及其子公司的财务报表为基础，根据其他有关资料，由本公司按照《企业会计准则第</w:t>
      </w:r>
      <w:r>
        <w:rPr>
          <w:rFonts w:ascii="Times New Roman" w:hAnsi="Times New Roman" w:cs="Times New Roman" w:eastAsia="Times New Roman" w:hint="default"/>
          <w:spacing w:val="-4"/>
        </w:rPr>
        <w:t>33</w:t>
      </w:r>
      <w:r>
        <w:rPr>
          <w:spacing w:val="-4"/>
        </w:rPr>
        <w:t>号</w:t>
      </w:r>
      <w:r>
        <w:rPr>
          <w:rFonts w:ascii="Times New Roman" w:hAnsi="Times New Roman" w:cs="Times New Roman" w:eastAsia="Times New Roman" w:hint="default"/>
          <w:spacing w:val="-4"/>
        </w:rPr>
        <w:t>——</w:t>
      </w:r>
      <w:r>
        <w:rPr>
          <w:spacing w:val="-4"/>
        </w:rPr>
        <w:t>合</w:t>
      </w:r>
      <w:r>
        <w:rPr>
          <w:w w:val="101"/>
        </w:rPr>
        <w:t> </w:t>
      </w:r>
      <w:r>
        <w:rPr>
          <w:spacing w:val="-3"/>
        </w:rPr>
        <w:t>并财务报表》编制。</w:t>
      </w:r>
      <w:r>
        <w:rPr/>
      </w:r>
    </w:p>
    <w:p>
      <w:pPr>
        <w:pStyle w:val="BodyText"/>
        <w:spacing w:line="321" w:lineRule="auto" w:before="154"/>
        <w:ind w:right="144" w:firstLine="360"/>
        <w:jc w:val="both"/>
      </w:pPr>
      <w:r>
        <w:rPr>
          <w:spacing w:val="-4"/>
        </w:rPr>
        <w:t>合并财务报表系根据《企业会计准则第</w:t>
      </w:r>
      <w:r>
        <w:rPr>
          <w:rFonts w:ascii="Times New Roman" w:hAnsi="Times New Roman" w:cs="Times New Roman" w:eastAsia="Times New Roman" w:hint="default"/>
          <w:spacing w:val="-4"/>
        </w:rPr>
        <w:t>33</w:t>
      </w:r>
      <w:r>
        <w:rPr>
          <w:spacing w:val="-4"/>
        </w:rPr>
        <w:t>号</w:t>
      </w:r>
      <w:r>
        <w:rPr>
          <w:rFonts w:ascii="Times New Roman" w:hAnsi="Times New Roman" w:cs="Times New Roman" w:eastAsia="Times New Roman" w:hint="default"/>
          <w:spacing w:val="-4"/>
        </w:rPr>
        <w:t>—</w:t>
      </w:r>
      <w:r>
        <w:rPr>
          <w:spacing w:val="-4"/>
        </w:rPr>
        <w:t>合并财务报表》的规定，以母公司和纳入合并范围的子公司的财务报表为</w:t>
      </w:r>
      <w:r>
        <w:rPr>
          <w:w w:val="101"/>
        </w:rPr>
        <w:t> </w:t>
      </w:r>
      <w:r>
        <w:rPr>
          <w:spacing w:val="-4"/>
        </w:rPr>
        <w:t>基础，根据其他有关资料，按照权益法调整对子公司的长期股权投资，在抵销母公司权益性资本投资与子公司所有者权益中</w:t>
      </w:r>
      <w:r>
        <w:rPr>
          <w:spacing w:val="42"/>
        </w:rPr>
        <w:t> </w:t>
      </w:r>
      <w:r>
        <w:rPr>
          <w:spacing w:val="42"/>
        </w:rPr>
      </w:r>
      <w:r>
        <w:rPr>
          <w:spacing w:val="-5"/>
        </w:rPr>
        <w:t>母公司所持有的份额和公司内部之间重大交易及内部往来后编制而成。少数股东权益，在合并资产负债表中所有者权益项目</w:t>
      </w:r>
      <w:r>
        <w:rPr>
          <w:spacing w:val="1"/>
        </w:rPr>
        <w:t> </w:t>
      </w:r>
      <w:r>
        <w:rPr>
          <w:spacing w:val="1"/>
        </w:rPr>
      </w:r>
      <w:r>
        <w:rPr>
          <w:spacing w:val="-4"/>
        </w:rPr>
        <w:t>下以</w:t>
      </w:r>
      <w:r>
        <w:rPr>
          <w:rFonts w:ascii="Times New Roman" w:hAnsi="Times New Roman" w:cs="Times New Roman" w:eastAsia="Times New Roman" w:hint="default"/>
          <w:spacing w:val="-4"/>
        </w:rPr>
        <w:t>“</w:t>
      </w:r>
      <w:r>
        <w:rPr>
          <w:spacing w:val="-4"/>
        </w:rPr>
        <w:t>少数股东权益</w:t>
      </w:r>
      <w:r>
        <w:rPr>
          <w:rFonts w:ascii="Times New Roman" w:hAnsi="Times New Roman" w:cs="Times New Roman" w:eastAsia="Times New Roman" w:hint="default"/>
          <w:spacing w:val="-4"/>
        </w:rPr>
        <w:t>”</w:t>
      </w:r>
      <w:r>
        <w:rPr>
          <w:spacing w:val="-4"/>
        </w:rPr>
        <w:t>项目列示。少数股东损益，在合并利润表中净利润项目下以</w:t>
      </w:r>
      <w:r>
        <w:rPr>
          <w:rFonts w:ascii="Times New Roman" w:hAnsi="Times New Roman" w:cs="Times New Roman" w:eastAsia="Times New Roman" w:hint="default"/>
          <w:spacing w:val="-4"/>
        </w:rPr>
        <w:t>“</w:t>
      </w:r>
      <w:r>
        <w:rPr>
          <w:spacing w:val="-4"/>
        </w:rPr>
        <w:t>少数股东损益</w:t>
      </w:r>
      <w:r>
        <w:rPr>
          <w:rFonts w:ascii="Times New Roman" w:hAnsi="Times New Roman" w:cs="Times New Roman" w:eastAsia="Times New Roman" w:hint="default"/>
          <w:spacing w:val="-4"/>
        </w:rPr>
        <w:t>”</w:t>
      </w:r>
      <w:r>
        <w:rPr>
          <w:spacing w:val="-4"/>
        </w:rPr>
        <w:t>项目列示。母公司在报告期</w:t>
      </w:r>
      <w:r>
        <w:rPr>
          <w:spacing w:val="77"/>
        </w:rPr>
        <w:t> </w:t>
      </w:r>
      <w:r>
        <w:rPr>
          <w:spacing w:val="77"/>
        </w:rPr>
      </w:r>
      <w:r>
        <w:rPr>
          <w:spacing w:val="-4"/>
        </w:rPr>
        <w:t>内因同一控制下企业合并增加的子公司，自其与本公司同受最终控制方控制之日起纳入本公司合并范围，并将其在合并日前</w:t>
      </w:r>
      <w:r>
        <w:rPr>
          <w:spacing w:val="43"/>
        </w:rPr>
        <w:t> </w:t>
      </w:r>
      <w:r>
        <w:rPr>
          <w:spacing w:val="43"/>
        </w:rPr>
      </w:r>
      <w:r>
        <w:rPr>
          <w:spacing w:val="-1"/>
        </w:rPr>
        <w:t>实现的净利润在合并利润表中单列项目反映在编制的合并财务报表中，子公司与本公司采用的会计政策或会计期间不一致</w:t>
      </w:r>
      <w:r>
        <w:rPr>
          <w:spacing w:val="65"/>
        </w:rPr>
        <w:t> </w:t>
      </w:r>
      <w:r>
        <w:rPr>
          <w:spacing w:val="65"/>
        </w:rPr>
      </w:r>
      <w:r>
        <w:rPr>
          <w:spacing w:val="-4"/>
        </w:rPr>
        <w:t>的，按照本公司的会计政策和会计期间对子公司财务报表进行必要的调整。因非同一控制下企业合并增加的子公司，将该子</w:t>
      </w:r>
      <w:r>
        <w:rPr>
          <w:spacing w:val="43"/>
        </w:rPr>
        <w:t> </w:t>
      </w:r>
      <w:r>
        <w:rPr>
          <w:spacing w:val="43"/>
        </w:rPr>
      </w:r>
      <w:r>
        <w:rPr>
          <w:spacing w:val="-4"/>
        </w:rPr>
        <w:t>公司购买日至报告期末的收入、费用、利润纳入合并利润表。母公司在报告期内处置子公司，将该子公司年初至处置日的收</w:t>
      </w:r>
      <w:r>
        <w:rPr>
          <w:spacing w:val="40"/>
        </w:rPr>
        <w:t> </w:t>
      </w:r>
      <w:r>
        <w:rPr>
          <w:spacing w:val="40"/>
        </w:rPr>
      </w:r>
      <w:r>
        <w:rPr>
          <w:spacing w:val="-3"/>
        </w:rPr>
        <w:t>入、费用、利润纳入合并利润表。</w:t>
      </w:r>
      <w:r>
        <w:rPr/>
      </w:r>
    </w:p>
    <w:p>
      <w:pPr>
        <w:pStyle w:val="BodyText"/>
        <w:spacing w:line="240" w:lineRule="auto" w:before="145"/>
        <w:ind w:right="0"/>
        <w:jc w:val="left"/>
        <w:rPr>
          <w:rFonts w:ascii="宋体" w:hAnsi="宋体" w:cs="宋体" w:eastAsia="宋体" w:hint="default"/>
        </w:rPr>
      </w:pPr>
      <w:r>
        <w:rPr>
          <w:rFonts w:ascii="宋体"/>
          <w:w w:val="101"/>
        </w:rPr>
        <w:t> </w:t>
      </w:r>
      <w:r>
        <w:rPr>
          <w:rFonts w:ascii="宋体"/>
        </w:rPr>
      </w:r>
    </w:p>
    <w:p>
      <w:pPr>
        <w:spacing w:after="0" w:line="240" w:lineRule="auto"/>
        <w:jc w:val="left"/>
        <w:rPr>
          <w:rFonts w:ascii="宋体" w:hAnsi="宋体" w:cs="宋体" w:eastAsia="宋体" w:hint="default"/>
        </w:rPr>
        <w:sectPr>
          <w:pgSz w:w="11910" w:h="16840"/>
          <w:pgMar w:header="914" w:footer="1027" w:top="1120" w:bottom="1220" w:left="980" w:right="980"/>
        </w:sectPr>
      </w:pPr>
    </w:p>
    <w:p>
      <w:pPr>
        <w:spacing w:line="240" w:lineRule="auto" w:before="12"/>
        <w:rPr>
          <w:rFonts w:ascii="宋体" w:hAnsi="宋体" w:cs="宋体" w:eastAsia="宋体" w:hint="default"/>
          <w:sz w:val="19"/>
          <w:szCs w:val="19"/>
        </w:rPr>
      </w:pPr>
    </w:p>
    <w:p>
      <w:pPr>
        <w:pStyle w:val="Heading4"/>
        <w:spacing w:line="240" w:lineRule="auto" w:before="36"/>
        <w:ind w:right="0"/>
        <w:jc w:val="left"/>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6663"/>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right="0" w:firstLine="360"/>
        <w:jc w:val="left"/>
        <w:rPr>
          <w:rFonts w:ascii="宋体" w:hAnsi="宋体" w:cs="宋体" w:eastAsia="宋体" w:hint="default"/>
        </w:rPr>
      </w:pPr>
      <w:r>
        <w:rPr>
          <w:spacing w:val="-5"/>
        </w:rPr>
        <w:t>现金流量表的现金指企业库存现金及可以随时用于支付的存款。现金等价物指持有的期限短（一般是指从购买日起三个</w:t>
      </w:r>
      <w:r>
        <w:rPr>
          <w:spacing w:val="-5"/>
          <w:w w:val="101"/>
        </w:rPr>
        <w:t> 月内到期）、流动性强、易于转换为已知金额现金、价值变动风险很小的投资。</w:t>
      </w:r>
      <w:r>
        <w:rPr>
          <w:rFonts w:ascii="宋体" w:hAnsi="宋体" w:cs="宋体" w:eastAsia="宋体" w:hint="default"/>
          <w:w w:val="101"/>
        </w:rPr>
        <w:t> </w:t>
      </w:r>
      <w:r>
        <w:rPr>
          <w:rFonts w:ascii="宋体" w:hAnsi="宋体" w:cs="宋体" w:eastAsia="宋体" w:hint="default"/>
        </w:rPr>
      </w:r>
    </w:p>
    <w:p>
      <w:pPr>
        <w:spacing w:line="240" w:lineRule="auto" w:before="9"/>
        <w:rPr>
          <w:rFonts w:ascii="宋体" w:hAnsi="宋体" w:cs="宋体" w:eastAsia="宋体" w:hint="default"/>
          <w:sz w:val="22"/>
          <w:szCs w:val="22"/>
        </w:rPr>
      </w:pPr>
    </w:p>
    <w:p>
      <w:pPr>
        <w:pStyle w:val="Heading4"/>
        <w:spacing w:line="240" w:lineRule="auto"/>
        <w:ind w:right="6663"/>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6663"/>
        <w:jc w:val="left"/>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20" w:lineRule="atLeast" w:before="188"/>
        <w:ind w:left="512" w:right="0"/>
        <w:jc w:val="left"/>
      </w:pPr>
      <w:r>
        <w:rPr>
          <w:rFonts w:ascii="Times New Roman" w:hAnsi="Times New Roman" w:cs="Times New Roman" w:eastAsia="Times New Roman" w:hint="default"/>
          <w:spacing w:val="-3"/>
        </w:rPr>
        <w:t>1</w:t>
      </w:r>
      <w:r>
        <w:rPr>
          <w:spacing w:val="-3"/>
        </w:rPr>
        <w:t>、金融资产、金融负债的分类</w:t>
      </w:r>
      <w:r>
        <w:rPr>
          <w:spacing w:val="-51"/>
        </w:rPr>
        <w:t> </w:t>
      </w:r>
      <w:r>
        <w:rPr>
          <w:spacing w:val="-51"/>
        </w:rPr>
      </w:r>
      <w:r>
        <w:rPr>
          <w:spacing w:val="-4"/>
        </w:rPr>
        <w:t>金融资产在初始确认时划分为以下四类：以公允价值计量且其变动计入当期损益的金融资产（包括交易性金融资产和指</w:t>
      </w:r>
    </w:p>
    <w:p>
      <w:pPr>
        <w:pStyle w:val="BodyText"/>
        <w:spacing w:line="240" w:lineRule="auto" w:before="86"/>
        <w:ind w:right="0"/>
        <w:jc w:val="left"/>
        <w:rPr>
          <w:rFonts w:ascii="宋体" w:hAnsi="宋体" w:cs="宋体" w:eastAsia="宋体" w:hint="default"/>
        </w:rPr>
      </w:pPr>
      <w:r>
        <w:rPr>
          <w:w w:val="101"/>
        </w:rPr>
        <w:t>定</w:t>
      </w:r>
      <w:r>
        <w:rPr>
          <w:spacing w:val="-5"/>
          <w:w w:val="101"/>
        </w:rPr>
        <w:t>为</w:t>
      </w:r>
      <w:r>
        <w:rPr>
          <w:w w:val="101"/>
        </w:rPr>
        <w:t>以</w:t>
      </w:r>
      <w:r>
        <w:rPr>
          <w:spacing w:val="-5"/>
          <w:w w:val="101"/>
        </w:rPr>
        <w:t>公</w:t>
      </w:r>
      <w:r>
        <w:rPr>
          <w:w w:val="101"/>
        </w:rPr>
        <w:t>允</w:t>
      </w:r>
      <w:r>
        <w:rPr>
          <w:spacing w:val="-5"/>
          <w:w w:val="101"/>
        </w:rPr>
        <w:t>价</w:t>
      </w:r>
      <w:r>
        <w:rPr>
          <w:w w:val="101"/>
        </w:rPr>
        <w:t>值</w:t>
      </w:r>
      <w:r>
        <w:rPr>
          <w:spacing w:val="-5"/>
          <w:w w:val="101"/>
        </w:rPr>
        <w:t>计</w:t>
      </w:r>
      <w:r>
        <w:rPr>
          <w:w w:val="101"/>
        </w:rPr>
        <w:t>量</w:t>
      </w:r>
      <w:r>
        <w:rPr>
          <w:spacing w:val="-5"/>
          <w:w w:val="101"/>
        </w:rPr>
        <w:t>且</w:t>
      </w:r>
      <w:r>
        <w:rPr>
          <w:w w:val="101"/>
        </w:rPr>
        <w:t>其</w:t>
      </w:r>
      <w:r>
        <w:rPr>
          <w:spacing w:val="-5"/>
          <w:w w:val="101"/>
        </w:rPr>
        <w:t>变</w:t>
      </w:r>
      <w:r>
        <w:rPr>
          <w:w w:val="101"/>
        </w:rPr>
        <w:t>动</w:t>
      </w:r>
      <w:r>
        <w:rPr>
          <w:spacing w:val="-5"/>
          <w:w w:val="101"/>
        </w:rPr>
        <w:t>计</w:t>
      </w:r>
      <w:r>
        <w:rPr>
          <w:w w:val="101"/>
        </w:rPr>
        <w:t>入</w:t>
      </w:r>
      <w:r>
        <w:rPr>
          <w:spacing w:val="-5"/>
          <w:w w:val="101"/>
        </w:rPr>
        <w:t>当</w:t>
      </w:r>
      <w:r>
        <w:rPr>
          <w:w w:val="101"/>
        </w:rPr>
        <w:t>期</w:t>
      </w:r>
      <w:r>
        <w:rPr>
          <w:spacing w:val="-5"/>
          <w:w w:val="101"/>
        </w:rPr>
        <w:t>损</w:t>
      </w:r>
      <w:r>
        <w:rPr>
          <w:w w:val="101"/>
        </w:rPr>
        <w:t>益</w:t>
      </w:r>
      <w:r>
        <w:rPr>
          <w:spacing w:val="-5"/>
          <w:w w:val="101"/>
        </w:rPr>
        <w:t>的</w:t>
      </w:r>
      <w:r>
        <w:rPr>
          <w:w w:val="101"/>
        </w:rPr>
        <w:t>金</w:t>
      </w:r>
      <w:r>
        <w:rPr>
          <w:spacing w:val="-5"/>
          <w:w w:val="101"/>
        </w:rPr>
        <w:t>融</w:t>
      </w:r>
      <w:r>
        <w:rPr>
          <w:w w:val="101"/>
        </w:rPr>
        <w:t>资产</w:t>
      </w:r>
      <w:r>
        <w:rPr>
          <w:spacing w:val="-96"/>
          <w:w w:val="101"/>
        </w:rPr>
        <w:t>）</w:t>
      </w:r>
      <w:r>
        <w:rPr>
          <w:w w:val="101"/>
        </w:rPr>
        <w:t>、</w:t>
      </w:r>
      <w:r>
        <w:rPr>
          <w:spacing w:val="-5"/>
          <w:w w:val="101"/>
        </w:rPr>
        <w:t>持</w:t>
      </w:r>
      <w:r>
        <w:rPr>
          <w:w w:val="101"/>
        </w:rPr>
        <w:t>有</w:t>
      </w:r>
      <w:r>
        <w:rPr>
          <w:spacing w:val="-5"/>
          <w:w w:val="101"/>
        </w:rPr>
        <w:t>至</w:t>
      </w:r>
      <w:r>
        <w:rPr>
          <w:w w:val="101"/>
        </w:rPr>
        <w:t>到</w:t>
      </w:r>
      <w:r>
        <w:rPr>
          <w:spacing w:val="-5"/>
          <w:w w:val="101"/>
        </w:rPr>
        <w:t>期</w:t>
      </w:r>
      <w:r>
        <w:rPr>
          <w:w w:val="101"/>
        </w:rPr>
        <w:t>投</w:t>
      </w:r>
      <w:r>
        <w:rPr>
          <w:spacing w:val="-5"/>
          <w:w w:val="101"/>
        </w:rPr>
        <w:t>资</w:t>
      </w:r>
      <w:r>
        <w:rPr>
          <w:w w:val="101"/>
        </w:rPr>
        <w:t>、</w:t>
      </w:r>
      <w:r>
        <w:rPr>
          <w:spacing w:val="-5"/>
          <w:w w:val="101"/>
        </w:rPr>
        <w:t>贷</w:t>
      </w:r>
      <w:r>
        <w:rPr>
          <w:w w:val="101"/>
        </w:rPr>
        <w:t>款</w:t>
      </w:r>
      <w:r>
        <w:rPr>
          <w:spacing w:val="-5"/>
          <w:w w:val="101"/>
        </w:rPr>
        <w:t>和</w:t>
      </w:r>
      <w:r>
        <w:rPr>
          <w:w w:val="101"/>
        </w:rPr>
        <w:t>应</w:t>
      </w:r>
      <w:r>
        <w:rPr>
          <w:spacing w:val="-5"/>
          <w:w w:val="101"/>
        </w:rPr>
        <w:t>收</w:t>
      </w:r>
      <w:r>
        <w:rPr>
          <w:w w:val="101"/>
        </w:rPr>
        <w:t>款</w:t>
      </w:r>
      <w:r>
        <w:rPr>
          <w:spacing w:val="-5"/>
          <w:w w:val="101"/>
        </w:rPr>
        <w:t>项</w:t>
      </w:r>
      <w:r>
        <w:rPr>
          <w:w w:val="101"/>
        </w:rPr>
        <w:t>、</w:t>
      </w:r>
      <w:r>
        <w:rPr>
          <w:spacing w:val="-5"/>
          <w:w w:val="101"/>
        </w:rPr>
        <w:t>可</w:t>
      </w:r>
      <w:r>
        <w:rPr>
          <w:w w:val="101"/>
        </w:rPr>
        <w:t>供</w:t>
      </w:r>
      <w:r>
        <w:rPr>
          <w:spacing w:val="-5"/>
          <w:w w:val="101"/>
        </w:rPr>
        <w:t>出</w:t>
      </w:r>
      <w:r>
        <w:rPr>
          <w:w w:val="101"/>
        </w:rPr>
        <w:t>售</w:t>
      </w:r>
      <w:r>
        <w:rPr>
          <w:spacing w:val="-5"/>
          <w:w w:val="101"/>
        </w:rPr>
        <w:t>金</w:t>
      </w:r>
      <w:r>
        <w:rPr>
          <w:w w:val="101"/>
        </w:rPr>
        <w:t>融</w:t>
      </w:r>
      <w:r>
        <w:rPr>
          <w:spacing w:val="-5"/>
          <w:w w:val="101"/>
        </w:rPr>
        <w:t>资</w:t>
      </w:r>
      <w:r>
        <w:rPr>
          <w:w w:val="101"/>
        </w:rPr>
        <w:t>产</w:t>
      </w:r>
      <w:r>
        <w:rPr>
          <w:spacing w:val="-7"/>
          <w:w w:val="101"/>
        </w:rPr>
        <w:t>。</w:t>
      </w:r>
      <w:r>
        <w:rPr>
          <w:rFonts w:ascii="宋体" w:hAnsi="宋体" w:cs="宋体" w:eastAsia="宋体" w:hint="default"/>
          <w:w w:val="101"/>
        </w:rPr>
        <w:t> </w:t>
      </w:r>
      <w:r>
        <w:rPr>
          <w:rFonts w:ascii="宋体" w:hAnsi="宋体" w:cs="宋体" w:eastAsia="宋体" w:hint="default"/>
        </w:rPr>
      </w:r>
    </w:p>
    <w:p>
      <w:pPr>
        <w:spacing w:line="240" w:lineRule="auto" w:before="5"/>
        <w:rPr>
          <w:rFonts w:ascii="宋体" w:hAnsi="宋体" w:cs="宋体" w:eastAsia="宋体" w:hint="default"/>
          <w:sz w:val="15"/>
          <w:szCs w:val="15"/>
        </w:rPr>
      </w:pPr>
    </w:p>
    <w:p>
      <w:pPr>
        <w:pStyle w:val="BodyText"/>
        <w:spacing w:line="328" w:lineRule="auto"/>
        <w:ind w:right="0" w:firstLine="360"/>
        <w:jc w:val="left"/>
        <w:rPr>
          <w:rFonts w:ascii="宋体" w:hAnsi="宋体" w:cs="宋体" w:eastAsia="宋体" w:hint="default"/>
        </w:rPr>
      </w:pPr>
      <w:r>
        <w:rPr>
          <w:spacing w:val="-4"/>
        </w:rPr>
        <w:t>金融负债在初始确认时划分为以下两类：以公允价值计量且其变动计入当期损益的金融负债（包括交易性金融负债和指</w:t>
      </w:r>
      <w:r>
        <w:rPr>
          <w:w w:val="101"/>
        </w:rPr>
        <w:t> </w:t>
      </w:r>
      <w:r>
        <w:rPr>
          <w:spacing w:val="-6"/>
          <w:w w:val="101"/>
        </w:rPr>
        <w:t>定为以公允价值计量且其变动计入当期损益的金融负债）、其他金融负债。</w:t>
      </w:r>
      <w:r>
        <w:rPr>
          <w:rFonts w:ascii="宋体" w:hAnsi="宋体" w:cs="宋体" w:eastAsia="宋体" w:hint="default"/>
          <w:w w:val="101"/>
        </w:rPr>
        <w:t> </w:t>
      </w:r>
      <w:r>
        <w:rPr>
          <w:rFonts w:ascii="宋体" w:hAnsi="宋体" w:cs="宋体" w:eastAsia="宋体" w:hint="default"/>
        </w:rPr>
      </w:r>
    </w:p>
    <w:p>
      <w:pPr>
        <w:pStyle w:val="BodyText"/>
        <w:spacing w:line="240" w:lineRule="auto" w:before="139"/>
        <w:ind w:left="512" w:right="0"/>
        <w:jc w:val="left"/>
      </w:pPr>
      <w:r>
        <w:rPr>
          <w:rFonts w:ascii="Times New Roman" w:hAnsi="Times New Roman" w:cs="Times New Roman" w:eastAsia="Times New Roman" w:hint="default"/>
          <w:spacing w:val="-3"/>
        </w:rPr>
        <w:t>2</w:t>
      </w:r>
      <w:r>
        <w:rPr>
          <w:spacing w:val="-3"/>
        </w:rPr>
        <w:t>、金融资产和金融负债的确认依据、计量方法和终止确认条件</w:t>
      </w:r>
      <w:r>
        <w:rPr/>
      </w:r>
    </w:p>
    <w:p>
      <w:pPr>
        <w:spacing w:line="240" w:lineRule="auto" w:before="9"/>
        <w:rPr>
          <w:rFonts w:ascii="宋体" w:hAnsi="宋体" w:cs="宋体" w:eastAsia="宋体" w:hint="default"/>
          <w:sz w:val="14"/>
          <w:szCs w:val="14"/>
        </w:rPr>
      </w:pPr>
    </w:p>
    <w:p>
      <w:pPr>
        <w:pStyle w:val="BodyText"/>
        <w:spacing w:line="328" w:lineRule="auto"/>
        <w:ind w:right="0" w:firstLine="360"/>
        <w:jc w:val="left"/>
        <w:rPr>
          <w:rFonts w:ascii="宋体" w:hAnsi="宋体" w:cs="宋体" w:eastAsia="宋体" w:hint="default"/>
        </w:rPr>
      </w:pPr>
      <w:r>
        <w:rPr>
          <w:spacing w:val="-6"/>
        </w:rPr>
        <w:t>公司成为金融工具合同的一方时，确认一项金融资产或金融负债。初始确认金融资产或金融负债时，按照公允价值计量；</w:t>
      </w:r>
      <w:r>
        <w:rPr>
          <w:w w:val="101"/>
        </w:rPr>
        <w:t> </w:t>
      </w:r>
      <w:r>
        <w:rPr>
          <w:spacing w:val="-4"/>
        </w:rPr>
        <w:t>对于以公允价值计量且其变动计入当期损益的金融资产和金融负债，相关交易费用直接计入当期损益；对于其他类别的金融</w:t>
      </w:r>
      <w:r>
        <w:rPr>
          <w:spacing w:val="39"/>
        </w:rPr>
        <w:t> </w:t>
      </w:r>
      <w:r>
        <w:rPr>
          <w:spacing w:val="39"/>
        </w:rPr>
      </w:r>
      <w:r>
        <w:rPr>
          <w:spacing w:val="-3"/>
        </w:rPr>
        <w:t>资产或金融负债，相关交易费用计入初始确认金额。</w:t>
      </w:r>
      <w:r>
        <w:rPr>
          <w:rFonts w:ascii="宋体" w:hAnsi="宋体" w:cs="宋体" w:eastAsia="宋体" w:hint="default"/>
        </w:rPr>
        <w:t> </w:t>
      </w:r>
    </w:p>
    <w:p>
      <w:pPr>
        <w:pStyle w:val="BodyText"/>
        <w:spacing w:line="240" w:lineRule="auto" w:before="139"/>
        <w:ind w:left="512" w:right="0"/>
        <w:jc w:val="left"/>
      </w:pPr>
      <w:r>
        <w:rPr>
          <w:spacing w:val="-3"/>
        </w:rPr>
        <w:t>公司按照公允价值对金融资产进行后续计量，且不扣除将来处置该金融资产时可能发生的交易费用，但下列情况除外：</w:t>
      </w:r>
    </w:p>
    <w:p>
      <w:pPr>
        <w:pStyle w:val="BodyText"/>
        <w:spacing w:line="304" w:lineRule="auto" w:before="86"/>
        <w:ind w:right="182"/>
        <w:jc w:val="left"/>
      </w:pPr>
      <w:r>
        <w:rPr>
          <w:spacing w:val="-4"/>
          <w:w w:val="101"/>
        </w:rPr>
        <w:t>（</w:t>
      </w:r>
      <w:r>
        <w:rPr>
          <w:rFonts w:ascii="Times New Roman" w:hAnsi="Times New Roman" w:cs="Times New Roman" w:eastAsia="Times New Roman" w:hint="default"/>
          <w:spacing w:val="-4"/>
          <w:w w:val="101"/>
        </w:rPr>
        <w:t>1</w:t>
      </w:r>
      <w:r>
        <w:rPr>
          <w:spacing w:val="-4"/>
          <w:w w:val="101"/>
        </w:rPr>
        <w:t>）持有至到期投资以及贷款和应收款项采用实际利率法，按摊余成本计量；（</w:t>
      </w:r>
      <w:r>
        <w:rPr>
          <w:rFonts w:ascii="Times New Roman" w:hAnsi="Times New Roman" w:cs="Times New Roman" w:eastAsia="Times New Roman" w:hint="default"/>
          <w:spacing w:val="-4"/>
          <w:w w:val="101"/>
        </w:rPr>
        <w:t>2</w:t>
      </w:r>
      <w:r>
        <w:rPr>
          <w:spacing w:val="-4"/>
          <w:w w:val="101"/>
        </w:rPr>
        <w:t>）在活跃市场中没有报价且其公允价值不</w:t>
      </w:r>
      <w:r>
        <w:rPr>
          <w:spacing w:val="-90"/>
          <w:w w:val="101"/>
        </w:rPr>
        <w:t> </w:t>
      </w:r>
      <w:r>
        <w:rPr>
          <w:spacing w:val="-90"/>
          <w:w w:val="101"/>
        </w:rPr>
      </w:r>
      <w:r>
        <w:rPr>
          <w:spacing w:val="-3"/>
        </w:rPr>
        <w:t>能可靠计量的权益工具投资，以及与该权益工具挂钩并须通过交付该权益工具结算的衍生金融资产，按照成本计量。</w:t>
      </w:r>
    </w:p>
    <w:p>
      <w:pPr>
        <w:pStyle w:val="BodyText"/>
        <w:spacing w:line="312" w:lineRule="auto" w:before="157"/>
        <w:ind w:right="0" w:firstLine="360"/>
        <w:jc w:val="left"/>
      </w:pPr>
      <w:r>
        <w:rPr>
          <w:spacing w:val="-6"/>
          <w:w w:val="101"/>
        </w:rPr>
        <w:t>公司采用实际利率法，按摊余成本对金融负债进行后续计量，但下列情况除外：（</w:t>
      </w:r>
      <w:r>
        <w:rPr>
          <w:rFonts w:ascii="Times New Roman" w:hAnsi="Times New Roman" w:cs="Times New Roman" w:eastAsia="Times New Roman" w:hint="default"/>
          <w:spacing w:val="-6"/>
          <w:w w:val="101"/>
        </w:rPr>
        <w:t>1</w:t>
      </w:r>
      <w:r>
        <w:rPr>
          <w:spacing w:val="-6"/>
          <w:w w:val="101"/>
        </w:rPr>
        <w:t>）以公允价值计量且其变动计入当期</w:t>
      </w:r>
      <w:r>
        <w:rPr>
          <w:w w:val="101"/>
        </w:rPr>
        <w:t> </w:t>
      </w:r>
      <w:r>
        <w:rPr>
          <w:spacing w:val="-5"/>
          <w:w w:val="101"/>
        </w:rPr>
        <w:t>损益的金融负债，按照公允价值计量，且不扣除将来结清金融负债时可能发生的交易费用；（</w:t>
      </w:r>
      <w:r>
        <w:rPr>
          <w:rFonts w:ascii="Times New Roman" w:hAnsi="Times New Roman" w:cs="Times New Roman" w:eastAsia="Times New Roman" w:hint="default"/>
          <w:spacing w:val="-5"/>
          <w:w w:val="101"/>
        </w:rPr>
        <w:t>2</w:t>
      </w:r>
      <w:r>
        <w:rPr>
          <w:spacing w:val="-5"/>
          <w:w w:val="101"/>
        </w:rPr>
        <w:t>）与在活跃市场中没有报价、</w:t>
      </w:r>
      <w:r>
        <w:rPr>
          <w:spacing w:val="-49"/>
          <w:w w:val="101"/>
        </w:rPr>
        <w:t> </w:t>
      </w:r>
      <w:r>
        <w:rPr>
          <w:spacing w:val="-49"/>
          <w:w w:val="101"/>
        </w:rPr>
      </w:r>
      <w:r>
        <w:rPr>
          <w:spacing w:val="-6"/>
          <w:w w:val="101"/>
        </w:rPr>
        <w:t>公允价值不能可靠计量的权益工具挂钩并须通过交付该权益工具结算的衍生金融负债，按照成本计量；（</w:t>
      </w:r>
      <w:r>
        <w:rPr>
          <w:rFonts w:ascii="Times New Roman" w:hAnsi="Times New Roman" w:cs="Times New Roman" w:eastAsia="Times New Roman" w:hint="default"/>
          <w:spacing w:val="-6"/>
          <w:w w:val="101"/>
        </w:rPr>
        <w:t>3</w:t>
      </w:r>
      <w:r>
        <w:rPr>
          <w:spacing w:val="-6"/>
          <w:w w:val="101"/>
        </w:rPr>
        <w:t>）不属于指定为以</w:t>
      </w:r>
      <w:r>
        <w:rPr>
          <w:spacing w:val="-75"/>
          <w:w w:val="101"/>
        </w:rPr>
        <w:t> </w:t>
      </w:r>
      <w:r>
        <w:rPr>
          <w:spacing w:val="-75"/>
          <w:w w:val="101"/>
        </w:rPr>
      </w:r>
      <w:r>
        <w:rPr>
          <w:spacing w:val="-5"/>
          <w:w w:val="101"/>
        </w:rPr>
        <w:t>公允价值计量且其变动计入当期损益的金融负债的财务担保合同，或没有指定为以公允价值计量且其变动计入当期损益并将</w:t>
      </w:r>
      <w:r>
        <w:rPr>
          <w:spacing w:val="-44"/>
          <w:w w:val="101"/>
        </w:rPr>
        <w:t> </w:t>
      </w:r>
      <w:r>
        <w:rPr>
          <w:spacing w:val="-44"/>
          <w:w w:val="101"/>
        </w:rPr>
      </w:r>
      <w:r>
        <w:rPr>
          <w:spacing w:val="-4"/>
        </w:rPr>
        <w:t>以低于市场利率贷款的贷款承诺，在初始确认后按照下列两项金额之中的较高者进行后续计量：①按照《企业会计准则第</w:t>
      </w:r>
      <w:r>
        <w:rPr>
          <w:rFonts w:ascii="Times New Roman" w:hAnsi="Times New Roman" w:cs="Times New Roman" w:eastAsia="Times New Roman" w:hint="default"/>
          <w:spacing w:val="-4"/>
        </w:rPr>
        <w:t>13</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或有事项》确定的金额；②初始确认金额扣除按照《企业会计准则第</w:t>
      </w:r>
      <w:r>
        <w:rPr>
          <w:rFonts w:ascii="Times New Roman" w:hAnsi="Times New Roman" w:cs="Times New Roman" w:eastAsia="Times New Roman" w:hint="default"/>
          <w:spacing w:val="-4"/>
        </w:rPr>
        <w:t>14</w:t>
      </w:r>
      <w:r>
        <w:rPr>
          <w:spacing w:val="-4"/>
        </w:rPr>
        <w:t>号</w:t>
      </w:r>
      <w:r>
        <w:rPr>
          <w:rFonts w:ascii="Times New Roman" w:hAnsi="Times New Roman" w:cs="Times New Roman" w:eastAsia="Times New Roman" w:hint="default"/>
          <w:spacing w:val="-4"/>
        </w:rPr>
        <w:t>——</w:t>
      </w:r>
      <w:r>
        <w:rPr>
          <w:spacing w:val="-4"/>
        </w:rPr>
        <w:t>收入》的原则确定的累积摊销额后的余</w:t>
      </w:r>
      <w:r>
        <w:rPr>
          <w:spacing w:val="38"/>
        </w:rPr>
        <w:t> </w:t>
      </w:r>
      <w:r>
        <w:rPr>
          <w:spacing w:val="38"/>
        </w:rPr>
      </w:r>
      <w:r>
        <w:rPr/>
        <w:t>额。</w:t>
      </w:r>
    </w:p>
    <w:p>
      <w:pPr>
        <w:pStyle w:val="BodyText"/>
        <w:spacing w:line="321" w:lineRule="auto" w:before="147"/>
        <w:ind w:right="184" w:firstLine="360"/>
        <w:jc w:val="both"/>
      </w:pPr>
      <w:r>
        <w:rPr>
          <w:spacing w:val="-6"/>
          <w:w w:val="101"/>
        </w:rPr>
        <w:t>金融资产或金融负债公允价值变动形成的利得或损失，除与套期保值有关外，按照如下方法处理：（</w:t>
      </w:r>
      <w:r>
        <w:rPr>
          <w:rFonts w:ascii="Times New Roman" w:hAnsi="Times New Roman" w:cs="Times New Roman" w:eastAsia="Times New Roman" w:hint="default"/>
          <w:spacing w:val="-6"/>
          <w:w w:val="101"/>
        </w:rPr>
        <w:t>1</w:t>
      </w:r>
      <w:r>
        <w:rPr>
          <w:spacing w:val="-6"/>
          <w:w w:val="101"/>
        </w:rPr>
        <w:t>）以公允价值计量</w:t>
      </w:r>
      <w:r>
        <w:rPr>
          <w:w w:val="101"/>
        </w:rPr>
        <w:t> </w:t>
      </w:r>
      <w:r>
        <w:rPr>
          <w:spacing w:val="-5"/>
        </w:rPr>
        <w:t>且其变动计入当期损益的金融资产或金融负债公允价值变动形成的利得或损失，计入公允价值变动损益；在资产持有期间所</w:t>
      </w:r>
      <w:r>
        <w:rPr>
          <w:spacing w:val="1"/>
        </w:rPr>
        <w:t> </w:t>
      </w:r>
      <w:r>
        <w:rPr>
          <w:spacing w:val="1"/>
        </w:rPr>
      </w:r>
      <w:r>
        <w:rPr>
          <w:spacing w:val="-4"/>
        </w:rPr>
        <w:t>取得的利息或现金股利，确认为投资收益；处置时，将实际收到的金额与初始入账金额之间的差额确认为投资收益，同时调</w:t>
      </w:r>
      <w:r>
        <w:rPr>
          <w:spacing w:val="39"/>
        </w:rPr>
        <w:t> </w:t>
      </w:r>
      <w:r>
        <w:rPr>
          <w:spacing w:val="39"/>
        </w:rPr>
      </w:r>
      <w:r>
        <w:rPr>
          <w:spacing w:val="-6"/>
          <w:w w:val="101"/>
        </w:rPr>
        <w:t>整公允价值变动损益。（</w:t>
      </w:r>
      <w:r>
        <w:rPr>
          <w:rFonts w:ascii="Times New Roman" w:hAnsi="Times New Roman" w:cs="Times New Roman" w:eastAsia="Times New Roman" w:hint="default"/>
          <w:spacing w:val="-6"/>
          <w:w w:val="101"/>
        </w:rPr>
        <w:t>2</w:t>
      </w:r>
      <w:r>
        <w:rPr>
          <w:spacing w:val="-6"/>
          <w:w w:val="101"/>
        </w:rPr>
        <w:t>）可供出售金融资产的公允价值变动计入其他综合收益；持有期间按实际利率法计算的利息，计入</w:t>
      </w:r>
      <w:r>
        <w:rPr>
          <w:spacing w:val="-68"/>
          <w:w w:val="101"/>
        </w:rPr>
        <w:t> </w:t>
      </w:r>
      <w:r>
        <w:rPr>
          <w:spacing w:val="-68"/>
          <w:w w:val="101"/>
        </w:rPr>
      </w:r>
      <w:r>
        <w:rPr>
          <w:spacing w:val="-4"/>
        </w:rPr>
        <w:t>投资收益；可供出售权益工具投资的现金股利，于被投资单位宣告发放股利时计入投资收益；处置时，将实际收到的金额与</w:t>
      </w:r>
      <w:r>
        <w:rPr>
          <w:spacing w:val="40"/>
        </w:rPr>
        <w:t> </w:t>
      </w:r>
      <w:r>
        <w:rPr>
          <w:spacing w:val="40"/>
        </w:rPr>
      </w:r>
      <w:r>
        <w:rPr>
          <w:spacing w:val="-3"/>
        </w:rPr>
        <w:t>账面价值扣除原直接计入其他综合收益的公允价值变动累计额之后的差额确认为投资收益。</w:t>
      </w:r>
      <w:r>
        <w:rPr/>
      </w:r>
    </w:p>
    <w:p>
      <w:pPr>
        <w:pStyle w:val="BodyText"/>
        <w:spacing w:line="328" w:lineRule="auto" w:before="145"/>
        <w:ind w:right="0" w:firstLine="360"/>
        <w:jc w:val="left"/>
        <w:rPr>
          <w:rFonts w:ascii="宋体" w:hAnsi="宋体" w:cs="宋体" w:eastAsia="宋体" w:hint="default"/>
        </w:rPr>
      </w:pPr>
      <w:r>
        <w:rPr>
          <w:spacing w:val="-5"/>
          <w:w w:val="101"/>
        </w:rPr>
        <w:t>当收取某项金融资产现金流量的合同权利已终止或该金融资产所有权上几乎所有的风险和报酬已转移时，终止确认该金 </w:t>
      </w:r>
      <w:r>
        <w:rPr>
          <w:spacing w:val="-3"/>
        </w:rPr>
        <w:t>融资产；当金融负债的现时义务全部或部分解除时，相应终止确认该金融负债或其一部分。</w:t>
      </w:r>
      <w:r>
        <w:rPr>
          <w:rFonts w:ascii="宋体" w:hAnsi="宋体" w:cs="宋体" w:eastAsia="宋体" w:hint="default"/>
        </w:rPr>
        <w:t> </w:t>
      </w:r>
    </w:p>
    <w:p>
      <w:pPr>
        <w:pStyle w:val="BodyText"/>
        <w:spacing w:line="424" w:lineRule="auto" w:before="134"/>
        <w:ind w:left="512" w:right="0"/>
        <w:jc w:val="left"/>
      </w:pPr>
      <w:r>
        <w:rPr>
          <w:rFonts w:ascii="Times New Roman" w:hAnsi="Times New Roman" w:cs="Times New Roman" w:eastAsia="Times New Roman" w:hint="default"/>
          <w:spacing w:val="-3"/>
        </w:rPr>
        <w:t>3</w:t>
      </w:r>
      <w:r>
        <w:rPr>
          <w:spacing w:val="-3"/>
        </w:rPr>
        <w:t>、金融资产转移的确认依据和计量方法</w:t>
      </w:r>
      <w:r>
        <w:rPr>
          <w:spacing w:val="-40"/>
        </w:rPr>
        <w:t> </w:t>
      </w:r>
      <w:r>
        <w:rPr>
          <w:spacing w:val="-40"/>
        </w:rPr>
      </w:r>
      <w:r>
        <w:rPr>
          <w:spacing w:val="-5"/>
        </w:rPr>
        <w:t>公司已将金融资产所有权上几乎所有的风险和报酬转移给了转入方的，终止确认该金融资产；保留了金融资产所有权上</w:t>
      </w:r>
    </w:p>
    <w:p>
      <w:pPr>
        <w:spacing w:after="0" w:line="424" w:lineRule="auto"/>
        <w:jc w:val="left"/>
        <w:sectPr>
          <w:pgSz w:w="11910" w:h="16840"/>
          <w:pgMar w:header="914" w:footer="1027" w:top="1120" w:bottom="1220" w:left="980" w:right="940"/>
        </w:sectPr>
      </w:pPr>
    </w:p>
    <w:p>
      <w:pPr>
        <w:spacing w:line="240" w:lineRule="auto" w:before="10"/>
        <w:rPr>
          <w:rFonts w:ascii="宋体" w:hAnsi="宋体" w:cs="宋体" w:eastAsia="宋体" w:hint="default"/>
          <w:sz w:val="20"/>
          <w:szCs w:val="20"/>
        </w:rPr>
      </w:pPr>
    </w:p>
    <w:p>
      <w:pPr>
        <w:pStyle w:val="BodyText"/>
        <w:spacing w:line="328" w:lineRule="auto" w:before="46"/>
        <w:ind w:right="118"/>
        <w:jc w:val="both"/>
      </w:pPr>
      <w:r>
        <w:rPr>
          <w:spacing w:val="-4"/>
        </w:rPr>
        <w:t>几乎所有的风险和报酬的，继续确认所转移的金融资产，并将收到的对价确认为一项金融负债。公司既没有转移也没有保留</w:t>
      </w:r>
      <w:r>
        <w:rPr>
          <w:spacing w:val="43"/>
        </w:rPr>
        <w:t> </w:t>
      </w:r>
      <w:r>
        <w:rPr>
          <w:spacing w:val="43"/>
        </w:rPr>
      </w:r>
      <w:r>
        <w:rPr>
          <w:spacing w:val="-4"/>
          <w:w w:val="101"/>
        </w:rPr>
        <w:t>金融资产所有权上几乎所有的风险和报酬的，分别下列情况处理：（</w:t>
      </w:r>
      <w:r>
        <w:rPr>
          <w:rFonts w:ascii="Times New Roman" w:hAnsi="Times New Roman" w:cs="Times New Roman" w:eastAsia="Times New Roman" w:hint="default"/>
          <w:spacing w:val="-4"/>
          <w:w w:val="101"/>
        </w:rPr>
        <w:t>1</w:t>
      </w:r>
      <w:r>
        <w:rPr>
          <w:spacing w:val="-4"/>
          <w:w w:val="101"/>
        </w:rPr>
        <w:t>）放弃了对该金融资产控制的，终止确认该金融资产；</w:t>
      </w:r>
      <w:r>
        <w:rPr>
          <w:spacing w:val="-4"/>
        </w:rPr>
      </w:r>
    </w:p>
    <w:p>
      <w:pPr>
        <w:pStyle w:val="BodyText"/>
        <w:spacing w:line="248" w:lineRule="exact"/>
        <w:ind w:right="0"/>
        <w:jc w:val="both"/>
      </w:pPr>
      <w:r>
        <w:rPr>
          <w:spacing w:val="-3"/>
        </w:rPr>
        <w:t>（</w:t>
      </w:r>
      <w:r>
        <w:rPr>
          <w:rFonts w:ascii="Times New Roman" w:hAnsi="Times New Roman" w:cs="Times New Roman" w:eastAsia="Times New Roman" w:hint="default"/>
          <w:spacing w:val="-3"/>
        </w:rPr>
        <w:t>2</w:t>
      </w:r>
      <w:r>
        <w:rPr>
          <w:spacing w:val="-3"/>
        </w:rPr>
        <w:t>）未放弃对该金融资产控制的，按照继续涉入所转移金融资产的程度确认有关金融资产，并相应确认有关负债。</w:t>
      </w:r>
    </w:p>
    <w:p>
      <w:pPr>
        <w:spacing w:line="240" w:lineRule="auto" w:before="9"/>
        <w:rPr>
          <w:rFonts w:ascii="宋体" w:hAnsi="宋体" w:cs="宋体" w:eastAsia="宋体" w:hint="default"/>
          <w:sz w:val="14"/>
          <w:szCs w:val="14"/>
        </w:rPr>
      </w:pPr>
    </w:p>
    <w:p>
      <w:pPr>
        <w:pStyle w:val="BodyText"/>
        <w:spacing w:line="316" w:lineRule="auto"/>
        <w:ind w:right="0" w:firstLine="359"/>
        <w:jc w:val="left"/>
      </w:pPr>
      <w:r>
        <w:rPr>
          <w:spacing w:val="-6"/>
          <w:w w:val="101"/>
        </w:rPr>
        <w:t>金融资产整体转移满足终止确认条件的，将下列两项金额的差额计入当期损益：（</w:t>
      </w:r>
      <w:r>
        <w:rPr>
          <w:rFonts w:ascii="Times New Roman" w:hAnsi="Times New Roman" w:cs="Times New Roman" w:eastAsia="Times New Roman" w:hint="default"/>
          <w:spacing w:val="-6"/>
          <w:w w:val="101"/>
        </w:rPr>
        <w:t>1</w:t>
      </w:r>
      <w:r>
        <w:rPr>
          <w:spacing w:val="-6"/>
          <w:w w:val="101"/>
        </w:rPr>
        <w:t>）所转移金融资产的账面价值；（</w:t>
      </w:r>
      <w:r>
        <w:rPr>
          <w:rFonts w:ascii="Times New Roman" w:hAnsi="Times New Roman" w:cs="Times New Roman" w:eastAsia="Times New Roman" w:hint="default"/>
          <w:spacing w:val="-6"/>
          <w:w w:val="101"/>
        </w:rPr>
        <w:t>2</w:t>
      </w:r>
      <w:r>
        <w:rPr>
          <w:spacing w:val="-6"/>
          <w:w w:val="101"/>
        </w:rPr>
        <w:t>）</w:t>
      </w:r>
      <w:r>
        <w:rPr>
          <w:w w:val="101"/>
        </w:rPr>
        <w:t> </w:t>
      </w:r>
      <w:r>
        <w:rPr>
          <w:spacing w:val="-4"/>
        </w:rPr>
        <w:t>因转移而收到的对价，与原直接计入所有者权益的公允价值变动累计额之和。金融资产部分转移满足终止确认条件的，将所</w:t>
      </w:r>
      <w:r>
        <w:rPr>
          <w:spacing w:val="43"/>
        </w:rPr>
        <w:t> </w:t>
      </w:r>
      <w:r>
        <w:rPr>
          <w:spacing w:val="43"/>
        </w:rPr>
      </w:r>
      <w:r>
        <w:rPr>
          <w:spacing w:val="-4"/>
        </w:rPr>
        <w:t>转移金融资产整体的账面价值，在终止确认部分和未终止确认部分之间，按照各自的相对公允价值进行分摊，并将下列两项</w:t>
      </w:r>
      <w:r>
        <w:rPr>
          <w:spacing w:val="43"/>
        </w:rPr>
        <w:t> </w:t>
      </w:r>
      <w:r>
        <w:rPr>
          <w:spacing w:val="43"/>
        </w:rPr>
      </w:r>
      <w:r>
        <w:rPr>
          <w:spacing w:val="-8"/>
          <w:w w:val="101"/>
        </w:rPr>
        <w:t>金额的差额计入当期损益：（</w:t>
      </w:r>
      <w:r>
        <w:rPr>
          <w:rFonts w:ascii="Times New Roman" w:hAnsi="Times New Roman" w:cs="Times New Roman" w:eastAsia="Times New Roman" w:hint="default"/>
          <w:spacing w:val="-8"/>
          <w:w w:val="101"/>
        </w:rPr>
        <w:t>1</w:t>
      </w:r>
      <w:r>
        <w:rPr>
          <w:spacing w:val="-8"/>
          <w:w w:val="101"/>
        </w:rPr>
        <w:t>）终止确认部分的账面价值；（</w:t>
      </w:r>
      <w:r>
        <w:rPr>
          <w:rFonts w:ascii="Times New Roman" w:hAnsi="Times New Roman" w:cs="Times New Roman" w:eastAsia="Times New Roman" w:hint="default"/>
          <w:spacing w:val="-8"/>
          <w:w w:val="101"/>
        </w:rPr>
        <w:t>2</w:t>
      </w:r>
      <w:r>
        <w:rPr>
          <w:spacing w:val="-8"/>
          <w:w w:val="101"/>
        </w:rPr>
        <w:t>）终止确认部分的对价，与原直接计入所有者权益的公允价值</w:t>
      </w:r>
      <w:r>
        <w:rPr>
          <w:spacing w:val="-43"/>
          <w:w w:val="101"/>
        </w:rPr>
        <w:t> </w:t>
      </w:r>
      <w:r>
        <w:rPr>
          <w:spacing w:val="-43"/>
          <w:w w:val="101"/>
        </w:rPr>
      </w:r>
      <w:r>
        <w:rPr>
          <w:spacing w:val="-3"/>
        </w:rPr>
        <w:t>变动累计额中对应终止确认部分的金额之和。</w:t>
      </w:r>
    </w:p>
    <w:p>
      <w:pPr>
        <w:pStyle w:val="BodyText"/>
        <w:spacing w:line="442" w:lineRule="exact" w:before="5"/>
        <w:ind w:left="513" w:right="0"/>
        <w:jc w:val="left"/>
      </w:pPr>
      <w:r>
        <w:rPr>
          <w:rFonts w:ascii="Times New Roman" w:hAnsi="Times New Roman" w:cs="Times New Roman" w:eastAsia="Times New Roman" w:hint="default"/>
          <w:spacing w:val="-3"/>
        </w:rPr>
        <w:t>4</w:t>
      </w:r>
      <w:r>
        <w:rPr>
          <w:spacing w:val="-3"/>
        </w:rPr>
        <w:t>、主要金融资产和金融负债的公允价值确定方法</w:t>
      </w:r>
      <w:r>
        <w:rPr>
          <w:spacing w:val="-28"/>
        </w:rPr>
        <w:t> </w:t>
      </w:r>
      <w:r>
        <w:rPr>
          <w:spacing w:val="-28"/>
        </w:rPr>
      </w:r>
      <w:r>
        <w:rPr>
          <w:spacing w:val="-4"/>
        </w:rPr>
        <w:t>存在活跃市场的金融资产或金融负债，以活跃市场的报价确定其公允价值；不存在活跃市场的金融资产或金融负债，采</w:t>
      </w:r>
    </w:p>
    <w:p>
      <w:pPr>
        <w:pStyle w:val="BodyText"/>
        <w:spacing w:line="326" w:lineRule="auto" w:before="23"/>
        <w:ind w:left="153" w:right="204"/>
        <w:jc w:val="both"/>
        <w:rPr>
          <w:rFonts w:ascii="宋体" w:hAnsi="宋体" w:cs="宋体" w:eastAsia="宋体" w:hint="default"/>
        </w:rPr>
      </w:pPr>
      <w:r>
        <w:rPr>
          <w:spacing w:val="-4"/>
        </w:rPr>
        <w:t>用估值技术（包括参考熟悉情况并自愿交易的各方最近进行的市场交易中使用的价格、参照实质上相同的其他金融工具的当</w:t>
      </w:r>
      <w:r>
        <w:rPr>
          <w:spacing w:val="43"/>
        </w:rPr>
        <w:t> </w:t>
      </w:r>
      <w:r>
        <w:rPr>
          <w:spacing w:val="43"/>
        </w:rPr>
      </w:r>
      <w:r>
        <w:rPr>
          <w:spacing w:val="-4"/>
        </w:rPr>
        <w:t>前公允价值、现金流量折现法和期权定价模型等）确定其公允价值；初始取得或源生的金融资产或承担的金融负债，以市场</w:t>
      </w:r>
      <w:r>
        <w:rPr>
          <w:spacing w:val="40"/>
        </w:rPr>
        <w:t> </w:t>
      </w:r>
      <w:r>
        <w:rPr>
          <w:spacing w:val="40"/>
        </w:rPr>
      </w:r>
      <w:r>
        <w:rPr>
          <w:spacing w:val="-3"/>
        </w:rPr>
        <w:t>交易价格作为确定其公允价值的基础。</w:t>
      </w:r>
      <w:r>
        <w:rPr>
          <w:rFonts w:ascii="宋体" w:hAnsi="宋体" w:cs="宋体" w:eastAsia="宋体" w:hint="default"/>
        </w:rPr>
        <w:t> </w:t>
      </w:r>
    </w:p>
    <w:p>
      <w:pPr>
        <w:pStyle w:val="BodyText"/>
        <w:spacing w:line="240" w:lineRule="auto" w:before="141"/>
        <w:ind w:left="513" w:right="0"/>
        <w:jc w:val="left"/>
      </w:pPr>
      <w:r>
        <w:rPr>
          <w:rFonts w:ascii="Times New Roman" w:hAnsi="Times New Roman" w:cs="Times New Roman" w:eastAsia="Times New Roman" w:hint="default"/>
          <w:spacing w:val="-3"/>
        </w:rPr>
        <w:t>5</w:t>
      </w:r>
      <w:r>
        <w:rPr>
          <w:spacing w:val="-3"/>
        </w:rPr>
        <w:t>、金融资产的减值测试和减值准备计提方法</w:t>
      </w:r>
      <w:r>
        <w:rPr/>
      </w:r>
    </w:p>
    <w:p>
      <w:pPr>
        <w:spacing w:line="240" w:lineRule="auto" w:before="9"/>
        <w:rPr>
          <w:rFonts w:ascii="宋体" w:hAnsi="宋体" w:cs="宋体" w:eastAsia="宋体" w:hint="default"/>
          <w:sz w:val="14"/>
          <w:szCs w:val="14"/>
        </w:rPr>
      </w:pPr>
    </w:p>
    <w:p>
      <w:pPr>
        <w:pStyle w:val="BodyText"/>
        <w:spacing w:line="328" w:lineRule="auto"/>
        <w:ind w:left="153" w:right="0" w:firstLine="360"/>
        <w:jc w:val="left"/>
        <w:rPr>
          <w:rFonts w:ascii="宋体" w:hAnsi="宋体" w:cs="宋体" w:eastAsia="宋体" w:hint="default"/>
        </w:rPr>
      </w:pPr>
      <w:r>
        <w:rPr>
          <w:spacing w:val="-5"/>
          <w:w w:val="101"/>
        </w:rPr>
        <w:t>资产负债表日对以公允价值计量且其变动计入当期损益的金融资产以外的金融资产的账面价值进行检查，如有客观证据 </w:t>
      </w:r>
      <w:r>
        <w:rPr>
          <w:spacing w:val="-3"/>
        </w:rPr>
        <w:t>表明该金融资产发生减值的，计提减值准备。</w:t>
      </w:r>
      <w:r>
        <w:rPr>
          <w:rFonts w:ascii="宋体" w:hAnsi="宋体" w:cs="宋体" w:eastAsia="宋体" w:hint="default"/>
        </w:rPr>
        <w:t> </w:t>
      </w:r>
    </w:p>
    <w:p>
      <w:pPr>
        <w:pStyle w:val="BodyText"/>
        <w:spacing w:line="328" w:lineRule="auto" w:before="139"/>
        <w:ind w:left="153" w:right="204" w:firstLine="359"/>
        <w:jc w:val="both"/>
        <w:rPr>
          <w:rFonts w:ascii="宋体" w:hAnsi="宋体" w:cs="宋体" w:eastAsia="宋体" w:hint="default"/>
        </w:rPr>
      </w:pPr>
      <w:r>
        <w:rPr>
          <w:spacing w:val="-4"/>
        </w:rPr>
        <w:t>对单项金额重大的金融资产单独进行减值测试；对单项金额不重大的金融资产，可以单独进行减值测试，或包括在具有</w:t>
      </w:r>
      <w:r>
        <w:rPr>
          <w:w w:val="101"/>
        </w:rPr>
        <w:t> </w:t>
      </w:r>
      <w:r>
        <w:rPr>
          <w:spacing w:val="-4"/>
        </w:rPr>
        <w:t>类似信用风险特征的金融资产组合中进行减值测试；单独测试未发生减值的金融资产（包括单项金额重大和不重大的金融资</w:t>
      </w:r>
      <w:r>
        <w:rPr>
          <w:spacing w:val="43"/>
        </w:rPr>
        <w:t> </w:t>
      </w:r>
      <w:r>
        <w:rPr>
          <w:spacing w:val="43"/>
        </w:rPr>
      </w:r>
      <w:r>
        <w:rPr>
          <w:spacing w:val="-6"/>
          <w:w w:val="101"/>
        </w:rPr>
        <w:t>产），包括在具有类似信用风险特征的金融资产组合中再进行减值测试。</w:t>
      </w:r>
      <w:r>
        <w:rPr>
          <w:rFonts w:ascii="宋体" w:hAnsi="宋体" w:cs="宋体" w:eastAsia="宋体" w:hint="default"/>
          <w:w w:val="101"/>
        </w:rPr>
        <w:t> </w:t>
      </w:r>
      <w:r>
        <w:rPr>
          <w:rFonts w:ascii="宋体" w:hAnsi="宋体" w:cs="宋体" w:eastAsia="宋体" w:hint="default"/>
        </w:rPr>
      </w:r>
    </w:p>
    <w:p>
      <w:pPr>
        <w:pStyle w:val="BodyText"/>
        <w:spacing w:line="420" w:lineRule="auto" w:before="139"/>
        <w:ind w:left="513" w:right="0"/>
        <w:jc w:val="left"/>
      </w:pPr>
      <w:r>
        <w:rPr>
          <w:rFonts w:ascii="Times New Roman" w:hAnsi="Times New Roman" w:cs="Times New Roman" w:eastAsia="Times New Roman" w:hint="default"/>
          <w:spacing w:val="-3"/>
        </w:rPr>
        <w:t>6</w:t>
      </w:r>
      <w:r>
        <w:rPr>
          <w:spacing w:val="-3"/>
        </w:rPr>
        <w:t>、金融资产转移</w:t>
      </w:r>
      <w:r>
        <w:rPr>
          <w:spacing w:val="-68"/>
        </w:rPr>
        <w:t> </w:t>
      </w:r>
      <w:r>
        <w:rPr>
          <w:spacing w:val="-68"/>
        </w:rPr>
      </w:r>
      <w:r>
        <w:rPr>
          <w:spacing w:val="-5"/>
          <w:w w:val="101"/>
        </w:rPr>
        <w:t>金融资产转移，是指本公司将金融资产让与或交付给该金融资产发行方以外的另一方（转入方）。本公司已将金融资产</w:t>
      </w:r>
      <w:r>
        <w:rPr>
          <w:spacing w:val="-5"/>
        </w:rPr>
      </w:r>
    </w:p>
    <w:p>
      <w:pPr>
        <w:pStyle w:val="BodyText"/>
        <w:spacing w:line="187" w:lineRule="exact"/>
        <w:ind w:left="153" w:right="0"/>
        <w:jc w:val="both"/>
      </w:pPr>
      <w:r>
        <w:rPr>
          <w:w w:val="101"/>
        </w:rPr>
        <w:t>所</w:t>
      </w:r>
      <w:r>
        <w:rPr>
          <w:spacing w:val="-5"/>
          <w:w w:val="101"/>
        </w:rPr>
        <w:t>有</w:t>
      </w:r>
      <w:r>
        <w:rPr>
          <w:w w:val="101"/>
        </w:rPr>
        <w:t>权</w:t>
      </w:r>
      <w:r>
        <w:rPr>
          <w:spacing w:val="-5"/>
          <w:w w:val="101"/>
        </w:rPr>
        <w:t>上</w:t>
      </w:r>
      <w:r>
        <w:rPr>
          <w:w w:val="101"/>
        </w:rPr>
        <w:t>几</w:t>
      </w:r>
      <w:r>
        <w:rPr>
          <w:spacing w:val="-5"/>
          <w:w w:val="101"/>
        </w:rPr>
        <w:t>乎</w:t>
      </w:r>
      <w:r>
        <w:rPr>
          <w:w w:val="101"/>
        </w:rPr>
        <w:t>所</w:t>
      </w:r>
      <w:r>
        <w:rPr>
          <w:spacing w:val="-5"/>
          <w:w w:val="101"/>
        </w:rPr>
        <w:t>有</w:t>
      </w:r>
      <w:r>
        <w:rPr>
          <w:w w:val="101"/>
        </w:rPr>
        <w:t>的</w:t>
      </w:r>
      <w:r>
        <w:rPr>
          <w:spacing w:val="-5"/>
          <w:w w:val="101"/>
        </w:rPr>
        <w:t>风</w:t>
      </w:r>
      <w:r>
        <w:rPr>
          <w:w w:val="101"/>
        </w:rPr>
        <w:t>险</w:t>
      </w:r>
      <w:r>
        <w:rPr>
          <w:spacing w:val="-5"/>
          <w:w w:val="101"/>
        </w:rPr>
        <w:t>和</w:t>
      </w:r>
      <w:r>
        <w:rPr>
          <w:w w:val="101"/>
        </w:rPr>
        <w:t>报</w:t>
      </w:r>
      <w:r>
        <w:rPr>
          <w:spacing w:val="-5"/>
          <w:w w:val="101"/>
        </w:rPr>
        <w:t>酬</w:t>
      </w:r>
      <w:r>
        <w:rPr>
          <w:w w:val="101"/>
        </w:rPr>
        <w:t>转</w:t>
      </w:r>
      <w:r>
        <w:rPr>
          <w:spacing w:val="-5"/>
          <w:w w:val="101"/>
        </w:rPr>
        <w:t>移</w:t>
      </w:r>
      <w:r>
        <w:rPr>
          <w:w w:val="101"/>
        </w:rPr>
        <w:t>给</w:t>
      </w:r>
      <w:r>
        <w:rPr>
          <w:spacing w:val="-5"/>
          <w:w w:val="101"/>
        </w:rPr>
        <w:t>转</w:t>
      </w:r>
      <w:r>
        <w:rPr>
          <w:w w:val="101"/>
        </w:rPr>
        <w:t>入</w:t>
      </w:r>
      <w:r>
        <w:rPr>
          <w:spacing w:val="-5"/>
          <w:w w:val="101"/>
        </w:rPr>
        <w:t>方</w:t>
      </w:r>
      <w:r>
        <w:rPr>
          <w:spacing w:val="-87"/>
          <w:w w:val="101"/>
        </w:rPr>
        <w:t>，</w:t>
      </w:r>
      <w:r>
        <w:rPr>
          <w:spacing w:val="-5"/>
          <w:w w:val="101"/>
        </w:rPr>
        <w:t>终</w:t>
      </w:r>
      <w:r>
        <w:rPr>
          <w:w w:val="101"/>
        </w:rPr>
        <w:t>止</w:t>
      </w:r>
      <w:r>
        <w:rPr>
          <w:spacing w:val="-5"/>
          <w:w w:val="101"/>
        </w:rPr>
        <w:t>确</w:t>
      </w:r>
      <w:r>
        <w:rPr>
          <w:w w:val="101"/>
        </w:rPr>
        <w:t>认</w:t>
      </w:r>
      <w:r>
        <w:rPr>
          <w:spacing w:val="-5"/>
          <w:w w:val="101"/>
        </w:rPr>
        <w:t>该项</w:t>
      </w:r>
      <w:r>
        <w:rPr>
          <w:w w:val="101"/>
        </w:rPr>
        <w:t>金</w:t>
      </w:r>
      <w:r>
        <w:rPr>
          <w:spacing w:val="-5"/>
          <w:w w:val="101"/>
        </w:rPr>
        <w:t>融</w:t>
      </w:r>
      <w:r>
        <w:rPr>
          <w:w w:val="101"/>
        </w:rPr>
        <w:t>资产</w:t>
      </w:r>
      <w:r>
        <w:rPr>
          <w:spacing w:val="-92"/>
          <w:w w:val="101"/>
        </w:rPr>
        <w:t>；</w:t>
      </w:r>
      <w:r>
        <w:rPr>
          <w:w w:val="101"/>
        </w:rPr>
        <w:t>保</w:t>
      </w:r>
      <w:r>
        <w:rPr>
          <w:spacing w:val="-5"/>
          <w:w w:val="101"/>
        </w:rPr>
        <w:t>留</w:t>
      </w:r>
      <w:r>
        <w:rPr>
          <w:w w:val="101"/>
        </w:rPr>
        <w:t>了</w:t>
      </w:r>
      <w:r>
        <w:rPr>
          <w:spacing w:val="-5"/>
          <w:w w:val="101"/>
        </w:rPr>
        <w:t>金</w:t>
      </w:r>
      <w:r>
        <w:rPr>
          <w:w w:val="101"/>
        </w:rPr>
        <w:t>融</w:t>
      </w:r>
      <w:r>
        <w:rPr>
          <w:spacing w:val="-5"/>
          <w:w w:val="101"/>
        </w:rPr>
        <w:t>资</w:t>
      </w:r>
      <w:r>
        <w:rPr>
          <w:w w:val="101"/>
        </w:rPr>
        <w:t>产</w:t>
      </w:r>
      <w:r>
        <w:rPr>
          <w:spacing w:val="-5"/>
          <w:w w:val="101"/>
        </w:rPr>
        <w:t>所有</w:t>
      </w:r>
      <w:r>
        <w:rPr>
          <w:w w:val="101"/>
        </w:rPr>
        <w:t>权</w:t>
      </w:r>
      <w:r>
        <w:rPr>
          <w:spacing w:val="-5"/>
          <w:w w:val="101"/>
        </w:rPr>
        <w:t>上</w:t>
      </w:r>
      <w:r>
        <w:rPr>
          <w:w w:val="101"/>
        </w:rPr>
        <w:t>几</w:t>
      </w:r>
      <w:r>
        <w:rPr>
          <w:spacing w:val="-5"/>
          <w:w w:val="101"/>
        </w:rPr>
        <w:t>乎</w:t>
      </w:r>
      <w:r>
        <w:rPr>
          <w:w w:val="101"/>
        </w:rPr>
        <w:t>所</w:t>
      </w:r>
      <w:r>
        <w:rPr>
          <w:spacing w:val="-5"/>
          <w:w w:val="101"/>
        </w:rPr>
        <w:t>有</w:t>
      </w:r>
      <w:r>
        <w:rPr>
          <w:w w:val="101"/>
        </w:rPr>
        <w:t>的</w:t>
      </w:r>
      <w:r>
        <w:rPr>
          <w:spacing w:val="-5"/>
          <w:w w:val="101"/>
        </w:rPr>
        <w:t>风</w:t>
      </w:r>
      <w:r>
        <w:rPr>
          <w:w w:val="101"/>
        </w:rPr>
        <w:t>险</w:t>
      </w:r>
      <w:r>
        <w:rPr>
          <w:spacing w:val="-5"/>
          <w:w w:val="101"/>
        </w:rPr>
        <w:t>和</w:t>
      </w:r>
      <w:r>
        <w:rPr>
          <w:w w:val="101"/>
        </w:rPr>
        <w:t>报</w:t>
      </w:r>
      <w:r>
        <w:rPr>
          <w:spacing w:val="-5"/>
          <w:w w:val="101"/>
        </w:rPr>
        <w:t>酬</w:t>
      </w:r>
      <w:r>
        <w:rPr>
          <w:w w:val="101"/>
        </w:rPr>
        <w:t>的，</w:t>
      </w:r>
      <w:r>
        <w:rPr/>
      </w:r>
    </w:p>
    <w:p>
      <w:pPr>
        <w:pStyle w:val="BodyText"/>
        <w:spacing w:line="240" w:lineRule="auto" w:before="86"/>
        <w:ind w:left="153" w:right="0"/>
        <w:jc w:val="both"/>
        <w:rPr>
          <w:rFonts w:ascii="宋体" w:hAnsi="宋体" w:cs="宋体" w:eastAsia="宋体" w:hint="default"/>
        </w:rPr>
      </w:pPr>
      <w:r>
        <w:rPr>
          <w:spacing w:val="-3"/>
        </w:rPr>
        <w:t>不终止确认该项金融资产。</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28" w:lineRule="auto"/>
        <w:ind w:left="153" w:right="121" w:firstLine="360"/>
        <w:jc w:val="left"/>
        <w:rPr>
          <w:rFonts w:ascii="宋体" w:hAnsi="宋体" w:cs="宋体" w:eastAsia="宋体" w:hint="default"/>
        </w:rPr>
      </w:pPr>
      <w:r>
        <w:rPr>
          <w:spacing w:val="-6"/>
          <w:w w:val="101"/>
        </w:rPr>
        <w:t>本公司既没有转移也没保留金融资产所有权上几乎所有的风险和报酬，分别下列情况处理：放弃了对该金融资产控制的，</w:t>
      </w:r>
      <w:r>
        <w:rPr>
          <w:spacing w:val="-5"/>
          <w:w w:val="101"/>
        </w:rPr>
        <w:t> </w:t>
      </w:r>
      <w:r>
        <w:rPr>
          <w:spacing w:val="-4"/>
        </w:rPr>
        <w:t>终止确认该项金融资产并确认产生的资产和负债；未放弃对该金融资产控制的，按照其继续涉入所转移金融资产的程度确认</w:t>
      </w:r>
      <w:r>
        <w:rPr>
          <w:spacing w:val="42"/>
        </w:rPr>
        <w:t> </w:t>
      </w:r>
      <w:r>
        <w:rPr>
          <w:spacing w:val="42"/>
        </w:rPr>
      </w:r>
      <w:r>
        <w:rPr>
          <w:spacing w:val="-3"/>
        </w:rPr>
        <w:t>有关金融资产，并相应确认有关负债。</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both"/>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万元以上（含</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万元）的应收款项。</w:t>
            </w:r>
            <w:r>
              <w:rPr>
                <w:rFonts w:ascii="宋体" w:hAnsi="宋体" w:cs="宋体" w:eastAsia="宋体" w:hint="default"/>
                <w:sz w:val="18"/>
                <w:szCs w:val="18"/>
              </w:rPr>
            </w:r>
          </w:p>
        </w:tc>
      </w:tr>
      <w:tr>
        <w:trPr>
          <w:trHeight w:val="1056"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100" w:right="170"/>
              <w:jc w:val="both"/>
              <w:rPr>
                <w:rFonts w:ascii="宋体" w:hAnsi="宋体" w:cs="宋体" w:eastAsia="宋体" w:hint="default"/>
                <w:sz w:val="18"/>
                <w:szCs w:val="18"/>
              </w:rPr>
            </w:pPr>
            <w:r>
              <w:rPr>
                <w:rFonts w:ascii="宋体" w:hAnsi="宋体" w:cs="宋体" w:eastAsia="宋体" w:hint="default"/>
                <w:spacing w:val="-3"/>
                <w:sz w:val="18"/>
                <w:szCs w:val="18"/>
              </w:rPr>
              <w:t>对单项金额重大的应收款项，单独进行减值测试。有客观</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证据表明其发生了减值的，按照其未来现金流量现值低于</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其账面价值的差额，计提坏账准备。</w:t>
            </w:r>
          </w:p>
        </w:tc>
      </w:tr>
    </w:tbl>
    <w:p>
      <w:pPr>
        <w:spacing w:line="240" w:lineRule="auto" w:before="7"/>
        <w:rPr>
          <w:rFonts w:ascii="宋体" w:hAnsi="宋体" w:cs="宋体" w:eastAsia="宋体" w:hint="default"/>
          <w:b/>
          <w:bCs/>
          <w:sz w:val="19"/>
          <w:szCs w:val="19"/>
        </w:rPr>
      </w:pPr>
    </w:p>
    <w:p>
      <w:pPr>
        <w:pStyle w:val="Heading4"/>
        <w:spacing w:line="240" w:lineRule="auto" w:before="36"/>
        <w:ind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914" w:footer="1027" w:top="1120" w:bottom="1220" w:left="980" w:right="920"/>
        </w:sectPr>
      </w:pPr>
    </w:p>
    <w:p>
      <w:pPr>
        <w:spacing w:line="240" w:lineRule="auto" w:before="1"/>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12" w:hRule="exact"/>
        </w:trPr>
        <w:tc>
          <w:tcPr>
            <w:tcW w:w="4786" w:type="dxa"/>
            <w:tcBorders>
              <w:top w:val="nil" w:sz="6" w:space="0" w:color="auto"/>
              <w:left w:val="nil" w:sz="6" w:space="0" w:color="auto"/>
              <w:bottom w:val="single" w:sz="4" w:space="0" w:color="000000"/>
              <w:right w:val="nil" w:sz="6" w:space="0" w:color="auto"/>
            </w:tcBorders>
          </w:tcPr>
          <w:p>
            <w:pPr/>
          </w:p>
        </w:tc>
        <w:tc>
          <w:tcPr>
            <w:tcW w:w="4781" w:type="dxa"/>
            <w:tcBorders>
              <w:top w:val="nil" w:sz="6" w:space="0" w:color="auto"/>
              <w:left w:val="nil" w:sz="6" w:space="0" w:color="auto"/>
              <w:bottom w:val="single" w:sz="4" w:space="0" w:color="000000"/>
              <w:right w:val="nil" w:sz="6" w:space="0" w:color="auto"/>
            </w:tcBorders>
          </w:tcPr>
          <w:p>
            <w:pPr/>
          </w:p>
        </w:tc>
      </w:tr>
      <w:tr>
        <w:trPr>
          <w:trHeight w:val="413" w:hRule="exact"/>
        </w:trPr>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账龄分析法</w:t>
            </w:r>
            <w:r>
              <w:rPr>
                <w:rFonts w:ascii="宋体" w:hAnsi="宋体" w:cs="宋体" w:eastAsia="宋体" w:hint="default"/>
                <w:sz w:val="18"/>
                <w:szCs w:val="18"/>
              </w:rPr>
            </w:r>
          </w:p>
        </w:tc>
      </w:tr>
    </w:tbl>
    <w:p>
      <w:pPr>
        <w:pStyle w:val="BodyText"/>
        <w:spacing w:line="240" w:lineRule="auto" w:before="58"/>
        <w:ind w:right="0"/>
        <w:jc w:val="left"/>
      </w:pPr>
      <w:r>
        <w:rPr/>
        <w:pict>
          <v:group style="position:absolute;margin-left:55.200001pt;margin-top:-36.508297pt;width:484.8pt;height:.1pt;mso-position-horizontal-relative:page;mso-position-vertical-relative:paragraph;z-index:-654544" coordorigin="1104,-730" coordsize="9696,2">
            <v:shape style="position:absolute;left:1104;top:-730;width:9696;height:2" coordorigin="1104,-730" coordsize="9696,0" path="m1104,-730l10800,-730e" filled="false" stroked="true" strokeweight=".48pt" strokecolor="#000000">
              <v:path arrowok="t"/>
            </v:shape>
            <w10:wrap type="none"/>
          </v:group>
        </w:pict>
      </w:r>
      <w:r>
        <w:rPr>
          <w:spacing w:val="-3"/>
        </w:rPr>
        <w:t>组合中，采用账龄分析法计提坏账准备的：</w:t>
      </w:r>
      <w:r>
        <w:rPr/>
      </w:r>
    </w:p>
    <w:p>
      <w:pPr>
        <w:pStyle w:val="BodyText"/>
        <w:spacing w:line="240" w:lineRule="auto" w:before="124"/>
        <w:ind w:right="6663"/>
        <w:jc w:val="left"/>
      </w:pPr>
      <w:r>
        <w:rPr/>
        <w:t>√ </w:t>
      </w:r>
      <w:r>
        <w:rPr>
          <w:spacing w:val="-3"/>
        </w:rPr>
        <w:t>适用 </w:t>
      </w:r>
      <w:r>
        <w:rPr/>
        <w:t>□</w:t>
      </w:r>
      <w:r>
        <w:rPr>
          <w:spacing w:val="1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87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r>
              <w:rPr>
                <w:rFonts w:ascii="宋体" w:hAnsi="宋体" w:cs="宋体" w:eastAsia="宋体" w:hint="default"/>
                <w:sz w:val="18"/>
                <w:szCs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80.00%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8"/>
        <w:ind w:right="0"/>
        <w:jc w:val="left"/>
      </w:pPr>
      <w:r>
        <w:rPr>
          <w:spacing w:val="-3"/>
        </w:rPr>
        <w:t>组合中，采用余额百分比法计提坏账准备的：</w:t>
      </w:r>
    </w:p>
    <w:p>
      <w:pPr>
        <w:pStyle w:val="BodyText"/>
        <w:spacing w:line="367" w:lineRule="auto" w:before="124"/>
        <w:ind w:right="5152" w:hanging="1"/>
        <w:jc w:val="left"/>
      </w:pPr>
      <w:r>
        <w:rPr/>
        <w:t>□ </w:t>
      </w:r>
      <w:r>
        <w:rPr>
          <w:spacing w:val="-3"/>
        </w:rPr>
        <w:t>适用 </w:t>
      </w:r>
      <w:r>
        <w:rPr/>
        <w:t>√ 不适用</w:t>
      </w:r>
      <w:r>
        <w:rPr>
          <w:spacing w:val="-77"/>
        </w:rPr>
        <w:t> </w:t>
      </w:r>
      <w:r>
        <w:rPr>
          <w:spacing w:val="-77"/>
        </w:rPr>
      </w:r>
      <w:r>
        <w:rPr>
          <w:spacing w:val="-3"/>
        </w:rPr>
        <w:t>组合中，采用其他方法计提坏账准备的：</w:t>
      </w:r>
    </w:p>
    <w:p>
      <w:pPr>
        <w:pStyle w:val="BodyText"/>
        <w:spacing w:line="240" w:lineRule="auto" w:before="29"/>
        <w:ind w:right="6663"/>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1373"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100" w:right="170"/>
              <w:jc w:val="both"/>
              <w:rPr>
                <w:rFonts w:ascii="宋体" w:hAnsi="宋体" w:cs="宋体" w:eastAsia="宋体" w:hint="default"/>
                <w:sz w:val="18"/>
                <w:szCs w:val="18"/>
              </w:rPr>
            </w:pPr>
            <w:r>
              <w:rPr>
                <w:rFonts w:ascii="宋体" w:hAnsi="宋体" w:cs="宋体" w:eastAsia="宋体" w:hint="default"/>
                <w:spacing w:val="-3"/>
                <w:sz w:val="18"/>
                <w:szCs w:val="18"/>
              </w:rPr>
              <w:t>如果某项单项金额不重大应收款项的可收回性与其他应收</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款项存在明显的差别，导致该项应收款项按照与其他应收</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款项同样的方法计提坏账准备，将无法真实反映其可收回</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金额的。</w:t>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采取个别认定法</w:t>
            </w:r>
            <w:r>
              <w:rPr>
                <w:rFonts w:ascii="宋体" w:hAnsi="宋体" w:cs="宋体" w:eastAsia="宋体" w:hint="default"/>
                <w:sz w:val="18"/>
                <w:szCs w:val="18"/>
              </w:rPr>
            </w:r>
          </w:p>
        </w:tc>
      </w:tr>
    </w:tbl>
    <w:p>
      <w:pPr>
        <w:spacing w:line="240" w:lineRule="auto" w:before="7"/>
        <w:rPr>
          <w:rFonts w:ascii="宋体" w:hAnsi="宋体" w:cs="宋体" w:eastAsia="宋体" w:hint="default"/>
          <w:b/>
          <w:bCs/>
          <w:sz w:val="19"/>
          <w:szCs w:val="19"/>
        </w:rPr>
      </w:pPr>
    </w:p>
    <w:p>
      <w:pPr>
        <w:pStyle w:val="Heading4"/>
        <w:spacing w:line="240" w:lineRule="auto" w:before="36"/>
        <w:ind w:right="6663"/>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10"/>
        <w:rPr>
          <w:rFonts w:ascii="宋体" w:hAnsi="宋体" w:cs="宋体" w:eastAsia="宋体" w:hint="default"/>
          <w:b/>
          <w:bCs/>
          <w:sz w:val="27"/>
          <w:szCs w:val="27"/>
        </w:rPr>
      </w:pPr>
    </w:p>
    <w:p>
      <w:pPr>
        <w:pStyle w:val="BodyText"/>
        <w:spacing w:line="367" w:lineRule="auto"/>
        <w:ind w:right="6663"/>
        <w:jc w:val="left"/>
      </w:pPr>
      <w:r>
        <w:rPr>
          <w:spacing w:val="-3"/>
        </w:rPr>
        <w:t>公司是否需要遵守特殊行业的披露要求</w:t>
      </w:r>
      <w:r>
        <w:rPr>
          <w:spacing w:val="-44"/>
        </w:rPr>
        <w:t> </w:t>
      </w:r>
      <w:r>
        <w:rPr>
          <w:spacing w:val="-44"/>
        </w:rPr>
      </w:r>
      <w:r>
        <w:rPr/>
        <w:t>否</w:t>
      </w:r>
    </w:p>
    <w:p>
      <w:pPr>
        <w:pStyle w:val="BodyText"/>
        <w:spacing w:line="240" w:lineRule="auto" w:before="24"/>
        <w:ind w:left="512" w:right="0"/>
        <w:jc w:val="left"/>
      </w:pPr>
      <w:r>
        <w:rPr>
          <w:rFonts w:ascii="Times New Roman" w:hAnsi="Times New Roman" w:cs="Times New Roman" w:eastAsia="Times New Roman" w:hint="default"/>
          <w:spacing w:val="-3"/>
        </w:rPr>
        <w:t>1</w:t>
      </w:r>
      <w:r>
        <w:rPr>
          <w:spacing w:val="-3"/>
        </w:rPr>
        <w:t>、存货包括在生产经营过程中为销售或耗用而储备的原材料、开发在产品等。</w:t>
      </w:r>
    </w:p>
    <w:p>
      <w:pPr>
        <w:spacing w:line="240" w:lineRule="auto" w:before="9"/>
        <w:rPr>
          <w:rFonts w:ascii="宋体" w:hAnsi="宋体" w:cs="宋体" w:eastAsia="宋体" w:hint="default"/>
          <w:sz w:val="14"/>
          <w:szCs w:val="14"/>
        </w:rPr>
      </w:pPr>
    </w:p>
    <w:p>
      <w:pPr>
        <w:pStyle w:val="BodyText"/>
        <w:spacing w:line="309" w:lineRule="auto"/>
        <w:ind w:right="0" w:firstLine="360"/>
        <w:jc w:val="left"/>
      </w:pPr>
      <w:r>
        <w:rPr>
          <w:rFonts w:ascii="Times New Roman" w:hAnsi="Times New Roman" w:cs="Times New Roman" w:eastAsia="Times New Roman" w:hint="default"/>
          <w:spacing w:val="-3"/>
        </w:rPr>
        <w:t>2</w:t>
      </w:r>
      <w:r>
        <w:rPr>
          <w:spacing w:val="-3"/>
        </w:rPr>
        <w:t>、存货按实际成本计价。购入并已验收入库的原材料按实际成本计价，领用发出时采用个别计价法核算；开发产品按</w:t>
      </w:r>
      <w:r>
        <w:rPr>
          <w:w w:val="101"/>
        </w:rPr>
        <w:t> </w:t>
      </w:r>
      <w:r>
        <w:rPr>
          <w:spacing w:val="-3"/>
        </w:rPr>
        <w:t>实际成本计价。</w:t>
      </w:r>
      <w:r>
        <w:rPr/>
      </w:r>
    </w:p>
    <w:p>
      <w:pPr>
        <w:pStyle w:val="BodyText"/>
        <w:spacing w:line="309" w:lineRule="auto" w:before="154"/>
        <w:ind w:right="0" w:firstLine="360"/>
        <w:jc w:val="left"/>
      </w:pPr>
      <w:r>
        <w:rPr>
          <w:rFonts w:ascii="Times New Roman" w:hAnsi="Times New Roman" w:cs="Times New Roman" w:eastAsia="Times New Roman" w:hint="default"/>
          <w:spacing w:val="-3"/>
        </w:rPr>
        <w:t>3</w:t>
      </w:r>
      <w:r>
        <w:rPr>
          <w:spacing w:val="-3"/>
        </w:rPr>
        <w:t>、存货采用永续盘存制，平时不定期对存货进行清查，年末对存货进行全面清查，对清查中发现的账实差异及时进行</w:t>
      </w:r>
      <w:r>
        <w:rPr>
          <w:w w:val="101"/>
        </w:rPr>
        <w:t> </w:t>
      </w:r>
      <w:r>
        <w:rPr>
          <w:spacing w:val="-4"/>
        </w:rPr>
        <w:t>处理。</w:t>
      </w:r>
      <w:r>
        <w:rPr/>
      </w:r>
    </w:p>
    <w:p>
      <w:pPr>
        <w:pStyle w:val="BodyText"/>
        <w:spacing w:line="321" w:lineRule="auto" w:before="149"/>
        <w:ind w:right="0" w:firstLine="360"/>
        <w:jc w:val="left"/>
      </w:pPr>
      <w:r>
        <w:rPr>
          <w:rFonts w:ascii="Times New Roman" w:hAnsi="Times New Roman" w:cs="Times New Roman" w:eastAsia="Times New Roman" w:hint="default"/>
          <w:spacing w:val="-5"/>
        </w:rPr>
        <w:t>4</w:t>
      </w:r>
      <w:r>
        <w:rPr>
          <w:spacing w:val="-5"/>
        </w:rPr>
        <w:t>、资产负债表日，存货应当按照成本与可变现净值孰低计量。存货成本高于其可变现净值的，应当计提存货跌价准备，</w:t>
      </w:r>
      <w:r>
        <w:rPr>
          <w:spacing w:val="-5"/>
          <w:w w:val="101"/>
        </w:rPr>
        <w:t> </w:t>
      </w:r>
      <w:r>
        <w:rPr>
          <w:spacing w:val="-5"/>
        </w:rPr>
        <w:t>计入当期损益。可变现净值，是指在日常活动中，存货的估计售价减去至完工时估计将要发生的成本、估计的销售费用以及</w:t>
      </w:r>
      <w:r>
        <w:rPr>
          <w:spacing w:val="4"/>
        </w:rPr>
        <w:t> </w:t>
      </w:r>
      <w:r>
        <w:rPr>
          <w:spacing w:val="4"/>
        </w:rPr>
      </w:r>
      <w:r>
        <w:rPr>
          <w:spacing w:val="-4"/>
        </w:rPr>
        <w:t>相关税费后的金额。在确定存货的可变现净值时，以取得的确凿证据为基础，同时考虑持有存货的目的以及资产负债表日后</w:t>
      </w:r>
      <w:r>
        <w:rPr>
          <w:spacing w:val="43"/>
        </w:rPr>
        <w:t> </w:t>
      </w:r>
      <w:r>
        <w:rPr>
          <w:spacing w:val="43"/>
        </w:rPr>
      </w:r>
      <w:r>
        <w:rPr/>
        <w:t>事项的影响。</w:t>
      </w:r>
    </w:p>
    <w:p>
      <w:pPr>
        <w:pStyle w:val="BodyText"/>
        <w:spacing w:line="240" w:lineRule="auto" w:before="145"/>
        <w:ind w:right="0"/>
        <w:jc w:val="left"/>
        <w:rPr>
          <w:rFonts w:ascii="宋体" w:hAnsi="宋体" w:cs="宋体" w:eastAsia="宋体" w:hint="default"/>
        </w:rPr>
      </w:pPr>
      <w:r>
        <w:rPr>
          <w:rFonts w:ascii="宋体"/>
          <w:w w:val="101"/>
        </w:rPr>
        <w:t> </w:t>
      </w:r>
      <w:r>
        <w:rPr>
          <w:rFonts w:ascii="宋体"/>
        </w:rPr>
      </w:r>
    </w:p>
    <w:p>
      <w:pPr>
        <w:spacing w:after="0" w:line="240" w:lineRule="auto"/>
        <w:jc w:val="left"/>
        <w:rPr>
          <w:rFonts w:ascii="宋体" w:hAnsi="宋体" w:cs="宋体" w:eastAsia="宋体" w:hint="default"/>
        </w:rPr>
        <w:sectPr>
          <w:pgSz w:w="11910" w:h="16840"/>
          <w:pgMar w:header="914" w:footer="1027" w:top="1100" w:bottom="1220" w:left="980" w:right="94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3pt;height:.5pt;mso-position-horizontal-relative:char;mso-position-vertical-relative:line" coordorigin="0,0" coordsize="9706,10">
            <v:group style="position:absolute;left:5;top:5;width:9696;height:2" coordorigin="5,5" coordsize="9696,2">
              <v:shape style="position:absolute;left:5;top:5;width:9696;height:2" coordorigin="5,5" coordsize="9696,0" path="m5,5l9701,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before="36"/>
        <w:ind w:right="6663"/>
        <w:jc w:val="left"/>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
        <w:rPr>
          <w:rFonts w:ascii="宋体" w:hAnsi="宋体" w:cs="宋体" w:eastAsia="宋体" w:hint="default"/>
          <w:b/>
          <w:bCs/>
          <w:sz w:val="27"/>
          <w:szCs w:val="27"/>
        </w:rPr>
      </w:pPr>
    </w:p>
    <w:p>
      <w:pPr>
        <w:pStyle w:val="BodyText"/>
        <w:spacing w:line="316" w:lineRule="auto"/>
        <w:ind w:right="184" w:firstLine="359"/>
        <w:jc w:val="both"/>
      </w:pPr>
      <w:r>
        <w:rPr>
          <w:spacing w:val="-6"/>
          <w:w w:val="101"/>
        </w:rPr>
        <w:t>本公司将同时满足下列条件的企业组成部分（或非流动资产）划分为持有待售：（</w:t>
      </w:r>
      <w:r>
        <w:rPr>
          <w:rFonts w:ascii="Times New Roman" w:hAnsi="Times New Roman" w:cs="Times New Roman" w:eastAsia="Times New Roman" w:hint="default"/>
          <w:spacing w:val="-6"/>
          <w:w w:val="101"/>
        </w:rPr>
        <w:t>1</w:t>
      </w:r>
      <w:r>
        <w:rPr>
          <w:spacing w:val="-6"/>
          <w:w w:val="101"/>
        </w:rPr>
        <w:t>）根据类似交易中出售此类资产或处</w:t>
      </w:r>
      <w:r>
        <w:rPr>
          <w:w w:val="101"/>
        </w:rPr>
        <w:t> </w:t>
      </w:r>
      <w:r>
        <w:rPr>
          <w:spacing w:val="-6"/>
          <w:w w:val="101"/>
        </w:rPr>
        <w:t>置组的惯例，在当前状况下即可立即出售；（</w:t>
      </w:r>
      <w:r>
        <w:rPr>
          <w:rFonts w:ascii="Times New Roman" w:hAnsi="Times New Roman" w:cs="Times New Roman" w:eastAsia="Times New Roman" w:hint="default"/>
          <w:spacing w:val="-6"/>
          <w:w w:val="101"/>
        </w:rPr>
        <w:t>2</w:t>
      </w:r>
      <w:r>
        <w:rPr>
          <w:spacing w:val="-6"/>
          <w:w w:val="101"/>
        </w:rPr>
        <w:t>）出售极可能发生，已经就一项出售计划作出决议且获得确定的购买承诺（确</w:t>
      </w:r>
      <w:r>
        <w:rPr>
          <w:spacing w:val="-69"/>
          <w:w w:val="101"/>
        </w:rPr>
        <w:t> </w:t>
      </w:r>
      <w:r>
        <w:rPr>
          <w:spacing w:val="-69"/>
          <w:w w:val="101"/>
        </w:rPr>
      </w:r>
      <w:r>
        <w:rPr>
          <w:spacing w:val="-4"/>
        </w:rPr>
        <w:t>定的购买承诺，是指企业与其他方签订的具有法律约束力的购买协议，该协议包含交易价格、时间和足够严厉的违约惩罚等</w:t>
      </w:r>
      <w:r>
        <w:rPr>
          <w:spacing w:val="43"/>
        </w:rPr>
        <w:t> </w:t>
      </w:r>
      <w:r>
        <w:rPr>
          <w:spacing w:val="43"/>
        </w:rPr>
      </w:r>
      <w:r>
        <w:rPr>
          <w:spacing w:val="-8"/>
          <w:w w:val="101"/>
        </w:rPr>
        <w:t>重要条款，使协议出现重大调整或者撤销的可能性极小。），预计出售将在一年内完成。已经获得按照有关规定需得到相关权</w:t>
      </w:r>
      <w:r>
        <w:rPr>
          <w:spacing w:val="-47"/>
          <w:w w:val="101"/>
        </w:rPr>
        <w:t> </w:t>
      </w:r>
      <w:r>
        <w:rPr>
          <w:spacing w:val="-47"/>
          <w:w w:val="101"/>
        </w:rPr>
      </w:r>
      <w:r>
        <w:rPr>
          <w:spacing w:val="-3"/>
        </w:rPr>
        <w:t>力机构或者监管部门的批准。</w:t>
      </w:r>
      <w:r>
        <w:rPr/>
      </w:r>
    </w:p>
    <w:p>
      <w:pPr>
        <w:pStyle w:val="BodyText"/>
        <w:spacing w:line="321" w:lineRule="auto" w:before="148"/>
        <w:ind w:right="0" w:firstLine="360"/>
        <w:jc w:val="left"/>
      </w:pPr>
      <w:r>
        <w:rPr>
          <w:spacing w:val="-3"/>
        </w:rPr>
        <w:t>本公司将持有待售的预计净残值调整为反映其公允价值减去出售费用后的净额（但不得超过该项持有待售的原账面价</w:t>
      </w:r>
      <w:r>
        <w:rPr>
          <w:w w:val="101"/>
        </w:rPr>
        <w:t> </w:t>
      </w:r>
      <w:r>
        <w:rPr>
          <w:spacing w:val="-5"/>
          <w:w w:val="101"/>
        </w:rPr>
        <w:t>值），原账面价值高于调整后预计净残值的差额，作为资产减值损失计入当期损益，同时计提持有待售资产减值准备。对于</w:t>
      </w:r>
      <w:r>
        <w:rPr>
          <w:spacing w:val="-49"/>
          <w:w w:val="101"/>
        </w:rPr>
        <w:t> </w:t>
      </w:r>
      <w:r>
        <w:rPr>
          <w:spacing w:val="-49"/>
          <w:w w:val="101"/>
        </w:rPr>
      </w:r>
      <w:r>
        <w:rPr>
          <w:spacing w:val="-3"/>
        </w:rPr>
        <w:t>持有待售的处置组确认的资产减值损失金额，先抵减处置组中商誉的账面价值，再根据处置组中适用《企业会计准则第</w:t>
      </w:r>
      <w:r>
        <w:rPr>
          <w:rFonts w:ascii="Times New Roman" w:hAnsi="Times New Roman" w:cs="Times New Roman" w:eastAsia="Times New Roman" w:hint="default"/>
          <w:spacing w:val="-3"/>
        </w:rPr>
        <w:t>42</w:t>
      </w:r>
      <w:r>
        <w:rPr>
          <w:rFonts w:ascii="Times New Roman" w:hAnsi="Times New Roman" w:cs="Times New Roman" w:eastAsia="Times New Roman" w:hint="default"/>
          <w:spacing w:val="28"/>
        </w:rPr>
        <w:t> </w:t>
      </w:r>
      <w:r>
        <w:rPr>
          <w:spacing w:val="-6"/>
        </w:rPr>
        <w:t>号</w:t>
      </w:r>
      <w:r>
        <w:rPr>
          <w:rFonts w:ascii="Times New Roman" w:hAnsi="Times New Roman" w:cs="Times New Roman" w:eastAsia="Times New Roman" w:hint="default"/>
          <w:spacing w:val="-6"/>
        </w:rPr>
        <w:t>——</w:t>
      </w:r>
      <w:r>
        <w:rPr>
          <w:spacing w:val="-6"/>
        </w:rPr>
        <w:t>持有待售的非流动资产、处置组和终止经营》计量规定的各项非流动资产账面价值所占比重，按比例抵减其账面价值。</w:t>
      </w:r>
    </w:p>
    <w:p>
      <w:pPr>
        <w:pStyle w:val="BodyText"/>
        <w:spacing w:line="319" w:lineRule="auto" w:before="124"/>
        <w:ind w:right="184" w:firstLine="360"/>
        <w:jc w:val="both"/>
      </w:pPr>
      <w:r>
        <w:rPr>
          <w:spacing w:val="-5"/>
        </w:rPr>
        <w:t>后续资产负债表日持有待售的非流动资产公允价值减去出售费用后的净额增加的，以前减记的金额予以恢复，并在划分</w:t>
      </w:r>
      <w:r>
        <w:rPr>
          <w:w w:val="101"/>
        </w:rPr>
        <w:t> </w:t>
      </w:r>
      <w:r>
        <w:rPr>
          <w:spacing w:val="-4"/>
        </w:rPr>
        <w:t>为持有待售类别后确认的资产减值损失金额内转回，转回金额计入当期损益。划分为持有待售类别前确认的资产减值损失不</w:t>
      </w:r>
      <w:r>
        <w:rPr>
          <w:spacing w:val="44"/>
        </w:rPr>
        <w:t> </w:t>
      </w:r>
      <w:r>
        <w:rPr>
          <w:spacing w:val="44"/>
        </w:rPr>
      </w:r>
      <w:r>
        <w:rPr>
          <w:spacing w:val="-4"/>
        </w:rPr>
        <w:t>得转回。后续资产负债表日持有待售的处置组公允价值减去出售费用后的净额增加的，以前减记的金额予以恢复，并在划分</w:t>
      </w:r>
      <w:r>
        <w:rPr>
          <w:spacing w:val="43"/>
        </w:rPr>
        <w:t> </w:t>
      </w:r>
      <w:r>
        <w:rPr>
          <w:spacing w:val="43"/>
        </w:rPr>
      </w:r>
      <w:r>
        <w:rPr>
          <w:spacing w:val="-4"/>
        </w:rPr>
        <w:t>为持有待售类别后适用《企业会计准则第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持有待售的非流动资产、处置组和终止经营》计量规定的非流动资产确认</w:t>
      </w:r>
      <w:r>
        <w:rPr>
          <w:spacing w:val="46"/>
        </w:rPr>
        <w:t> </w:t>
      </w:r>
      <w:r>
        <w:rPr>
          <w:spacing w:val="46"/>
        </w:rPr>
      </w:r>
      <w:r>
        <w:rPr>
          <w:spacing w:val="-4"/>
        </w:rPr>
        <w:t>的资产减值损失金额内转回，转回金额计入当期损益。已抵减的商誉账面价值，以及适用《企业会计准则第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w:t>
      </w:r>
      <w:r>
        <w:rPr>
          <w:spacing w:val="42"/>
        </w:rPr>
        <w:t> </w:t>
      </w:r>
      <w:r>
        <w:rPr>
          <w:spacing w:val="42"/>
        </w:rPr>
      </w:r>
      <w:r>
        <w:rPr>
          <w:spacing w:val="-4"/>
        </w:rPr>
        <w:t>售的非流动资产、处置组和终止经营》计量规定的非流动资产在划分为持有待售类别前确认的资产减值损失不得转回。持有</w:t>
      </w:r>
      <w:r>
        <w:rPr>
          <w:spacing w:val="43"/>
        </w:rPr>
        <w:t> </w:t>
      </w:r>
      <w:r>
        <w:rPr>
          <w:spacing w:val="43"/>
        </w:rPr>
      </w:r>
      <w:r>
        <w:rPr>
          <w:spacing w:val="-4"/>
        </w:rPr>
        <w:t>待售的处置组确认的资产减值损失后续转回金额，根据处置组中除商誉外适用《企业会计准则第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w:t>
      </w:r>
      <w:r>
        <w:rPr>
          <w:spacing w:val="44"/>
        </w:rPr>
        <w:t> </w:t>
      </w:r>
      <w:r>
        <w:rPr>
          <w:spacing w:val="44"/>
        </w:rPr>
      </w:r>
      <w:r>
        <w:rPr>
          <w:spacing w:val="-3"/>
        </w:rPr>
        <w:t>资产、处置组和终止经营》计量规定的各项非流动资产账面价值所占比重，按比例增加其账面价值。</w:t>
      </w:r>
      <w:r>
        <w:rPr/>
      </w:r>
    </w:p>
    <w:p>
      <w:pPr>
        <w:pStyle w:val="BodyText"/>
        <w:spacing w:line="326" w:lineRule="auto" w:before="146"/>
        <w:ind w:left="153" w:right="184" w:firstLine="360"/>
        <w:jc w:val="both"/>
        <w:rPr>
          <w:rFonts w:ascii="宋体" w:hAnsi="宋体" w:cs="宋体" w:eastAsia="宋体" w:hint="default"/>
        </w:rPr>
      </w:pPr>
      <w:r>
        <w:rPr>
          <w:spacing w:val="-5"/>
        </w:rPr>
        <w:t>本公司因出售对子公司的投资等原因导致其丧失对子公司控制权的，无论出售后本公司是否保留部分权益性投资，在拟</w:t>
      </w:r>
      <w:r>
        <w:rPr>
          <w:w w:val="101"/>
        </w:rPr>
        <w:t> </w:t>
      </w:r>
      <w:r>
        <w:rPr>
          <w:spacing w:val="-4"/>
        </w:rPr>
        <w:t>出售的对子公司投资满足持有待售类别划分条件时，在母公司个别财务报表中将对子公司投资整体划分为持有待售类别，在</w:t>
      </w:r>
      <w:r>
        <w:rPr>
          <w:spacing w:val="43"/>
        </w:rPr>
        <w:t> </w:t>
      </w:r>
      <w:r>
        <w:rPr>
          <w:spacing w:val="43"/>
        </w:rPr>
      </w:r>
      <w:r>
        <w:rPr>
          <w:spacing w:val="-3"/>
        </w:rPr>
        <w:t>合并财务报表中将子公司所有资产和负债划分为持有待售类别。</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right="6663"/>
        <w:jc w:val="left"/>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12" w:right="6663"/>
        <w:jc w:val="left"/>
      </w:pPr>
      <w:r>
        <w:rPr>
          <w:rFonts w:ascii="Times New Roman" w:hAnsi="Times New Roman" w:cs="Times New Roman" w:eastAsia="Times New Roman" w:hint="default"/>
          <w:spacing w:val="-3"/>
        </w:rPr>
        <w:t>1</w:t>
      </w:r>
      <w:r>
        <w:rPr>
          <w:spacing w:val="-3"/>
        </w:rPr>
        <w:t>、长期股权投资的投资成本的确定</w:t>
      </w:r>
      <w:r>
        <w:rPr/>
      </w:r>
    </w:p>
    <w:p>
      <w:pPr>
        <w:spacing w:line="240" w:lineRule="auto" w:before="9"/>
        <w:rPr>
          <w:rFonts w:ascii="宋体" w:hAnsi="宋体" w:cs="宋体" w:eastAsia="宋体" w:hint="default"/>
          <w:sz w:val="14"/>
          <w:szCs w:val="14"/>
        </w:rPr>
      </w:pPr>
    </w:p>
    <w:p>
      <w:pPr>
        <w:pStyle w:val="BodyText"/>
        <w:spacing w:line="316" w:lineRule="auto"/>
        <w:ind w:right="184" w:firstLine="360"/>
        <w:jc w:val="both"/>
      </w:pPr>
      <w:r>
        <w:rPr>
          <w:spacing w:val="-3"/>
        </w:rPr>
        <w:t>（</w:t>
      </w:r>
      <w:r>
        <w:rPr>
          <w:rFonts w:ascii="Times New Roman" w:hAnsi="Times New Roman" w:cs="Times New Roman" w:eastAsia="Times New Roman" w:hint="default"/>
          <w:spacing w:val="-3"/>
        </w:rPr>
        <w:t>1</w:t>
      </w:r>
      <w:r>
        <w:rPr>
          <w:spacing w:val="-3"/>
        </w:rPr>
        <w:t>）同一控制下的企业合并形成的，合并方以支付现金、转让非现金资产、承担债务或发行权益性证券作为合并对价</w:t>
      </w:r>
      <w:r>
        <w:rPr>
          <w:w w:val="101"/>
        </w:rPr>
        <w:t> </w:t>
      </w:r>
      <w:r>
        <w:rPr>
          <w:spacing w:val="-4"/>
        </w:rPr>
        <w:t>的，在合并日按照被合并方所有者权益在最终控制方合并财务报表中的账面价值的份额作为其初始投资成本。长期股权投资</w:t>
      </w:r>
      <w:r>
        <w:rPr>
          <w:spacing w:val="43"/>
        </w:rPr>
        <w:t> </w:t>
      </w:r>
      <w:r>
        <w:rPr>
          <w:spacing w:val="43"/>
        </w:rPr>
      </w:r>
      <w:r>
        <w:rPr>
          <w:spacing w:val="-3"/>
        </w:rPr>
        <w:t>初始投资成本与支付的合并对价的账面价值或发行股份的面值总额之间的差额调整资本公积</w:t>
      </w:r>
      <w:r>
        <w:rPr>
          <w:rFonts w:ascii="Times New Roman" w:hAnsi="Times New Roman" w:cs="Times New Roman" w:eastAsia="Times New Roman" w:hint="default"/>
          <w:spacing w:val="-3"/>
        </w:rPr>
        <w:t>(</w:t>
      </w:r>
      <w:r>
        <w:rPr>
          <w:spacing w:val="-3"/>
        </w:rPr>
        <w:t>资本溢价或股本溢价</w:t>
      </w:r>
      <w:r>
        <w:rPr>
          <w:rFonts w:ascii="Times New Roman" w:hAnsi="Times New Roman" w:cs="Times New Roman" w:eastAsia="Times New Roman" w:hint="default"/>
          <w:spacing w:val="-3"/>
        </w:rPr>
        <w:t>)</w:t>
      </w:r>
      <w:r>
        <w:rPr>
          <w:spacing w:val="-3"/>
        </w:rPr>
        <w:t>；资本公</w:t>
      </w:r>
      <w:r>
        <w:rPr>
          <w:spacing w:val="43"/>
        </w:rPr>
        <w:t> </w:t>
      </w:r>
      <w:r>
        <w:rPr>
          <w:spacing w:val="43"/>
        </w:rPr>
      </w:r>
      <w:r>
        <w:rPr>
          <w:spacing w:val="-3"/>
        </w:rPr>
        <w:t>积不足冲减的，调整留存收益。</w:t>
      </w:r>
    </w:p>
    <w:p>
      <w:pPr>
        <w:pStyle w:val="BodyText"/>
        <w:spacing w:line="326" w:lineRule="auto" w:before="148"/>
        <w:ind w:right="184" w:firstLine="360"/>
        <w:jc w:val="both"/>
      </w:pPr>
      <w:r>
        <w:rPr>
          <w:spacing w:val="-5"/>
          <w:w w:val="101"/>
        </w:rPr>
        <w:t>分步实现同一控制下企业合并的，应当以持股比例计算的合并日应享有被合并方账面所有者权益份额作为该项投资的初 </w:t>
      </w:r>
      <w:r>
        <w:rPr>
          <w:spacing w:val="-4"/>
        </w:rPr>
        <w:t>始投资成本。初始投资成本与其原长期股权投资账面价值加上合并日取得进一步股份新支付对价的公允价值之和的差额，调</w:t>
      </w:r>
      <w:r>
        <w:rPr>
          <w:spacing w:val="42"/>
        </w:rPr>
        <w:t> </w:t>
      </w:r>
      <w:r>
        <w:rPr>
          <w:spacing w:val="42"/>
        </w:rPr>
      </w:r>
      <w:r>
        <w:rPr>
          <w:spacing w:val="-6"/>
          <w:w w:val="101"/>
        </w:rPr>
        <w:t>整资本公积（资本溢价或股本溢价），资本公积不足冲减的，冲减留存收益。</w:t>
      </w:r>
      <w:r>
        <w:rPr/>
      </w:r>
    </w:p>
    <w:p>
      <w:pPr>
        <w:pStyle w:val="BodyText"/>
        <w:spacing w:line="240" w:lineRule="auto" w:before="141"/>
        <w:ind w:left="512" w:right="0"/>
        <w:jc w:val="left"/>
      </w:pPr>
      <w:r>
        <w:rPr>
          <w:spacing w:val="-3"/>
        </w:rPr>
        <w:t>（</w:t>
      </w:r>
      <w:r>
        <w:rPr>
          <w:rFonts w:ascii="Times New Roman" w:hAnsi="Times New Roman" w:cs="Times New Roman" w:eastAsia="Times New Roman" w:hint="default"/>
          <w:spacing w:val="-3"/>
        </w:rPr>
        <w:t>2</w:t>
      </w:r>
      <w:r>
        <w:rPr>
          <w:spacing w:val="-3"/>
        </w:rPr>
        <w:t>）非同一控制下的企业合并形成的，在购买日按照支付的合并对价的公允价值作为其初始投资成本。</w:t>
      </w:r>
      <w:r>
        <w:rPr/>
      </w:r>
    </w:p>
    <w:p>
      <w:pPr>
        <w:spacing w:line="240" w:lineRule="auto" w:before="9"/>
        <w:rPr>
          <w:rFonts w:ascii="宋体" w:hAnsi="宋体" w:cs="宋体" w:eastAsia="宋体" w:hint="default"/>
          <w:sz w:val="14"/>
          <w:szCs w:val="14"/>
        </w:rPr>
      </w:pPr>
    </w:p>
    <w:p>
      <w:pPr>
        <w:pStyle w:val="BodyText"/>
        <w:spacing w:line="319" w:lineRule="auto"/>
        <w:ind w:right="185" w:firstLine="360"/>
        <w:jc w:val="both"/>
      </w:pPr>
      <w:r>
        <w:rPr>
          <w:spacing w:val="-3"/>
        </w:rPr>
        <w:t>（</w:t>
      </w:r>
      <w:r>
        <w:rPr>
          <w:rFonts w:ascii="Times New Roman" w:hAnsi="Times New Roman" w:cs="Times New Roman" w:eastAsia="Times New Roman" w:hint="default"/>
          <w:spacing w:val="-3"/>
        </w:rPr>
        <w:t>3</w:t>
      </w:r>
      <w:r>
        <w:rPr>
          <w:spacing w:val="-3"/>
        </w:rPr>
        <w:t>）除企业合并形成以外的：以支付现金取得的，按照实际支付的购买价款作为其初始投资成本；以发行权益性证券</w:t>
      </w:r>
      <w:r>
        <w:rPr>
          <w:w w:val="101"/>
        </w:rPr>
        <w:t> </w:t>
      </w:r>
      <w:r>
        <w:rPr>
          <w:spacing w:val="-4"/>
        </w:rPr>
        <w:t>取得的，按照发行权益性证券的公允价值作为其初始投资成本；投资者投入的，按照投资合同或协议约定的价值作为其初始</w:t>
      </w:r>
      <w:r>
        <w:rPr>
          <w:spacing w:val="42"/>
        </w:rPr>
        <w:t> </w:t>
      </w:r>
      <w:r>
        <w:rPr>
          <w:spacing w:val="42"/>
        </w:rPr>
      </w:r>
      <w:r>
        <w:rPr>
          <w:spacing w:val="-7"/>
          <w:w w:val="101"/>
        </w:rPr>
        <w:t>投资成本（合同或协议约定价值不公允的除外）。</w:t>
      </w:r>
      <w:r>
        <w:rPr>
          <w:spacing w:val="-7"/>
        </w:rPr>
      </w:r>
    </w:p>
    <w:p>
      <w:pPr>
        <w:pStyle w:val="BodyText"/>
        <w:spacing w:line="442" w:lineRule="exact" w:before="3"/>
        <w:ind w:left="512" w:right="0"/>
        <w:jc w:val="left"/>
      </w:pPr>
      <w:r>
        <w:rPr>
          <w:rFonts w:ascii="Times New Roman" w:hAnsi="Times New Roman" w:cs="Times New Roman" w:eastAsia="Times New Roman" w:hint="default"/>
        </w:rPr>
        <w:t>2</w:t>
      </w:r>
      <w:r>
        <w:rPr/>
        <w:t>、后续计量及损益确认方法</w:t>
      </w:r>
      <w:r>
        <w:rPr>
          <w:spacing w:val="-85"/>
        </w:rPr>
        <w:t> </w:t>
      </w:r>
      <w:r>
        <w:rPr>
          <w:spacing w:val="-85"/>
        </w:rPr>
      </w:r>
      <w:r>
        <w:rPr>
          <w:spacing w:val="-4"/>
        </w:rPr>
        <w:t>本公司能够对被投资单位实施控制的长期股权投资，在本公司个别财务报表中采用成本法核算；对具有共同控制或重大</w:t>
      </w:r>
    </w:p>
    <w:p>
      <w:pPr>
        <w:pStyle w:val="BodyText"/>
        <w:spacing w:line="240" w:lineRule="auto" w:before="23"/>
        <w:ind w:right="0"/>
        <w:jc w:val="left"/>
      </w:pPr>
      <w:r>
        <w:rPr>
          <w:spacing w:val="-3"/>
        </w:rPr>
        <w:t>影响的长期股权投资，采用权益法核算。</w:t>
      </w:r>
    </w:p>
    <w:p>
      <w:pPr>
        <w:spacing w:after="0" w:line="240" w:lineRule="auto"/>
        <w:jc w:val="left"/>
        <w:sectPr>
          <w:footerReference w:type="default" r:id="rId20"/>
          <w:pgSz w:w="11910" w:h="16840"/>
          <w:pgMar w:footer="1027" w:header="914" w:top="1100" w:bottom="1220" w:left="980" w:right="940"/>
          <w:pgNumType w:start="96"/>
        </w:sectPr>
      </w:pPr>
    </w:p>
    <w:p>
      <w:pPr>
        <w:spacing w:line="240" w:lineRule="auto" w:before="2"/>
        <w:rPr>
          <w:rFonts w:ascii="宋体" w:hAnsi="宋体" w:cs="宋体" w:eastAsia="宋体" w:hint="default"/>
          <w:sz w:val="23"/>
          <w:szCs w:val="23"/>
        </w:rPr>
      </w:pPr>
    </w:p>
    <w:p>
      <w:pPr>
        <w:pStyle w:val="BodyText"/>
        <w:spacing w:line="319" w:lineRule="auto" w:before="46"/>
        <w:ind w:right="145" w:firstLine="360"/>
        <w:jc w:val="both"/>
      </w:pPr>
      <w:r>
        <w:rPr>
          <w:spacing w:val="-5"/>
        </w:rPr>
        <w:t>采用成本法时，长期股权投资按初始投资成本计价，除取得投资时实际支付的价款或对价中包含的已宣告但尚未发放的</w:t>
      </w:r>
      <w:r>
        <w:rPr>
          <w:w w:val="101"/>
        </w:rPr>
        <w:t> </w:t>
      </w:r>
      <w:r>
        <w:rPr>
          <w:spacing w:val="-2"/>
        </w:rPr>
        <w:t>现金股利或利润外</w:t>
      </w:r>
      <w:r>
        <w:rPr>
          <w:rFonts w:ascii="Times New Roman" w:hAnsi="Times New Roman" w:cs="Times New Roman" w:eastAsia="Times New Roman" w:hint="default"/>
          <w:spacing w:val="-2"/>
        </w:rPr>
        <w:t>,</w:t>
      </w:r>
      <w:r>
        <w:rPr>
          <w:spacing w:val="-2"/>
        </w:rPr>
        <w:t>按享有被投资单位宣告分派的现金股利或利润，确认为当期投资收益，并同时根据有关资产减值政策考</w:t>
      </w:r>
      <w:r>
        <w:rPr>
          <w:spacing w:val="72"/>
        </w:rPr>
        <w:t> </w:t>
      </w:r>
      <w:r>
        <w:rPr>
          <w:spacing w:val="72"/>
        </w:rPr>
      </w:r>
      <w:r>
        <w:rPr/>
        <w:t>虑长期投资是否减值。</w:t>
      </w:r>
    </w:p>
    <w:p>
      <w:pPr>
        <w:pStyle w:val="BodyText"/>
        <w:spacing w:line="316" w:lineRule="auto" w:before="146"/>
        <w:ind w:right="145" w:firstLine="360"/>
        <w:jc w:val="both"/>
      </w:pPr>
      <w:r>
        <w:rPr>
          <w:spacing w:val="-4"/>
        </w:rPr>
        <w:t>采用权益法时，长期股权投资的初始投资成本大于投资时应享有被投资单位可辨认净资产公允价值份额的，归入长期股</w:t>
      </w:r>
      <w:r>
        <w:rPr>
          <w:w w:val="101"/>
        </w:rPr>
        <w:t> </w:t>
      </w:r>
      <w:r>
        <w:rPr>
          <w:spacing w:val="-2"/>
        </w:rPr>
        <w:t>权投资的初始投资成本；长期股权投资的初始投资成本小于投资时应享有被投资单位可辨认净资产公允价值份额的</w:t>
      </w:r>
      <w:r>
        <w:rPr>
          <w:rFonts w:ascii="Times New Roman" w:hAnsi="Times New Roman" w:cs="Times New Roman" w:eastAsia="Times New Roman" w:hint="default"/>
          <w:spacing w:val="-2"/>
        </w:rPr>
        <w:t>,</w:t>
      </w:r>
      <w:r>
        <w:rPr>
          <w:spacing w:val="-2"/>
        </w:rPr>
        <w:t>其差额</w:t>
      </w:r>
      <w:r>
        <w:rPr>
          <w:spacing w:val="71"/>
        </w:rPr>
        <w:t> </w:t>
      </w:r>
      <w:r>
        <w:rPr>
          <w:spacing w:val="-3"/>
        </w:rPr>
        <w:t>计入当期损益</w:t>
      </w:r>
      <w:r>
        <w:rPr>
          <w:rFonts w:ascii="Times New Roman" w:hAnsi="Times New Roman" w:cs="Times New Roman" w:eastAsia="Times New Roman" w:hint="default"/>
          <w:spacing w:val="-3"/>
        </w:rPr>
        <w:t>,</w:t>
      </w:r>
      <w:r>
        <w:rPr>
          <w:spacing w:val="-3"/>
        </w:rPr>
        <w:t>同时调整长期股权投资的成本。</w:t>
      </w:r>
      <w:r>
        <w:rPr/>
      </w:r>
    </w:p>
    <w:p>
      <w:pPr>
        <w:pStyle w:val="BodyText"/>
        <w:spacing w:line="314" w:lineRule="auto" w:before="128"/>
        <w:ind w:right="145" w:firstLine="360"/>
        <w:jc w:val="both"/>
      </w:pPr>
      <w:r>
        <w:rPr>
          <w:spacing w:val="-2"/>
        </w:rPr>
        <w:t>采用权益法时，取得长期股权投资后</w:t>
      </w:r>
      <w:r>
        <w:rPr>
          <w:rFonts w:ascii="Times New Roman" w:hAnsi="Times New Roman" w:cs="Times New Roman" w:eastAsia="Times New Roman" w:hint="default"/>
          <w:spacing w:val="-2"/>
        </w:rPr>
        <w:t>,</w:t>
      </w:r>
      <w:r>
        <w:rPr>
          <w:spacing w:val="-2"/>
        </w:rPr>
        <w:t>按照应享有或应分担的被投资单位实现的净损益的份额，确认投资损益并调整长</w:t>
      </w:r>
      <w:r>
        <w:rPr>
          <w:w w:val="101"/>
        </w:rPr>
        <w:t> </w:t>
      </w:r>
      <w:r>
        <w:rPr>
          <w:spacing w:val="-4"/>
        </w:rPr>
        <w:t>期股权投资的账面价值。在确认应享有被投资单位净损益的份额时，以取得投资时被投资单位各项可辨认资产等的公允价值</w:t>
      </w:r>
      <w:r>
        <w:rPr>
          <w:spacing w:val="44"/>
        </w:rPr>
        <w:t> </w:t>
      </w:r>
      <w:r>
        <w:rPr>
          <w:spacing w:val="44"/>
        </w:rPr>
      </w:r>
      <w:r>
        <w:rPr>
          <w:spacing w:val="-2"/>
        </w:rPr>
        <w:t>为基础</w:t>
      </w:r>
      <w:r>
        <w:rPr>
          <w:rFonts w:ascii="Times New Roman" w:hAnsi="Times New Roman" w:cs="Times New Roman" w:eastAsia="Times New Roman" w:hint="default"/>
          <w:spacing w:val="-2"/>
        </w:rPr>
        <w:t>,</w:t>
      </w:r>
      <w:r>
        <w:rPr>
          <w:spacing w:val="-2"/>
        </w:rPr>
        <w:t>按照本公司的会计政策及会计期间，并抵销与联营企业及合营企业之间发生的内部交易损益按照持股比例计算归属</w:t>
      </w:r>
      <w:r>
        <w:rPr>
          <w:spacing w:val="72"/>
        </w:rPr>
        <w:t> </w:t>
      </w:r>
      <w:r>
        <w:rPr>
          <w:spacing w:val="72"/>
        </w:rPr>
      </w:r>
      <w:r>
        <w:rPr>
          <w:spacing w:val="-4"/>
        </w:rPr>
        <w:t>于投资企业的部分</w:t>
      </w:r>
      <w:r>
        <w:rPr>
          <w:rFonts w:ascii="Times New Roman" w:hAnsi="Times New Roman" w:cs="Times New Roman" w:eastAsia="Times New Roman" w:hint="default"/>
          <w:spacing w:val="-4"/>
        </w:rPr>
        <w:t>(</w:t>
      </w:r>
      <w:r>
        <w:rPr>
          <w:spacing w:val="-4"/>
        </w:rPr>
        <w:t>但内部交易损失属于资产减值损失的</w:t>
      </w:r>
      <w:r>
        <w:rPr>
          <w:rFonts w:ascii="Times New Roman" w:hAnsi="Times New Roman" w:cs="Times New Roman" w:eastAsia="Times New Roman" w:hint="default"/>
          <w:spacing w:val="-4"/>
        </w:rPr>
        <w:t>,</w:t>
      </w:r>
      <w:r>
        <w:rPr>
          <w:spacing w:val="-4"/>
        </w:rPr>
        <w:t>应全额确认</w:t>
      </w:r>
      <w:r>
        <w:rPr>
          <w:rFonts w:ascii="Times New Roman" w:hAnsi="Times New Roman" w:cs="Times New Roman" w:eastAsia="Times New Roman" w:hint="default"/>
          <w:spacing w:val="-4"/>
        </w:rPr>
        <w:t>)</w:t>
      </w:r>
      <w:r>
        <w:rPr>
          <w:spacing w:val="-4"/>
        </w:rPr>
        <w:t>，对被投资单位的净利润进行调整后确认。按照被投资</w:t>
      </w:r>
      <w:r>
        <w:rPr>
          <w:spacing w:val="62"/>
        </w:rPr>
        <w:t> </w:t>
      </w:r>
      <w:r>
        <w:rPr>
          <w:spacing w:val="62"/>
        </w:rPr>
      </w:r>
      <w:r>
        <w:rPr>
          <w:spacing w:val="-2"/>
        </w:rPr>
        <w:t>单位宣告分派的利润或现金股利计算应分得的部分</w:t>
      </w:r>
      <w:r>
        <w:rPr>
          <w:rFonts w:ascii="Times New Roman" w:hAnsi="Times New Roman" w:cs="Times New Roman" w:eastAsia="Times New Roman" w:hint="default"/>
          <w:spacing w:val="-2"/>
        </w:rPr>
        <w:t>,</w:t>
      </w:r>
      <w:r>
        <w:rPr>
          <w:spacing w:val="-2"/>
        </w:rPr>
        <w:t>相应减少长期股权投资的账面价值。本公司确认被投资单位发生的净亏</w:t>
      </w:r>
      <w:r>
        <w:rPr>
          <w:spacing w:val="72"/>
        </w:rPr>
        <w:t> </w:t>
      </w:r>
      <w:r>
        <w:rPr>
          <w:spacing w:val="72"/>
        </w:rPr>
      </w:r>
      <w:r>
        <w:rPr>
          <w:spacing w:val="-4"/>
        </w:rPr>
        <w:t>损，以长期股权投资的账面价值以及其他实质上构成对被投资单位净投资的长期权益减记至零为限，本公司负有承担额外损</w:t>
      </w:r>
      <w:r>
        <w:rPr>
          <w:spacing w:val="43"/>
        </w:rPr>
        <w:t> </w:t>
      </w:r>
      <w:r>
        <w:rPr>
          <w:spacing w:val="43"/>
        </w:rPr>
      </w:r>
      <w:r>
        <w:rPr>
          <w:spacing w:val="-3"/>
        </w:rPr>
        <w:t>失义务的除外。对于被投资单位除净损益以外所有者权益的其他变动，调整长期股权投资的账面价值并计入所有者权益。</w:t>
      </w:r>
    </w:p>
    <w:p>
      <w:pPr>
        <w:pStyle w:val="BodyText"/>
        <w:spacing w:line="442" w:lineRule="exact" w:before="7"/>
        <w:ind w:left="512" w:right="0"/>
        <w:jc w:val="left"/>
      </w:pPr>
      <w:r>
        <w:rPr>
          <w:rFonts w:ascii="Times New Roman" w:hAnsi="Times New Roman" w:cs="Times New Roman" w:eastAsia="Times New Roman" w:hint="default"/>
          <w:spacing w:val="-3"/>
        </w:rPr>
        <w:t>3</w:t>
      </w:r>
      <w:r>
        <w:rPr>
          <w:spacing w:val="-3"/>
        </w:rPr>
        <w:t>、确定对被投资单位具有控制、重大影响的依据</w:t>
      </w:r>
      <w:r>
        <w:rPr>
          <w:spacing w:val="-29"/>
        </w:rPr>
        <w:t> </w:t>
      </w:r>
      <w:r>
        <w:rPr>
          <w:spacing w:val="-29"/>
        </w:rPr>
      </w:r>
      <w:r>
        <w:rPr>
          <w:spacing w:val="-4"/>
        </w:rPr>
        <w:t>控制，是指拥有对被投资方的权力，通过参与被投资方的相关活动而享有可变回报，并且有能力运用对被投资方的权力</w:t>
      </w:r>
    </w:p>
    <w:p>
      <w:pPr>
        <w:pStyle w:val="BodyText"/>
        <w:spacing w:line="328" w:lineRule="auto" w:before="23"/>
        <w:ind w:right="0"/>
        <w:jc w:val="left"/>
      </w:pPr>
      <w:r>
        <w:rPr>
          <w:spacing w:val="-4"/>
        </w:rPr>
        <w:t>影响回报金额；重大影响，是指投资方对被投资单位的财务和经营政策有参与决策的权力，但并不能够控制或者与其他方一</w:t>
      </w:r>
      <w:r>
        <w:rPr>
          <w:spacing w:val="43"/>
        </w:rPr>
        <w:t> </w:t>
      </w:r>
      <w:r>
        <w:rPr>
          <w:spacing w:val="43"/>
        </w:rPr>
      </w:r>
      <w:r>
        <w:rPr>
          <w:spacing w:val="-3"/>
        </w:rPr>
        <w:t>起共同控制这些政策的制定。</w:t>
      </w:r>
      <w:r>
        <w:rPr/>
      </w:r>
    </w:p>
    <w:p>
      <w:pPr>
        <w:pStyle w:val="BodyText"/>
        <w:spacing w:line="240" w:lineRule="auto" w:before="139"/>
        <w:ind w:left="512" w:right="0"/>
        <w:jc w:val="left"/>
      </w:pPr>
      <w:r>
        <w:rPr>
          <w:rFonts w:ascii="Times New Roman" w:hAnsi="Times New Roman" w:cs="Times New Roman" w:eastAsia="Times New Roman" w:hint="default"/>
        </w:rPr>
        <w:t>4</w:t>
      </w:r>
      <w:r>
        <w:rPr/>
        <w:t>、长期股权投资的处置</w:t>
      </w:r>
    </w:p>
    <w:p>
      <w:pPr>
        <w:pStyle w:val="BodyText"/>
        <w:spacing w:line="420" w:lineRule="atLeast" w:before="21"/>
        <w:ind w:left="512" w:right="0"/>
        <w:jc w:val="left"/>
      </w:pPr>
      <w:r>
        <w:rPr>
          <w:spacing w:val="-3"/>
        </w:rPr>
        <w:t>（</w:t>
      </w:r>
      <w:r>
        <w:rPr>
          <w:rFonts w:ascii="Times New Roman" w:hAnsi="Times New Roman" w:cs="Times New Roman" w:eastAsia="Times New Roman" w:hint="default"/>
          <w:spacing w:val="-3"/>
        </w:rPr>
        <w:t>1</w:t>
      </w:r>
      <w:r>
        <w:rPr>
          <w:spacing w:val="-3"/>
        </w:rPr>
        <w:t>）部分处置对子公司的长期股权投资，但不丧失控制权的情形</w:t>
      </w:r>
      <w:r>
        <w:rPr/>
        <w:t> </w:t>
      </w:r>
      <w:r>
        <w:rPr/>
      </w:r>
      <w:r>
        <w:rPr>
          <w:spacing w:val="-5"/>
        </w:rPr>
        <w:t>部分处置对子公司的长期股权投资，但不丧失控制权时，应当将处置价款与处置投资对应的账面价值的差额确认为当期</w:t>
      </w:r>
      <w:r>
        <w:rPr/>
      </w:r>
    </w:p>
    <w:p>
      <w:pPr>
        <w:pStyle w:val="BodyText"/>
        <w:spacing w:line="240" w:lineRule="auto" w:before="81"/>
        <w:ind w:right="0"/>
        <w:jc w:val="left"/>
      </w:pPr>
      <w:r>
        <w:rPr>
          <w:spacing w:val="-3"/>
        </w:rPr>
        <w:t>投资收益。</w:t>
      </w:r>
      <w:r>
        <w:rPr/>
      </w:r>
    </w:p>
    <w:p>
      <w:pPr>
        <w:pStyle w:val="BodyText"/>
        <w:spacing w:line="420" w:lineRule="atLeast" w:before="35"/>
        <w:ind w:left="512" w:right="0"/>
        <w:jc w:val="left"/>
      </w:pPr>
      <w:r>
        <w:rPr>
          <w:spacing w:val="-3"/>
        </w:rPr>
        <w:t>（</w:t>
      </w:r>
      <w:r>
        <w:rPr>
          <w:rFonts w:ascii="Times New Roman" w:hAnsi="Times New Roman" w:cs="Times New Roman" w:eastAsia="Times New Roman" w:hint="default"/>
          <w:spacing w:val="-3"/>
        </w:rPr>
        <w:t>2</w:t>
      </w:r>
      <w:r>
        <w:rPr>
          <w:spacing w:val="-3"/>
        </w:rPr>
        <w:t>）部分处置股权投资或其他原因丧失了对子公司控制权的情形</w:t>
      </w:r>
      <w:r>
        <w:rPr>
          <w:spacing w:val="-1"/>
        </w:rPr>
        <w:t> </w:t>
      </w:r>
      <w:r>
        <w:rPr>
          <w:spacing w:val="-1"/>
        </w:rPr>
      </w:r>
      <w:r>
        <w:rPr>
          <w:spacing w:val="-4"/>
        </w:rPr>
        <w:t>部分处置股权投资或其他原因丧失了对子公司控制权的，对于处置的股权，应结转与所售股权相对应的长期股权投资的</w:t>
      </w:r>
    </w:p>
    <w:p>
      <w:pPr>
        <w:pStyle w:val="BodyText"/>
        <w:spacing w:line="328" w:lineRule="auto" w:before="86"/>
        <w:ind w:right="145"/>
        <w:jc w:val="both"/>
      </w:pPr>
      <w:r>
        <w:rPr>
          <w:spacing w:val="-4"/>
          <w:w w:val="101"/>
        </w:rPr>
        <w:t>账面价值，出售所得价款与处置长期股权投资账面价值之间差额，确认为投资收益（损失）；同时，对于剩余股权，应当按</w:t>
      </w:r>
      <w:r>
        <w:rPr>
          <w:w w:val="101"/>
        </w:rPr>
        <w:t> </w:t>
      </w:r>
      <w:r>
        <w:rPr>
          <w:spacing w:val="-4"/>
        </w:rPr>
        <w:t>其账面价值确认为长期股权投资或其它相关金融资产。处置后的剩余股权能够对子公司实施共同控制或重大影响的，应按有</w:t>
      </w:r>
      <w:r>
        <w:rPr>
          <w:spacing w:val="42"/>
        </w:rPr>
        <w:t> </w:t>
      </w:r>
      <w:r>
        <w:rPr>
          <w:spacing w:val="42"/>
        </w:rPr>
      </w:r>
      <w:r>
        <w:rPr>
          <w:spacing w:val="-3"/>
        </w:rPr>
        <w:t>关成本法转为权益法的相关规定进行会计处理。</w:t>
      </w:r>
      <w:r>
        <w:rPr/>
      </w:r>
    </w:p>
    <w:p>
      <w:pPr>
        <w:pStyle w:val="BodyText"/>
        <w:spacing w:line="240" w:lineRule="auto" w:before="139"/>
        <w:ind w:left="512" w:right="0"/>
        <w:jc w:val="left"/>
      </w:pPr>
      <w:r>
        <w:rPr>
          <w:rFonts w:ascii="Times New Roman" w:hAnsi="Times New Roman" w:cs="Times New Roman" w:eastAsia="Times New Roman" w:hint="default"/>
          <w:spacing w:val="-3"/>
        </w:rPr>
        <w:t>5</w:t>
      </w:r>
      <w:r>
        <w:rPr>
          <w:spacing w:val="-3"/>
        </w:rPr>
        <w:t>、减值测试方法及减值准备计提方法</w:t>
      </w:r>
    </w:p>
    <w:p>
      <w:pPr>
        <w:spacing w:line="240" w:lineRule="auto" w:before="9"/>
        <w:rPr>
          <w:rFonts w:ascii="宋体" w:hAnsi="宋体" w:cs="宋体" w:eastAsia="宋体" w:hint="default"/>
          <w:sz w:val="14"/>
          <w:szCs w:val="14"/>
        </w:rPr>
      </w:pPr>
    </w:p>
    <w:p>
      <w:pPr>
        <w:pStyle w:val="BodyText"/>
        <w:spacing w:line="324" w:lineRule="auto"/>
        <w:ind w:right="145" w:firstLine="360"/>
        <w:jc w:val="both"/>
        <w:rPr>
          <w:rFonts w:ascii="宋体" w:hAnsi="宋体" w:cs="宋体" w:eastAsia="宋体" w:hint="default"/>
        </w:rPr>
      </w:pPr>
      <w:r>
        <w:rPr>
          <w:spacing w:val="-4"/>
        </w:rPr>
        <w:t>对子公司、联营企业及合营企业的投资，在资产负债表日有客观证据表明其发生减值的，按照账面价值与可收回金额的</w:t>
      </w:r>
      <w:r>
        <w:rPr>
          <w:w w:val="101"/>
        </w:rPr>
        <w:t> </w:t>
      </w:r>
      <w:r>
        <w:rPr>
          <w:spacing w:val="-3"/>
        </w:rPr>
        <w:t>差额计提相应的减值准备。</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7"/>
          <w:szCs w:val="27"/>
        </w:rPr>
      </w:pPr>
    </w:p>
    <w:p>
      <w:pPr>
        <w:pStyle w:val="BodyText"/>
        <w:spacing w:line="367" w:lineRule="auto"/>
        <w:ind w:right="7688"/>
        <w:jc w:val="left"/>
      </w:pPr>
      <w:r>
        <w:rPr>
          <w:spacing w:val="-2"/>
        </w:rPr>
        <w:t>投资性房地产计量模式</w:t>
      </w:r>
      <w:r>
        <w:rPr>
          <w:spacing w:val="-66"/>
        </w:rPr>
        <w:t> </w:t>
      </w:r>
      <w:r>
        <w:rPr>
          <w:spacing w:val="-66"/>
        </w:rPr>
      </w:r>
      <w:r>
        <w:rPr>
          <w:spacing w:val="-3"/>
        </w:rPr>
        <w:t>成本法计量</w:t>
      </w:r>
      <w:r>
        <w:rPr>
          <w:spacing w:val="-78"/>
        </w:rPr>
        <w:t> </w:t>
      </w:r>
      <w:r>
        <w:rPr>
          <w:spacing w:val="-78"/>
        </w:rPr>
      </w:r>
      <w:r>
        <w:rPr>
          <w:spacing w:val="-3"/>
        </w:rPr>
        <w:t>折旧或摊销方法</w:t>
      </w:r>
      <w:r>
        <w:rPr/>
      </w:r>
    </w:p>
    <w:p>
      <w:pPr>
        <w:pStyle w:val="BodyText"/>
        <w:spacing w:line="240" w:lineRule="auto" w:before="24"/>
        <w:ind w:left="512" w:right="0"/>
        <w:jc w:val="left"/>
      </w:pPr>
      <w:r>
        <w:rPr>
          <w:rFonts w:ascii="Times New Roman" w:hAnsi="Times New Roman" w:cs="Times New Roman" w:eastAsia="Times New Roman" w:hint="default"/>
          <w:spacing w:val="-3"/>
        </w:rPr>
        <w:t>1</w:t>
      </w:r>
      <w:r>
        <w:rPr>
          <w:spacing w:val="-3"/>
        </w:rPr>
        <w:t>、投资性房地产包括已出租的土地使用权、持有并准备增值后转让的土地使用权和已出租的建筑物。</w:t>
      </w:r>
    </w:p>
    <w:p>
      <w:pPr>
        <w:spacing w:line="240" w:lineRule="auto" w:before="9"/>
        <w:rPr>
          <w:rFonts w:ascii="宋体" w:hAnsi="宋体" w:cs="宋体" w:eastAsia="宋体" w:hint="default"/>
          <w:sz w:val="14"/>
          <w:szCs w:val="14"/>
        </w:rPr>
      </w:pPr>
    </w:p>
    <w:p>
      <w:pPr>
        <w:pStyle w:val="BodyText"/>
        <w:spacing w:line="309" w:lineRule="auto"/>
        <w:ind w:right="144" w:firstLine="360"/>
        <w:jc w:val="both"/>
      </w:pPr>
      <w:r>
        <w:rPr>
          <w:rFonts w:ascii="Times New Roman" w:hAnsi="Times New Roman" w:cs="Times New Roman" w:eastAsia="Times New Roman" w:hint="default"/>
          <w:spacing w:val="-3"/>
        </w:rPr>
        <w:t>2</w:t>
      </w:r>
      <w:r>
        <w:rPr>
          <w:spacing w:val="-3"/>
        </w:rPr>
        <w:t>、投资性房地产按照成本进行初始计量，采用成本模式进行后续计量，并采用与固定资产和无形资产相同的方法计提</w:t>
      </w:r>
      <w:r>
        <w:rPr>
          <w:w w:val="101"/>
        </w:rPr>
        <w:t> </w:t>
      </w:r>
      <w:r>
        <w:rPr>
          <w:spacing w:val="-4"/>
        </w:rPr>
        <w:t>折旧或进行摊销。资产负债表日，有迹象表明投资性房地产发生减值的，按照账面价值与可收回金额的差额计提相应的减值</w:t>
      </w:r>
    </w:p>
    <w:p>
      <w:pPr>
        <w:spacing w:after="0" w:line="309" w:lineRule="auto"/>
        <w:jc w:val="both"/>
        <w:sectPr>
          <w:pgSz w:w="11910" w:h="16840"/>
          <w:pgMar w:header="914" w:footer="1027" w:top="1100" w:bottom="1220" w:left="980" w:right="980"/>
        </w:sectPr>
      </w:pPr>
    </w:p>
    <w:p>
      <w:pPr>
        <w:spacing w:line="240" w:lineRule="auto" w:before="2"/>
        <w:rPr>
          <w:rFonts w:ascii="宋体" w:hAnsi="宋体" w:cs="宋体" w:eastAsia="宋体" w:hint="default"/>
          <w:sz w:val="23"/>
          <w:szCs w:val="23"/>
        </w:rPr>
      </w:pPr>
    </w:p>
    <w:p>
      <w:pPr>
        <w:pStyle w:val="BodyText"/>
        <w:spacing w:line="240" w:lineRule="auto" w:before="46"/>
        <w:ind w:right="6663"/>
        <w:jc w:val="left"/>
        <w:rPr>
          <w:rFonts w:ascii="宋体" w:hAnsi="宋体" w:cs="宋体" w:eastAsia="宋体" w:hint="default"/>
        </w:rPr>
      </w:pPr>
      <w:r>
        <w:rPr>
          <w:spacing w:val="-4"/>
        </w:rPr>
        <w:t>准备。</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6663"/>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6663"/>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7"/>
          <w:szCs w:val="27"/>
        </w:rPr>
      </w:pPr>
    </w:p>
    <w:p>
      <w:pPr>
        <w:pStyle w:val="BodyText"/>
        <w:spacing w:line="333" w:lineRule="auto"/>
        <w:ind w:right="0" w:firstLine="360"/>
        <w:jc w:val="left"/>
      </w:pPr>
      <w:r>
        <w:rPr>
          <w:spacing w:val="-5"/>
        </w:rPr>
        <w:t>固定资产是指为生产商品、提供劳务、出租或经营管理而持有的，使用年限超过一个会计年度的有形资产。包括房屋建</w:t>
      </w:r>
      <w:r>
        <w:rPr>
          <w:w w:val="101"/>
        </w:rPr>
        <w:t> </w:t>
      </w:r>
      <w:r>
        <w:rPr>
          <w:spacing w:val="-3"/>
        </w:rPr>
        <w:t>筑物、运输工具、电子设备及其他等。</w:t>
      </w:r>
      <w:r>
        <w:rPr/>
      </w:r>
    </w:p>
    <w:p>
      <w:pPr>
        <w:spacing w:line="240" w:lineRule="auto" w:before="8"/>
        <w:rPr>
          <w:rFonts w:ascii="宋体" w:hAnsi="宋体" w:cs="宋体" w:eastAsia="宋体" w:hint="default"/>
          <w:sz w:val="21"/>
          <w:szCs w:val="21"/>
        </w:rPr>
      </w:pPr>
    </w:p>
    <w:p>
      <w:pPr>
        <w:pStyle w:val="Heading4"/>
        <w:spacing w:line="240" w:lineRule="auto"/>
        <w:ind w:right="6663"/>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4"/>
                <w:sz w:val="18"/>
                <w:szCs w:val="18"/>
              </w:rPr>
              <w:t>残值率</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18" w:hRule="exact"/>
        </w:trPr>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pacing w:val="-3"/>
                <w:sz w:val="18"/>
                <w:szCs w:val="18"/>
              </w:rPr>
              <w:t>房屋建筑物</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spacing w:val="-3"/>
                <w:sz w:val="18"/>
                <w:szCs w:val="18"/>
              </w:rPr>
              <w:t>年限平均法</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20-40</w:t>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2.38-4.75</w:t>
            </w: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pacing w:val="-3"/>
                <w:sz w:val="18"/>
                <w:szCs w:val="18"/>
              </w:rPr>
              <w:t>年限平均法</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11.88</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pacing w:val="-3"/>
                <w:sz w:val="18"/>
                <w:szCs w:val="18"/>
              </w:rPr>
              <w:t>电子设备及其他</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spacing w:val="-3"/>
                <w:sz w:val="18"/>
                <w:szCs w:val="18"/>
              </w:rPr>
              <w:t>年限平均法</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7"/>
        <w:rPr>
          <w:rFonts w:ascii="宋体" w:hAnsi="宋体" w:cs="宋体" w:eastAsia="宋体" w:hint="default"/>
          <w:b/>
          <w:bCs/>
          <w:sz w:val="19"/>
          <w:szCs w:val="19"/>
        </w:rPr>
      </w:pPr>
    </w:p>
    <w:p>
      <w:pPr>
        <w:pStyle w:val="Heading4"/>
        <w:spacing w:line="240" w:lineRule="auto" w:before="36"/>
        <w:ind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6663"/>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7"/>
          <w:szCs w:val="27"/>
        </w:rPr>
      </w:pPr>
    </w:p>
    <w:p>
      <w:pPr>
        <w:pStyle w:val="BodyText"/>
        <w:spacing w:line="367" w:lineRule="auto"/>
        <w:ind w:right="6663"/>
        <w:jc w:val="left"/>
      </w:pPr>
      <w:r>
        <w:rPr>
          <w:spacing w:val="-3"/>
        </w:rPr>
        <w:t>公司是否需要遵守特殊行业的披露要求</w:t>
      </w:r>
      <w:r>
        <w:rPr>
          <w:spacing w:val="-44"/>
        </w:rPr>
        <w:t> </w:t>
      </w:r>
      <w:r>
        <w:rPr>
          <w:spacing w:val="-44"/>
        </w:rPr>
      </w:r>
      <w:r>
        <w:rPr/>
        <w:t>否</w:t>
      </w:r>
    </w:p>
    <w:p>
      <w:pPr>
        <w:pStyle w:val="BodyText"/>
        <w:spacing w:line="328" w:lineRule="auto" w:before="24"/>
        <w:ind w:right="0" w:firstLine="360"/>
        <w:jc w:val="left"/>
        <w:rPr>
          <w:rFonts w:ascii="宋体" w:hAnsi="宋体" w:cs="宋体" w:eastAsia="宋体" w:hint="default"/>
        </w:rPr>
      </w:pPr>
      <w:r>
        <w:rPr>
          <w:spacing w:val="-3"/>
        </w:rPr>
        <w:t>建造的固定资产从达到预定可使用状态之日起，根据工程预算、造价或工程实际成本等，按估计的价值结转固定资产，</w:t>
      </w:r>
      <w:r>
        <w:rPr>
          <w:spacing w:val="-5"/>
          <w:w w:val="101"/>
        </w:rPr>
        <w:t> </w:t>
      </w:r>
      <w:r>
        <w:rPr>
          <w:spacing w:val="-4"/>
        </w:rPr>
        <w:t>次月起开始计提折旧。待办理了竣工决算手续后再按实际成本调整原来的暂估价值，但原按暂估价值计提的折旧额不再追溯</w:t>
      </w:r>
      <w:r>
        <w:rPr>
          <w:spacing w:val="42"/>
        </w:rPr>
        <w:t> </w:t>
      </w:r>
      <w:r>
        <w:rPr>
          <w:spacing w:val="42"/>
        </w:rPr>
      </w:r>
      <w:r>
        <w:rPr>
          <w:spacing w:val="-4"/>
        </w:rPr>
        <w:t>调整。</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1"/>
        <w:rPr>
          <w:rFonts w:ascii="宋体" w:hAnsi="宋体" w:cs="宋体" w:eastAsia="宋体" w:hint="default"/>
          <w:b/>
          <w:bCs/>
          <w:sz w:val="16"/>
          <w:szCs w:val="16"/>
        </w:rPr>
      </w:pPr>
    </w:p>
    <w:p>
      <w:pPr>
        <w:pStyle w:val="BodyText"/>
        <w:spacing w:line="442" w:lineRule="exact"/>
        <w:ind w:left="512" w:right="0"/>
        <w:jc w:val="left"/>
      </w:pPr>
      <w:r>
        <w:rPr>
          <w:spacing w:val="-3"/>
        </w:rPr>
        <w:t>借款费用包括因借款而发生的借款利息、折价或者溢价的摊销、辅助费用以及因外币借款而发生的汇兑差额等。</w:t>
      </w:r>
      <w:r>
        <w:rPr>
          <w:spacing w:val="49"/>
        </w:rPr>
        <w:t> </w:t>
      </w:r>
      <w:r>
        <w:rPr>
          <w:rFonts w:ascii="宋体" w:hAnsi="宋体" w:cs="宋体" w:eastAsia="宋体" w:hint="default"/>
          <w:spacing w:val="49"/>
        </w:rPr>
      </w:r>
      <w:r>
        <w:rPr>
          <w:rFonts w:ascii="Times New Roman" w:hAnsi="Times New Roman" w:cs="Times New Roman" w:eastAsia="Times New Roman" w:hint="default"/>
        </w:rPr>
        <w:t>1</w:t>
      </w:r>
      <w:r>
        <w:rPr/>
        <w:t>、借款费用资本化金额</w:t>
      </w:r>
      <w:r>
        <w:rPr>
          <w:spacing w:val="-85"/>
        </w:rPr>
        <w:t> </w:t>
      </w:r>
      <w:r>
        <w:rPr>
          <w:spacing w:val="-85"/>
        </w:rPr>
      </w:r>
      <w:r>
        <w:rPr>
          <w:spacing w:val="-4"/>
        </w:rPr>
        <w:t>购建或者生产符合资本化条件的资产而借入的专门借款，当期资本化金额以借入专门借款当期发生的利息、折价或溢价</w:t>
      </w:r>
    </w:p>
    <w:p>
      <w:pPr>
        <w:pStyle w:val="BodyText"/>
        <w:spacing w:line="326" w:lineRule="auto" w:before="23"/>
        <w:ind w:right="184"/>
        <w:jc w:val="both"/>
        <w:rPr>
          <w:rFonts w:ascii="宋体" w:hAnsi="宋体" w:cs="宋体" w:eastAsia="宋体" w:hint="default"/>
        </w:rPr>
      </w:pPr>
      <w:r>
        <w:rPr>
          <w:spacing w:val="-5"/>
          <w:w w:val="101"/>
        </w:rPr>
        <w:t>的摊销和汇兑差额及其他辅助费用，减去将尚未动用的借款资金存入银行取得的利息收入或进行暂时性投资取得的投资收益</w:t>
      </w:r>
      <w:r>
        <w:rPr>
          <w:spacing w:val="-44"/>
          <w:w w:val="101"/>
        </w:rPr>
        <w:t> </w:t>
      </w:r>
      <w:r>
        <w:rPr>
          <w:spacing w:val="-44"/>
          <w:w w:val="101"/>
        </w:rPr>
      </w:r>
      <w:r>
        <w:rPr>
          <w:spacing w:val="-4"/>
        </w:rPr>
        <w:t>后的金额确定；为购建或者生产符合资本化条件的资产而占用的一般借款，当期资本化金额根据累计资产支出超过专门借款</w:t>
      </w:r>
      <w:r>
        <w:rPr>
          <w:spacing w:val="43"/>
        </w:rPr>
        <w:t> </w:t>
      </w:r>
      <w:r>
        <w:rPr>
          <w:spacing w:val="43"/>
        </w:rPr>
      </w:r>
      <w:r>
        <w:rPr>
          <w:spacing w:val="-5"/>
        </w:rPr>
        <w:t>部分的资产支出加权平均数乘以所占用一般借款的资本化率确定，资本化率根据一般借款加权平均利率计算确定，每一会计</w:t>
      </w:r>
      <w:r>
        <w:rPr>
          <w:spacing w:val="1"/>
        </w:rPr>
        <w:t> </w:t>
      </w:r>
      <w:r>
        <w:rPr>
          <w:spacing w:val="1"/>
        </w:rPr>
      </w:r>
      <w:r>
        <w:rPr>
          <w:spacing w:val="-3"/>
        </w:rPr>
        <w:t>期间的利息资本化金额不超过当期相关借款实际发生的利息金额。</w:t>
      </w:r>
      <w:r>
        <w:rPr>
          <w:rFonts w:ascii="宋体" w:hAnsi="宋体" w:cs="宋体" w:eastAsia="宋体" w:hint="default"/>
        </w:rPr>
        <w:t> </w:t>
      </w:r>
    </w:p>
    <w:p>
      <w:pPr>
        <w:pStyle w:val="BodyText"/>
        <w:spacing w:line="328" w:lineRule="auto" w:before="141"/>
        <w:ind w:right="0" w:firstLine="360"/>
        <w:jc w:val="left"/>
        <w:rPr>
          <w:rFonts w:ascii="宋体" w:hAnsi="宋体" w:cs="宋体" w:eastAsia="宋体" w:hint="default"/>
        </w:rPr>
      </w:pPr>
      <w:r>
        <w:rPr>
          <w:spacing w:val="-4"/>
        </w:rPr>
        <w:t>借款存在折价或者溢价，本公司按照实际利率法确定每一会计期间应摊销的折价或者溢价金额，对每期资本化的利息金</w:t>
      </w:r>
      <w:r>
        <w:rPr>
          <w:w w:val="101"/>
        </w:rPr>
        <w:t> </w:t>
      </w:r>
      <w:r>
        <w:rPr>
          <w:spacing w:val="-3"/>
        </w:rPr>
        <w:t>额进行调整。</w:t>
      </w:r>
      <w:r>
        <w:rPr>
          <w:rFonts w:ascii="宋体" w:hAnsi="宋体" w:cs="宋体" w:eastAsia="宋体" w:hint="default"/>
        </w:rPr>
        <w:t> </w:t>
      </w:r>
    </w:p>
    <w:p>
      <w:pPr>
        <w:pStyle w:val="BodyText"/>
        <w:spacing w:line="240" w:lineRule="auto" w:before="139"/>
        <w:ind w:left="512" w:right="6663"/>
        <w:jc w:val="left"/>
      </w:pPr>
      <w:r>
        <w:rPr>
          <w:rFonts w:ascii="Times New Roman" w:hAnsi="Times New Roman" w:cs="Times New Roman" w:eastAsia="Times New Roman" w:hint="default"/>
        </w:rPr>
        <w:t>2</w:t>
      </w:r>
      <w:r>
        <w:rPr/>
        <w:t>、借款费用资本化期间</w:t>
      </w:r>
    </w:p>
    <w:p>
      <w:pPr>
        <w:spacing w:line="240" w:lineRule="auto" w:before="9"/>
        <w:rPr>
          <w:rFonts w:ascii="宋体" w:hAnsi="宋体" w:cs="宋体" w:eastAsia="宋体" w:hint="default"/>
          <w:sz w:val="14"/>
          <w:szCs w:val="14"/>
        </w:rPr>
      </w:pPr>
    </w:p>
    <w:p>
      <w:pPr>
        <w:pStyle w:val="BodyText"/>
        <w:spacing w:line="309" w:lineRule="auto"/>
        <w:ind w:right="0" w:firstLine="360"/>
        <w:jc w:val="left"/>
      </w:pPr>
      <w:r>
        <w:rPr>
          <w:spacing w:val="-3"/>
        </w:rPr>
        <w:t>（</w:t>
      </w:r>
      <w:r>
        <w:rPr>
          <w:rFonts w:ascii="Times New Roman" w:hAnsi="Times New Roman" w:cs="Times New Roman" w:eastAsia="Times New Roman" w:hint="default"/>
          <w:spacing w:val="-3"/>
        </w:rPr>
        <w:t>1</w:t>
      </w:r>
      <w:r>
        <w:rPr>
          <w:spacing w:val="-3"/>
        </w:rPr>
        <w:t>）开始资本化：当以下三个条件同时具备时，因借款而发生的利息、折价或溢价的摊销和汇兑差额开始资本化：①</w:t>
      </w:r>
      <w:r>
        <w:rPr>
          <w:w w:val="101"/>
        </w:rPr>
        <w:t> </w:t>
      </w:r>
      <w:r>
        <w:rPr>
          <w:spacing w:val="-3"/>
        </w:rPr>
        <w:t>资产支出已经发生；②借款费用已经发生；③为使资产达到预定可使用状态所必要的购建活动已经开始。</w:t>
      </w:r>
      <w:r>
        <w:rPr/>
      </w:r>
    </w:p>
    <w:p>
      <w:pPr>
        <w:spacing w:after="0" w:line="309" w:lineRule="auto"/>
        <w:jc w:val="left"/>
        <w:sectPr>
          <w:pgSz w:w="11910" w:h="16840"/>
          <w:pgMar w:header="914" w:footer="1027" w:top="1100" w:bottom="1220" w:left="980" w:right="940"/>
        </w:sectPr>
      </w:pPr>
    </w:p>
    <w:p>
      <w:pPr>
        <w:spacing w:line="240" w:lineRule="auto" w:before="2"/>
        <w:rPr>
          <w:rFonts w:ascii="宋体" w:hAnsi="宋体" w:cs="宋体" w:eastAsia="宋体" w:hint="default"/>
          <w:sz w:val="23"/>
          <w:szCs w:val="23"/>
        </w:rPr>
      </w:pPr>
    </w:p>
    <w:p>
      <w:pPr>
        <w:pStyle w:val="BodyText"/>
        <w:spacing w:line="309" w:lineRule="auto" w:before="46"/>
        <w:ind w:right="0" w:firstLine="360"/>
        <w:jc w:val="left"/>
      </w:pPr>
      <w:r>
        <w:rPr>
          <w:spacing w:val="-4"/>
        </w:rPr>
        <w:t>（</w:t>
      </w:r>
      <w:r>
        <w:rPr>
          <w:rFonts w:ascii="Times New Roman" w:hAnsi="Times New Roman" w:cs="Times New Roman" w:eastAsia="Times New Roman" w:hint="default"/>
          <w:spacing w:val="-4"/>
        </w:rPr>
        <w:t>2</w:t>
      </w:r>
      <w:r>
        <w:rPr>
          <w:spacing w:val="-4"/>
        </w:rPr>
        <w:t>）暂停资本化：若固定资产的购建活动发生非正常中断，并且中断时间连续超过</w:t>
      </w:r>
      <w:r>
        <w:rPr>
          <w:rFonts w:ascii="Times New Roman" w:hAnsi="Times New Roman" w:cs="Times New Roman" w:eastAsia="Times New Roman" w:hint="default"/>
          <w:spacing w:val="-4"/>
        </w:rPr>
        <w:t>3</w:t>
      </w:r>
      <w:r>
        <w:rPr>
          <w:spacing w:val="-4"/>
        </w:rPr>
        <w:t>个月，暂停借款费用的资本化，将</w:t>
      </w:r>
      <w:r>
        <w:rPr>
          <w:w w:val="101"/>
        </w:rPr>
        <w:t> </w:t>
      </w:r>
      <w:r>
        <w:rPr>
          <w:spacing w:val="-3"/>
        </w:rPr>
        <w:t>其确认为当期费用，直至资产的购建活动重新开始。</w:t>
      </w:r>
      <w:r>
        <w:rPr/>
      </w:r>
    </w:p>
    <w:p>
      <w:pPr>
        <w:pStyle w:val="BodyText"/>
        <w:spacing w:line="240" w:lineRule="auto" w:before="154"/>
        <w:ind w:left="512" w:right="0"/>
        <w:jc w:val="left"/>
        <w:rPr>
          <w:rFonts w:ascii="宋体" w:hAnsi="宋体" w:cs="宋体" w:eastAsia="宋体" w:hint="default"/>
        </w:rPr>
      </w:pPr>
      <w:r>
        <w:rPr>
          <w:spacing w:val="-3"/>
        </w:rPr>
        <w:t>（</w:t>
      </w:r>
      <w:r>
        <w:rPr>
          <w:rFonts w:ascii="Times New Roman" w:hAnsi="Times New Roman" w:cs="Times New Roman" w:eastAsia="Times New Roman" w:hint="default"/>
          <w:spacing w:val="-3"/>
        </w:rPr>
        <w:t>3</w:t>
      </w:r>
      <w:r>
        <w:rPr>
          <w:spacing w:val="-3"/>
        </w:rPr>
        <w:t>）停止资本化：当所购建或生产的资产达到预定可使用或者可销售状态时，停止其借款费用的资本化。</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Heading4"/>
        <w:spacing w:line="240" w:lineRule="auto"/>
        <w:ind w:right="6663"/>
        <w:jc w:val="left"/>
        <w:rPr>
          <w:b w:val="0"/>
          <w:bCs w:val="0"/>
        </w:rPr>
      </w:pPr>
      <w:bookmarkStart w:name="19、无形资产" w:id="191"/>
      <w:bookmarkEnd w:id="191"/>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6663"/>
        <w:jc w:val="left"/>
      </w:pPr>
      <w:r>
        <w:rPr>
          <w:spacing w:val="-3"/>
        </w:rPr>
        <w:t>公司是否需要遵守特殊行业的披露要求</w:t>
      </w:r>
      <w:r>
        <w:rPr/>
      </w:r>
    </w:p>
    <w:p>
      <w:pPr>
        <w:pStyle w:val="BodyText"/>
        <w:spacing w:line="240" w:lineRule="auto" w:before="129"/>
        <w:ind w:right="6663"/>
        <w:jc w:val="left"/>
      </w:pPr>
      <w:r>
        <w:rPr>
          <w:w w:val="101"/>
        </w:rPr>
        <w:t>否</w:t>
      </w:r>
      <w:r>
        <w:rPr/>
      </w:r>
    </w:p>
    <w:p>
      <w:pPr>
        <w:pStyle w:val="BodyText"/>
        <w:spacing w:line="436" w:lineRule="auto" w:before="119"/>
        <w:ind w:left="512" w:right="0"/>
        <w:jc w:val="left"/>
      </w:pPr>
      <w:r>
        <w:rPr>
          <w:rFonts w:ascii="Times New Roman" w:hAnsi="Times New Roman" w:cs="Times New Roman" w:eastAsia="Times New Roman" w:hint="default"/>
          <w:spacing w:val="-3"/>
        </w:rPr>
        <w:t>1</w:t>
      </w:r>
      <w:r>
        <w:rPr>
          <w:spacing w:val="-3"/>
        </w:rPr>
        <w:t>、无形资产计价方法</w:t>
      </w:r>
      <w:r>
        <w:rPr>
          <w:spacing w:val="-63"/>
        </w:rPr>
        <w:t> </w:t>
      </w:r>
      <w:r>
        <w:rPr>
          <w:spacing w:val="-63"/>
        </w:rPr>
      </w:r>
      <w:r>
        <w:rPr>
          <w:spacing w:val="-8"/>
          <w:w w:val="101"/>
        </w:rPr>
        <w:t>本公司无形资产主要包括土地使用权、软件、专利权等，取得时按成本计价，年末按照账面价值与可收回金额孰低计价。</w:t>
      </w:r>
      <w:r>
        <w:rPr>
          <w:spacing w:val="-66"/>
          <w:w w:val="101"/>
        </w:rPr>
        <w:t> </w:t>
      </w:r>
      <w:r>
        <w:rPr>
          <w:rFonts w:ascii="宋体" w:hAnsi="宋体" w:cs="宋体" w:eastAsia="宋体" w:hint="default"/>
          <w:spacing w:val="-66"/>
          <w:w w:val="101"/>
        </w:rPr>
      </w:r>
      <w:r>
        <w:rPr>
          <w:rFonts w:ascii="Times New Roman" w:hAnsi="Times New Roman" w:cs="Times New Roman" w:eastAsia="Times New Roman" w:hint="default"/>
          <w:spacing w:val="-3"/>
        </w:rPr>
        <w:t>2</w:t>
      </w:r>
      <w:r>
        <w:rPr>
          <w:spacing w:val="-3"/>
        </w:rPr>
        <w:t>、无形资产摊销方法</w:t>
      </w:r>
      <w:r>
        <w:rPr/>
      </w:r>
    </w:p>
    <w:p>
      <w:pPr>
        <w:pStyle w:val="BodyText"/>
        <w:spacing w:line="328" w:lineRule="auto" w:before="24"/>
        <w:ind w:right="0" w:firstLine="360"/>
        <w:jc w:val="left"/>
        <w:rPr>
          <w:rFonts w:ascii="宋体" w:hAnsi="宋体" w:cs="宋体" w:eastAsia="宋体" w:hint="default"/>
        </w:rPr>
      </w:pPr>
      <w:r>
        <w:rPr>
          <w:spacing w:val="-5"/>
          <w:w w:val="101"/>
        </w:rPr>
        <w:t>使用寿命有限的无形资产自可供使用时起在使用寿命内系统合理摊销计入损益，摊销方法以反映该项无形资产有关的经 </w:t>
      </w:r>
      <w:r>
        <w:rPr>
          <w:spacing w:val="-3"/>
        </w:rPr>
        <w:t>济利益的预期实现方式确定。无法可靠确定预期实现方式的，采用直线法进行摊销。</w:t>
      </w:r>
      <w:r>
        <w:rPr>
          <w:rFonts w:ascii="宋体" w:hAnsi="宋体" w:cs="宋体" w:eastAsia="宋体" w:hint="default"/>
        </w:rPr>
        <w:t> </w:t>
      </w:r>
    </w:p>
    <w:p>
      <w:pPr>
        <w:pStyle w:val="BodyText"/>
        <w:spacing w:line="328" w:lineRule="auto" w:before="139"/>
        <w:ind w:right="0" w:firstLine="360"/>
        <w:jc w:val="left"/>
        <w:rPr>
          <w:rFonts w:ascii="宋体" w:hAnsi="宋体" w:cs="宋体" w:eastAsia="宋体" w:hint="default"/>
        </w:rPr>
      </w:pPr>
      <w:r>
        <w:rPr>
          <w:spacing w:val="-4"/>
        </w:rPr>
        <w:t>使用寿命不确定的无形资产不摊销，在每个会计期间均对该无形资产的使用寿命进行复核。公司将无法预见该资产为公</w:t>
      </w:r>
      <w:r>
        <w:rPr>
          <w:w w:val="101"/>
        </w:rPr>
        <w:t> </w:t>
      </w:r>
      <w:r>
        <w:rPr>
          <w:spacing w:val="-3"/>
        </w:rPr>
        <w:t>司带来经济利益的期限，或使用期限不确定的无形资产确定为使用寿命不确定的无形资产。使用寿命不确定的判断依据：</w:t>
      </w:r>
      <w:r>
        <w:rPr>
          <w:rFonts w:ascii="宋体" w:hAnsi="宋体" w:cs="宋体" w:eastAsia="宋体" w:hint="default"/>
        </w:rPr>
        <w:t> </w:t>
      </w:r>
    </w:p>
    <w:p>
      <w:pPr>
        <w:pStyle w:val="BodyText"/>
        <w:spacing w:line="240" w:lineRule="auto" w:before="139"/>
        <w:ind w:left="512" w:right="0"/>
        <w:jc w:val="left"/>
      </w:pPr>
      <w:r>
        <w:rPr>
          <w:spacing w:val="-3"/>
        </w:rPr>
        <w:t>（</w:t>
      </w:r>
      <w:r>
        <w:rPr>
          <w:rFonts w:ascii="Times New Roman" w:hAnsi="Times New Roman" w:cs="Times New Roman" w:eastAsia="Times New Roman" w:hint="default"/>
          <w:spacing w:val="-3"/>
        </w:rPr>
        <w:t>1</w:t>
      </w:r>
      <w:r>
        <w:rPr>
          <w:spacing w:val="-3"/>
        </w:rPr>
        <w:t>）来源于合同性权利或其他法定权利，但合同规定或法律规定无明确使用年限；</w:t>
      </w:r>
    </w:p>
    <w:p>
      <w:pPr>
        <w:pStyle w:val="BodyText"/>
        <w:spacing w:line="420" w:lineRule="atLeast" w:before="21"/>
        <w:ind w:left="512" w:right="0"/>
        <w:jc w:val="left"/>
      </w:pPr>
      <w:r>
        <w:rPr>
          <w:spacing w:val="-3"/>
        </w:rPr>
        <w:t>（</w:t>
      </w:r>
      <w:r>
        <w:rPr>
          <w:rFonts w:ascii="Times New Roman" w:hAnsi="Times New Roman" w:cs="Times New Roman" w:eastAsia="Times New Roman" w:hint="default"/>
          <w:spacing w:val="-3"/>
        </w:rPr>
        <w:t>2</w:t>
      </w:r>
      <w:r>
        <w:rPr>
          <w:spacing w:val="-3"/>
        </w:rPr>
        <w:t>）综合同行业情况或相关专家论证等，仍无法判断无形资产为公司带来经济利益的期限。</w:t>
      </w:r>
      <w:r>
        <w:rPr>
          <w:spacing w:val="35"/>
        </w:rPr>
        <w:t> </w:t>
      </w:r>
      <w:r>
        <w:rPr>
          <w:spacing w:val="35"/>
        </w:rPr>
      </w:r>
      <w:r>
        <w:rPr>
          <w:spacing w:val="-4"/>
        </w:rPr>
        <w:t>每期末，对使用寿命不确定的无形资产的使用寿命进行复核。主要采取自下而上的方式，由无形资产使用相关部门进行</w:t>
      </w:r>
    </w:p>
    <w:p>
      <w:pPr>
        <w:pStyle w:val="BodyText"/>
        <w:spacing w:line="240" w:lineRule="auto" w:before="86"/>
        <w:ind w:right="0"/>
        <w:jc w:val="left"/>
        <w:rPr>
          <w:rFonts w:ascii="宋体" w:hAnsi="宋体" w:cs="宋体" w:eastAsia="宋体" w:hint="default"/>
        </w:rPr>
      </w:pPr>
      <w:r>
        <w:rPr>
          <w:spacing w:val="-3"/>
        </w:rPr>
        <w:t>基础复核，评价使用寿命不确定判断依据是否存在变化等。</w:t>
      </w:r>
      <w:r>
        <w:rPr>
          <w:rFonts w:ascii="宋体" w:hAnsi="宋体" w:cs="宋体" w:eastAsia="宋体" w:hint="default"/>
        </w:rPr>
        <w:t> </w:t>
      </w:r>
    </w:p>
    <w:p>
      <w:pPr>
        <w:spacing w:line="240" w:lineRule="auto" w:before="5"/>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本公司尚不存在使用寿命不确定的无形资产。</w:t>
      </w:r>
      <w:r>
        <w:rPr>
          <w:rFonts w:ascii="宋体" w:hAnsi="宋体" w:cs="宋体" w:eastAsia="宋体" w:hint="default"/>
        </w:rPr>
        <w:t> </w:t>
      </w:r>
    </w:p>
    <w:p>
      <w:pPr>
        <w:pStyle w:val="BodyText"/>
        <w:spacing w:line="240" w:lineRule="auto" w:before="86"/>
        <w:ind w:left="512" w:right="0"/>
        <w:jc w:val="left"/>
      </w:pPr>
      <w:r>
        <w:rPr>
          <w:rFonts w:ascii="Times New Roman" w:hAnsi="Times New Roman" w:cs="Times New Roman" w:eastAsia="Times New Roman" w:hint="default"/>
          <w:spacing w:val="-3"/>
        </w:rPr>
        <w:t>3</w:t>
      </w:r>
      <w:r>
        <w:rPr>
          <w:spacing w:val="-3"/>
        </w:rPr>
        <w:t>、无形资产减值准备的确认标准和计提方法</w:t>
      </w:r>
      <w:r>
        <w:rPr/>
      </w:r>
    </w:p>
    <w:p>
      <w:pPr>
        <w:spacing w:line="240" w:lineRule="auto" w:before="9"/>
        <w:rPr>
          <w:rFonts w:ascii="宋体" w:hAnsi="宋体" w:cs="宋体" w:eastAsia="宋体" w:hint="default"/>
          <w:sz w:val="14"/>
          <w:szCs w:val="14"/>
        </w:rPr>
      </w:pPr>
    </w:p>
    <w:p>
      <w:pPr>
        <w:pStyle w:val="BodyText"/>
        <w:spacing w:line="328" w:lineRule="auto"/>
        <w:ind w:right="184" w:firstLine="360"/>
        <w:jc w:val="both"/>
        <w:rPr>
          <w:rFonts w:ascii="宋体" w:hAnsi="宋体" w:cs="宋体" w:eastAsia="宋体" w:hint="default"/>
        </w:rPr>
      </w:pPr>
      <w:r>
        <w:rPr>
          <w:spacing w:val="-4"/>
        </w:rPr>
        <w:t>使用寿命确定的无形资产，在资产负债表日有迹象表明发生减值的，按照账面价值与可收回金额的差额计提相应的减值</w:t>
      </w:r>
      <w:r>
        <w:rPr>
          <w:w w:val="101"/>
        </w:rPr>
        <w:t> </w:t>
      </w:r>
      <w:r>
        <w:rPr>
          <w:spacing w:val="-4"/>
        </w:rPr>
        <w:t>准备；使用寿命不确定的无形资产，无论是否存在减值迹象，每年均进行减值测试。无形资产减值准备一经计提，在持有期</w:t>
      </w:r>
      <w:r>
        <w:rPr>
          <w:spacing w:val="40"/>
        </w:rPr>
        <w:t> </w:t>
      </w:r>
      <w:r>
        <w:rPr>
          <w:spacing w:val="40"/>
        </w:rPr>
      </w:r>
      <w:r>
        <w:rPr>
          <w:spacing w:val="-3"/>
        </w:rPr>
        <w:t>间不予转回。</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6663"/>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75" w:right="0"/>
        <w:jc w:val="left"/>
        <w:rPr>
          <w:rFonts w:ascii="宋体" w:hAnsi="宋体" w:cs="宋体" w:eastAsia="宋体" w:hint="default"/>
        </w:rPr>
      </w:pPr>
      <w:r>
        <w:rPr>
          <w:rFonts w:ascii="宋体" w:hAnsi="宋体" w:cs="宋体" w:eastAsia="宋体" w:hint="default"/>
          <w:w w:val="100"/>
          <w:sz w:val="21"/>
          <w:szCs w:val="21"/>
        </w:rPr>
        <w:t> </w:t>
      </w:r>
      <w:r>
        <w:rPr>
          <w:rFonts w:ascii="宋体" w:hAnsi="宋体" w:cs="宋体" w:eastAsia="宋体" w:hint="default"/>
          <w:w w:val="101"/>
        </w:rPr>
        <w:t> </w:t>
      </w:r>
      <w:r>
        <w:rPr>
          <w:spacing w:val="-3"/>
        </w:rPr>
        <w:t>划分研究开发项目研究阶段支出和开发阶段支出的具体标准</w:t>
      </w:r>
      <w:r>
        <w:rPr>
          <w:rFonts w:ascii="宋体" w:hAnsi="宋体" w:cs="宋体" w:eastAsia="宋体" w:hint="default"/>
        </w:rPr>
        <w:t> </w:t>
      </w:r>
    </w:p>
    <w:p>
      <w:pPr>
        <w:pStyle w:val="BodyText"/>
        <w:spacing w:line="442" w:lineRule="exact" w:before="62"/>
        <w:ind w:left="512" w:right="0"/>
        <w:jc w:val="left"/>
      </w:pPr>
      <w:r>
        <w:rPr>
          <w:spacing w:val="-3"/>
        </w:rPr>
        <w:t>（</w:t>
      </w:r>
      <w:r>
        <w:rPr>
          <w:rFonts w:ascii="Times New Roman" w:hAnsi="Times New Roman" w:cs="Times New Roman" w:eastAsia="Times New Roman" w:hint="default"/>
          <w:spacing w:val="-3"/>
        </w:rPr>
        <w:t>1</w:t>
      </w:r>
      <w:r>
        <w:rPr>
          <w:spacing w:val="-3"/>
        </w:rPr>
        <w:t>）首先，本公司将内部研究开发项目区分为研究阶段和开发阶段：</w:t>
      </w:r>
      <w:r>
        <w:rPr>
          <w:spacing w:val="6"/>
        </w:rPr>
        <w:t> </w:t>
      </w:r>
      <w:r>
        <w:rPr>
          <w:spacing w:val="6"/>
        </w:rPr>
      </w:r>
      <w:r>
        <w:rPr>
          <w:spacing w:val="-3"/>
        </w:rPr>
        <w:t>研究阶段是指为获取并理解新的科学或技术知识而进行的独创性的有计划调查阶段。</w:t>
      </w:r>
      <w:r>
        <w:rPr>
          <w:spacing w:val="14"/>
        </w:rPr>
        <w:t> </w:t>
      </w:r>
      <w:r>
        <w:rPr>
          <w:rFonts w:ascii="宋体" w:hAnsi="宋体" w:cs="宋体" w:eastAsia="宋体" w:hint="default"/>
          <w:spacing w:val="14"/>
        </w:rPr>
      </w:r>
      <w:r>
        <w:rPr>
          <w:spacing w:val="-4"/>
        </w:rPr>
        <w:t>开发阶段是指已完成研究阶段，在进行商业性生产或使用前，将研究成果或其他知识应用于某项计划或设计，以生产出</w:t>
      </w:r>
    </w:p>
    <w:p>
      <w:pPr>
        <w:pStyle w:val="BodyText"/>
        <w:spacing w:line="240" w:lineRule="auto" w:before="18"/>
        <w:ind w:right="0"/>
        <w:jc w:val="left"/>
        <w:rPr>
          <w:rFonts w:ascii="宋体" w:hAnsi="宋体" w:cs="宋体" w:eastAsia="宋体" w:hint="default"/>
        </w:rPr>
      </w:pPr>
      <w:r>
        <w:rPr>
          <w:spacing w:val="-3"/>
        </w:rPr>
        <w:t>新的或具有实质性改进的材料、装置、产品等阶段。</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09" w:lineRule="auto"/>
        <w:ind w:right="0" w:firstLine="360"/>
        <w:jc w:val="left"/>
      </w:pPr>
      <w:r>
        <w:rPr>
          <w:spacing w:val="-3"/>
        </w:rPr>
        <w:t>（</w:t>
      </w:r>
      <w:r>
        <w:rPr>
          <w:rFonts w:ascii="Times New Roman" w:hAnsi="Times New Roman" w:cs="Times New Roman" w:eastAsia="Times New Roman" w:hint="default"/>
          <w:spacing w:val="-3"/>
        </w:rPr>
        <w:t>2</w:t>
      </w:r>
      <w:r>
        <w:rPr>
          <w:spacing w:val="-3"/>
        </w:rPr>
        <w:t>）其次，本公司根据上述划分研究阶段、开发阶段的标准，归集相应阶段的支出。研究阶段发生的支出于发生时计</w:t>
      </w:r>
      <w:r>
        <w:rPr>
          <w:w w:val="101"/>
        </w:rPr>
        <w:t> </w:t>
      </w:r>
      <w:r>
        <w:rPr>
          <w:spacing w:val="-3"/>
        </w:rPr>
        <w:t>入当期损益；开发阶段的支出，在同时满足下列条件时，确认为无形资产：</w:t>
      </w:r>
    </w:p>
    <w:p>
      <w:pPr>
        <w:pStyle w:val="BodyText"/>
        <w:spacing w:line="240" w:lineRule="auto" w:before="154"/>
        <w:ind w:left="512" w:right="0"/>
        <w:jc w:val="left"/>
        <w:rPr>
          <w:rFonts w:ascii="宋体" w:hAnsi="宋体" w:cs="宋体" w:eastAsia="宋体" w:hint="default"/>
        </w:rPr>
      </w:pPr>
      <w:r>
        <w:rPr>
          <w:spacing w:val="-3"/>
        </w:rPr>
        <w:t>①完成该无形资产以使其能够使用或出售在技术上具有可行性；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4" w:footer="1027" w:top="1100" w:bottom="1220" w:left="980" w:right="940"/>
        </w:sectPr>
      </w:pPr>
    </w:p>
    <w:p>
      <w:pPr>
        <w:spacing w:line="240" w:lineRule="auto" w:before="2"/>
        <w:rPr>
          <w:rFonts w:ascii="宋体" w:hAnsi="宋体" w:cs="宋体" w:eastAsia="宋体" w:hint="default"/>
          <w:sz w:val="23"/>
          <w:szCs w:val="23"/>
        </w:rPr>
      </w:pPr>
    </w:p>
    <w:p>
      <w:pPr>
        <w:pStyle w:val="BodyText"/>
        <w:spacing w:line="240" w:lineRule="auto" w:before="46"/>
        <w:ind w:left="512" w:right="0"/>
        <w:jc w:val="left"/>
        <w:rPr>
          <w:rFonts w:ascii="宋体" w:hAnsi="宋体" w:cs="宋体" w:eastAsia="宋体" w:hint="default"/>
        </w:rPr>
      </w:pPr>
      <w:r>
        <w:rPr>
          <w:spacing w:val="-3"/>
        </w:rPr>
        <w:t>②具有完成该无形资产并使用或出售的意图；</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③无形资产产生经济利益的方式；</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④有足够的技术、服务资源和其他资源支持，以完成该无形资产的开发，并有能力使用或出售该无形资产；</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512" w:right="0"/>
        <w:jc w:val="left"/>
        <w:rPr>
          <w:rFonts w:ascii="宋体" w:hAnsi="宋体" w:cs="宋体" w:eastAsia="宋体" w:hint="default"/>
        </w:rPr>
      </w:pPr>
      <w:r>
        <w:rPr>
          <w:spacing w:val="-3"/>
        </w:rPr>
        <w:t>⑤归属于该无形资产开发阶段的支出能够可靠地计量。</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bookmarkStart w:name="20、职工薪酬" w:id="194"/>
      <w:bookmarkEnd w:id="194"/>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短期薪酬的会计处理方法" w:id="195"/>
      <w:bookmarkEnd w:id="19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right="144" w:firstLine="360"/>
        <w:jc w:val="both"/>
        <w:rPr>
          <w:rFonts w:ascii="宋体" w:hAnsi="宋体" w:cs="宋体" w:eastAsia="宋体" w:hint="default"/>
        </w:rPr>
      </w:pPr>
      <w:r>
        <w:rPr>
          <w:spacing w:val="-5"/>
        </w:rPr>
        <w:t>本公司在职工提供服务的会计期间，将实际发生的短期薪酬确认为负债，并计入当期损益或相关资产成本。其中，非货</w:t>
      </w:r>
      <w:r>
        <w:rPr>
          <w:w w:val="101"/>
        </w:rPr>
        <w:t> </w:t>
      </w:r>
      <w:r>
        <w:rPr>
          <w:spacing w:val="-3"/>
        </w:rPr>
        <w:t>币性福利按照公允价值计量。</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离职后福利的会计处理方法" w:id="196"/>
      <w:bookmarkEnd w:id="19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right="144" w:firstLine="360"/>
        <w:jc w:val="both"/>
        <w:rPr>
          <w:rFonts w:ascii="宋体" w:hAnsi="宋体" w:cs="宋体" w:eastAsia="宋体" w:hint="default"/>
        </w:rPr>
      </w:pPr>
      <w:r>
        <w:rPr>
          <w:spacing w:val="-5"/>
          <w:w w:val="101"/>
        </w:rPr>
        <w:t>本公司职工参加了由当地劳动和社会保障部门组织实施的社会基本养老保险。本公司以当地规定的社会基本养老保险缴 </w:t>
      </w:r>
      <w:r>
        <w:rPr>
          <w:spacing w:val="-4"/>
        </w:rPr>
        <w:t>纳基数和比例，按月向当地社会基本养老保险经办机构缴纳养老保险费。职工退休后，当地劳动及社会保障部门有责任向已</w:t>
      </w:r>
      <w:r>
        <w:rPr>
          <w:spacing w:val="43"/>
        </w:rPr>
        <w:t> </w:t>
      </w:r>
      <w:r>
        <w:rPr>
          <w:spacing w:val="43"/>
        </w:rPr>
      </w:r>
      <w:r>
        <w:rPr>
          <w:spacing w:val="-4"/>
        </w:rPr>
        <w:t>退休员工支付社会基本养老金。本公司在职工提供服务的会计期间，将根据上述社保规定计算应缴纳的金额确认为负债，并</w:t>
      </w:r>
      <w:r>
        <w:rPr>
          <w:spacing w:val="43"/>
        </w:rPr>
        <w:t> </w:t>
      </w:r>
      <w:r>
        <w:rPr>
          <w:spacing w:val="43"/>
        </w:rPr>
      </w:r>
      <w:r>
        <w:rPr>
          <w:spacing w:val="-3"/>
        </w:rPr>
        <w:t>计入当期损益或相关资产成本。</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197"/>
      <w:bookmarkEnd w:id="19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right="145" w:firstLine="360"/>
        <w:jc w:val="both"/>
        <w:rPr>
          <w:rFonts w:ascii="宋体" w:hAnsi="宋体" w:cs="宋体" w:eastAsia="宋体" w:hint="default"/>
        </w:rPr>
      </w:pPr>
      <w:r>
        <w:rPr>
          <w:spacing w:val="-4"/>
        </w:rPr>
        <w:t>本公司在职工劳动合同到期之前解除与职工的劳动关系、或者为鼓励职工自愿接受裁减而提出给予补偿，在本公司不能</w:t>
      </w:r>
      <w:r>
        <w:rPr>
          <w:w w:val="101"/>
        </w:rPr>
        <w:t> </w:t>
      </w:r>
      <w:r>
        <w:rPr>
          <w:spacing w:val="-5"/>
          <w:w w:val="101"/>
        </w:rPr>
        <w:t>单方面撤回解除劳动关系计划或裁减建议时和确认与涉及支付辞退福利的重组相关的成本费用时两者孰早日，确认因解除与</w:t>
      </w:r>
      <w:r>
        <w:rPr>
          <w:spacing w:val="-44"/>
          <w:w w:val="101"/>
        </w:rPr>
        <w:t> </w:t>
      </w:r>
      <w:r>
        <w:rPr>
          <w:spacing w:val="-44"/>
          <w:w w:val="101"/>
        </w:rPr>
      </w:r>
      <w:r>
        <w:rPr>
          <w:spacing w:val="-3"/>
        </w:rPr>
        <w:t>职工的劳动关系给予补偿而产生的负债，同时计入当期损益。</w:t>
      </w:r>
      <w:r>
        <w:rPr>
          <w:rFonts w:ascii="宋体" w:hAnsi="宋体" w:cs="宋体" w:eastAsia="宋体" w:hint="default"/>
        </w:rPr>
        <w:t> </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1、预计负债" w:id="198"/>
      <w:bookmarkEnd w:id="198"/>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5"/>
        <w:rPr>
          <w:rFonts w:ascii="宋体" w:hAnsi="宋体" w:cs="宋体" w:eastAsia="宋体" w:hint="default"/>
          <w:b/>
          <w:bCs/>
          <w:sz w:val="27"/>
          <w:szCs w:val="27"/>
        </w:rPr>
      </w:pPr>
    </w:p>
    <w:p>
      <w:pPr>
        <w:pStyle w:val="BodyText"/>
        <w:spacing w:line="326" w:lineRule="auto"/>
        <w:ind w:right="144" w:firstLine="360"/>
        <w:jc w:val="both"/>
        <w:rPr>
          <w:rFonts w:ascii="宋体" w:hAnsi="宋体" w:cs="宋体" w:eastAsia="宋体" w:hint="default"/>
        </w:rPr>
      </w:pPr>
      <w:r>
        <w:rPr>
          <w:spacing w:val="-5"/>
        </w:rPr>
        <w:t>当与对外担保、商业承兑汇票贴现、未决诉讼或仲裁、产品质量保证等或有事项相关的业务同时符合以下条件时，本公</w:t>
      </w:r>
      <w:r>
        <w:rPr>
          <w:spacing w:val="-5"/>
          <w:w w:val="101"/>
        </w:rPr>
        <w:t> </w:t>
      </w:r>
      <w:r>
        <w:rPr>
          <w:spacing w:val="-4"/>
        </w:rPr>
        <w:t>司将其确认为负债：该义务是本公司承担的现时义务；该义务的履行很可能导致经济利益流出企业；该义务的金额能够可靠</w:t>
      </w:r>
      <w:r>
        <w:rPr>
          <w:spacing w:val="43"/>
        </w:rPr>
        <w:t> </w:t>
      </w:r>
      <w:r>
        <w:rPr>
          <w:spacing w:val="43"/>
        </w:rPr>
      </w:r>
      <w:r>
        <w:rPr>
          <w:spacing w:val="-3"/>
        </w:rPr>
        <w:t>地计量。</w:t>
      </w:r>
      <w:r>
        <w:rPr>
          <w:rFonts w:ascii="宋体" w:hAnsi="宋体" w:cs="宋体" w:eastAsia="宋体" w:hint="default"/>
        </w:rPr>
        <w:t> </w:t>
      </w:r>
    </w:p>
    <w:p>
      <w:pPr>
        <w:pStyle w:val="BodyText"/>
        <w:spacing w:line="321" w:lineRule="auto" w:before="141"/>
        <w:ind w:right="144" w:firstLine="360"/>
        <w:jc w:val="both"/>
        <w:rPr>
          <w:rFonts w:ascii="宋体" w:hAnsi="宋体" w:cs="宋体" w:eastAsia="宋体" w:hint="default"/>
        </w:rPr>
      </w:pPr>
      <w:r>
        <w:rPr>
          <w:spacing w:val="-5"/>
        </w:rPr>
        <w:t>预计负债按照履行相关现时义务所需支出的最佳估计数进行初始计量，并综合考虑与或有事项有关的风险、不确定性和</w:t>
      </w:r>
      <w:r>
        <w:rPr>
          <w:w w:val="101"/>
        </w:rPr>
        <w:t> </w:t>
      </w:r>
      <w:r>
        <w:rPr>
          <w:spacing w:val="-4"/>
        </w:rPr>
        <w:t>货币时间价值等因素。货币时间价值影响重大的，通过对相关未来现金流出进行折现后确定最佳估计数。每个资产负债表日</w:t>
      </w:r>
      <w:r>
        <w:rPr>
          <w:spacing w:val="43"/>
        </w:rPr>
        <w:t> </w:t>
      </w:r>
      <w:r>
        <w:rPr>
          <w:spacing w:val="43"/>
        </w:rPr>
      </w:r>
      <w:r>
        <w:rPr>
          <w:spacing w:val="-4"/>
        </w:rPr>
        <w:t>对预计负债的账面价值进行复核，如有改变则对账面价值进行调整以反映当前最佳估计数。公司预计负债</w:t>
      </w:r>
      <w:r>
        <w:rPr>
          <w:rFonts w:ascii="Times New Roman" w:hAnsi="Times New Roman" w:cs="Times New Roman" w:eastAsia="Times New Roman" w:hint="default"/>
          <w:spacing w:val="-4"/>
        </w:rPr>
        <w:t>—</w:t>
      </w:r>
      <w:r>
        <w:rPr>
          <w:spacing w:val="-4"/>
        </w:rPr>
        <w:t>产品质量保证金</w:t>
      </w:r>
      <w:r>
        <w:rPr>
          <w:spacing w:val="43"/>
        </w:rPr>
        <w:t> </w:t>
      </w:r>
      <w:r>
        <w:rPr>
          <w:spacing w:val="43"/>
        </w:rPr>
      </w:r>
      <w:r>
        <w:rPr>
          <w:spacing w:val="-3"/>
        </w:rPr>
        <w:t>根据以往实际发生数据测算，按收入的</w:t>
      </w:r>
      <w:r>
        <w:rPr>
          <w:rFonts w:ascii="Times New Roman" w:hAnsi="Times New Roman" w:cs="Times New Roman" w:eastAsia="Times New Roman" w:hint="default"/>
          <w:spacing w:val="-3"/>
        </w:rPr>
        <w:t>2%</w:t>
      </w:r>
      <w:r>
        <w:rPr>
          <w:spacing w:val="-3"/>
        </w:rPr>
        <w:t>预提。</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2、收入" w:id="199"/>
      <w:bookmarkEnd w:id="199"/>
      <w:r>
        <w:rPr>
          <w:b w:val="0"/>
          <w:bCs w:val="0"/>
        </w:rPr>
      </w:r>
      <w:r>
        <w:rPr>
          <w:rFonts w:ascii="Times New Roman" w:hAnsi="Times New Roman" w:cs="Times New Roman" w:eastAsia="Times New Roman" w:hint="default"/>
        </w:rPr>
        <w:t>22</w:t>
      </w:r>
      <w:r>
        <w:rPr/>
        <w:t>、收入</w:t>
      </w:r>
      <w:r>
        <w:rPr>
          <w:b w:val="0"/>
          <w:bCs w:val="0"/>
        </w:rPr>
      </w:r>
    </w:p>
    <w:p>
      <w:pPr>
        <w:spacing w:line="240" w:lineRule="auto" w:before="5"/>
        <w:rPr>
          <w:rFonts w:ascii="宋体" w:hAnsi="宋体" w:cs="宋体" w:eastAsia="宋体" w:hint="default"/>
          <w:b/>
          <w:bCs/>
          <w:sz w:val="27"/>
          <w:szCs w:val="27"/>
        </w:rPr>
      </w:pPr>
    </w:p>
    <w:p>
      <w:pPr>
        <w:pStyle w:val="BodyText"/>
        <w:spacing w:line="367" w:lineRule="auto"/>
        <w:ind w:right="6689"/>
        <w:jc w:val="left"/>
      </w:pPr>
      <w:r>
        <w:rPr>
          <w:spacing w:val="-3"/>
        </w:rPr>
        <w:t>公司是否需要遵守特殊行业的披露要求</w:t>
      </w:r>
      <w:r>
        <w:rPr>
          <w:spacing w:val="-44"/>
        </w:rPr>
        <w:t> </w:t>
      </w:r>
      <w:r>
        <w:rPr>
          <w:spacing w:val="-44"/>
        </w:rPr>
      </w:r>
      <w:r>
        <w:rPr/>
        <w:t>否</w:t>
      </w:r>
    </w:p>
    <w:p>
      <w:pPr>
        <w:pStyle w:val="BodyText"/>
        <w:spacing w:line="240" w:lineRule="auto" w:before="24"/>
        <w:ind w:left="512" w:right="0"/>
        <w:jc w:val="left"/>
      </w:pPr>
      <w:r>
        <w:rPr>
          <w:rFonts w:ascii="Times New Roman" w:hAnsi="Times New Roman" w:cs="Times New Roman" w:eastAsia="Times New Roman" w:hint="default"/>
          <w:spacing w:val="-3"/>
        </w:rPr>
        <w:t>1</w:t>
      </w:r>
      <w:r>
        <w:rPr>
          <w:spacing w:val="-3"/>
        </w:rPr>
        <w:t>、收入确认原则</w:t>
      </w:r>
      <w:r>
        <w:rPr/>
      </w:r>
    </w:p>
    <w:p>
      <w:pPr>
        <w:spacing w:line="240" w:lineRule="auto" w:before="9"/>
        <w:rPr>
          <w:rFonts w:ascii="宋体" w:hAnsi="宋体" w:cs="宋体" w:eastAsia="宋体" w:hint="default"/>
          <w:sz w:val="14"/>
          <w:szCs w:val="14"/>
        </w:rPr>
      </w:pPr>
    </w:p>
    <w:p>
      <w:pPr>
        <w:pStyle w:val="BodyText"/>
        <w:spacing w:line="240" w:lineRule="auto"/>
        <w:ind w:left="512" w:right="0"/>
        <w:jc w:val="left"/>
      </w:pPr>
      <w:r>
        <w:rPr/>
        <w:t>（</w:t>
      </w:r>
      <w:r>
        <w:rPr>
          <w:rFonts w:ascii="Times New Roman" w:hAnsi="Times New Roman" w:cs="Times New Roman" w:eastAsia="Times New Roman" w:hint="default"/>
        </w:rPr>
        <w:t>1</w:t>
      </w:r>
      <w:r>
        <w:rPr/>
        <w:t>）销售商品</w:t>
      </w:r>
    </w:p>
    <w:p>
      <w:pPr>
        <w:spacing w:after="0" w:line="240" w:lineRule="auto"/>
        <w:jc w:val="left"/>
        <w:sectPr>
          <w:footerReference w:type="default" r:id="rId21"/>
          <w:pgSz w:w="11910" w:h="16840"/>
          <w:pgMar w:footer="1027" w:header="914" w:top="1100" w:bottom="1220" w:left="980" w:right="980"/>
        </w:sectPr>
      </w:pPr>
    </w:p>
    <w:p>
      <w:pPr>
        <w:spacing w:line="240" w:lineRule="auto" w:before="2"/>
        <w:rPr>
          <w:rFonts w:ascii="宋体" w:hAnsi="宋体" w:cs="宋体" w:eastAsia="宋体" w:hint="default"/>
          <w:sz w:val="23"/>
          <w:szCs w:val="23"/>
        </w:rPr>
      </w:pPr>
    </w:p>
    <w:p>
      <w:pPr>
        <w:pStyle w:val="BodyText"/>
        <w:spacing w:line="309" w:lineRule="auto" w:before="46"/>
        <w:ind w:right="205" w:firstLine="359"/>
        <w:jc w:val="both"/>
      </w:pPr>
      <w:r>
        <w:rPr>
          <w:spacing w:val="-5"/>
        </w:rPr>
        <w:t>销售商品收入在同时满足下列条件时予以确认：</w:t>
      </w:r>
      <w:r>
        <w:rPr>
          <w:rFonts w:ascii="Times New Roman" w:hAnsi="Times New Roman" w:cs="Times New Roman" w:eastAsia="Times New Roman" w:hint="default"/>
          <w:spacing w:val="-5"/>
        </w:rPr>
        <w:t>1</w:t>
      </w:r>
      <w:r>
        <w:rPr>
          <w:spacing w:val="-5"/>
        </w:rPr>
        <w:t>）将商品所有权上的主要风险和报酬转移给购货方；</w:t>
      </w:r>
      <w:r>
        <w:rPr>
          <w:rFonts w:ascii="Times New Roman" w:hAnsi="Times New Roman" w:cs="Times New Roman" w:eastAsia="Times New Roman" w:hint="default"/>
          <w:spacing w:val="-5"/>
        </w:rPr>
        <w:t>2</w:t>
      </w:r>
      <w:r>
        <w:rPr>
          <w:spacing w:val="-5"/>
        </w:rPr>
        <w:t>）公司不再保留</w:t>
      </w:r>
      <w:r>
        <w:rPr>
          <w:spacing w:val="-5"/>
          <w:w w:val="101"/>
        </w:rPr>
        <w:t> </w:t>
      </w:r>
      <w:r>
        <w:rPr>
          <w:spacing w:val="-4"/>
        </w:rPr>
        <w:t>通常与所有权相联系的继续管理权，也不再对已售出的商品实施有效控制；</w:t>
      </w:r>
      <w:r>
        <w:rPr>
          <w:rFonts w:ascii="Times New Roman" w:hAnsi="Times New Roman" w:cs="Times New Roman" w:eastAsia="Times New Roman" w:hint="default"/>
          <w:spacing w:val="-4"/>
        </w:rPr>
        <w:t>3</w:t>
      </w:r>
      <w:r>
        <w:rPr>
          <w:spacing w:val="-4"/>
        </w:rPr>
        <w:t>）收入的金额能够可靠地计量；</w:t>
      </w:r>
      <w:r>
        <w:rPr>
          <w:rFonts w:ascii="Times New Roman" w:hAnsi="Times New Roman" w:cs="Times New Roman" w:eastAsia="Times New Roman" w:hint="default"/>
          <w:spacing w:val="-4"/>
        </w:rPr>
        <w:t>4</w:t>
      </w:r>
      <w:r>
        <w:rPr>
          <w:spacing w:val="-4"/>
        </w:rPr>
        <w:t>）相关的经济</w:t>
      </w:r>
      <w:r>
        <w:rPr>
          <w:spacing w:val="43"/>
        </w:rPr>
        <w:t> </w:t>
      </w:r>
      <w:r>
        <w:rPr>
          <w:spacing w:val="43"/>
        </w:rPr>
      </w:r>
      <w:r>
        <w:rPr>
          <w:spacing w:val="-3"/>
        </w:rPr>
        <w:t>利益很可能流入；</w:t>
      </w:r>
      <w:r>
        <w:rPr>
          <w:rFonts w:ascii="Times New Roman" w:hAnsi="Times New Roman" w:cs="Times New Roman" w:eastAsia="Times New Roman" w:hint="default"/>
          <w:spacing w:val="-3"/>
        </w:rPr>
        <w:t>5</w:t>
      </w:r>
      <w:r>
        <w:rPr>
          <w:spacing w:val="-3"/>
        </w:rPr>
        <w:t>）相关的已发生或将发生的成本能够可靠地计量。</w:t>
      </w:r>
    </w:p>
    <w:p>
      <w:pPr>
        <w:pStyle w:val="BodyText"/>
        <w:spacing w:line="420" w:lineRule="auto" w:before="134"/>
        <w:ind w:left="513" w:right="0"/>
        <w:jc w:val="left"/>
      </w:pPr>
      <w:r>
        <w:rPr/>
        <w:t>（</w:t>
      </w:r>
      <w:r>
        <w:rPr>
          <w:rFonts w:ascii="Times New Roman" w:hAnsi="Times New Roman" w:cs="Times New Roman" w:eastAsia="Times New Roman" w:hint="default"/>
        </w:rPr>
        <w:t>2</w:t>
      </w:r>
      <w:r>
        <w:rPr/>
        <w:t>）提供劳务</w:t>
      </w:r>
      <w:r>
        <w:rPr>
          <w:spacing w:val="-85"/>
        </w:rPr>
        <w:t> </w:t>
      </w:r>
      <w:r>
        <w:rPr>
          <w:spacing w:val="-85"/>
        </w:rPr>
      </w:r>
      <w:r>
        <w:rPr>
          <w:spacing w:val="-6"/>
          <w:w w:val="101"/>
        </w:rPr>
        <w:t>提供劳务交易的结果在资产负债表日能够可靠估计的（同时满足收入的金额能够可靠地计量、相关经济利益很可能流入、</w:t>
      </w:r>
      <w:r>
        <w:rPr>
          <w:spacing w:val="-6"/>
        </w:rPr>
      </w:r>
    </w:p>
    <w:p>
      <w:pPr>
        <w:pStyle w:val="BodyText"/>
        <w:spacing w:line="187" w:lineRule="exact"/>
        <w:ind w:left="153" w:right="0"/>
        <w:jc w:val="both"/>
      </w:pPr>
      <w:r>
        <w:rPr>
          <w:w w:val="101"/>
        </w:rPr>
        <w:t>交</w:t>
      </w:r>
      <w:r>
        <w:rPr>
          <w:spacing w:val="-5"/>
          <w:w w:val="101"/>
        </w:rPr>
        <w:t>易</w:t>
      </w:r>
      <w:r>
        <w:rPr>
          <w:w w:val="101"/>
        </w:rPr>
        <w:t>的</w:t>
      </w:r>
      <w:r>
        <w:rPr>
          <w:spacing w:val="-5"/>
          <w:w w:val="101"/>
        </w:rPr>
        <w:t>完</w:t>
      </w:r>
      <w:r>
        <w:rPr>
          <w:w w:val="101"/>
        </w:rPr>
        <w:t>工</w:t>
      </w:r>
      <w:r>
        <w:rPr>
          <w:spacing w:val="-5"/>
          <w:w w:val="101"/>
        </w:rPr>
        <w:t>进</w:t>
      </w:r>
      <w:r>
        <w:rPr>
          <w:w w:val="101"/>
        </w:rPr>
        <w:t>度</w:t>
      </w:r>
      <w:r>
        <w:rPr>
          <w:spacing w:val="-5"/>
          <w:w w:val="101"/>
        </w:rPr>
        <w:t>能</w:t>
      </w:r>
      <w:r>
        <w:rPr>
          <w:w w:val="101"/>
        </w:rPr>
        <w:t>够</w:t>
      </w:r>
      <w:r>
        <w:rPr>
          <w:spacing w:val="-5"/>
          <w:w w:val="101"/>
        </w:rPr>
        <w:t>可</w:t>
      </w:r>
      <w:r>
        <w:rPr>
          <w:w w:val="101"/>
        </w:rPr>
        <w:t>靠</w:t>
      </w:r>
      <w:r>
        <w:rPr>
          <w:spacing w:val="-5"/>
          <w:w w:val="101"/>
        </w:rPr>
        <w:t>地</w:t>
      </w:r>
      <w:r>
        <w:rPr>
          <w:w w:val="101"/>
        </w:rPr>
        <w:t>确定</w:t>
      </w:r>
      <w:r>
        <w:rPr>
          <w:spacing w:val="-48"/>
          <w:w w:val="101"/>
        </w:rPr>
        <w:t>、</w:t>
      </w:r>
      <w:r>
        <w:rPr>
          <w:w w:val="101"/>
        </w:rPr>
        <w:t>交</w:t>
      </w:r>
      <w:r>
        <w:rPr>
          <w:spacing w:val="-5"/>
          <w:w w:val="101"/>
        </w:rPr>
        <w:t>易</w:t>
      </w:r>
      <w:r>
        <w:rPr>
          <w:w w:val="101"/>
        </w:rPr>
        <w:t>中</w:t>
      </w:r>
      <w:r>
        <w:rPr>
          <w:spacing w:val="-5"/>
          <w:w w:val="101"/>
        </w:rPr>
        <w:t>已</w:t>
      </w:r>
      <w:r>
        <w:rPr>
          <w:w w:val="101"/>
        </w:rPr>
        <w:t>发</w:t>
      </w:r>
      <w:r>
        <w:rPr>
          <w:spacing w:val="-5"/>
          <w:w w:val="101"/>
        </w:rPr>
        <w:t>生</w:t>
      </w:r>
      <w:r>
        <w:rPr>
          <w:w w:val="101"/>
        </w:rPr>
        <w:t>和</w:t>
      </w:r>
      <w:r>
        <w:rPr>
          <w:spacing w:val="-5"/>
          <w:w w:val="101"/>
        </w:rPr>
        <w:t>将</w:t>
      </w:r>
      <w:r>
        <w:rPr>
          <w:w w:val="101"/>
        </w:rPr>
        <w:t>发</w:t>
      </w:r>
      <w:r>
        <w:rPr>
          <w:spacing w:val="-5"/>
          <w:w w:val="101"/>
        </w:rPr>
        <w:t>生</w:t>
      </w:r>
      <w:r>
        <w:rPr>
          <w:w w:val="101"/>
        </w:rPr>
        <w:t>的</w:t>
      </w:r>
      <w:r>
        <w:rPr>
          <w:spacing w:val="-5"/>
          <w:w w:val="101"/>
        </w:rPr>
        <w:t>成</w:t>
      </w:r>
      <w:r>
        <w:rPr>
          <w:w w:val="101"/>
        </w:rPr>
        <w:t>本</w:t>
      </w:r>
      <w:r>
        <w:rPr>
          <w:spacing w:val="-5"/>
          <w:w w:val="101"/>
        </w:rPr>
        <w:t>能</w:t>
      </w:r>
      <w:r>
        <w:rPr>
          <w:w w:val="101"/>
        </w:rPr>
        <w:t>够</w:t>
      </w:r>
      <w:r>
        <w:rPr>
          <w:spacing w:val="-5"/>
          <w:w w:val="101"/>
        </w:rPr>
        <w:t>可</w:t>
      </w:r>
      <w:r>
        <w:rPr>
          <w:w w:val="101"/>
        </w:rPr>
        <w:t>靠</w:t>
      </w:r>
      <w:r>
        <w:rPr>
          <w:spacing w:val="-5"/>
          <w:w w:val="101"/>
        </w:rPr>
        <w:t>地</w:t>
      </w:r>
      <w:r>
        <w:rPr>
          <w:w w:val="101"/>
        </w:rPr>
        <w:t>计量</w:t>
      </w:r>
      <w:r>
        <w:rPr>
          <w:spacing w:val="-92"/>
          <w:w w:val="101"/>
        </w:rPr>
        <w:t>）</w:t>
      </w:r>
      <w:r>
        <w:rPr>
          <w:spacing w:val="-48"/>
          <w:w w:val="101"/>
        </w:rPr>
        <w:t>，</w:t>
      </w:r>
      <w:r>
        <w:rPr>
          <w:w w:val="101"/>
        </w:rPr>
        <w:t>采</w:t>
      </w:r>
      <w:r>
        <w:rPr>
          <w:spacing w:val="-5"/>
          <w:w w:val="101"/>
        </w:rPr>
        <w:t>用</w:t>
      </w:r>
      <w:r>
        <w:rPr>
          <w:w w:val="101"/>
        </w:rPr>
        <w:t>完</w:t>
      </w:r>
      <w:r>
        <w:rPr>
          <w:spacing w:val="-5"/>
          <w:w w:val="101"/>
        </w:rPr>
        <w:t>工</w:t>
      </w:r>
      <w:r>
        <w:rPr>
          <w:w w:val="101"/>
        </w:rPr>
        <w:t>百</w:t>
      </w:r>
      <w:r>
        <w:rPr>
          <w:spacing w:val="-5"/>
          <w:w w:val="101"/>
        </w:rPr>
        <w:t>分</w:t>
      </w:r>
      <w:r>
        <w:rPr>
          <w:w w:val="101"/>
        </w:rPr>
        <w:t>比</w:t>
      </w:r>
      <w:r>
        <w:rPr>
          <w:spacing w:val="-5"/>
          <w:w w:val="101"/>
        </w:rPr>
        <w:t>法</w:t>
      </w:r>
      <w:r>
        <w:rPr>
          <w:w w:val="101"/>
        </w:rPr>
        <w:t>确</w:t>
      </w:r>
      <w:r>
        <w:rPr>
          <w:spacing w:val="-5"/>
          <w:w w:val="101"/>
        </w:rPr>
        <w:t>认</w:t>
      </w:r>
      <w:r>
        <w:rPr>
          <w:w w:val="101"/>
        </w:rPr>
        <w:t>提</w:t>
      </w:r>
      <w:r>
        <w:rPr>
          <w:spacing w:val="-5"/>
          <w:w w:val="101"/>
        </w:rPr>
        <w:t>供</w:t>
      </w:r>
      <w:r>
        <w:rPr>
          <w:w w:val="101"/>
        </w:rPr>
        <w:t>劳</w:t>
      </w:r>
      <w:r>
        <w:rPr>
          <w:spacing w:val="-5"/>
          <w:w w:val="101"/>
        </w:rPr>
        <w:t>务</w:t>
      </w:r>
      <w:r>
        <w:rPr>
          <w:w w:val="101"/>
        </w:rPr>
        <w:t>的</w:t>
      </w:r>
      <w:r>
        <w:rPr>
          <w:spacing w:val="-5"/>
          <w:w w:val="101"/>
        </w:rPr>
        <w:t>收</w:t>
      </w:r>
      <w:r>
        <w:rPr>
          <w:w w:val="101"/>
        </w:rPr>
        <w:t>入，</w:t>
      </w:r>
      <w:r>
        <w:rPr/>
      </w:r>
    </w:p>
    <w:p>
      <w:pPr>
        <w:pStyle w:val="BodyText"/>
        <w:spacing w:line="328" w:lineRule="auto" w:before="86"/>
        <w:ind w:left="153" w:right="204"/>
        <w:jc w:val="both"/>
      </w:pPr>
      <w:r>
        <w:rPr>
          <w:spacing w:val="-5"/>
          <w:w w:val="101"/>
        </w:rPr>
        <w:t>并按已经发生的成本占估计总成本的比例确定提供劳务交易的完工进度。提供劳务交易的结果在资产负债表日不能够可靠估</w:t>
      </w:r>
      <w:r>
        <w:rPr>
          <w:spacing w:val="-44"/>
          <w:w w:val="101"/>
        </w:rPr>
        <w:t> </w:t>
      </w:r>
      <w:r>
        <w:rPr>
          <w:spacing w:val="-44"/>
          <w:w w:val="101"/>
        </w:rPr>
      </w:r>
      <w:r>
        <w:rPr>
          <w:spacing w:val="-4"/>
        </w:rPr>
        <w:t>计的，若已经发生的劳务成本预计能够得到补偿，按已经发生的劳务成本金额确认提供劳务收入，并按相同金额结转劳务成</w:t>
      </w:r>
      <w:r>
        <w:rPr>
          <w:spacing w:val="42"/>
        </w:rPr>
        <w:t> </w:t>
      </w:r>
      <w:r>
        <w:rPr>
          <w:spacing w:val="42"/>
        </w:rPr>
      </w:r>
      <w:r>
        <w:rPr>
          <w:spacing w:val="-3"/>
        </w:rPr>
        <w:t>本；若已经发生的劳务成本预计不能够得到补偿，将已经发生的劳务成本计入当期损益，不确认劳务收入。</w:t>
      </w:r>
    </w:p>
    <w:p>
      <w:pPr>
        <w:pStyle w:val="BodyText"/>
        <w:spacing w:line="240" w:lineRule="auto" w:before="139"/>
        <w:ind w:left="513" w:right="0"/>
        <w:jc w:val="left"/>
      </w:pPr>
      <w:r>
        <w:rPr>
          <w:spacing w:val="-3"/>
        </w:rPr>
        <w:t>（</w:t>
      </w:r>
      <w:r>
        <w:rPr>
          <w:rFonts w:ascii="Times New Roman" w:hAnsi="Times New Roman" w:cs="Times New Roman" w:eastAsia="Times New Roman" w:hint="default"/>
          <w:spacing w:val="-3"/>
        </w:rPr>
        <w:t>3</w:t>
      </w:r>
      <w:r>
        <w:rPr>
          <w:spacing w:val="-3"/>
        </w:rPr>
        <w:t>）让渡资产使用权</w:t>
      </w:r>
      <w:r>
        <w:rPr/>
      </w:r>
    </w:p>
    <w:p>
      <w:pPr>
        <w:spacing w:line="240" w:lineRule="auto" w:before="9"/>
        <w:rPr>
          <w:rFonts w:ascii="宋体" w:hAnsi="宋体" w:cs="宋体" w:eastAsia="宋体" w:hint="default"/>
          <w:sz w:val="14"/>
          <w:szCs w:val="14"/>
        </w:rPr>
      </w:pPr>
    </w:p>
    <w:p>
      <w:pPr>
        <w:pStyle w:val="BodyText"/>
        <w:spacing w:line="316" w:lineRule="auto"/>
        <w:ind w:left="153" w:right="209" w:firstLine="360"/>
        <w:jc w:val="both"/>
      </w:pPr>
      <w:r>
        <w:rPr>
          <w:spacing w:val="-2"/>
        </w:rPr>
        <w:t>让渡资产使用权在同时满足相关的经济利益很可能流入、收入金额能够可靠计量时</w:t>
      </w:r>
      <w:r>
        <w:rPr>
          <w:rFonts w:ascii="Times New Roman" w:hAnsi="Times New Roman" w:cs="Times New Roman" w:eastAsia="Times New Roman" w:hint="default"/>
          <w:spacing w:val="-2"/>
        </w:rPr>
        <w:t>,</w:t>
      </w:r>
      <w:r>
        <w:rPr>
          <w:spacing w:val="-2"/>
        </w:rPr>
        <w:t>确认让渡资产使用权的收入。利息</w:t>
      </w:r>
      <w:r>
        <w:rPr>
          <w:w w:val="101"/>
        </w:rPr>
        <w:t> </w:t>
      </w:r>
      <w:r>
        <w:rPr>
          <w:spacing w:val="-5"/>
          <w:w w:val="101"/>
        </w:rPr>
        <w:t>收入按照他人使用本公司货币资金的时间和实际利率计算确定；使用费收入按有关合同或协议约定的收费时间和方法计算确</w:t>
      </w:r>
      <w:r>
        <w:rPr>
          <w:spacing w:val="-44"/>
          <w:w w:val="101"/>
        </w:rPr>
        <w:t> </w:t>
      </w:r>
      <w:r>
        <w:rPr>
          <w:spacing w:val="-44"/>
          <w:w w:val="101"/>
        </w:rPr>
      </w:r>
      <w:r>
        <w:rPr/>
        <w:t>定。</w:t>
      </w:r>
    </w:p>
    <w:p>
      <w:pPr>
        <w:pStyle w:val="BodyText"/>
        <w:spacing w:line="442" w:lineRule="exact" w:before="5"/>
        <w:ind w:left="513" w:right="0"/>
        <w:jc w:val="left"/>
      </w:pPr>
      <w:r>
        <w:rPr>
          <w:rFonts w:ascii="Times New Roman" w:hAnsi="Times New Roman" w:cs="Times New Roman" w:eastAsia="Times New Roman" w:hint="default"/>
        </w:rPr>
        <w:t>2</w:t>
      </w:r>
      <w:r>
        <w:rPr/>
        <w:t>、收入确认的具体方法</w:t>
      </w:r>
      <w:r>
        <w:rPr>
          <w:spacing w:val="-85"/>
        </w:rPr>
        <w:t> </w:t>
      </w:r>
      <w:r>
        <w:rPr>
          <w:spacing w:val="-85"/>
        </w:rPr>
      </w:r>
      <w:r>
        <w:rPr>
          <w:spacing w:val="-5"/>
        </w:rPr>
        <w:t>公司的主营业务为智慧政务、智慧企业领域的产品开发与服务，主要面向政府及其职能部门、事业单位、企业客户提供</w:t>
      </w:r>
    </w:p>
    <w:p>
      <w:pPr>
        <w:pStyle w:val="BodyText"/>
        <w:spacing w:line="240" w:lineRule="auto" w:before="23"/>
        <w:ind w:left="153" w:right="0"/>
        <w:jc w:val="both"/>
        <w:rPr>
          <w:rFonts w:ascii="宋体" w:hAnsi="宋体" w:cs="宋体" w:eastAsia="宋体" w:hint="default"/>
        </w:rPr>
      </w:pPr>
      <w:r>
        <w:rPr>
          <w:spacing w:val="-3"/>
        </w:rPr>
        <w:t>软件开发、系统集成和运行维护服务。</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424" w:lineRule="auto"/>
        <w:ind w:left="513" w:right="4812"/>
        <w:jc w:val="left"/>
        <w:rPr>
          <w:rFonts w:ascii="宋体" w:hAnsi="宋体" w:cs="宋体" w:eastAsia="宋体" w:hint="default"/>
        </w:rPr>
      </w:pPr>
      <w:r>
        <w:rPr/>
        <w:t>（</w:t>
      </w:r>
      <w:r>
        <w:rPr>
          <w:rFonts w:ascii="Times New Roman" w:hAnsi="Times New Roman" w:cs="Times New Roman" w:eastAsia="Times New Roman" w:hint="default"/>
        </w:rPr>
        <w:t>1</w:t>
      </w:r>
      <w:r>
        <w:rPr/>
        <w:t>）软件开发收入</w:t>
      </w:r>
      <w:r>
        <w:rPr>
          <w:spacing w:val="-85"/>
        </w:rPr>
        <w:t> </w:t>
      </w:r>
      <w:r>
        <w:rPr>
          <w:spacing w:val="-85"/>
        </w:rPr>
      </w:r>
      <w:r>
        <w:rPr>
          <w:spacing w:val="-3"/>
        </w:rPr>
        <w:t>软件开发收入包含软件产品销售收入和技术开发收入。</w:t>
      </w:r>
      <w:r>
        <w:rPr>
          <w:rFonts w:ascii="宋体" w:hAnsi="宋体" w:cs="宋体" w:eastAsia="宋体" w:hint="default"/>
        </w:rPr>
        <w:t> </w:t>
      </w:r>
    </w:p>
    <w:p>
      <w:pPr>
        <w:pStyle w:val="BodyText"/>
        <w:spacing w:line="328" w:lineRule="auto" w:before="67"/>
        <w:ind w:left="153" w:right="204" w:firstLine="360"/>
        <w:jc w:val="both"/>
        <w:rPr>
          <w:rFonts w:ascii="宋体" w:hAnsi="宋体" w:cs="宋体" w:eastAsia="宋体" w:hint="default"/>
        </w:rPr>
      </w:pPr>
      <w:r>
        <w:rPr>
          <w:spacing w:val="-4"/>
        </w:rPr>
        <w:t>软件产品是指知识产权属公司所有，买方仅享有合同范围内的非独占、非排他的一般使用权的软件。软件产品项目销售</w:t>
      </w:r>
      <w:r>
        <w:rPr>
          <w:w w:val="101"/>
        </w:rPr>
        <w:t> </w:t>
      </w:r>
      <w:r>
        <w:rPr>
          <w:spacing w:val="-3"/>
        </w:rPr>
        <w:t>收入是指向客户销售软件产品所获得的收入。</w:t>
      </w:r>
      <w:r>
        <w:rPr>
          <w:rFonts w:ascii="宋体" w:hAnsi="宋体" w:cs="宋体" w:eastAsia="宋体" w:hint="default"/>
        </w:rPr>
        <w:t> </w:t>
      </w:r>
    </w:p>
    <w:p>
      <w:pPr>
        <w:pStyle w:val="BodyText"/>
        <w:spacing w:line="328" w:lineRule="auto" w:before="134"/>
        <w:ind w:left="153" w:right="203" w:firstLine="360"/>
        <w:jc w:val="both"/>
        <w:rPr>
          <w:rFonts w:ascii="宋体" w:hAnsi="宋体" w:cs="宋体" w:eastAsia="宋体" w:hint="default"/>
        </w:rPr>
      </w:pPr>
      <w:r>
        <w:rPr>
          <w:spacing w:val="-5"/>
        </w:rPr>
        <w:t>技术开发收入是指根据特定客户委托开发的，就特定客户的实际需要进行专门的技术研究、开发、服务的劳务行为。技</w:t>
      </w:r>
      <w:r>
        <w:rPr>
          <w:w w:val="101"/>
        </w:rPr>
        <w:t> </w:t>
      </w:r>
      <w:r>
        <w:rPr>
          <w:spacing w:val="-4"/>
        </w:rPr>
        <w:t>术开发成果的专利申请权、版权及其他非专利技术的所有权及使用权均归买方或双方所有，由此开发出来的软件不具有通用</w:t>
      </w:r>
      <w:r>
        <w:rPr>
          <w:spacing w:val="43"/>
        </w:rPr>
        <w:t> </w:t>
      </w:r>
      <w:r>
        <w:rPr>
          <w:spacing w:val="43"/>
        </w:rPr>
      </w:r>
      <w:r>
        <w:rPr>
          <w:spacing w:val="-3"/>
        </w:rPr>
        <w:t>性。</w:t>
      </w:r>
      <w:r>
        <w:rPr>
          <w:rFonts w:ascii="宋体" w:hAnsi="宋体" w:cs="宋体" w:eastAsia="宋体" w:hint="default"/>
        </w:rPr>
        <w:t> </w:t>
      </w:r>
    </w:p>
    <w:p>
      <w:pPr>
        <w:pStyle w:val="BodyText"/>
        <w:spacing w:line="328" w:lineRule="auto" w:before="139"/>
        <w:ind w:left="153" w:right="132" w:firstLine="360"/>
        <w:jc w:val="both"/>
        <w:rPr>
          <w:rFonts w:ascii="宋体" w:hAnsi="宋体" w:cs="宋体" w:eastAsia="宋体" w:hint="default"/>
        </w:rPr>
      </w:pPr>
      <w:r>
        <w:rPr>
          <w:spacing w:val="-3"/>
        </w:rPr>
        <w:t>收入的确认原则及方法：相关的收入已经收到或取得了收款的证据，与销售该软件产品有关的成本能够可靠地计量时，</w:t>
      </w:r>
      <w:r>
        <w:rPr>
          <w:spacing w:val="-5"/>
          <w:w w:val="101"/>
        </w:rPr>
        <w:t> </w:t>
      </w:r>
      <w:r>
        <w:rPr>
          <w:spacing w:val="-3"/>
        </w:rPr>
        <w:t>确认销售收入。具体为公司将软件及其配套产品交付客户，并取得客户的最终验收单后确认收入的实现。</w:t>
      </w:r>
      <w:r>
        <w:rPr>
          <w:rFonts w:ascii="宋体" w:hAnsi="宋体" w:cs="宋体" w:eastAsia="宋体" w:hint="default"/>
        </w:rPr>
        <w:t> </w:t>
      </w:r>
    </w:p>
    <w:p>
      <w:pPr>
        <w:pStyle w:val="BodyText"/>
        <w:spacing w:line="424" w:lineRule="auto" w:before="139"/>
        <w:ind w:left="513" w:right="4812"/>
        <w:jc w:val="left"/>
        <w:rPr>
          <w:rFonts w:ascii="宋体" w:hAnsi="宋体" w:cs="宋体" w:eastAsia="宋体" w:hint="default"/>
        </w:rPr>
      </w:pPr>
      <w:r>
        <w:rPr/>
        <w:t>（</w:t>
      </w:r>
      <w:r>
        <w:rPr>
          <w:rFonts w:ascii="Times New Roman" w:hAnsi="Times New Roman" w:cs="Times New Roman" w:eastAsia="Times New Roman" w:hint="default"/>
        </w:rPr>
        <w:t>2</w:t>
      </w:r>
      <w:r>
        <w:rPr/>
        <w:t>）系统集成收入</w:t>
      </w:r>
      <w:r>
        <w:rPr>
          <w:spacing w:val="-85"/>
        </w:rPr>
        <w:t> </w:t>
      </w:r>
      <w:r>
        <w:rPr>
          <w:spacing w:val="-85"/>
        </w:rPr>
      </w:r>
      <w:r>
        <w:rPr>
          <w:spacing w:val="-3"/>
        </w:rPr>
        <w:t>系统集成收入包含系统集成销售收入及建筑安装收入</w:t>
      </w:r>
      <w:r>
        <w:rPr>
          <w:rFonts w:ascii="宋体" w:hAnsi="宋体" w:cs="宋体" w:eastAsia="宋体" w:hint="default"/>
        </w:rPr>
        <w:t> </w:t>
      </w:r>
    </w:p>
    <w:p>
      <w:pPr>
        <w:pStyle w:val="BodyText"/>
        <w:spacing w:line="324" w:lineRule="auto" w:before="67"/>
        <w:ind w:left="153" w:right="204" w:firstLine="360"/>
        <w:jc w:val="both"/>
        <w:rPr>
          <w:rFonts w:ascii="宋体" w:hAnsi="宋体" w:cs="宋体" w:eastAsia="宋体" w:hint="default"/>
        </w:rPr>
      </w:pPr>
      <w:r>
        <w:rPr>
          <w:spacing w:val="-4"/>
        </w:rPr>
        <w:t>系统集成销售收入是公司为客户实施系统集成项目时，应客户要求代其外购硬件系统并安装所获得的收入。建筑安装收</w:t>
      </w:r>
      <w:r>
        <w:rPr>
          <w:w w:val="101"/>
        </w:rPr>
        <w:t> </w:t>
      </w:r>
      <w:r>
        <w:rPr>
          <w:spacing w:val="-3"/>
        </w:rPr>
        <w:t>入是指公司为客户提供的弱电工程设计、施工；电视监控、防盗报警系统工程施工等实现的相关收入。</w:t>
      </w:r>
      <w:r>
        <w:rPr>
          <w:rFonts w:ascii="宋体" w:hAnsi="宋体" w:cs="宋体" w:eastAsia="宋体" w:hint="default"/>
        </w:rPr>
        <w:t> </w:t>
      </w:r>
    </w:p>
    <w:p>
      <w:pPr>
        <w:pStyle w:val="BodyText"/>
        <w:spacing w:line="442" w:lineRule="exact"/>
        <w:ind w:left="513" w:right="0"/>
        <w:jc w:val="left"/>
      </w:pPr>
      <w:r>
        <w:rPr>
          <w:spacing w:val="-3"/>
        </w:rPr>
        <w:t>系统集成收入的确认原则及方法为：</w:t>
      </w:r>
      <w:r>
        <w:rPr>
          <w:spacing w:val="-45"/>
        </w:rPr>
        <w:t> </w:t>
      </w:r>
      <w:r>
        <w:rPr>
          <w:rFonts w:ascii="宋体" w:hAnsi="宋体" w:cs="宋体" w:eastAsia="宋体" w:hint="default"/>
          <w:spacing w:val="-45"/>
        </w:rPr>
      </w:r>
      <w:r>
        <w:rPr>
          <w:spacing w:val="-4"/>
        </w:rPr>
        <w:t>系统集成所有权上的主要风险和报酬转移给买方，公司不再对其实施继续管理权和实际控制权，相关的收入已经收到或</w:t>
      </w:r>
    </w:p>
    <w:p>
      <w:pPr>
        <w:pStyle w:val="BodyText"/>
        <w:spacing w:line="328" w:lineRule="auto" w:before="23"/>
        <w:ind w:left="153" w:right="204"/>
        <w:jc w:val="both"/>
        <w:rPr>
          <w:rFonts w:ascii="宋体" w:hAnsi="宋体" w:cs="宋体" w:eastAsia="宋体" w:hint="default"/>
        </w:rPr>
      </w:pPr>
      <w:r>
        <w:rPr>
          <w:spacing w:val="-4"/>
        </w:rPr>
        <w:t>取得了收款的证据，与销售该系统集成有关的成本能够可靠地计量时，确认销售收入。具体为公司在系统集成安装完成，并</w:t>
      </w:r>
      <w:r>
        <w:rPr>
          <w:spacing w:val="40"/>
        </w:rPr>
        <w:t> </w:t>
      </w:r>
      <w:r>
        <w:rPr>
          <w:spacing w:val="40"/>
        </w:rPr>
      </w:r>
      <w:r>
        <w:rPr>
          <w:spacing w:val="-3"/>
        </w:rPr>
        <w:t>取得客户的终验报告后确认收入的实现。</w:t>
      </w:r>
      <w:r>
        <w:rPr>
          <w:rFonts w:ascii="宋体" w:hAnsi="宋体" w:cs="宋体" w:eastAsia="宋体" w:hint="default"/>
        </w:rPr>
        <w:t> </w:t>
      </w:r>
    </w:p>
    <w:p>
      <w:pPr>
        <w:pStyle w:val="BodyText"/>
        <w:spacing w:line="240" w:lineRule="auto" w:before="139"/>
        <w:ind w:left="51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t>运维收入</w:t>
      </w:r>
    </w:p>
    <w:p>
      <w:pPr>
        <w:spacing w:line="240" w:lineRule="auto" w:before="9"/>
        <w:rPr>
          <w:rFonts w:ascii="宋体" w:hAnsi="宋体" w:cs="宋体" w:eastAsia="宋体" w:hint="default"/>
          <w:sz w:val="14"/>
          <w:szCs w:val="14"/>
        </w:rPr>
      </w:pPr>
    </w:p>
    <w:p>
      <w:pPr>
        <w:pStyle w:val="BodyText"/>
        <w:spacing w:line="309" w:lineRule="auto"/>
        <w:ind w:left="153" w:right="136" w:firstLine="359"/>
        <w:jc w:val="both"/>
      </w:pPr>
      <w:r>
        <w:rPr>
          <w:rFonts w:ascii="Times New Roman" w:hAnsi="Times New Roman" w:cs="Times New Roman" w:eastAsia="Times New Roman" w:hint="default"/>
          <w:spacing w:val="-3"/>
        </w:rPr>
        <w:t>IT</w:t>
      </w:r>
      <w:r>
        <w:rPr>
          <w:spacing w:val="-3"/>
        </w:rPr>
        <w:t>运行维护收入是指公司为保证客户软件、硬件能正常运行而提供的运行维护收入。包括：免费服务期后的系统维护、</w:t>
      </w:r>
      <w:r>
        <w:rPr>
          <w:w w:val="101"/>
        </w:rPr>
        <w:t> </w:t>
      </w:r>
      <w:r>
        <w:rPr>
          <w:spacing w:val="-3"/>
        </w:rPr>
        <w:t>数据修复、技术支持、应用培训等技术服务；</w:t>
      </w:r>
    </w:p>
    <w:p>
      <w:pPr>
        <w:spacing w:after="0" w:line="309" w:lineRule="auto"/>
        <w:jc w:val="both"/>
        <w:sectPr>
          <w:footerReference w:type="default" r:id="rId22"/>
          <w:pgSz w:w="11910" w:h="16840"/>
          <w:pgMar w:footer="1027" w:header="914" w:top="1100" w:bottom="1220" w:left="980" w:right="920"/>
          <w:pgNumType w:start="101"/>
        </w:sectPr>
      </w:pPr>
    </w:p>
    <w:p>
      <w:pPr>
        <w:spacing w:line="240" w:lineRule="auto" w:before="2"/>
        <w:rPr>
          <w:rFonts w:ascii="宋体" w:hAnsi="宋体" w:cs="宋体" w:eastAsia="宋体" w:hint="default"/>
          <w:sz w:val="23"/>
          <w:szCs w:val="23"/>
        </w:rPr>
      </w:pPr>
    </w:p>
    <w:p>
      <w:pPr>
        <w:pStyle w:val="BodyText"/>
        <w:spacing w:line="240" w:lineRule="auto" w:before="46"/>
        <w:ind w:left="512" w:right="0"/>
        <w:jc w:val="left"/>
      </w:pPr>
      <w:r>
        <w:rPr>
          <w:rFonts w:ascii="Times New Roman" w:hAnsi="Times New Roman" w:cs="Times New Roman" w:eastAsia="Times New Roman" w:hint="default"/>
          <w:spacing w:val="-3"/>
        </w:rPr>
        <w:t>IT</w:t>
      </w:r>
      <w:r>
        <w:rPr>
          <w:spacing w:val="-3"/>
        </w:rPr>
        <w:t>运维收入的确认原则及方法为：</w:t>
      </w:r>
    </w:p>
    <w:p>
      <w:pPr>
        <w:spacing w:line="240" w:lineRule="auto" w:before="9"/>
        <w:rPr>
          <w:rFonts w:ascii="宋体" w:hAnsi="宋体" w:cs="宋体" w:eastAsia="宋体" w:hint="default"/>
          <w:sz w:val="14"/>
          <w:szCs w:val="14"/>
        </w:rPr>
      </w:pPr>
    </w:p>
    <w:p>
      <w:pPr>
        <w:pStyle w:val="BodyText"/>
        <w:spacing w:line="328" w:lineRule="auto"/>
        <w:ind w:right="145" w:firstLine="360"/>
        <w:jc w:val="both"/>
        <w:rPr>
          <w:rFonts w:ascii="宋体" w:hAnsi="宋体" w:cs="宋体" w:eastAsia="宋体" w:hint="default"/>
        </w:rPr>
      </w:pPr>
      <w:r>
        <w:rPr>
          <w:spacing w:val="-4"/>
        </w:rPr>
        <w:t>公司在遵循收入确认基本原则的基础上，对于单次提供的服务，在服务已经提供，收到价款或取得收款的依据后确认收</w:t>
      </w:r>
      <w:r>
        <w:rPr>
          <w:w w:val="101"/>
        </w:rPr>
        <w:t> </w:t>
      </w:r>
      <w:r>
        <w:rPr>
          <w:spacing w:val="-3"/>
        </w:rPr>
        <w:t>入；对于在固定期间内持续提供的服务，在服务期内按照直线法分期确认收入。</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3、政府补助" w:id="200"/>
      <w:bookmarkEnd w:id="200"/>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与资产相关的政府补助判断依据及会计处理方法" w:id="201"/>
      <w:bookmarkEnd w:id="20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right="144" w:firstLine="360"/>
        <w:jc w:val="both"/>
        <w:rPr>
          <w:rFonts w:ascii="宋体" w:hAnsi="宋体" w:cs="宋体" w:eastAsia="宋体" w:hint="default"/>
        </w:rPr>
      </w:pPr>
      <w:r>
        <w:rPr>
          <w:spacing w:val="-5"/>
        </w:rPr>
        <w:t>与资产相关的政府补助，确认为递延收益，在相关资产使用寿命内按照合理、系统的方法分期计入损益。相关资产在使</w:t>
      </w:r>
      <w:r>
        <w:rPr>
          <w:w w:val="101"/>
        </w:rPr>
        <w:t> </w:t>
      </w:r>
      <w:r>
        <w:rPr>
          <w:spacing w:val="-3"/>
        </w:rPr>
        <w:t>用寿命结束前被出售、转让、报废或发生毁损的，将尚未分配的相关递延收益余额转入资产处置当期的损益。</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与收益相关的政府补助判断依据及会计处理方法" w:id="202"/>
      <w:bookmarkEnd w:id="20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right="144" w:firstLine="360"/>
        <w:jc w:val="both"/>
        <w:rPr>
          <w:rFonts w:ascii="宋体" w:hAnsi="宋体" w:cs="宋体" w:eastAsia="宋体" w:hint="default"/>
        </w:rPr>
      </w:pPr>
      <w:r>
        <w:rPr>
          <w:spacing w:val="-5"/>
        </w:rPr>
        <w:t>与收益相关的政府补助，用于补偿以后期间的相关费用或损失的，确认为递延收益，在确认相关费用的期间，计入当期</w:t>
      </w:r>
      <w:r>
        <w:rPr>
          <w:w w:val="101"/>
        </w:rPr>
        <w:t> </w:t>
      </w:r>
      <w:r>
        <w:rPr>
          <w:spacing w:val="-3"/>
        </w:rPr>
        <w:t>损益；用于补偿已发生的相关费用或损失的，直接计入当期损益。</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4、递延所得税资产/递延所得税负债" w:id="203"/>
      <w:bookmarkEnd w:id="20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420" w:lineRule="atLeast" w:before="183"/>
        <w:ind w:left="512" w:right="0"/>
        <w:jc w:val="left"/>
      </w:pPr>
      <w:r>
        <w:rPr>
          <w:rFonts w:ascii="Times New Roman" w:hAnsi="Times New Roman" w:cs="Times New Roman" w:eastAsia="Times New Roman" w:hint="default"/>
        </w:rPr>
        <w:t>1</w:t>
      </w:r>
      <w:r>
        <w:rPr/>
        <w:t>、当期所得税</w:t>
      </w:r>
      <w:r>
        <w:rPr>
          <w:spacing w:val="-85"/>
        </w:rPr>
        <w:t> </w:t>
      </w:r>
      <w:r>
        <w:rPr>
          <w:spacing w:val="-85"/>
        </w:rPr>
      </w:r>
      <w:r>
        <w:rPr>
          <w:spacing w:val="-5"/>
          <w:w w:val="101"/>
        </w:rPr>
        <w:t>资产负债表日，对于当期和以前期间形成的当期所得税负债（或资产），以按照税法规定计算的预期应交纳（或返还）</w:t>
      </w:r>
      <w:r>
        <w:rPr>
          <w:spacing w:val="-5"/>
        </w:rPr>
      </w:r>
    </w:p>
    <w:p>
      <w:pPr>
        <w:pStyle w:val="BodyText"/>
        <w:spacing w:line="328" w:lineRule="auto" w:before="86"/>
        <w:ind w:right="0"/>
        <w:jc w:val="left"/>
        <w:rPr>
          <w:rFonts w:ascii="宋体" w:hAnsi="宋体" w:cs="宋体" w:eastAsia="宋体" w:hint="default"/>
        </w:rPr>
      </w:pPr>
      <w:r>
        <w:rPr>
          <w:spacing w:val="-5"/>
          <w:w w:val="101"/>
        </w:rPr>
        <w:t>的所得税金额计量。计算当期所得税费用所依据的应纳税所得额系根据有关税法规定对本报告期税前会计利润作相应调整后</w:t>
      </w:r>
      <w:r>
        <w:rPr>
          <w:spacing w:val="-44"/>
          <w:w w:val="101"/>
        </w:rPr>
        <w:t> </w:t>
      </w:r>
      <w:r>
        <w:rPr>
          <w:spacing w:val="-44"/>
          <w:w w:val="101"/>
        </w:rPr>
      </w:r>
      <w:r>
        <w:rPr>
          <w:spacing w:val="-3"/>
        </w:rPr>
        <w:t>计算得出。</w:t>
      </w:r>
      <w:r>
        <w:rPr>
          <w:rFonts w:ascii="宋体" w:hAnsi="宋体" w:cs="宋体" w:eastAsia="宋体" w:hint="default"/>
        </w:rPr>
        <w:t> </w:t>
      </w:r>
    </w:p>
    <w:p>
      <w:pPr>
        <w:pStyle w:val="BodyText"/>
        <w:spacing w:line="240" w:lineRule="auto" w:before="139"/>
        <w:ind w:left="512" w:right="0"/>
        <w:jc w:val="left"/>
      </w:pPr>
      <w:r>
        <w:rPr>
          <w:rFonts w:ascii="Times New Roman" w:hAnsi="Times New Roman" w:cs="Times New Roman" w:eastAsia="Times New Roman" w:hint="default"/>
          <w:spacing w:val="-3"/>
        </w:rPr>
        <w:t>2</w:t>
      </w:r>
      <w:r>
        <w:rPr>
          <w:spacing w:val="-3"/>
        </w:rPr>
        <w:t>、递延所得税资产及递延所得税负债</w:t>
      </w:r>
    </w:p>
    <w:p>
      <w:pPr>
        <w:spacing w:line="240" w:lineRule="auto" w:before="9"/>
        <w:rPr>
          <w:rFonts w:ascii="宋体" w:hAnsi="宋体" w:cs="宋体" w:eastAsia="宋体" w:hint="default"/>
          <w:sz w:val="14"/>
          <w:szCs w:val="14"/>
        </w:rPr>
      </w:pPr>
    </w:p>
    <w:p>
      <w:pPr>
        <w:pStyle w:val="BodyText"/>
        <w:spacing w:line="326" w:lineRule="auto"/>
        <w:ind w:right="149" w:firstLine="360"/>
        <w:jc w:val="both"/>
        <w:rPr>
          <w:rFonts w:ascii="宋体" w:hAnsi="宋体" w:cs="宋体" w:eastAsia="宋体" w:hint="default"/>
        </w:rPr>
      </w:pPr>
      <w:r>
        <w:rPr>
          <w:spacing w:val="-5"/>
        </w:rPr>
        <w:t>某些资产、负债项目的账面价值与其计税基础之间的差额，以及未作为资产和负债确认但按照税法规定可以确定其计税</w:t>
      </w:r>
      <w:r>
        <w:rPr>
          <w:w w:val="101"/>
        </w:rPr>
        <w:t> </w:t>
      </w:r>
      <w:r>
        <w:rPr>
          <w:spacing w:val="-5"/>
          <w:w w:val="101"/>
        </w:rPr>
        <w:t>基础的项目的账面价值与计税基础之间的差额产生的暂时性差异，采用资产负债表债务法确认递延所得税资产及递延所得税</w:t>
      </w:r>
      <w:r>
        <w:rPr>
          <w:spacing w:val="-45"/>
          <w:w w:val="101"/>
        </w:rPr>
        <w:t> </w:t>
      </w:r>
      <w:r>
        <w:rPr>
          <w:spacing w:val="-45"/>
          <w:w w:val="101"/>
        </w:rPr>
      </w:r>
      <w:r>
        <w:rPr>
          <w:spacing w:val="-4"/>
        </w:rPr>
        <w:t>负债。</w:t>
      </w:r>
      <w:r>
        <w:rPr>
          <w:rFonts w:ascii="宋体" w:hAnsi="宋体" w:cs="宋体" w:eastAsia="宋体" w:hint="default"/>
        </w:rPr>
        <w:t> </w:t>
      </w:r>
    </w:p>
    <w:p>
      <w:pPr>
        <w:pStyle w:val="BodyText"/>
        <w:spacing w:line="328" w:lineRule="auto" w:before="141"/>
        <w:ind w:right="144" w:firstLine="360"/>
        <w:jc w:val="both"/>
        <w:rPr>
          <w:rFonts w:ascii="宋体" w:hAnsi="宋体" w:cs="宋体" w:eastAsia="宋体" w:hint="default"/>
        </w:rPr>
      </w:pPr>
      <w:r>
        <w:rPr>
          <w:spacing w:val="-5"/>
        </w:rPr>
        <w:t>与商誉的初始确认有关，以及与既不是企业合并、发生时也不影响会计利润和应纳税所得额（或可抵扣亏损）的交易中</w:t>
      </w:r>
      <w:r>
        <w:rPr>
          <w:w w:val="101"/>
        </w:rPr>
        <w:t> </w:t>
      </w:r>
      <w:r>
        <w:rPr>
          <w:spacing w:val="-4"/>
        </w:rPr>
        <w:t>产生的资产或负债的初始确认有关的应纳税暂时性差异，不予确认有关的递延所得税负债。此外，对与子公司、联营企业及</w:t>
      </w:r>
      <w:r>
        <w:rPr>
          <w:spacing w:val="40"/>
        </w:rPr>
        <w:t> </w:t>
      </w:r>
      <w:r>
        <w:rPr>
          <w:spacing w:val="40"/>
        </w:rPr>
      </w:r>
      <w:r>
        <w:rPr>
          <w:spacing w:val="-4"/>
        </w:rPr>
        <w:t>合营企业投资相关的应纳税暂时性差异，如果本公司能够控制暂时性差异转回的时间，而且该暂时性差异在可预见的未来很</w:t>
      </w:r>
      <w:r>
        <w:rPr>
          <w:spacing w:val="43"/>
        </w:rPr>
        <w:t> </w:t>
      </w:r>
      <w:r>
        <w:rPr>
          <w:spacing w:val="43"/>
        </w:rPr>
      </w:r>
      <w:r>
        <w:rPr>
          <w:spacing w:val="-4"/>
        </w:rPr>
        <w:t>可能不会转回，也不予确认有关的递延所得税负债。除上述例外情况，本公司确认其他所有应纳税暂时性差异产生的递延所</w:t>
      </w:r>
      <w:r>
        <w:rPr>
          <w:spacing w:val="43"/>
        </w:rPr>
        <w:t> </w:t>
      </w:r>
      <w:r>
        <w:rPr>
          <w:spacing w:val="43"/>
        </w:rPr>
      </w:r>
      <w:r>
        <w:rPr>
          <w:spacing w:val="-3"/>
        </w:rPr>
        <w:t>得税负债。</w:t>
      </w:r>
      <w:r>
        <w:rPr>
          <w:rFonts w:ascii="宋体" w:hAnsi="宋体" w:cs="宋体" w:eastAsia="宋体" w:hint="default"/>
        </w:rPr>
        <w:t> </w:t>
      </w:r>
    </w:p>
    <w:p>
      <w:pPr>
        <w:pStyle w:val="BodyText"/>
        <w:spacing w:line="326" w:lineRule="auto" w:before="139"/>
        <w:ind w:right="144" w:firstLine="360"/>
        <w:jc w:val="both"/>
        <w:rPr>
          <w:rFonts w:ascii="宋体" w:hAnsi="宋体" w:cs="宋体" w:eastAsia="宋体" w:hint="default"/>
        </w:rPr>
      </w:pPr>
      <w:r>
        <w:rPr>
          <w:spacing w:val="-4"/>
        </w:rPr>
        <w:t>与既不是企业合并、发生时也不影响会计利润和应纳税所得额（或可抵扣亏损）的交易中产生的资产或负债的初始确认</w:t>
      </w:r>
      <w:r>
        <w:rPr>
          <w:w w:val="101"/>
        </w:rPr>
        <w:t> </w:t>
      </w:r>
      <w:r>
        <w:rPr>
          <w:spacing w:val="-4"/>
        </w:rPr>
        <w:t>有关的可抵扣暂时性差异，不予确认有关的递延所得税资产。此外，对与子公司、联营企业及合营企业投资相关的可抵扣暂</w:t>
      </w:r>
      <w:r>
        <w:rPr>
          <w:spacing w:val="40"/>
        </w:rPr>
        <w:t> </w:t>
      </w:r>
      <w:r>
        <w:rPr>
          <w:spacing w:val="40"/>
        </w:rPr>
      </w:r>
      <w:r>
        <w:rPr>
          <w:spacing w:val="-4"/>
        </w:rPr>
        <w:t>时性差异，如果暂时性差异在可预见的未来不是很可能转回，或者未来不是很可能获得用来抵扣可抵扣暂时性差异的应纳税</w:t>
      </w:r>
      <w:r>
        <w:rPr>
          <w:spacing w:val="39"/>
        </w:rPr>
        <w:t> </w:t>
      </w:r>
      <w:r>
        <w:rPr>
          <w:spacing w:val="39"/>
        </w:rPr>
      </w:r>
      <w:r>
        <w:rPr>
          <w:spacing w:val="-4"/>
        </w:rPr>
        <w:t>所得额，不予确认有关的递延所得税资产。除上述例外情况，本公司以很可能取得用来抵扣可抵扣暂时性差异的应纳税所得</w:t>
      </w:r>
      <w:r>
        <w:rPr>
          <w:spacing w:val="38"/>
        </w:rPr>
        <w:t> </w:t>
      </w:r>
      <w:r>
        <w:rPr>
          <w:spacing w:val="38"/>
        </w:rPr>
      </w:r>
      <w:r>
        <w:rPr>
          <w:spacing w:val="-3"/>
        </w:rPr>
        <w:t>额为限，确认其他可抵扣暂时性差异产生的递延所得税资产。</w:t>
      </w:r>
      <w:r>
        <w:rPr>
          <w:rFonts w:ascii="宋体" w:hAnsi="宋体" w:cs="宋体" w:eastAsia="宋体" w:hint="default"/>
        </w:rPr>
        <w:t> </w:t>
      </w:r>
    </w:p>
    <w:p>
      <w:pPr>
        <w:pStyle w:val="BodyText"/>
        <w:spacing w:line="326" w:lineRule="auto" w:before="141"/>
        <w:ind w:right="144" w:firstLine="359"/>
        <w:jc w:val="both"/>
      </w:pPr>
      <w:r>
        <w:rPr>
          <w:spacing w:val="-5"/>
          <w:w w:val="101"/>
        </w:rPr>
        <w:t>对于能够结转以后年度的可抵扣亏损和税款抵减，以很可能获得用来抵扣可抵扣亏损和税款抵减的未来应纳税所得额为 </w:t>
      </w:r>
      <w:r>
        <w:rPr>
          <w:spacing w:val="-4"/>
        </w:rPr>
        <w:t>限，确认相应的递延所得税资产。资产负债表日，对于递延所得税资产和递延所得税负债，根据税法规定，按照预期收回相</w:t>
      </w:r>
      <w:r>
        <w:rPr>
          <w:spacing w:val="40"/>
        </w:rPr>
        <w:t> </w:t>
      </w:r>
      <w:r>
        <w:rPr>
          <w:spacing w:val="40"/>
        </w:rPr>
      </w:r>
      <w:r>
        <w:rPr>
          <w:spacing w:val="-4"/>
        </w:rPr>
        <w:t>关资产或清偿相关负债期间的适用税率计量。于资产负债表日，对递延所得税资产的账面价值进行复核，如果未来很可能无</w:t>
      </w:r>
      <w:r>
        <w:rPr>
          <w:spacing w:val="43"/>
        </w:rPr>
        <w:t> </w:t>
      </w:r>
      <w:r>
        <w:rPr>
          <w:spacing w:val="43"/>
        </w:rPr>
      </w:r>
      <w:r>
        <w:rPr>
          <w:spacing w:val="-4"/>
        </w:rPr>
        <w:t>法获得足够的应纳税所得额用以抵扣递延所得税资产的利益，则减记递延所得税资产的账面价值。在很可能获得足够的应纳</w:t>
      </w:r>
      <w:r>
        <w:rPr>
          <w:spacing w:val="43"/>
        </w:rPr>
        <w:t> </w:t>
      </w:r>
      <w:r>
        <w:rPr>
          <w:spacing w:val="43"/>
        </w:rPr>
      </w:r>
      <w:r>
        <w:rPr>
          <w:spacing w:val="-3"/>
        </w:rPr>
        <w:t>税所得额时，减记的金额予以转回。</w:t>
      </w:r>
    </w:p>
    <w:p>
      <w:pPr>
        <w:spacing w:after="0" w:line="326" w:lineRule="auto"/>
        <w:jc w:val="both"/>
        <w:sectPr>
          <w:pgSz w:w="11910" w:h="16840"/>
          <w:pgMar w:header="914" w:footer="1027" w:top="1100" w:bottom="1220" w:left="980" w:right="980"/>
        </w:sectPr>
      </w:pPr>
    </w:p>
    <w:p>
      <w:pPr>
        <w:spacing w:line="240" w:lineRule="auto" w:before="2"/>
        <w:rPr>
          <w:rFonts w:ascii="宋体" w:hAnsi="宋体" w:cs="宋体" w:eastAsia="宋体" w:hint="default"/>
          <w:sz w:val="23"/>
          <w:szCs w:val="23"/>
        </w:rPr>
      </w:pPr>
    </w:p>
    <w:p>
      <w:pPr>
        <w:pStyle w:val="BodyText"/>
        <w:spacing w:line="424" w:lineRule="auto" w:before="46"/>
        <w:ind w:left="572" w:right="5247"/>
        <w:jc w:val="left"/>
        <w:rPr>
          <w:rFonts w:ascii="宋体" w:hAnsi="宋体" w:cs="宋体" w:eastAsia="宋体" w:hint="default"/>
        </w:rPr>
      </w:pPr>
      <w:r>
        <w:rPr>
          <w:rFonts w:ascii="Times New Roman" w:hAnsi="Times New Roman" w:cs="Times New Roman" w:eastAsia="Times New Roman" w:hint="default"/>
        </w:rPr>
        <w:t>3</w:t>
      </w:r>
      <w:r>
        <w:rPr/>
        <w:t>、所得税费用</w:t>
      </w:r>
      <w:r>
        <w:rPr>
          <w:spacing w:val="-85"/>
        </w:rPr>
        <w:t> </w:t>
      </w:r>
      <w:r>
        <w:rPr>
          <w:spacing w:val="-85"/>
        </w:rPr>
      </w:r>
      <w:r>
        <w:rPr>
          <w:spacing w:val="-3"/>
        </w:rPr>
        <w:t>所得税费用包括当期所得税和递延所得税。</w:t>
      </w:r>
      <w:r>
        <w:rPr>
          <w:rFonts w:ascii="宋体" w:hAnsi="宋体" w:cs="宋体" w:eastAsia="宋体" w:hint="default"/>
        </w:rPr>
        <w:t> </w:t>
      </w:r>
    </w:p>
    <w:p>
      <w:pPr>
        <w:pStyle w:val="BodyText"/>
        <w:spacing w:line="328" w:lineRule="auto" w:before="67"/>
        <w:ind w:left="212" w:right="210" w:firstLine="360"/>
        <w:jc w:val="both"/>
        <w:rPr>
          <w:rFonts w:ascii="宋体" w:hAnsi="宋体" w:cs="宋体" w:eastAsia="宋体" w:hint="default"/>
        </w:rPr>
      </w:pPr>
      <w:r>
        <w:rPr>
          <w:spacing w:val="-1"/>
        </w:rPr>
        <w:t>除确认为其他综合收益或直接计入股东权益的交易和事项相关的当期所得税和递延所得税计入其他综合收益或股东权</w:t>
      </w:r>
      <w:r>
        <w:rPr>
          <w:w w:val="101"/>
        </w:rPr>
        <w:t> </w:t>
      </w:r>
      <w:r>
        <w:rPr>
          <w:spacing w:val="-3"/>
        </w:rPr>
        <w:t>益，以及企业合并产生的递延所得税调整商誉的账面价值外，其余当期所得税和递延所得税费用或收益计入当期损益。</w:t>
      </w:r>
      <w:r>
        <w:rPr>
          <w:rFonts w:ascii="宋体" w:hAnsi="宋体" w:cs="宋体" w:eastAsia="宋体" w:hint="default"/>
        </w:rPr>
        <w:t> </w:t>
      </w:r>
    </w:p>
    <w:p>
      <w:pPr>
        <w:spacing w:line="240" w:lineRule="auto" w:before="4"/>
        <w:rPr>
          <w:rFonts w:ascii="宋体" w:hAnsi="宋体" w:cs="宋体" w:eastAsia="宋体" w:hint="default"/>
          <w:sz w:val="22"/>
          <w:szCs w:val="22"/>
        </w:rPr>
      </w:pPr>
    </w:p>
    <w:p>
      <w:pPr>
        <w:pStyle w:val="Heading4"/>
        <w:spacing w:line="240" w:lineRule="auto"/>
        <w:ind w:left="212" w:right="194"/>
        <w:jc w:val="left"/>
        <w:rPr>
          <w:b w:val="0"/>
          <w:bCs w:val="0"/>
        </w:rPr>
      </w:pPr>
      <w:bookmarkStart w:name="25、租赁" w:id="204"/>
      <w:bookmarkEnd w:id="204"/>
      <w:r>
        <w:rPr>
          <w:b w:val="0"/>
          <w:bCs w:val="0"/>
        </w:rPr>
      </w:r>
      <w:r>
        <w:rPr>
          <w:rFonts w:ascii="Times New Roman" w:hAnsi="Times New Roman" w:cs="Times New Roman" w:eastAsia="Times New Roman" w:hint="default"/>
        </w:rPr>
        <w:t>25</w:t>
      </w:r>
      <w:r>
        <w:rPr/>
        <w:t>、租赁</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left="212" w:right="194"/>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left="212" w:right="214" w:firstLine="360"/>
        <w:jc w:val="both"/>
        <w:rPr>
          <w:rFonts w:ascii="宋体" w:hAnsi="宋体" w:cs="宋体" w:eastAsia="宋体" w:hint="default"/>
        </w:rPr>
      </w:pPr>
      <w:r>
        <w:rPr>
          <w:spacing w:val="-5"/>
        </w:rPr>
        <w:t>经营租赁的租金在租赁期内各个期间按照直线法计入相关资产成本或当期损益。作为承租人发生的初始直接费用，计入</w:t>
      </w:r>
      <w:r>
        <w:rPr>
          <w:spacing w:val="-5"/>
          <w:w w:val="101"/>
        </w:rPr>
        <w:t> </w:t>
      </w:r>
      <w:r>
        <w:rPr>
          <w:spacing w:val="-3"/>
        </w:rPr>
        <w:t>管理费用，或有租金于发生时确认为当期费用。</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left="212" w:right="194"/>
        <w:jc w:val="left"/>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328" w:lineRule="auto"/>
        <w:ind w:left="212" w:right="204" w:firstLine="360"/>
        <w:jc w:val="both"/>
        <w:rPr>
          <w:rFonts w:ascii="宋体" w:hAnsi="宋体" w:cs="宋体" w:eastAsia="宋体" w:hint="default"/>
        </w:rPr>
      </w:pPr>
      <w:r>
        <w:rPr>
          <w:spacing w:val="-5"/>
        </w:rPr>
        <w:t>在租赁开始日，公司（承租人）将租赁开始日租赁资产公允价值与最低租赁付款额现值两者中较低者作为租入资产的入</w:t>
      </w:r>
      <w:r>
        <w:rPr>
          <w:w w:val="101"/>
        </w:rPr>
        <w:t> </w:t>
      </w:r>
      <w:r>
        <w:rPr>
          <w:spacing w:val="-4"/>
        </w:rPr>
        <w:t>账价值，将最低租赁付款额作为长期应付款的入账价值，其差额作为未确认融资费用。在租赁过程中发生的，可归属于租赁</w:t>
      </w:r>
      <w:r>
        <w:rPr>
          <w:spacing w:val="40"/>
        </w:rPr>
        <w:t> </w:t>
      </w:r>
      <w:r>
        <w:rPr>
          <w:spacing w:val="40"/>
        </w:rPr>
      </w:r>
      <w:r>
        <w:rPr>
          <w:spacing w:val="-4"/>
        </w:rPr>
        <w:t>项目的手续费、律师费、差旅费、印花税等初始直接费用，计入租入资产的价值。公司采用实际利率法将未确认融资费用在</w:t>
      </w:r>
      <w:r>
        <w:rPr>
          <w:spacing w:val="40"/>
        </w:rPr>
        <w:t> </w:t>
      </w:r>
      <w:r>
        <w:rPr>
          <w:spacing w:val="40"/>
        </w:rPr>
      </w:r>
      <w:r>
        <w:rPr>
          <w:spacing w:val="-3"/>
        </w:rPr>
        <w:t>租赁期内各个期间进行分摊，计入当期损益，或有租金在实际发生时计入当期损益。</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4"/>
        <w:spacing w:line="240" w:lineRule="auto"/>
        <w:ind w:left="212" w:right="194"/>
        <w:jc w:val="left"/>
        <w:rPr>
          <w:b w:val="0"/>
          <w:bCs w:val="0"/>
        </w:rPr>
      </w:pPr>
      <w:bookmarkStart w:name="26、重要会计政策和会计估计变更" w:id="207"/>
      <w:bookmarkEnd w:id="207"/>
      <w:r>
        <w:rPr>
          <w:b w:val="0"/>
          <w:bCs w:val="0"/>
        </w:rPr>
      </w:r>
      <w:r>
        <w:rPr>
          <w:rFonts w:ascii="Times New Roman" w:hAnsi="Times New Roman" w:cs="Times New Roman" w:eastAsia="Times New Roman" w:hint="default"/>
        </w:rPr>
        <w:t>26</w:t>
      </w:r>
      <w:r>
        <w:rPr/>
        <w:t>、重要会计政策和会计估计变更</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left="212" w:right="194"/>
        <w:jc w:val="left"/>
        <w:rPr>
          <w:b w:val="0"/>
          <w:bCs w:val="0"/>
        </w:rPr>
      </w:pPr>
      <w:bookmarkStart w:name="（1）重要会计政策变更" w:id="208"/>
      <w:bookmarkEnd w:id="20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212" w:right="194"/>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3192"/>
        <w:gridCol w:w="3187"/>
        <w:gridCol w:w="3192"/>
      </w:tblGrid>
      <w:tr>
        <w:trPr>
          <w:trHeight w:val="408"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13"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34" w:hRule="exact"/>
        </w:trPr>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33" w:lineRule="auto" w:before="58"/>
              <w:ind w:left="422" w:right="7" w:hanging="317"/>
              <w:jc w:val="left"/>
              <w:rPr>
                <w:rFonts w:ascii="宋体" w:hAnsi="宋体" w:cs="宋体" w:eastAsia="宋体" w:hint="default"/>
                <w:sz w:val="18"/>
                <w:szCs w:val="18"/>
              </w:rPr>
            </w:pPr>
            <w:r>
              <w:rPr>
                <w:rFonts w:ascii="宋体" w:hAnsi="宋体" w:cs="宋体" w:eastAsia="宋体" w:hint="default"/>
                <w:spacing w:val="-3"/>
                <w:sz w:val="18"/>
                <w:szCs w:val="18"/>
              </w:rPr>
              <w:t>合并利润表及利润表新增</w:t>
            </w:r>
            <w:r>
              <w:rPr>
                <w:rFonts w:ascii="宋体" w:hAnsi="宋体" w:cs="宋体" w:eastAsia="宋体" w:hint="default"/>
                <w:spacing w:val="-3"/>
                <w:sz w:val="18"/>
                <w:szCs w:val="18"/>
              </w:rPr>
              <w:t>“</w:t>
            </w:r>
            <w:r>
              <w:rPr>
                <w:rFonts w:ascii="宋体" w:hAnsi="宋体" w:cs="宋体" w:eastAsia="宋体" w:hint="default"/>
                <w:spacing w:val="-3"/>
                <w:sz w:val="18"/>
                <w:szCs w:val="18"/>
              </w:rPr>
              <w:t>其他收益</w:t>
            </w:r>
            <w:r>
              <w:rPr>
                <w:rFonts w:ascii="宋体" w:hAnsi="宋体" w:cs="宋体" w:eastAsia="宋体" w:hint="default"/>
                <w:spacing w:val="-3"/>
                <w:sz w:val="18"/>
                <w:szCs w:val="18"/>
              </w:rPr>
              <w:t>”</w:t>
            </w:r>
            <w:r>
              <w:rPr>
                <w:rFonts w:ascii="宋体" w:hAnsi="宋体" w:cs="宋体" w:eastAsia="宋体" w:hint="default"/>
                <w:spacing w:val="-36"/>
                <w:sz w:val="18"/>
                <w:szCs w:val="18"/>
              </w:rPr>
              <w:t> </w:t>
            </w:r>
            <w:r>
              <w:rPr>
                <w:rFonts w:ascii="宋体" w:hAnsi="宋体" w:cs="宋体" w:eastAsia="宋体" w:hint="default"/>
                <w:spacing w:val="-3"/>
                <w:sz w:val="18"/>
                <w:szCs w:val="18"/>
              </w:rPr>
              <w:t>行项目，采用未来适用法处理</w:t>
            </w:r>
            <w:r>
              <w:rPr>
                <w:rFonts w:ascii="宋体" w:hAnsi="宋体" w:cs="宋体" w:eastAsia="宋体" w:hint="default"/>
                <w:sz w:val="18"/>
                <w:szCs w:val="18"/>
              </w:rPr>
            </w:r>
          </w:p>
        </w:tc>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30" w:hRule="exact"/>
        </w:trPr>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604" w:right="94" w:hanging="500"/>
              <w:jc w:val="left"/>
              <w:rPr>
                <w:rFonts w:ascii="宋体" w:hAnsi="宋体" w:cs="宋体" w:eastAsia="宋体" w:hint="default"/>
                <w:sz w:val="18"/>
                <w:szCs w:val="18"/>
              </w:rPr>
            </w:pPr>
            <w:r>
              <w:rPr>
                <w:rFonts w:ascii="宋体" w:hAnsi="宋体" w:cs="宋体" w:eastAsia="宋体" w:hint="default"/>
                <w:spacing w:val="-8"/>
                <w:w w:val="101"/>
                <w:sz w:val="18"/>
                <w:szCs w:val="18"/>
              </w:rPr>
              <w:t>合并利润表及利润表新增</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资产处置收</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3"/>
                <w:sz w:val="18"/>
                <w:szCs w:val="18"/>
              </w:rPr>
              <w:t>行项目，并追溯调整</w:t>
            </w:r>
            <w:r>
              <w:rPr>
                <w:rFonts w:ascii="宋体" w:hAnsi="宋体" w:cs="宋体" w:eastAsia="宋体" w:hint="default"/>
                <w:sz w:val="18"/>
                <w:szCs w:val="18"/>
              </w:rPr>
            </w:r>
          </w:p>
        </w:tc>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10"/>
        <w:rPr>
          <w:rFonts w:ascii="宋体" w:hAnsi="宋体" w:cs="宋体" w:eastAsia="宋体" w:hint="default"/>
          <w:sz w:val="6"/>
          <w:szCs w:val="6"/>
        </w:rPr>
      </w:pPr>
    </w:p>
    <w:p>
      <w:pPr>
        <w:pStyle w:val="BodyText"/>
        <w:spacing w:line="309" w:lineRule="auto" w:before="46"/>
        <w:ind w:left="212" w:right="194" w:firstLine="359"/>
        <w:jc w:val="left"/>
      </w:pPr>
      <w:r>
        <w:rPr>
          <w:spacing w:val="-6"/>
          <w:w w:val="101"/>
        </w:rPr>
        <w:t>（</w:t>
      </w:r>
      <w:r>
        <w:rPr>
          <w:rFonts w:ascii="Times New Roman" w:hAnsi="Times New Roman" w:cs="Times New Roman" w:eastAsia="Times New Roman" w:hint="default"/>
          <w:spacing w:val="-6"/>
          <w:w w:val="101"/>
        </w:rPr>
        <w:t>1</w:t>
      </w:r>
      <w:r>
        <w:rPr>
          <w:spacing w:val="-6"/>
          <w:w w:val="101"/>
        </w:rPr>
        <w:t>）本公司经董事会会议批准，自</w:t>
      </w:r>
      <w:r>
        <w:rPr>
          <w:rFonts w:ascii="Times New Roman" w:hAnsi="Times New Roman" w:cs="Times New Roman" w:eastAsia="Times New Roman" w:hint="default"/>
          <w:spacing w:val="-6"/>
          <w:w w:val="101"/>
        </w:rPr>
        <w:t>2017</w:t>
      </w:r>
      <w:r>
        <w:rPr>
          <w:spacing w:val="-6"/>
          <w:w w:val="101"/>
        </w:rPr>
        <w:t>年</w:t>
      </w:r>
      <w:r>
        <w:rPr>
          <w:rFonts w:ascii="Times New Roman" w:hAnsi="Times New Roman" w:cs="Times New Roman" w:eastAsia="Times New Roman" w:hint="default"/>
          <w:spacing w:val="-6"/>
          <w:w w:val="101"/>
        </w:rPr>
        <w:t>1</w:t>
      </w:r>
      <w:r>
        <w:rPr>
          <w:spacing w:val="-6"/>
          <w:w w:val="101"/>
        </w:rPr>
        <w:t>月</w:t>
      </w:r>
      <w:r>
        <w:rPr>
          <w:rFonts w:ascii="Times New Roman" w:hAnsi="Times New Roman" w:cs="Times New Roman" w:eastAsia="Times New Roman" w:hint="default"/>
          <w:spacing w:val="-6"/>
          <w:w w:val="101"/>
        </w:rPr>
        <w:t>1</w:t>
      </w:r>
      <w:r>
        <w:rPr>
          <w:spacing w:val="-6"/>
          <w:w w:val="101"/>
        </w:rPr>
        <w:t>日采用《企业会计准则第</w:t>
      </w:r>
      <w:r>
        <w:rPr>
          <w:rFonts w:ascii="Times New Roman" w:hAnsi="Times New Roman" w:cs="Times New Roman" w:eastAsia="Times New Roman" w:hint="default"/>
          <w:spacing w:val="-6"/>
          <w:w w:val="101"/>
        </w:rPr>
        <w:t>16</w:t>
      </w:r>
      <w:r>
        <w:rPr>
          <w:spacing w:val="-6"/>
          <w:w w:val="101"/>
        </w:rPr>
        <w:t>号</w:t>
      </w:r>
      <w:r>
        <w:rPr>
          <w:rFonts w:ascii="Times New Roman" w:hAnsi="Times New Roman" w:cs="Times New Roman" w:eastAsia="Times New Roman" w:hint="default"/>
          <w:spacing w:val="-6"/>
          <w:w w:val="101"/>
        </w:rPr>
        <w:t>——</w:t>
      </w:r>
      <w:r>
        <w:rPr>
          <w:spacing w:val="-6"/>
          <w:w w:val="101"/>
        </w:rPr>
        <w:t>政府补助》（财会〔</w:t>
      </w:r>
      <w:r>
        <w:rPr>
          <w:rFonts w:ascii="Times New Roman" w:hAnsi="Times New Roman" w:cs="Times New Roman" w:eastAsia="Times New Roman" w:hint="default"/>
          <w:spacing w:val="-6"/>
          <w:w w:val="101"/>
        </w:rPr>
        <w:t>2017</w:t>
      </w:r>
      <w:r>
        <w:rPr>
          <w:spacing w:val="-6"/>
          <w:w w:val="101"/>
        </w:rPr>
        <w:t>〕</w:t>
      </w:r>
      <w:r>
        <w:rPr>
          <w:rFonts w:ascii="Times New Roman" w:hAnsi="Times New Roman" w:cs="Times New Roman" w:eastAsia="Times New Roman" w:hint="default"/>
          <w:spacing w:val="-6"/>
          <w:w w:val="101"/>
        </w:rPr>
        <w:t>15</w:t>
      </w:r>
      <w:r>
        <w:rPr>
          <w:spacing w:val="-6"/>
          <w:w w:val="101"/>
        </w:rPr>
        <w:t>号）相关</w:t>
      </w:r>
      <w:r>
        <w:rPr>
          <w:spacing w:val="-5"/>
          <w:w w:val="101"/>
        </w:rPr>
        <w:t> </w:t>
      </w:r>
      <w:r>
        <w:rPr>
          <w:spacing w:val="-3"/>
        </w:rPr>
        <w:t>规定，采用未来适用法处理。</w:t>
      </w:r>
      <w:r>
        <w:rPr/>
      </w:r>
    </w:p>
    <w:p>
      <w:pPr>
        <w:pStyle w:val="BodyText"/>
        <w:spacing w:line="240" w:lineRule="auto" w:before="154"/>
        <w:ind w:left="572" w:right="0"/>
        <w:jc w:val="left"/>
      </w:pPr>
      <w:r>
        <w:rPr>
          <w:w w:val="101"/>
        </w:rPr>
        <w:t>（</w:t>
      </w:r>
      <w:r>
        <w:rPr>
          <w:rFonts w:ascii="Times New Roman" w:hAnsi="Times New Roman" w:cs="Times New Roman" w:eastAsia="Times New Roman" w:hint="default"/>
          <w:w w:val="101"/>
        </w:rPr>
        <w:t>2</w:t>
      </w:r>
      <w:r>
        <w:rPr>
          <w:spacing w:val="-73"/>
          <w:w w:val="101"/>
        </w:rPr>
        <w:t>）</w:t>
      </w:r>
      <w:r>
        <w:rPr>
          <w:spacing w:val="-5"/>
          <w:w w:val="101"/>
        </w:rPr>
        <w:t>本</w:t>
      </w:r>
      <w:r>
        <w:rPr>
          <w:w w:val="101"/>
        </w:rPr>
        <w:t>公</w:t>
      </w:r>
      <w:r>
        <w:rPr>
          <w:spacing w:val="-5"/>
          <w:w w:val="101"/>
        </w:rPr>
        <w:t>司</w:t>
      </w:r>
      <w:r>
        <w:rPr>
          <w:w w:val="101"/>
        </w:rPr>
        <w:t>经</w:t>
      </w:r>
      <w:r>
        <w:rPr>
          <w:spacing w:val="-5"/>
          <w:w w:val="101"/>
        </w:rPr>
        <w:t>董</w:t>
      </w:r>
      <w:r>
        <w:rPr>
          <w:w w:val="101"/>
        </w:rPr>
        <w:t>事</w:t>
      </w:r>
      <w:r>
        <w:rPr>
          <w:spacing w:val="-5"/>
          <w:w w:val="101"/>
        </w:rPr>
        <w:t>会</w:t>
      </w:r>
      <w:r>
        <w:rPr>
          <w:w w:val="101"/>
        </w:rPr>
        <w:t>会</w:t>
      </w:r>
      <w:r>
        <w:rPr>
          <w:spacing w:val="-5"/>
          <w:w w:val="101"/>
        </w:rPr>
        <w:t>议</w:t>
      </w:r>
      <w:r>
        <w:rPr>
          <w:w w:val="101"/>
        </w:rPr>
        <w:t>批</w:t>
      </w:r>
      <w:r>
        <w:rPr>
          <w:spacing w:val="-5"/>
          <w:w w:val="101"/>
        </w:rPr>
        <w:t>准</w:t>
      </w:r>
      <w:r>
        <w:rPr>
          <w:spacing w:val="-73"/>
          <w:w w:val="101"/>
        </w:rPr>
        <w:t>，</w:t>
      </w:r>
      <w:r>
        <w:rPr>
          <w:spacing w:val="-1"/>
          <w:w w:val="101"/>
        </w:rPr>
        <w:t>自</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7</w:t>
      </w:r>
      <w:r>
        <w:rPr>
          <w:w w:val="101"/>
        </w:rPr>
        <w:t>年</w:t>
      </w:r>
      <w:r>
        <w:rPr>
          <w:rFonts w:ascii="Times New Roman" w:hAnsi="Times New Roman" w:cs="Times New Roman" w:eastAsia="Times New Roman" w:hint="default"/>
          <w:w w:val="101"/>
        </w:rPr>
        <w:t>1</w:t>
      </w:r>
      <w:r>
        <w:rPr>
          <w:spacing w:val="-5"/>
          <w:w w:val="101"/>
        </w:rPr>
        <w:t>月</w:t>
      </w:r>
      <w:r>
        <w:rPr>
          <w:rFonts w:ascii="Times New Roman" w:hAnsi="Times New Roman" w:cs="Times New Roman" w:eastAsia="Times New Roman" w:hint="default"/>
          <w:w w:val="101"/>
        </w:rPr>
        <w:t>1</w:t>
      </w:r>
      <w:r>
        <w:rPr>
          <w:spacing w:val="-5"/>
          <w:w w:val="101"/>
        </w:rPr>
        <w:t>日</w:t>
      </w:r>
      <w:r>
        <w:rPr>
          <w:w w:val="101"/>
        </w:rPr>
        <w:t>采</w:t>
      </w:r>
      <w:r>
        <w:rPr>
          <w:spacing w:val="-5"/>
          <w:w w:val="101"/>
        </w:rPr>
        <w:t>用</w:t>
      </w:r>
      <w:r>
        <w:rPr>
          <w:w w:val="101"/>
        </w:rPr>
        <w:t>财</w:t>
      </w:r>
      <w:r>
        <w:rPr>
          <w:spacing w:val="-5"/>
          <w:w w:val="101"/>
        </w:rPr>
        <w:t>政</w:t>
      </w:r>
      <w:r>
        <w:rPr>
          <w:spacing w:val="-73"/>
          <w:w w:val="101"/>
        </w:rPr>
        <w:t>部</w:t>
      </w:r>
      <w:r>
        <w:rPr>
          <w:spacing w:val="-5"/>
          <w:w w:val="101"/>
        </w:rPr>
        <w:t>《</w:t>
      </w:r>
      <w:r>
        <w:rPr>
          <w:w w:val="101"/>
        </w:rPr>
        <w:t>关</w:t>
      </w:r>
      <w:r>
        <w:rPr>
          <w:spacing w:val="-5"/>
          <w:w w:val="101"/>
        </w:rPr>
        <w:t>于</w:t>
      </w:r>
      <w:r>
        <w:rPr>
          <w:w w:val="101"/>
        </w:rPr>
        <w:t>修</w:t>
      </w:r>
      <w:r>
        <w:rPr>
          <w:spacing w:val="-5"/>
          <w:w w:val="101"/>
        </w:rPr>
        <w:t>订</w:t>
      </w:r>
      <w:r>
        <w:rPr>
          <w:w w:val="101"/>
        </w:rPr>
        <w:t>印</w:t>
      </w:r>
      <w:r>
        <w:rPr>
          <w:spacing w:val="-5"/>
          <w:w w:val="101"/>
        </w:rPr>
        <w:t>发</w:t>
      </w:r>
      <w:r>
        <w:rPr>
          <w:w w:val="101"/>
        </w:rPr>
        <w:t>一</w:t>
      </w:r>
      <w:r>
        <w:rPr>
          <w:spacing w:val="-5"/>
          <w:w w:val="101"/>
        </w:rPr>
        <w:t>般</w:t>
      </w:r>
      <w:r>
        <w:rPr>
          <w:w w:val="101"/>
        </w:rPr>
        <w:t>企</w:t>
      </w:r>
      <w:r>
        <w:rPr>
          <w:spacing w:val="-5"/>
          <w:w w:val="101"/>
        </w:rPr>
        <w:t>业</w:t>
      </w:r>
      <w:r>
        <w:rPr>
          <w:w w:val="101"/>
        </w:rPr>
        <w:t>财</w:t>
      </w:r>
      <w:r>
        <w:rPr>
          <w:spacing w:val="-5"/>
          <w:w w:val="101"/>
        </w:rPr>
        <w:t>务</w:t>
      </w:r>
      <w:r>
        <w:rPr>
          <w:w w:val="101"/>
        </w:rPr>
        <w:t>报</w:t>
      </w:r>
      <w:r>
        <w:rPr>
          <w:spacing w:val="-5"/>
          <w:w w:val="101"/>
        </w:rPr>
        <w:t>表</w:t>
      </w:r>
      <w:r>
        <w:rPr>
          <w:w w:val="101"/>
        </w:rPr>
        <w:t>格</w:t>
      </w:r>
      <w:r>
        <w:rPr>
          <w:spacing w:val="-5"/>
          <w:w w:val="101"/>
        </w:rPr>
        <w:t>式</w:t>
      </w:r>
      <w:r>
        <w:rPr>
          <w:w w:val="101"/>
        </w:rPr>
        <w:t>的</w:t>
      </w:r>
      <w:r>
        <w:rPr>
          <w:spacing w:val="-5"/>
          <w:w w:val="101"/>
        </w:rPr>
        <w:t>通</w:t>
      </w:r>
      <w:r>
        <w:rPr>
          <w:w w:val="101"/>
        </w:rPr>
        <w:t>知</w:t>
      </w:r>
      <w:r>
        <w:rPr>
          <w:spacing w:val="-164"/>
          <w:w w:val="101"/>
        </w:rPr>
        <w:t>》</w:t>
      </w:r>
      <w:r>
        <w:rPr>
          <w:spacing w:val="-5"/>
          <w:w w:val="101"/>
        </w:rPr>
        <w:t>（</w:t>
      </w:r>
      <w:r>
        <w:rPr>
          <w:w w:val="101"/>
        </w:rPr>
        <w:t>财</w:t>
      </w:r>
      <w:r>
        <w:rPr>
          <w:spacing w:val="-73"/>
          <w:w w:val="101"/>
        </w:rPr>
        <w:t>会</w:t>
      </w:r>
      <w:r>
        <w:rPr>
          <w:spacing w:val="-1"/>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017</w:t>
      </w:r>
      <w:r>
        <w:rPr>
          <w:w w:val="101"/>
        </w:rPr>
        <w:t>〕</w:t>
      </w:r>
      <w:r>
        <w:rPr/>
      </w:r>
    </w:p>
    <w:p>
      <w:pPr>
        <w:pStyle w:val="BodyText"/>
        <w:spacing w:line="424" w:lineRule="auto" w:before="72"/>
        <w:ind w:left="572" w:right="5247" w:hanging="361"/>
        <w:jc w:val="left"/>
        <w:rPr>
          <w:rFonts w:ascii="宋体" w:hAnsi="宋体" w:cs="宋体" w:eastAsia="宋体" w:hint="default"/>
        </w:rPr>
      </w:pPr>
      <w:r>
        <w:rPr>
          <w:rFonts w:ascii="Times New Roman" w:hAnsi="Times New Roman" w:cs="Times New Roman" w:eastAsia="Times New Roman" w:hint="default"/>
        </w:rPr>
        <w:t>30</w:t>
      </w:r>
      <w:r>
        <w:rPr/>
        <w:t>号）相关规定。</w:t>
      </w:r>
      <w:r>
        <w:rPr>
          <w:spacing w:val="-86"/>
        </w:rPr>
        <w:t> </w:t>
      </w:r>
      <w:r>
        <w:rPr>
          <w:spacing w:val="-86"/>
        </w:rPr>
      </w:r>
      <w:r>
        <w:rPr>
          <w:spacing w:val="-3"/>
        </w:rPr>
        <w:t>上述两项会计政策变更导致的影响如下：</w:t>
      </w:r>
      <w:r>
        <w:rPr>
          <w:rFonts w:ascii="宋体" w:hAnsi="宋体" w:cs="宋体" w:eastAsia="宋体" w:hint="default"/>
        </w:rPr>
        <w:t> </w:t>
      </w:r>
    </w:p>
    <w:p>
      <w:pPr>
        <w:spacing w:line="240" w:lineRule="auto" w:before="12"/>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3432"/>
        <w:gridCol w:w="6111"/>
      </w:tblGrid>
      <w:tr>
        <w:trPr>
          <w:trHeight w:val="272" w:hRule="exact"/>
        </w:trPr>
        <w:tc>
          <w:tcPr>
            <w:tcW w:w="3432" w:type="dxa"/>
            <w:tcBorders>
              <w:top w:val="nil" w:sz="6" w:space="0" w:color="auto"/>
              <w:left w:val="nil" w:sz="6" w:space="0" w:color="auto"/>
              <w:bottom w:val="single" w:sz="4" w:space="0" w:color="000000"/>
              <w:right w:val="nil" w:sz="6" w:space="0" w:color="auto"/>
            </w:tcBorders>
          </w:tcPr>
          <w:p>
            <w:pPr>
              <w:pStyle w:val="TableParagraph"/>
              <w:spacing w:line="182" w:lineRule="exact"/>
              <w:ind w:left="628"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6111" w:type="dxa"/>
            <w:tcBorders>
              <w:top w:val="nil" w:sz="6" w:space="0" w:color="auto"/>
              <w:left w:val="nil" w:sz="6" w:space="0" w:color="auto"/>
              <w:bottom w:val="single" w:sz="4" w:space="0" w:color="000000"/>
              <w:right w:val="nil" w:sz="6" w:space="0" w:color="auto"/>
            </w:tcBorders>
          </w:tcPr>
          <w:p>
            <w:pPr>
              <w:pStyle w:val="TableParagraph"/>
              <w:spacing w:line="182" w:lineRule="exact"/>
              <w:ind w:left="1881"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895" w:hRule="exact"/>
        </w:trPr>
        <w:tc>
          <w:tcPr>
            <w:tcW w:w="3432" w:type="dxa"/>
            <w:tcBorders>
              <w:top w:val="single" w:sz="4" w:space="0" w:color="000000"/>
              <w:left w:val="nil" w:sz="6" w:space="0" w:color="auto"/>
              <w:bottom w:val="nil" w:sz="6" w:space="0" w:color="auto"/>
              <w:right w:val="nil" w:sz="6" w:space="0" w:color="auto"/>
            </w:tcBorders>
          </w:tcPr>
          <w:p>
            <w:pPr>
              <w:pStyle w:val="TableParagraph"/>
              <w:spacing w:line="367" w:lineRule="auto" w:before="140"/>
              <w:ind w:left="110" w:right="103"/>
              <w:jc w:val="left"/>
              <w:rPr>
                <w:rFonts w:ascii="宋体" w:hAnsi="宋体" w:cs="宋体" w:eastAsia="宋体" w:hint="default"/>
                <w:sz w:val="18"/>
                <w:szCs w:val="18"/>
              </w:rPr>
            </w:pPr>
            <w:r>
              <w:rPr>
                <w:rFonts w:ascii="宋体" w:hAnsi="宋体" w:cs="宋体" w:eastAsia="宋体" w:hint="default"/>
                <w:spacing w:val="-4"/>
                <w:sz w:val="18"/>
                <w:szCs w:val="18"/>
              </w:rPr>
              <w:t>合并利润表及利润表新增</w:t>
            </w:r>
            <w:r>
              <w:rPr>
                <w:rFonts w:ascii="宋体" w:hAnsi="宋体" w:cs="宋体" w:eastAsia="宋体" w:hint="default"/>
                <w:spacing w:val="-4"/>
                <w:sz w:val="18"/>
                <w:szCs w:val="18"/>
              </w:rPr>
              <w:t>“</w:t>
            </w:r>
            <w:r>
              <w:rPr>
                <w:rFonts w:ascii="宋体" w:hAnsi="宋体" w:cs="宋体" w:eastAsia="宋体" w:hint="default"/>
                <w:spacing w:val="-4"/>
                <w:sz w:val="18"/>
                <w:szCs w:val="18"/>
              </w:rPr>
              <w:t>其他收益</w:t>
            </w:r>
            <w:r>
              <w:rPr>
                <w:rFonts w:ascii="宋体" w:hAnsi="宋体" w:cs="宋体" w:eastAsia="宋体" w:hint="default"/>
                <w:spacing w:val="-4"/>
                <w:sz w:val="18"/>
                <w:szCs w:val="18"/>
              </w:rPr>
              <w:t>”</w:t>
            </w:r>
            <w:r>
              <w:rPr>
                <w:rFonts w:ascii="宋体" w:hAnsi="宋体" w:cs="宋体" w:eastAsia="宋体" w:hint="default"/>
                <w:spacing w:val="-4"/>
                <w:sz w:val="18"/>
                <w:szCs w:val="18"/>
              </w:rPr>
              <w:t>行</w:t>
            </w:r>
            <w:r>
              <w:rPr>
                <w:rFonts w:ascii="宋体" w:hAnsi="宋体" w:cs="宋体" w:eastAsia="宋体" w:hint="default"/>
                <w:spacing w:val="-45"/>
                <w:sz w:val="18"/>
                <w:szCs w:val="18"/>
              </w:rPr>
              <w:t> </w:t>
            </w:r>
            <w:r>
              <w:rPr>
                <w:rFonts w:ascii="宋体" w:hAnsi="宋体" w:cs="宋体" w:eastAsia="宋体" w:hint="default"/>
                <w:spacing w:val="-3"/>
                <w:sz w:val="18"/>
                <w:szCs w:val="18"/>
              </w:rPr>
              <w:t>项目，采用未来适用法处理</w:t>
            </w:r>
          </w:p>
        </w:tc>
        <w:tc>
          <w:tcPr>
            <w:tcW w:w="611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05" w:right="0"/>
              <w:jc w:val="left"/>
              <w:rPr>
                <w:rFonts w:ascii="宋体" w:hAnsi="宋体" w:cs="宋体" w:eastAsia="宋体" w:hint="default"/>
                <w:sz w:val="18"/>
                <w:szCs w:val="18"/>
              </w:rPr>
            </w:pPr>
            <w:r>
              <w:rPr>
                <w:rFonts w:ascii="宋体" w:hAnsi="宋体" w:cs="宋体" w:eastAsia="宋体" w:hint="default"/>
                <w:spacing w:val="-3"/>
                <w:sz w:val="18"/>
                <w:szCs w:val="18"/>
              </w:rPr>
              <w:t>合并利润表：本期增加其他收益 </w:t>
            </w:r>
            <w:r>
              <w:rPr>
                <w:rFonts w:ascii="Times New Roman" w:hAnsi="Times New Roman" w:cs="Times New Roman" w:eastAsia="Times New Roman" w:hint="default"/>
                <w:sz w:val="18"/>
                <w:szCs w:val="18"/>
              </w:rPr>
              <w:t>9,720,938.46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pacing w:val="-3"/>
                <w:sz w:val="18"/>
                <w:szCs w:val="18"/>
              </w:rPr>
              <w:t>利润表：本期增加其他收益 </w:t>
            </w:r>
            <w:r>
              <w:rPr>
                <w:rFonts w:ascii="Times New Roman" w:hAnsi="Times New Roman" w:cs="Times New Roman" w:eastAsia="Times New Roman" w:hint="default"/>
                <w:sz w:val="18"/>
                <w:szCs w:val="18"/>
              </w:rPr>
              <w:t>9,675,185.63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696"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pacing w:val="-3"/>
                <w:sz w:val="18"/>
                <w:szCs w:val="18"/>
              </w:rPr>
              <w:t>合并利润表及利润表新增</w:t>
            </w:r>
            <w:r>
              <w:rPr>
                <w:rFonts w:ascii="宋体" w:hAnsi="宋体" w:cs="宋体" w:eastAsia="宋体" w:hint="default"/>
                <w:spacing w:val="-3"/>
                <w:sz w:val="18"/>
                <w:szCs w:val="18"/>
              </w:rPr>
              <w:t>“</w:t>
            </w:r>
            <w:r>
              <w:rPr>
                <w:rFonts w:ascii="宋体" w:hAnsi="宋体" w:cs="宋体" w:eastAsia="宋体" w:hint="default"/>
                <w:spacing w:val="-3"/>
                <w:sz w:val="18"/>
                <w:szCs w:val="18"/>
              </w:rPr>
              <w:t>资产处置收</w:t>
            </w:r>
            <w:r>
              <w:rPr>
                <w:rFonts w:ascii="宋体" w:hAnsi="宋体" w:cs="宋体" w:eastAsia="宋体" w:hint="default"/>
                <w:sz w:val="18"/>
                <w:szCs w:val="18"/>
              </w:rPr>
            </w:r>
          </w:p>
          <w:p>
            <w:pPr>
              <w:pStyle w:val="TableParagraph"/>
              <w:spacing w:line="240" w:lineRule="auto" w:before="124"/>
              <w:ind w:left="110" w:right="0"/>
              <w:jc w:val="left"/>
              <w:rPr>
                <w:rFonts w:ascii="宋体" w:hAnsi="宋体" w:cs="宋体" w:eastAsia="宋体" w:hint="default"/>
                <w:sz w:val="18"/>
                <w:szCs w:val="18"/>
              </w:rPr>
            </w:pP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3"/>
                <w:sz w:val="18"/>
                <w:szCs w:val="18"/>
              </w:rPr>
              <w:t>行项目，并追溯调整</w:t>
            </w:r>
            <w:r>
              <w:rPr>
                <w:rFonts w:ascii="宋体" w:hAnsi="宋体" w:cs="宋体" w:eastAsia="宋体" w:hint="default"/>
                <w:sz w:val="18"/>
                <w:szCs w:val="18"/>
              </w:rPr>
            </w:r>
          </w:p>
        </w:tc>
        <w:tc>
          <w:tcPr>
            <w:tcW w:w="6111" w:type="dxa"/>
            <w:tcBorders>
              <w:top w:val="nil" w:sz="6" w:space="0" w:color="auto"/>
              <w:left w:val="nil" w:sz="6" w:space="0" w:color="auto"/>
              <w:bottom w:val="nil" w:sz="6" w:space="0" w:color="auto"/>
              <w:right w:val="nil" w:sz="6" w:space="0" w:color="auto"/>
            </w:tcBorders>
          </w:tcPr>
          <w:p>
            <w:pPr>
              <w:pStyle w:val="TableParagraph"/>
              <w:spacing w:line="360" w:lineRule="exact" w:before="12"/>
              <w:ind w:left="106" w:right="122" w:hanging="1"/>
              <w:jc w:val="left"/>
              <w:rPr>
                <w:rFonts w:ascii="宋体" w:hAnsi="宋体" w:cs="宋体" w:eastAsia="宋体" w:hint="default"/>
                <w:sz w:val="18"/>
                <w:szCs w:val="18"/>
              </w:rPr>
            </w:pPr>
            <w:r>
              <w:rPr>
                <w:rFonts w:ascii="宋体" w:hAnsi="宋体" w:cs="宋体" w:eastAsia="宋体" w:hint="default"/>
                <w:spacing w:val="-3"/>
                <w:sz w:val="18"/>
                <w:szCs w:val="18"/>
              </w:rPr>
              <w:t>合并利润表：本期增加资产处置收益</w:t>
            </w:r>
            <w:r>
              <w:rPr>
                <w:rFonts w:ascii="Times New Roman" w:hAnsi="Times New Roman" w:cs="Times New Roman" w:eastAsia="Times New Roman" w:hint="default"/>
                <w:spacing w:val="-3"/>
                <w:sz w:val="18"/>
                <w:szCs w:val="18"/>
              </w:rPr>
              <w:t>-7,460.00 </w:t>
            </w:r>
            <w:r>
              <w:rPr>
                <w:rFonts w:ascii="宋体" w:hAnsi="宋体" w:cs="宋体" w:eastAsia="宋体" w:hint="default"/>
                <w:spacing w:val="-5"/>
                <w:sz w:val="18"/>
                <w:szCs w:val="18"/>
              </w:rPr>
              <w:t>元，减少营业外收入 </w:t>
            </w:r>
            <w:r>
              <w:rPr>
                <w:rFonts w:ascii="Times New Roman" w:hAnsi="Times New Roman" w:cs="Times New Roman" w:eastAsia="Times New Roman" w:hint="default"/>
                <w:sz w:val="18"/>
                <w:szCs w:val="18"/>
              </w:rPr>
              <w:t>0 </w:t>
            </w:r>
            <w:r>
              <w:rPr>
                <w:rFonts w:ascii="宋体" w:hAnsi="宋体" w:cs="宋体" w:eastAsia="宋体" w:hint="default"/>
                <w:spacing w:val="-17"/>
                <w:sz w:val="18"/>
                <w:szCs w:val="18"/>
              </w:rPr>
              <w:t>元、减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少营业外支出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7,460.00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元，上期增加资产处置收益</w:t>
            </w:r>
            <w:r>
              <w:rPr>
                <w:rFonts w:ascii="Times New Roman" w:hAnsi="Times New Roman" w:cs="Times New Roman" w:eastAsia="Times New Roman" w:hint="default"/>
                <w:sz w:val="18"/>
                <w:szCs w:val="18"/>
              </w:rPr>
              <w:t>-27,750.50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元，减少营业</w:t>
            </w:r>
          </w:p>
        </w:tc>
      </w:tr>
    </w:tbl>
    <w:p>
      <w:pPr>
        <w:spacing w:after="0" w:line="360" w:lineRule="exact"/>
        <w:jc w:val="left"/>
        <w:rPr>
          <w:rFonts w:ascii="宋体" w:hAnsi="宋体" w:cs="宋体" w:eastAsia="宋体" w:hint="default"/>
          <w:sz w:val="18"/>
          <w:szCs w:val="18"/>
        </w:rPr>
        <w:sectPr>
          <w:pgSz w:w="11910" w:h="16840"/>
          <w:pgMar w:header="914" w:footer="1027" w:top="1100" w:bottom="1220" w:left="920" w:right="920"/>
        </w:sectPr>
      </w:pPr>
    </w:p>
    <w:p>
      <w:pPr>
        <w:spacing w:line="240" w:lineRule="auto" w:before="12"/>
        <w:rPr>
          <w:rFonts w:ascii="宋体" w:hAnsi="宋体" w:cs="宋体" w:eastAsia="宋体" w:hint="default"/>
          <w:sz w:val="27"/>
          <w:szCs w:val="27"/>
        </w:rPr>
      </w:pPr>
    </w:p>
    <w:p>
      <w:pPr>
        <w:pStyle w:val="BodyText"/>
        <w:spacing w:line="384" w:lineRule="auto" w:before="46"/>
        <w:ind w:left="3580" w:right="457"/>
        <w:jc w:val="left"/>
      </w:pPr>
      <w:r>
        <w:rPr/>
        <w:t>外收入</w:t>
      </w:r>
      <w:r>
        <w:rPr>
          <w:spacing w:val="-47"/>
        </w:rPr>
        <w:t> </w:t>
      </w:r>
      <w:r>
        <w:rPr>
          <w:rFonts w:ascii="Times New Roman" w:hAnsi="Times New Roman" w:cs="Times New Roman" w:eastAsia="Times New Roman" w:hint="default"/>
        </w:rPr>
        <w:t>1,988.44</w:t>
      </w:r>
      <w:r>
        <w:rPr>
          <w:rFonts w:ascii="Times New Roman" w:hAnsi="Times New Roman" w:cs="Times New Roman" w:eastAsia="Times New Roman" w:hint="default"/>
          <w:spacing w:val="-2"/>
        </w:rPr>
        <w:t> </w:t>
      </w:r>
      <w:r>
        <w:rPr>
          <w:spacing w:val="-3"/>
        </w:rPr>
        <w:t>元、减少营业外支出</w:t>
      </w:r>
      <w:r>
        <w:rPr>
          <w:spacing w:val="-47"/>
        </w:rPr>
        <w:t> </w:t>
      </w:r>
      <w:r>
        <w:rPr>
          <w:rFonts w:ascii="Times New Roman" w:hAnsi="Times New Roman" w:cs="Times New Roman" w:eastAsia="Times New Roman" w:hint="default"/>
        </w:rPr>
        <w:t>29,738.94</w:t>
      </w:r>
      <w:r>
        <w:rPr>
          <w:rFonts w:ascii="Times New Roman" w:hAnsi="Times New Roman" w:cs="Times New Roman" w:eastAsia="Times New Roman" w:hint="default"/>
          <w:spacing w:val="-7"/>
        </w:rPr>
        <w:t> </w:t>
      </w:r>
      <w:r>
        <w:rPr/>
        <w:t>元；</w:t>
      </w:r>
      <w:r>
        <w:rPr>
          <w:spacing w:val="-52"/>
        </w:rPr>
        <w:t> </w:t>
      </w:r>
      <w:r>
        <w:rPr>
          <w:spacing w:val="-3"/>
        </w:rPr>
        <w:t>利润表：本期增加资产处置收益</w:t>
      </w:r>
      <w:r>
        <w:rPr>
          <w:rFonts w:ascii="Times New Roman" w:hAnsi="Times New Roman" w:cs="Times New Roman" w:eastAsia="Times New Roman" w:hint="default"/>
          <w:spacing w:val="-3"/>
        </w:rPr>
        <w:t>-7,460.00  </w:t>
      </w:r>
      <w:r>
        <w:rPr>
          <w:spacing w:val="-5"/>
        </w:rPr>
        <w:t>元，减少营业外收入 </w:t>
      </w:r>
      <w:r>
        <w:rPr>
          <w:rFonts w:ascii="Times New Roman" w:hAnsi="Times New Roman" w:cs="Times New Roman" w:eastAsia="Times New Roman" w:hint="default"/>
        </w:rPr>
        <w:t>0 </w:t>
      </w:r>
      <w:r>
        <w:rPr>
          <w:spacing w:val="-5"/>
        </w:rPr>
        <w:t>元、减少营</w:t>
      </w:r>
    </w:p>
    <w:p>
      <w:pPr>
        <w:pStyle w:val="BodyText"/>
        <w:spacing w:line="348" w:lineRule="auto"/>
        <w:ind w:left="3580" w:right="485"/>
        <w:jc w:val="left"/>
      </w:pPr>
      <w:r>
        <w:rPr/>
        <w:t>业外支出</w:t>
      </w:r>
      <w:r>
        <w:rPr>
          <w:spacing w:val="-43"/>
        </w:rPr>
        <w:t> </w:t>
      </w:r>
      <w:r>
        <w:rPr>
          <w:rFonts w:ascii="Times New Roman" w:hAnsi="Times New Roman" w:cs="Times New Roman" w:eastAsia="Times New Roman" w:hint="default"/>
        </w:rPr>
        <w:t>7,460.00</w:t>
      </w:r>
      <w:r>
        <w:rPr>
          <w:rFonts w:ascii="Times New Roman" w:hAnsi="Times New Roman" w:cs="Times New Roman" w:eastAsia="Times New Roman" w:hint="default"/>
          <w:spacing w:val="-4"/>
        </w:rPr>
        <w:t> </w:t>
      </w:r>
      <w:r>
        <w:rPr/>
        <w:t>元，上期增加资产处置收益</w:t>
      </w:r>
      <w:r>
        <w:rPr>
          <w:rFonts w:ascii="Times New Roman" w:hAnsi="Times New Roman" w:cs="Times New Roman" w:eastAsia="Times New Roman" w:hint="default"/>
        </w:rPr>
        <w:t>-27,750.50</w:t>
      </w:r>
      <w:r>
        <w:rPr>
          <w:rFonts w:ascii="Times New Roman" w:hAnsi="Times New Roman" w:cs="Times New Roman" w:eastAsia="Times New Roman" w:hint="default"/>
          <w:spacing w:val="-4"/>
        </w:rPr>
        <w:t> </w:t>
      </w:r>
      <w:r>
        <w:rPr/>
        <w:t>元，减少营业外收</w:t>
      </w:r>
      <w:r>
        <w:rPr>
          <w:w w:val="101"/>
        </w:rPr>
        <w:t> </w:t>
      </w:r>
      <w:r>
        <w:rPr/>
        <w:t>入</w:t>
      </w:r>
      <w:r>
        <w:rPr>
          <w:spacing w:val="-37"/>
        </w:rPr>
        <w:t> </w:t>
      </w:r>
      <w:r>
        <w:rPr>
          <w:rFonts w:ascii="Times New Roman" w:hAnsi="Times New Roman" w:cs="Times New Roman" w:eastAsia="Times New Roman" w:hint="default"/>
        </w:rPr>
        <w:t>1,988.44</w:t>
      </w:r>
      <w:r>
        <w:rPr>
          <w:rFonts w:ascii="Times New Roman" w:hAnsi="Times New Roman" w:cs="Times New Roman" w:eastAsia="Times New Roman" w:hint="default"/>
          <w:spacing w:val="8"/>
        </w:rPr>
        <w:t> </w:t>
      </w:r>
      <w:r>
        <w:rPr>
          <w:spacing w:val="-3"/>
        </w:rPr>
        <w:t>元、减少营业外支出</w:t>
      </w:r>
      <w:r>
        <w:rPr>
          <w:spacing w:val="-37"/>
        </w:rPr>
        <w:t> </w:t>
      </w:r>
      <w:r>
        <w:rPr>
          <w:rFonts w:ascii="Times New Roman" w:hAnsi="Times New Roman" w:cs="Times New Roman" w:eastAsia="Times New Roman" w:hint="default"/>
        </w:rPr>
        <w:t>29,738.94</w:t>
      </w:r>
      <w:r>
        <w:rPr>
          <w:rFonts w:ascii="Times New Roman" w:hAnsi="Times New Roman" w:cs="Times New Roman" w:eastAsia="Times New Roman" w:hint="default"/>
          <w:spacing w:val="2"/>
        </w:rPr>
        <w:t> </w:t>
      </w:r>
      <w:r>
        <w:rPr/>
        <w:t>元。</w:t>
      </w:r>
    </w:p>
    <w:p>
      <w:pPr>
        <w:pStyle w:val="BodyText"/>
        <w:spacing w:line="324" w:lineRule="auto" w:before="102"/>
        <w:ind w:left="153" w:right="0" w:firstLine="359"/>
        <w:jc w:val="left"/>
        <w:rPr>
          <w:rFonts w:ascii="宋体" w:hAnsi="宋体" w:cs="宋体" w:eastAsia="宋体" w:hint="default"/>
        </w:rPr>
      </w:pPr>
      <w:r>
        <w:rPr>
          <w:spacing w:val="-4"/>
        </w:rPr>
        <w:t>（</w:t>
      </w:r>
      <w:r>
        <w:rPr>
          <w:rFonts w:ascii="宋体" w:hAnsi="宋体" w:cs="宋体" w:eastAsia="宋体" w:hint="default"/>
          <w:spacing w:val="-4"/>
        </w:rPr>
        <w:t>3</w:t>
      </w:r>
      <w:r>
        <w:rPr>
          <w:spacing w:val="-4"/>
        </w:rPr>
        <w:t>）本公司经董事会会议批准，自</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28</w:t>
      </w:r>
      <w:r>
        <w:rPr>
          <w:spacing w:val="-4"/>
        </w:rPr>
        <w:t>日采用《企业会计准则第</w:t>
      </w:r>
      <w:r>
        <w:rPr>
          <w:rFonts w:ascii="宋体" w:hAnsi="宋体" w:cs="宋体" w:eastAsia="宋体" w:hint="default"/>
          <w:spacing w:val="-4"/>
        </w:rPr>
        <w:t>42</w:t>
      </w:r>
      <w:r>
        <w:rPr>
          <w:spacing w:val="-4"/>
        </w:rPr>
        <w:t>号</w:t>
      </w:r>
      <w:r>
        <w:rPr>
          <w:rFonts w:ascii="宋体" w:hAnsi="宋体" w:cs="宋体" w:eastAsia="宋体" w:hint="default"/>
          <w:spacing w:val="-4"/>
        </w:rPr>
        <w:t>——</w:t>
      </w:r>
      <w:r>
        <w:rPr>
          <w:spacing w:val="-4"/>
        </w:rPr>
        <w:t>持有待售的非流动资产、处置组及终</w:t>
      </w:r>
      <w:r>
        <w:rPr>
          <w:spacing w:val="-5"/>
          <w:w w:val="101"/>
        </w:rPr>
        <w:t> 止经营》（财会〔</w:t>
      </w:r>
      <w:r>
        <w:rPr>
          <w:rFonts w:ascii="宋体" w:hAnsi="宋体" w:cs="宋体" w:eastAsia="宋体" w:hint="default"/>
          <w:spacing w:val="-5"/>
          <w:w w:val="101"/>
        </w:rPr>
        <w:t>2017</w:t>
      </w:r>
      <w:r>
        <w:rPr>
          <w:spacing w:val="-5"/>
          <w:w w:val="101"/>
        </w:rPr>
        <w:t>〕</w:t>
      </w:r>
      <w:r>
        <w:rPr>
          <w:rFonts w:ascii="宋体" w:hAnsi="宋体" w:cs="宋体" w:eastAsia="宋体" w:hint="default"/>
          <w:spacing w:val="-5"/>
          <w:w w:val="101"/>
        </w:rPr>
        <w:t>13</w:t>
      </w:r>
      <w:r>
        <w:rPr>
          <w:spacing w:val="-5"/>
          <w:w w:val="101"/>
        </w:rPr>
        <w:t>号）相关规定，采用未来适用法处理。该会计政策变更对本公司财务报表数据无影响。</w:t>
      </w:r>
      <w:r>
        <w:rPr>
          <w:rFonts w:ascii="宋体" w:hAnsi="宋体" w:cs="宋体" w:eastAsia="宋体" w:hint="default"/>
          <w:w w:val="101"/>
        </w:rPr>
        <w:t> </w:t>
      </w:r>
      <w:r>
        <w:rPr>
          <w:rFonts w:ascii="宋体" w:hAnsi="宋体" w:cs="宋体" w:eastAsia="宋体" w:hint="default"/>
        </w:rPr>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2）重要会计估计变更" w:id="209"/>
      <w:bookmarkEnd w:id="20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6"/>
        <w:rPr>
          <w:rFonts w:ascii="宋体" w:hAnsi="宋体" w:cs="宋体" w:eastAsia="宋体" w:hint="default"/>
          <w:sz w:val="25"/>
          <w:szCs w:val="25"/>
        </w:rPr>
      </w:pPr>
    </w:p>
    <w:p>
      <w:pPr>
        <w:pStyle w:val="Heading2"/>
        <w:spacing w:line="240" w:lineRule="auto"/>
        <w:ind w:right="0"/>
        <w:jc w:val="left"/>
        <w:rPr>
          <w:b w:val="0"/>
          <w:bCs w:val="0"/>
        </w:rPr>
      </w:pPr>
      <w:bookmarkStart w:name="六、税项" w:id="210"/>
      <w:bookmarkEnd w:id="210"/>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2"/>
      </w:tblGrid>
      <w:tr>
        <w:trPr>
          <w:trHeight w:val="4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增值税</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pacing w:val="-3"/>
                <w:sz w:val="18"/>
                <w:szCs w:val="18"/>
              </w:rPr>
              <w:t>销售商品或提供劳务的增值额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p>
        </w:tc>
      </w:tr>
      <w:tr>
        <w:trPr>
          <w:trHeight w:val="4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企业所得税</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BodyText"/>
        <w:spacing w:line="240" w:lineRule="auto" w:before="46"/>
        <w:ind w:right="0"/>
        <w:jc w:val="left"/>
      </w:pPr>
      <w:r>
        <w:rPr>
          <w:spacing w:val="-3"/>
        </w:rPr>
        <w:t>存在不同企业所得税税率纳税主体的，披露情况说明</w:t>
      </w:r>
      <w:r>
        <w:rPr/>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所得税税率</w:t>
            </w:r>
            <w:r>
              <w:rPr>
                <w:rFonts w:ascii="宋体" w:hAnsi="宋体" w:cs="宋体" w:eastAsia="宋体" w:hint="default"/>
                <w:sz w:val="18"/>
                <w:szCs w:val="18"/>
              </w:rPr>
            </w:r>
          </w:p>
        </w:tc>
      </w:tr>
      <w:tr>
        <w:trPr>
          <w:trHeight w:val="413" w:hRule="exact"/>
        </w:trPr>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湖南科创信息技术股份有限公司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13" w:hRule="exact"/>
        </w:trPr>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北京科创鑫源信息技术有限公司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永兴科创南方技术服务有限公司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13" w:hRule="exact"/>
        </w:trPr>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湖南科创信息系统集成有限公司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27"/>
          <w:szCs w:val="27"/>
        </w:rPr>
      </w:pPr>
    </w:p>
    <w:p>
      <w:pPr>
        <w:pStyle w:val="BodyText"/>
        <w:spacing w:line="309" w:lineRule="auto"/>
        <w:ind w:right="145" w:firstLine="360"/>
        <w:jc w:val="both"/>
      </w:pPr>
      <w:r>
        <w:rPr>
          <w:spacing w:val="-6"/>
          <w:w w:val="101"/>
        </w:rPr>
        <w:t>（</w:t>
      </w:r>
      <w:r>
        <w:rPr>
          <w:rFonts w:ascii="Times New Roman" w:hAnsi="Times New Roman" w:cs="Times New Roman" w:eastAsia="Times New Roman" w:hint="default"/>
          <w:spacing w:val="-6"/>
          <w:w w:val="101"/>
        </w:rPr>
        <w:t>1</w:t>
      </w:r>
      <w:r>
        <w:rPr>
          <w:spacing w:val="-6"/>
          <w:w w:val="101"/>
        </w:rPr>
        <w:t>）依据国发【</w:t>
      </w:r>
      <w:r>
        <w:rPr>
          <w:rFonts w:ascii="Times New Roman" w:hAnsi="Times New Roman" w:cs="Times New Roman" w:eastAsia="Times New Roman" w:hint="default"/>
          <w:spacing w:val="-6"/>
          <w:w w:val="101"/>
        </w:rPr>
        <w:t>2000</w:t>
      </w:r>
      <w:r>
        <w:rPr>
          <w:spacing w:val="-6"/>
          <w:w w:val="101"/>
        </w:rPr>
        <w:t>】</w:t>
      </w:r>
      <w:r>
        <w:rPr>
          <w:rFonts w:ascii="Times New Roman" w:hAnsi="Times New Roman" w:cs="Times New Roman" w:eastAsia="Times New Roman" w:hint="default"/>
          <w:spacing w:val="-6"/>
          <w:w w:val="101"/>
        </w:rPr>
        <w:t>18</w:t>
      </w:r>
      <w:r>
        <w:rPr>
          <w:spacing w:val="-6"/>
          <w:w w:val="101"/>
        </w:rPr>
        <w:t>号《鼓励软件产业和集成电路产业发展的若干政策》、财税【</w:t>
      </w:r>
      <w:r>
        <w:rPr>
          <w:rFonts w:ascii="Times New Roman" w:hAnsi="Times New Roman" w:cs="Times New Roman" w:eastAsia="Times New Roman" w:hint="default"/>
          <w:spacing w:val="-6"/>
          <w:w w:val="101"/>
        </w:rPr>
        <w:t>2000</w:t>
      </w:r>
      <w:r>
        <w:rPr>
          <w:spacing w:val="-6"/>
          <w:w w:val="101"/>
        </w:rPr>
        <w:t>】</w:t>
      </w:r>
      <w:r>
        <w:rPr>
          <w:rFonts w:ascii="Times New Roman" w:hAnsi="Times New Roman" w:cs="Times New Roman" w:eastAsia="Times New Roman" w:hint="default"/>
          <w:spacing w:val="-6"/>
          <w:w w:val="101"/>
        </w:rPr>
        <w:t>25</w:t>
      </w:r>
      <w:r>
        <w:rPr>
          <w:spacing w:val="-6"/>
          <w:w w:val="101"/>
        </w:rPr>
        <w:t>号《关于鼓励软件产业</w:t>
      </w:r>
      <w:r>
        <w:rPr>
          <w:spacing w:val="-5"/>
          <w:w w:val="101"/>
        </w:rPr>
        <w:t> </w:t>
      </w:r>
      <w:r>
        <w:rPr>
          <w:spacing w:val="-6"/>
          <w:w w:val="101"/>
        </w:rPr>
        <w:t>和集成电路产业发展有关税收政策问题的通知》、国发【</w:t>
      </w:r>
      <w:r>
        <w:rPr>
          <w:rFonts w:ascii="Times New Roman" w:hAnsi="Times New Roman" w:cs="Times New Roman" w:eastAsia="Times New Roman" w:hint="default"/>
          <w:spacing w:val="-6"/>
          <w:w w:val="101"/>
        </w:rPr>
        <w:t>2011</w:t>
      </w:r>
      <w:r>
        <w:rPr>
          <w:spacing w:val="-6"/>
          <w:w w:val="101"/>
        </w:rPr>
        <w:t>】</w:t>
      </w:r>
      <w:r>
        <w:rPr>
          <w:rFonts w:ascii="Times New Roman" w:hAnsi="Times New Roman" w:cs="Times New Roman" w:eastAsia="Times New Roman" w:hint="default"/>
          <w:spacing w:val="-6"/>
          <w:w w:val="101"/>
        </w:rPr>
        <w:t>4</w:t>
      </w:r>
      <w:r>
        <w:rPr>
          <w:spacing w:val="-6"/>
          <w:w w:val="101"/>
        </w:rPr>
        <w:t>号《国务院关于印发进一步鼓励软件产业和集成电路产业发</w:t>
      </w:r>
      <w:r>
        <w:rPr>
          <w:spacing w:val="-57"/>
          <w:w w:val="101"/>
        </w:rPr>
        <w:t> </w:t>
      </w:r>
      <w:r>
        <w:rPr>
          <w:spacing w:val="-57"/>
          <w:w w:val="101"/>
        </w:rPr>
      </w:r>
      <w:r>
        <w:rPr>
          <w:spacing w:val="-3"/>
        </w:rPr>
        <w:t>展若干政策的通知》和财税【</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100</w:t>
      </w:r>
      <w:r>
        <w:rPr>
          <w:spacing w:val="-3"/>
        </w:rPr>
        <w:t>号《关于软件产品增值税政策的通知》的规定，在我国境内开发生产软件产品，对</w:t>
      </w:r>
      <w:r>
        <w:rPr>
          <w:spacing w:val="1"/>
        </w:rPr>
        <w:t> </w:t>
      </w:r>
      <w:r>
        <w:rPr>
          <w:spacing w:val="1"/>
        </w:rPr>
      </w:r>
      <w:r>
        <w:rPr>
          <w:spacing w:val="-3"/>
        </w:rPr>
        <w:t>增值税一般纳税人销售其自行开发生产的软件产品，按</w:t>
      </w:r>
      <w:r>
        <w:rPr>
          <w:rFonts w:ascii="Times New Roman" w:hAnsi="Times New Roman" w:cs="Times New Roman" w:eastAsia="Times New Roman" w:hint="default"/>
          <w:spacing w:val="-3"/>
        </w:rPr>
        <w:t>17%</w:t>
      </w:r>
      <w:r>
        <w:rPr>
          <w:spacing w:val="-3"/>
        </w:rPr>
        <w:t>的法定税率征收增值税，对实际税负超过</w:t>
      </w:r>
      <w:r>
        <w:rPr>
          <w:rFonts w:ascii="Times New Roman" w:hAnsi="Times New Roman" w:cs="Times New Roman" w:eastAsia="Times New Roman" w:hint="default"/>
          <w:spacing w:val="-3"/>
        </w:rPr>
        <w:t>3%</w:t>
      </w:r>
      <w:r>
        <w:rPr>
          <w:spacing w:val="-3"/>
        </w:rPr>
        <w:t>的部分即征即退。</w:t>
      </w:r>
      <w:r>
        <w:rPr/>
      </w:r>
    </w:p>
    <w:p>
      <w:pPr>
        <w:pStyle w:val="BodyText"/>
        <w:spacing w:line="240" w:lineRule="auto" w:before="134"/>
        <w:ind w:left="512" w:right="0"/>
        <w:jc w:val="left"/>
      </w:pPr>
      <w:r>
        <w:rPr>
          <w:spacing w:val="-3"/>
        </w:rPr>
        <w:t>（</w:t>
      </w:r>
      <w:r>
        <w:rPr>
          <w:rFonts w:ascii="Times New Roman" w:hAnsi="Times New Roman" w:cs="Times New Roman" w:eastAsia="Times New Roman" w:hint="default"/>
          <w:spacing w:val="-3"/>
        </w:rPr>
        <w:t>2</w:t>
      </w:r>
      <w:r>
        <w:rPr>
          <w:spacing w:val="-3"/>
        </w:rPr>
        <w:t>）湖南</w:t>
      </w:r>
      <w:r>
        <w:rPr>
          <w:rFonts w:ascii="宋体" w:hAnsi="宋体" w:cs="宋体" w:eastAsia="宋体" w:hint="default"/>
          <w:spacing w:val="-3"/>
        </w:rPr>
        <w:t>“</w:t>
      </w:r>
      <w:r>
        <w:rPr>
          <w:spacing w:val="-3"/>
        </w:rPr>
        <w:t>营改增</w:t>
      </w:r>
      <w:r>
        <w:rPr>
          <w:rFonts w:ascii="宋体" w:hAnsi="宋体" w:cs="宋体" w:eastAsia="宋体" w:hint="default"/>
          <w:spacing w:val="-3"/>
        </w:rPr>
        <w:t>”</w:t>
      </w:r>
      <w:r>
        <w:rPr>
          <w:spacing w:val="-3"/>
        </w:rPr>
        <w:t>试点工作从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w:t>
      </w:r>
      <w:r>
        <w:rPr>
          <w:spacing w:val="-3"/>
        </w:rPr>
        <w:t>日起正式实施。</w:t>
      </w:r>
    </w:p>
    <w:p>
      <w:pPr>
        <w:spacing w:line="240" w:lineRule="auto" w:before="4"/>
        <w:rPr>
          <w:rFonts w:ascii="宋体" w:hAnsi="宋体" w:cs="宋体" w:eastAsia="宋体" w:hint="default"/>
          <w:sz w:val="14"/>
          <w:szCs w:val="14"/>
        </w:rPr>
      </w:pPr>
    </w:p>
    <w:p>
      <w:pPr>
        <w:pStyle w:val="BodyText"/>
        <w:spacing w:line="309" w:lineRule="auto"/>
        <w:ind w:right="106" w:firstLine="359"/>
        <w:jc w:val="both"/>
      </w:pPr>
      <w:r>
        <w:rPr>
          <w:spacing w:val="-7"/>
          <w:w w:val="101"/>
        </w:rPr>
        <w:t>依据财税〔</w:t>
      </w:r>
      <w:r>
        <w:rPr>
          <w:rFonts w:ascii="Times New Roman" w:hAnsi="Times New Roman" w:cs="Times New Roman" w:eastAsia="Times New Roman" w:hint="default"/>
          <w:spacing w:val="-7"/>
          <w:w w:val="101"/>
        </w:rPr>
        <w:t>2013</w:t>
      </w:r>
      <w:r>
        <w:rPr>
          <w:spacing w:val="-7"/>
          <w:w w:val="101"/>
        </w:rPr>
        <w:t>〕</w:t>
      </w:r>
      <w:r>
        <w:rPr>
          <w:rFonts w:ascii="Times New Roman" w:hAnsi="Times New Roman" w:cs="Times New Roman" w:eastAsia="Times New Roman" w:hint="default"/>
          <w:spacing w:val="-7"/>
          <w:w w:val="101"/>
        </w:rPr>
        <w:t>106</w:t>
      </w:r>
      <w:r>
        <w:rPr>
          <w:spacing w:val="-7"/>
          <w:w w:val="101"/>
        </w:rPr>
        <w:t>号</w:t>
      </w:r>
      <w:r>
        <w:rPr>
          <w:rFonts w:ascii="宋体" w:hAnsi="宋体" w:cs="宋体" w:eastAsia="宋体" w:hint="default"/>
          <w:spacing w:val="-7"/>
          <w:w w:val="101"/>
        </w:rPr>
        <w:t>“</w:t>
      </w:r>
      <w:r>
        <w:rPr>
          <w:spacing w:val="-7"/>
          <w:w w:val="101"/>
        </w:rPr>
        <w:t>《财政部</w:t>
      </w:r>
      <w:r>
        <w:rPr>
          <w:spacing w:val="15"/>
          <w:w w:val="101"/>
        </w:rPr>
        <w:t> </w:t>
      </w:r>
      <w:r>
        <w:rPr>
          <w:spacing w:val="-3"/>
          <w:w w:val="101"/>
        </w:rPr>
        <w:t>国家税务总局关于将铁路运输和邮政业纳入营业税改征增值税试点的通知》中附件</w:t>
      </w:r>
      <w:r>
        <w:rPr>
          <w:w w:val="101"/>
        </w:rPr>
        <w:t> </w:t>
      </w:r>
      <w:r>
        <w:rPr>
          <w:rFonts w:ascii="Times New Roman" w:hAnsi="Times New Roman" w:cs="Times New Roman" w:eastAsia="Times New Roman" w:hint="default"/>
          <w:spacing w:val="-3"/>
        </w:rPr>
        <w:t>3.</w:t>
      </w:r>
      <w:r>
        <w:rPr>
          <w:spacing w:val="-3"/>
        </w:rPr>
        <w:t>营业税改征增值税试点过渡政策的规定</w:t>
      </w:r>
      <w:r>
        <w:rPr>
          <w:rFonts w:ascii="宋体" w:hAnsi="宋体" w:cs="宋体" w:eastAsia="宋体" w:hint="default"/>
          <w:spacing w:val="-3"/>
        </w:rPr>
        <w:t>”</w:t>
      </w:r>
      <w:r>
        <w:rPr>
          <w:spacing w:val="-3"/>
        </w:rPr>
        <w:t>纳税人提供技术转让、技术开发和与之相关的技术咨询、技术服务免征增值税；</w:t>
      </w:r>
      <w:r>
        <w:rPr>
          <w:spacing w:val="75"/>
        </w:rPr>
        <w:t> </w:t>
      </w:r>
      <w:r>
        <w:rPr>
          <w:spacing w:val="75"/>
        </w:rPr>
      </w:r>
      <w:r>
        <w:rPr>
          <w:spacing w:val="-3"/>
          <w:w w:val="101"/>
        </w:rPr>
        <w:t>根据《财政部、国家税务总局关于全面推开营业税改征增值税试点的通知》（财税〔</w:t>
      </w:r>
      <w:r>
        <w:rPr>
          <w:rFonts w:ascii="Times New Roman" w:hAnsi="Times New Roman" w:cs="Times New Roman" w:eastAsia="Times New Roman" w:hint="default"/>
          <w:spacing w:val="-3"/>
          <w:w w:val="101"/>
        </w:rPr>
        <w:t>2016</w:t>
      </w:r>
      <w:r>
        <w:rPr>
          <w:spacing w:val="-3"/>
          <w:w w:val="101"/>
        </w:rPr>
        <w:t>〕</w:t>
      </w:r>
      <w:r>
        <w:rPr>
          <w:rFonts w:ascii="Times New Roman" w:hAnsi="Times New Roman" w:cs="Times New Roman" w:eastAsia="Times New Roman" w:hint="default"/>
          <w:spacing w:val="-3"/>
          <w:w w:val="101"/>
        </w:rPr>
        <w:t>36</w:t>
      </w:r>
      <w:r>
        <w:rPr>
          <w:spacing w:val="-3"/>
          <w:w w:val="101"/>
        </w:rPr>
        <w:t>号）中</w:t>
      </w:r>
      <w:r>
        <w:rPr>
          <w:rFonts w:ascii="宋体" w:hAnsi="宋体" w:cs="宋体" w:eastAsia="宋体" w:hint="default"/>
          <w:spacing w:val="-3"/>
          <w:w w:val="101"/>
        </w:rPr>
        <w:t>“</w:t>
      </w:r>
      <w:r>
        <w:rPr>
          <w:spacing w:val="-3"/>
          <w:w w:val="101"/>
        </w:rPr>
        <w:t>附件</w:t>
      </w:r>
      <w:r>
        <w:rPr>
          <w:rFonts w:ascii="Times New Roman" w:hAnsi="Times New Roman" w:cs="Times New Roman" w:eastAsia="Times New Roman" w:hint="default"/>
          <w:spacing w:val="-3"/>
          <w:w w:val="101"/>
        </w:rPr>
        <w:t>3.</w:t>
      </w:r>
      <w:r>
        <w:rPr>
          <w:spacing w:val="-3"/>
          <w:w w:val="101"/>
        </w:rPr>
        <w:t>营业税改征增</w:t>
      </w:r>
      <w:r>
        <w:rPr>
          <w:spacing w:val="-84"/>
          <w:w w:val="101"/>
        </w:rPr>
        <w:t> </w:t>
      </w:r>
      <w:r>
        <w:rPr>
          <w:spacing w:val="-84"/>
          <w:w w:val="101"/>
        </w:rPr>
      </w:r>
      <w:r>
        <w:rPr>
          <w:spacing w:val="-5"/>
          <w:w w:val="101"/>
        </w:rPr>
        <w:t>值税试点过渡政策的规定</w:t>
      </w:r>
      <w:r>
        <w:rPr>
          <w:rFonts w:ascii="宋体" w:hAnsi="宋体" w:cs="宋体" w:eastAsia="宋体" w:hint="default"/>
          <w:spacing w:val="-5"/>
          <w:w w:val="101"/>
        </w:rPr>
        <w:t>”</w:t>
      </w:r>
      <w:r>
        <w:rPr>
          <w:spacing w:val="-5"/>
          <w:w w:val="101"/>
        </w:rPr>
        <w:t>，纳税人提供技术转让、技术开发和与之相关的技术咨询、技术服务免征增值税。</w:t>
      </w:r>
      <w:r>
        <w:rPr/>
      </w:r>
    </w:p>
    <w:p>
      <w:pPr>
        <w:spacing w:after="0" w:line="309" w:lineRule="auto"/>
        <w:jc w:val="both"/>
        <w:sectPr>
          <w:pgSz w:w="11910" w:h="16840"/>
          <w:pgMar w:header="914" w:footer="1027" w:top="1100" w:bottom="1220" w:left="980" w:right="980"/>
        </w:sectPr>
      </w:pPr>
    </w:p>
    <w:p>
      <w:pPr>
        <w:spacing w:line="240" w:lineRule="auto" w:before="2"/>
        <w:rPr>
          <w:rFonts w:ascii="宋体" w:hAnsi="宋体" w:cs="宋体" w:eastAsia="宋体" w:hint="default"/>
          <w:sz w:val="23"/>
          <w:szCs w:val="23"/>
        </w:rPr>
      </w:pPr>
    </w:p>
    <w:p>
      <w:pPr>
        <w:pStyle w:val="BodyText"/>
        <w:spacing w:line="309" w:lineRule="auto" w:before="46"/>
        <w:ind w:right="145" w:firstLine="360"/>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5</w:t>
      </w:r>
      <w:r>
        <w:rPr>
          <w:spacing w:val="-3"/>
        </w:rPr>
        <w:t>日，公司获得湖南省科学技术厅、湖南省财政厅、湖南省国家税务局、湖南省地方税务局联合颁发的</w:t>
      </w:r>
      <w:r>
        <w:rPr>
          <w:w w:val="101"/>
        </w:rPr>
        <w:t> </w:t>
      </w:r>
      <w:r>
        <w:rPr>
          <w:spacing w:val="-2"/>
        </w:rPr>
        <w:t>编号为</w:t>
      </w:r>
      <w:r>
        <w:rPr>
          <w:rFonts w:ascii="宋体" w:hAnsi="宋体" w:cs="宋体" w:eastAsia="宋体" w:hint="default"/>
          <w:spacing w:val="-2"/>
        </w:rPr>
        <w:t>“</w:t>
      </w:r>
      <w:r>
        <w:rPr>
          <w:rFonts w:ascii="Times New Roman" w:hAnsi="Times New Roman" w:cs="Times New Roman" w:eastAsia="Times New Roman" w:hint="default"/>
          <w:spacing w:val="-2"/>
        </w:rPr>
        <w:t>GF201743000001</w:t>
      </w:r>
      <w:r>
        <w:rPr>
          <w:rFonts w:ascii="宋体" w:hAnsi="宋体" w:cs="宋体" w:eastAsia="宋体" w:hint="default"/>
          <w:spacing w:val="-2"/>
        </w:rPr>
        <w:t>”</w:t>
      </w:r>
      <w:r>
        <w:rPr>
          <w:spacing w:val="-2"/>
        </w:rPr>
        <w:t>的高新技术企业证书，被评为高新技术企业，本公司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年可享受所得税减</w:t>
      </w:r>
      <w:r>
        <w:rPr>
          <w:spacing w:val="89"/>
        </w:rPr>
        <w:t> </w:t>
      </w:r>
      <w:r>
        <w:rPr>
          <w:spacing w:val="89"/>
        </w:rPr>
      </w:r>
      <w:r>
        <w:rPr>
          <w:spacing w:val="-3"/>
        </w:rPr>
        <w:t>按</w:t>
      </w:r>
      <w:r>
        <w:rPr>
          <w:rFonts w:ascii="Times New Roman" w:hAnsi="Times New Roman" w:cs="Times New Roman" w:eastAsia="Times New Roman" w:hint="default"/>
          <w:spacing w:val="-3"/>
        </w:rPr>
        <w:t>15%</w:t>
      </w:r>
      <w:r>
        <w:rPr>
          <w:spacing w:val="-3"/>
        </w:rPr>
        <w:t>税率的优惠政策。</w:t>
      </w:r>
      <w:r>
        <w:rPr/>
      </w:r>
    </w:p>
    <w:p>
      <w:pPr>
        <w:pStyle w:val="BodyText"/>
        <w:spacing w:line="307" w:lineRule="auto" w:before="134"/>
        <w:ind w:right="146" w:firstLine="360"/>
        <w:jc w:val="both"/>
      </w:pPr>
      <w:r>
        <w:rPr>
          <w:spacing w:val="-5"/>
          <w:w w:val="101"/>
        </w:rPr>
        <w:t>（</w:t>
      </w:r>
      <w:r>
        <w:rPr>
          <w:rFonts w:ascii="Times New Roman" w:hAnsi="Times New Roman" w:cs="Times New Roman" w:eastAsia="Times New Roman" w:hint="default"/>
          <w:spacing w:val="-5"/>
          <w:w w:val="101"/>
        </w:rPr>
        <w:t>4</w:t>
      </w:r>
      <w:r>
        <w:rPr>
          <w:spacing w:val="-5"/>
          <w:w w:val="101"/>
        </w:rPr>
        <w:t>）根据财政部、国家税务总局财税</w:t>
      </w:r>
      <w:r>
        <w:rPr>
          <w:rFonts w:ascii="Times New Roman" w:hAnsi="Times New Roman" w:cs="Times New Roman" w:eastAsia="Times New Roman" w:hint="default"/>
          <w:spacing w:val="-5"/>
          <w:w w:val="101"/>
        </w:rPr>
        <w:t>[2006]88</w:t>
      </w:r>
      <w:r>
        <w:rPr>
          <w:spacing w:val="-5"/>
          <w:w w:val="101"/>
        </w:rPr>
        <w:t>号《关于企业技术创新有关企业所得税优惠政策的通知》、财政部、国家</w:t>
      </w:r>
      <w:r>
        <w:rPr>
          <w:w w:val="101"/>
        </w:rPr>
        <w:t> </w:t>
      </w:r>
      <w:r>
        <w:rPr>
          <w:spacing w:val="-5"/>
          <w:w w:val="101"/>
        </w:rPr>
        <w:t>税务总局、科技部财税</w:t>
      </w:r>
      <w:r>
        <w:rPr>
          <w:rFonts w:ascii="Times New Roman" w:hAnsi="Times New Roman" w:cs="Times New Roman" w:eastAsia="Times New Roman" w:hint="default"/>
          <w:spacing w:val="-5"/>
          <w:w w:val="101"/>
        </w:rPr>
        <w:t>[2015]119</w:t>
      </w:r>
      <w:r>
        <w:rPr>
          <w:spacing w:val="-5"/>
          <w:w w:val="101"/>
        </w:rPr>
        <w:t>号《关于完善研究开发费用税前加计扣除政策的通知》，本公司符合条件的研究开发费，在</w:t>
      </w:r>
      <w:r>
        <w:rPr>
          <w:spacing w:val="-41"/>
          <w:w w:val="101"/>
        </w:rPr>
        <w:t> </w:t>
      </w:r>
      <w:r>
        <w:rPr>
          <w:spacing w:val="-41"/>
          <w:w w:val="101"/>
        </w:rPr>
      </w:r>
      <w:r>
        <w:rPr>
          <w:spacing w:val="-3"/>
        </w:rPr>
        <w:t>按规定实行</w:t>
      </w:r>
      <w:r>
        <w:rPr>
          <w:rFonts w:ascii="Times New Roman" w:hAnsi="Times New Roman" w:cs="Times New Roman" w:eastAsia="Times New Roman" w:hint="default"/>
          <w:spacing w:val="-3"/>
        </w:rPr>
        <w:t>100%</w:t>
      </w:r>
      <w:r>
        <w:rPr>
          <w:spacing w:val="-3"/>
        </w:rPr>
        <w:t>扣除基础上，允许再按当年实际发生额的</w:t>
      </w:r>
      <w:r>
        <w:rPr>
          <w:rFonts w:ascii="Times New Roman" w:hAnsi="Times New Roman" w:cs="Times New Roman" w:eastAsia="Times New Roman" w:hint="default"/>
          <w:spacing w:val="-3"/>
        </w:rPr>
        <w:t>50%</w:t>
      </w:r>
      <w:r>
        <w:rPr>
          <w:spacing w:val="-3"/>
        </w:rPr>
        <w:t>在企业所得税税前加计扣除。</w:t>
      </w:r>
      <w:r>
        <w:rPr/>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13"/>
      <w:bookmarkEnd w:id="213"/>
      <w:r>
        <w:rPr>
          <w:b w:val="0"/>
          <w:bCs w:val="0"/>
        </w:rPr>
      </w:r>
      <w:r>
        <w:rPr/>
        <w:t>七、合并财务报表项目注释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货币资金" w:id="214"/>
      <w:bookmarkEnd w:id="21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184,105.99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54,768.86</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308,025,049.40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114,199,806.39</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7,961,157.30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520,263.09</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316,170,312.69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114,774,838.34</w:t>
            </w:r>
          </w:p>
        </w:tc>
      </w:tr>
    </w:tbl>
    <w:p>
      <w:pPr>
        <w:pStyle w:val="BodyText"/>
        <w:spacing w:line="240" w:lineRule="auto" w:before="58"/>
        <w:ind w:right="0"/>
        <w:jc w:val="left"/>
      </w:pPr>
      <w:r>
        <w:rPr/>
        <w:t>其他说明</w:t>
      </w:r>
    </w:p>
    <w:p>
      <w:pPr>
        <w:pStyle w:val="BodyText"/>
        <w:spacing w:line="309" w:lineRule="auto" w:before="124"/>
        <w:ind w:right="0" w:firstLine="360"/>
        <w:jc w:val="left"/>
      </w:pPr>
      <w:r>
        <w:rPr>
          <w:spacing w:val="-3"/>
        </w:rPr>
        <w:t>其他货币资金中期末余额</w:t>
      </w:r>
      <w:r>
        <w:rPr>
          <w:rFonts w:ascii="Times New Roman" w:hAnsi="Times New Roman" w:cs="Times New Roman" w:eastAsia="Times New Roman" w:hint="default"/>
          <w:spacing w:val="-3"/>
        </w:rPr>
        <w:t>7,961,157.30</w:t>
      </w:r>
      <w:r>
        <w:rPr>
          <w:spacing w:val="-3"/>
        </w:rPr>
        <w:t>元，系本公司办理银行承兑汇票的保证金以及保函保证金。除银行承兑汇票保证</w:t>
      </w:r>
      <w:r>
        <w:rPr>
          <w:w w:val="101"/>
        </w:rPr>
        <w:t> </w:t>
      </w:r>
      <w:r>
        <w:rPr>
          <w:spacing w:val="-3"/>
        </w:rPr>
        <w:t>金、保函保证金外，公司无其他存在抵押、冻结等对变现有限制款项、存放在境外的款项及有潜在回收风险的款项。</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2、应收票据" w:id="215"/>
      <w:bookmarkEnd w:id="215"/>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应收票据分类列示" w:id="216"/>
      <w:bookmarkEnd w:id="21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1,964,488.04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1,964,488.04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750,000.00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期末公司已背书或贴现且在资产负债表日尚未到期的应收票据" w:id="217"/>
      <w:bookmarkEnd w:id="217"/>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873"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6,014,834.00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6,014,834.00</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pStyle w:val="BodyText"/>
        <w:spacing w:line="328" w:lineRule="auto" w:before="46"/>
        <w:ind w:right="0"/>
        <w:jc w:val="left"/>
        <w:rPr>
          <w:rFonts w:ascii="宋体" w:hAnsi="宋体" w:cs="宋体" w:eastAsia="宋体" w:hint="default"/>
        </w:rPr>
      </w:pPr>
      <w:r>
        <w:rPr>
          <w:spacing w:val="-4"/>
        </w:rPr>
        <w:t>注：公司期末已背书或贴现但尚未到期的承兑汇票到期不获支付的可能性较低，可视作已将其与所有权相关的风险和报酬转</w:t>
      </w:r>
      <w:r>
        <w:rPr>
          <w:spacing w:val="42"/>
        </w:rPr>
        <w:t> </w:t>
      </w:r>
      <w:r>
        <w:rPr>
          <w:spacing w:val="42"/>
        </w:rPr>
      </w:r>
      <w:r>
        <w:rPr>
          <w:spacing w:val="-3"/>
        </w:rPr>
        <w:t>移、且未继续涉入的被转移资产，故上述已背书或贴现的承兑汇票被终止确认。</w:t>
      </w:r>
      <w:r>
        <w:rPr>
          <w:rFonts w:ascii="宋体" w:hAnsi="宋体" w:cs="宋体" w:eastAsia="宋体" w:hint="default"/>
        </w:rPr>
        <w:t> </w:t>
      </w:r>
    </w:p>
    <w:p>
      <w:pPr>
        <w:spacing w:after="0" w:line="328" w:lineRule="auto"/>
        <w:jc w:val="left"/>
        <w:rPr>
          <w:rFonts w:ascii="宋体" w:hAnsi="宋体" w:cs="宋体" w:eastAsia="宋体" w:hint="default"/>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left="232" w:right="4478"/>
        <w:jc w:val="left"/>
        <w:rPr>
          <w:b w:val="0"/>
          <w:bCs w:val="0"/>
        </w:rPr>
      </w:pPr>
      <w:bookmarkStart w:name="3、应收账款" w:id="218"/>
      <w:bookmarkEnd w:id="218"/>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left="232" w:right="4478"/>
        <w:jc w:val="left"/>
        <w:rPr>
          <w:b w:val="0"/>
          <w:bCs w:val="0"/>
        </w:rPr>
      </w:pPr>
      <w:bookmarkStart w:name="（1）应收账款分类披露" w:id="219"/>
      <w:bookmarkEnd w:id="21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225"/>
        <w:jc w:val="right"/>
      </w:pPr>
      <w:r>
        <w:rPr/>
        <w:t>单位：</w:t>
      </w:r>
      <w:r>
        <w:rPr>
          <w:spacing w:val="5"/>
        </w:rPr>
        <w:t> </w:t>
      </w:r>
      <w:r>
        <w:rPr/>
        <w:t>元</w:t>
      </w:r>
    </w:p>
    <w:p>
      <w:pPr>
        <w:spacing w:line="240" w:lineRule="auto" w:before="9"/>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301"/>
        <w:gridCol w:w="1200"/>
        <w:gridCol w:w="758"/>
        <w:gridCol w:w="960"/>
        <w:gridCol w:w="610"/>
        <w:gridCol w:w="994"/>
        <w:gridCol w:w="864"/>
        <w:gridCol w:w="600"/>
        <w:gridCol w:w="998"/>
        <w:gridCol w:w="610"/>
        <w:gridCol w:w="960"/>
      </w:tblGrid>
      <w:tr>
        <w:trPr>
          <w:trHeight w:val="418" w:hRule="exact"/>
        </w:trPr>
        <w:tc>
          <w:tcPr>
            <w:tcW w:w="13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52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2"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2" w:hRule="exact"/>
        </w:trPr>
        <w:tc>
          <w:tcPr>
            <w:tcW w:w="1301" w:type="dxa"/>
            <w:vMerge/>
            <w:tcBorders>
              <w:left w:val="single" w:sz="4" w:space="0" w:color="000000"/>
              <w:right w:val="single" w:sz="4" w:space="0" w:color="000000"/>
            </w:tcBorders>
            <w:shd w:val="clear" w:color="auto" w:fill="D4D4D4"/>
          </w:tcPr>
          <w:p>
            <w:pPr/>
          </w:p>
        </w:tc>
        <w:tc>
          <w:tcPr>
            <w:tcW w:w="19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6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4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6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3"/>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8" w:hRule="exact"/>
        </w:trPr>
        <w:tc>
          <w:tcPr>
            <w:tcW w:w="1301" w:type="dxa"/>
            <w:vMerge/>
            <w:tcBorders>
              <w:left w:val="single" w:sz="4" w:space="0" w:color="000000"/>
              <w:bottom w:val="single" w:sz="4" w:space="0" w:color="000000"/>
              <w:right w:val="single" w:sz="4" w:space="0" w:color="000000"/>
            </w:tcBorders>
            <w:shd w:val="clear" w:color="auto" w:fill="D4D4D4"/>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73"/>
              <w:ind w:left="119" w:right="113"/>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994" w:type="dxa"/>
            <w:vMerge/>
            <w:tcBorders>
              <w:left w:val="single" w:sz="4" w:space="0" w:color="000000"/>
              <w:bottom w:val="single" w:sz="4" w:space="0" w:color="000000"/>
              <w:right w:val="single" w:sz="4" w:space="0" w:color="000000"/>
            </w:tcBorders>
            <w:shd w:val="clear" w:color="auto" w:fill="D4D4D4"/>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73"/>
              <w:ind w:left="120" w:right="113"/>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960" w:type="dxa"/>
            <w:vMerge/>
            <w:tcBorders>
              <w:left w:val="single" w:sz="4" w:space="0" w:color="000000"/>
              <w:bottom w:val="single" w:sz="4" w:space="0" w:color="000000"/>
              <w:right w:val="single" w:sz="4" w:space="0" w:color="000000"/>
            </w:tcBorders>
            <w:shd w:val="clear" w:color="auto" w:fill="D4D4D4"/>
          </w:tcPr>
          <w:p>
            <w:pPr/>
          </w:p>
        </w:tc>
      </w:tr>
      <w:tr>
        <w:trPr>
          <w:trHeight w:val="1373" w:hRule="exact"/>
        </w:trPr>
        <w:tc>
          <w:tcPr>
            <w:tcW w:w="1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5" w:right="98"/>
              <w:jc w:val="both"/>
              <w:rPr>
                <w:rFonts w:ascii="宋体" w:hAnsi="宋体" w:cs="宋体" w:eastAsia="宋体" w:hint="default"/>
                <w:sz w:val="18"/>
                <w:szCs w:val="18"/>
              </w:rPr>
            </w:pPr>
            <w:r>
              <w:rPr>
                <w:rFonts w:ascii="宋体" w:hAnsi="宋体" w:cs="宋体" w:eastAsia="宋体" w:hint="default"/>
                <w:spacing w:val="-2"/>
                <w:sz w:val="18"/>
                <w:szCs w:val="18"/>
              </w:rPr>
              <w:t>按信用风险特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征组合计提坏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账准备的应收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3"/>
                <w:sz w:val="18"/>
              </w:rPr>
              <w:t>117,220,782.</w:t>
            </w:r>
            <w:r>
              <w:rPr>
                <w:rFonts w:ascii="Times New Roman"/>
                <w:sz w:val="18"/>
              </w:rPr>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81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4"/>
              <w:ind w:left="49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10,408,17</w:t>
            </w:r>
          </w:p>
          <w:p>
            <w:pPr>
              <w:pStyle w:val="TableParagraph"/>
              <w:spacing w:line="240" w:lineRule="auto" w:before="114"/>
              <w:ind w:left="532" w:right="0"/>
              <w:jc w:val="left"/>
              <w:rPr>
                <w:rFonts w:ascii="Times New Roman" w:hAnsi="Times New Roman" w:cs="Times New Roman" w:eastAsia="Times New Roman" w:hint="default"/>
                <w:sz w:val="18"/>
                <w:szCs w:val="18"/>
              </w:rPr>
            </w:pPr>
            <w:r>
              <w:rPr>
                <w:rFonts w:ascii="Times New Roman"/>
                <w:sz w:val="18"/>
              </w:rPr>
              <w:t>5.20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14"/>
              <w:ind w:left="25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106,812,6</w:t>
            </w:r>
          </w:p>
          <w:p>
            <w:pPr>
              <w:pStyle w:val="TableParagraph"/>
              <w:spacing w:line="240" w:lineRule="auto" w:before="114"/>
              <w:ind w:left="480" w:right="0"/>
              <w:jc w:val="left"/>
              <w:rPr>
                <w:rFonts w:ascii="Times New Roman" w:hAnsi="Times New Roman" w:cs="Times New Roman" w:eastAsia="Times New Roman" w:hint="default"/>
                <w:sz w:val="18"/>
                <w:szCs w:val="18"/>
              </w:rPr>
            </w:pPr>
            <w:r>
              <w:rPr>
                <w:rFonts w:ascii="Times New Roman"/>
                <w:sz w:val="18"/>
              </w:rPr>
              <w:t>07.61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85,232,4</w:t>
            </w:r>
          </w:p>
          <w:p>
            <w:pPr>
              <w:pStyle w:val="TableParagraph"/>
              <w:spacing w:line="240" w:lineRule="auto" w:before="114"/>
              <w:ind w:left="350" w:right="0"/>
              <w:jc w:val="left"/>
              <w:rPr>
                <w:rFonts w:ascii="Times New Roman" w:hAnsi="Times New Roman" w:cs="Times New Roman" w:eastAsia="Times New Roman" w:hint="default"/>
                <w:sz w:val="18"/>
                <w:szCs w:val="18"/>
              </w:rPr>
            </w:pPr>
            <w:r>
              <w:rPr>
                <w:rFonts w:ascii="Times New Roman"/>
                <w:sz w:val="18"/>
              </w:rPr>
              <w:t>77.64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4"/>
              <w:ind w:left="158" w:right="0"/>
              <w:jc w:val="left"/>
              <w:rPr>
                <w:rFonts w:ascii="Times New Roman" w:hAnsi="Times New Roman" w:cs="Times New Roman" w:eastAsia="Times New Roman" w:hint="default"/>
                <w:sz w:val="18"/>
                <w:szCs w:val="18"/>
              </w:rPr>
            </w:pPr>
            <w:r>
              <w:rPr>
                <w:rFonts w:ascii="Times New Roman"/>
                <w:sz w:val="18"/>
              </w:rPr>
              <w:t>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7,900,665.</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30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9.27</w:t>
            </w:r>
          </w:p>
          <w:p>
            <w:pPr>
              <w:pStyle w:val="TableParagraph"/>
              <w:spacing w:line="240" w:lineRule="auto" w:before="114"/>
              <w:ind w:left="25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77,331,81</w:t>
            </w:r>
          </w:p>
          <w:p>
            <w:pPr>
              <w:pStyle w:val="TableParagraph"/>
              <w:spacing w:line="240" w:lineRule="auto" w:before="114"/>
              <w:ind w:left="532" w:right="0"/>
              <w:jc w:val="left"/>
              <w:rPr>
                <w:rFonts w:ascii="Times New Roman" w:hAnsi="Times New Roman" w:cs="Times New Roman" w:eastAsia="Times New Roman" w:hint="default"/>
                <w:sz w:val="18"/>
                <w:szCs w:val="18"/>
              </w:rPr>
            </w:pPr>
            <w:r>
              <w:rPr>
                <w:rFonts w:ascii="Times New Roman"/>
                <w:sz w:val="18"/>
              </w:rPr>
              <w:t>2.34</w:t>
            </w:r>
          </w:p>
        </w:tc>
      </w:tr>
      <w:tr>
        <w:trPr>
          <w:trHeight w:val="1094" w:hRule="exact"/>
        </w:trPr>
        <w:tc>
          <w:tcPr>
            <w:tcW w:w="1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3"/>
                <w:sz w:val="18"/>
              </w:rPr>
              <w:t>117,220,782.</w:t>
            </w:r>
            <w:r>
              <w:rPr>
                <w:rFonts w:ascii="Times New Roman"/>
                <w:sz w:val="18"/>
              </w:rPr>
            </w: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81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9"/>
              <w:ind w:left="49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10,408,17</w:t>
            </w:r>
          </w:p>
          <w:p>
            <w:pPr>
              <w:pStyle w:val="TableParagraph"/>
              <w:spacing w:line="240" w:lineRule="auto" w:before="119"/>
              <w:ind w:left="532" w:right="0"/>
              <w:jc w:val="left"/>
              <w:rPr>
                <w:rFonts w:ascii="Times New Roman" w:hAnsi="Times New Roman" w:cs="Times New Roman" w:eastAsia="Times New Roman" w:hint="default"/>
                <w:sz w:val="18"/>
                <w:szCs w:val="18"/>
              </w:rPr>
            </w:pPr>
            <w:r>
              <w:rPr>
                <w:rFonts w:ascii="Times New Roman"/>
                <w:sz w:val="18"/>
              </w:rPr>
              <w:t>5.20</w:t>
            </w:r>
          </w:p>
        </w:tc>
        <w:tc>
          <w:tcPr>
            <w:tcW w:w="6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106,812,6</w:t>
            </w:r>
          </w:p>
          <w:p>
            <w:pPr>
              <w:pStyle w:val="TableParagraph"/>
              <w:spacing w:line="240" w:lineRule="auto" w:before="119"/>
              <w:ind w:left="480" w:right="0"/>
              <w:jc w:val="left"/>
              <w:rPr>
                <w:rFonts w:ascii="Times New Roman" w:hAnsi="Times New Roman" w:cs="Times New Roman" w:eastAsia="Times New Roman" w:hint="default"/>
                <w:sz w:val="18"/>
                <w:szCs w:val="18"/>
              </w:rPr>
            </w:pPr>
            <w:r>
              <w:rPr>
                <w:rFonts w:ascii="Times New Roman"/>
                <w:sz w:val="18"/>
              </w:rPr>
              <w:t>07.61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85,232,4</w:t>
            </w:r>
          </w:p>
          <w:p>
            <w:pPr>
              <w:pStyle w:val="TableParagraph"/>
              <w:spacing w:line="240" w:lineRule="auto" w:before="119"/>
              <w:ind w:left="350" w:right="0"/>
              <w:jc w:val="left"/>
              <w:rPr>
                <w:rFonts w:ascii="Times New Roman" w:hAnsi="Times New Roman" w:cs="Times New Roman" w:eastAsia="Times New Roman" w:hint="default"/>
                <w:sz w:val="18"/>
                <w:szCs w:val="18"/>
              </w:rPr>
            </w:pPr>
            <w:r>
              <w:rPr>
                <w:rFonts w:ascii="Times New Roman"/>
                <w:sz w:val="18"/>
              </w:rPr>
              <w:t>77.64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9"/>
              <w:ind w:left="158" w:right="0"/>
              <w:jc w:val="left"/>
              <w:rPr>
                <w:rFonts w:ascii="Times New Roman" w:hAnsi="Times New Roman" w:cs="Times New Roman" w:eastAsia="Times New Roman" w:hint="default"/>
                <w:sz w:val="18"/>
                <w:szCs w:val="18"/>
              </w:rPr>
            </w:pPr>
            <w:r>
              <w:rPr>
                <w:rFonts w:ascii="Times New Roman"/>
                <w:sz w:val="18"/>
              </w:rPr>
              <w:t>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7,900,665.</w:t>
            </w:r>
          </w:p>
          <w:p>
            <w:pPr>
              <w:pStyle w:val="TableParagraph"/>
              <w:spacing w:line="240" w:lineRule="auto" w:before="119"/>
              <w:ind w:right="95"/>
              <w:jc w:val="right"/>
              <w:rPr>
                <w:rFonts w:ascii="Times New Roman" w:hAnsi="Times New Roman" w:cs="Times New Roman" w:eastAsia="Times New Roman" w:hint="default"/>
                <w:sz w:val="18"/>
                <w:szCs w:val="18"/>
              </w:rPr>
            </w:pPr>
            <w:r>
              <w:rPr>
                <w:rFonts w:ascii="Times New Roman"/>
                <w:sz w:val="18"/>
              </w:rPr>
              <w:t>30</w:t>
            </w:r>
          </w:p>
        </w:tc>
        <w:tc>
          <w:tcPr>
            <w:tcW w:w="61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77,331,81</w:t>
            </w:r>
          </w:p>
          <w:p>
            <w:pPr>
              <w:pStyle w:val="TableParagraph"/>
              <w:spacing w:line="240" w:lineRule="auto" w:before="119"/>
              <w:ind w:left="532" w:right="0"/>
              <w:jc w:val="left"/>
              <w:rPr>
                <w:rFonts w:ascii="Times New Roman" w:hAnsi="Times New Roman" w:cs="Times New Roman" w:eastAsia="Times New Roman" w:hint="default"/>
                <w:sz w:val="18"/>
                <w:szCs w:val="18"/>
              </w:rPr>
            </w:pPr>
            <w:r>
              <w:rPr>
                <w:rFonts w:ascii="Times New Roman"/>
                <w:sz w:val="18"/>
              </w:rPr>
              <w:t>2.34</w:t>
            </w:r>
          </w:p>
        </w:tc>
      </w:tr>
    </w:tbl>
    <w:p>
      <w:pPr>
        <w:pStyle w:val="BodyText"/>
        <w:spacing w:line="240" w:lineRule="auto" w:before="58"/>
        <w:ind w:left="232" w:right="4478"/>
        <w:jc w:val="left"/>
      </w:pPr>
      <w:r>
        <w:rPr>
          <w:spacing w:val="-3"/>
        </w:rPr>
        <w:t>期末单项金额重大并单项计提坏账准备的应收账款：</w:t>
      </w:r>
      <w:r>
        <w:rPr/>
      </w:r>
    </w:p>
    <w:p>
      <w:pPr>
        <w:pStyle w:val="BodyText"/>
        <w:spacing w:line="367" w:lineRule="auto" w:before="124"/>
        <w:ind w:left="232" w:right="4478" w:hanging="1"/>
        <w:jc w:val="left"/>
      </w:pPr>
      <w:r>
        <w:rPr/>
        <w:t>□ </w:t>
      </w:r>
      <w:r>
        <w:rPr>
          <w:spacing w:val="-3"/>
        </w:rPr>
        <w:t>适用 </w:t>
      </w:r>
      <w:r>
        <w:rPr/>
        <w:t>√ 不适用</w:t>
      </w:r>
      <w:r>
        <w:rPr>
          <w:spacing w:val="-77"/>
        </w:rPr>
        <w:t> </w:t>
      </w:r>
      <w:r>
        <w:rPr>
          <w:spacing w:val="-77"/>
        </w:rPr>
      </w:r>
      <w:r>
        <w:rPr>
          <w:spacing w:val="-3"/>
        </w:rPr>
        <w:t>组合中，按账龄分析法计提坏账准备的应收账款：</w:t>
      </w:r>
    </w:p>
    <w:p>
      <w:pPr>
        <w:pStyle w:val="BodyText"/>
        <w:spacing w:line="240" w:lineRule="auto" w:before="34"/>
        <w:ind w:left="232" w:right="4478"/>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225"/>
        <w:jc w:val="right"/>
      </w:pPr>
      <w:r>
        <w:rPr/>
        <w:t>单位：</w:t>
      </w:r>
      <w:r>
        <w:rPr>
          <w:spacing w:val="5"/>
        </w:rPr>
        <w:t> </w:t>
      </w:r>
      <w:r>
        <w:rPr/>
        <w:t>元</w:t>
      </w:r>
    </w:p>
    <w:p>
      <w:pPr>
        <w:spacing w:line="240" w:lineRule="auto" w:before="12"/>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390"/>
        <w:gridCol w:w="2395"/>
        <w:gridCol w:w="2390"/>
        <w:gridCol w:w="2390"/>
      </w:tblGrid>
      <w:tr>
        <w:trPr>
          <w:trHeight w:val="413" w:hRule="exact"/>
        </w:trPr>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390" w:type="dxa"/>
            <w:vMerge/>
            <w:tcBorders>
              <w:left w:val="single" w:sz="4" w:space="0" w:color="000000"/>
              <w:bottom w:val="single" w:sz="4" w:space="0" w:color="000000"/>
              <w:right w:val="single" w:sz="4" w:space="0" w:color="000000"/>
            </w:tcBorders>
            <w:shd w:val="clear" w:color="auto" w:fill="D4D4D4"/>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0"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84,428,795.80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4,221,439.79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84,428,795.80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4,221,439.79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21,169,826.31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3"/>
                <w:sz w:val="18"/>
              </w:rPr>
              <w:t>2,116,982.63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6,913,061.00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1,382,612.20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3,841,523.94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1,920,761.97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505,985.76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404,788.61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361,590.00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361,590.00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117,220,782.81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10,408,175.20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8"/>
        <w:ind w:left="232" w:right="4478"/>
        <w:jc w:val="left"/>
      </w:pPr>
      <w:r>
        <w:rPr>
          <w:spacing w:val="-3"/>
        </w:rPr>
        <w:t>组合中，采用余额百分比法计提坏账准备的应收账款：</w:t>
      </w:r>
    </w:p>
    <w:p>
      <w:pPr>
        <w:pStyle w:val="BodyText"/>
        <w:spacing w:line="367" w:lineRule="auto" w:before="129"/>
        <w:ind w:left="232" w:right="4478" w:hanging="1"/>
        <w:jc w:val="left"/>
      </w:pPr>
      <w:r>
        <w:rPr/>
        <w:t>□ </w:t>
      </w:r>
      <w:r>
        <w:rPr>
          <w:spacing w:val="-3"/>
        </w:rPr>
        <w:t>适用 </w:t>
      </w:r>
      <w:r>
        <w:rPr/>
        <w:t>√ 不适用</w:t>
      </w:r>
      <w:r>
        <w:rPr>
          <w:spacing w:val="-77"/>
        </w:rPr>
        <w:t> </w:t>
      </w:r>
      <w:r>
        <w:rPr>
          <w:spacing w:val="-77"/>
        </w:rPr>
      </w:r>
      <w:r>
        <w:rPr>
          <w:spacing w:val="-3"/>
        </w:rPr>
        <w:t>组合中，采用其他方法计提坏账准备的应收账款：</w:t>
      </w:r>
    </w:p>
    <w:p>
      <w:pPr>
        <w:spacing w:after="0" w:line="367" w:lineRule="auto"/>
        <w:jc w:val="left"/>
        <w:sectPr>
          <w:pgSz w:w="11910" w:h="16840"/>
          <w:pgMar w:header="914" w:footer="1027" w:top="1100" w:bottom="1220" w:left="900" w:right="90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本期计提、收回或转回的坏账准备情况" w:id="220"/>
      <w:bookmarkEnd w:id="2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34"/>
        </w:rPr>
        <w:t> </w:t>
      </w:r>
      <w:r>
        <w:rPr>
          <w:rFonts w:ascii="Times New Roman" w:hAnsi="Times New Roman" w:cs="Times New Roman" w:eastAsia="Times New Roman" w:hint="default"/>
        </w:rPr>
        <w:t>3,655,724.90</w:t>
      </w:r>
      <w:r>
        <w:rPr>
          <w:rFonts w:ascii="Times New Roman" w:hAnsi="Times New Roman" w:cs="Times New Roman" w:eastAsia="Times New Roman" w:hint="default"/>
          <w:spacing w:val="11"/>
        </w:rPr>
        <w:t> </w:t>
      </w:r>
      <w:r>
        <w:rPr>
          <w:spacing w:val="-3"/>
        </w:rPr>
        <w:t>元；本期收回或转回坏账准备金额</w:t>
      </w:r>
      <w:r>
        <w:rPr>
          <w:spacing w:val="-3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spacing w:val="-5"/>
        </w:rPr>
        <w:t>元。</w:t>
      </w:r>
      <w:r>
        <w:rPr/>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本期实际核销的应收账款情况" w:id="221"/>
      <w:bookmarkEnd w:id="22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13" w:hRule="exact"/>
        </w:trPr>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r>
              <w:rPr>
                <w:rFonts w:ascii="宋体" w:hAnsi="宋体" w:cs="宋体" w:eastAsia="宋体" w:hint="default"/>
                <w:sz w:val="18"/>
                <w:szCs w:val="18"/>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1,148,215.00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应收账款情况" w:id="222"/>
      <w:bookmarkEnd w:id="22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7"/>
          <w:szCs w:val="27"/>
        </w:rPr>
      </w:pPr>
    </w:p>
    <w:p>
      <w:pPr>
        <w:pStyle w:val="BodyText"/>
        <w:spacing w:line="372" w:lineRule="auto"/>
        <w:ind w:right="6689"/>
        <w:jc w:val="left"/>
      </w:pPr>
      <w:r>
        <w:rPr>
          <w:spacing w:val="-3"/>
        </w:rPr>
        <w:t>公司是否需要遵守特殊行业的披露要求</w:t>
      </w:r>
      <w:r>
        <w:rPr>
          <w:spacing w:val="-44"/>
        </w:rPr>
        <w:t> </w:t>
      </w:r>
      <w:r>
        <w:rPr>
          <w:spacing w:val="-44"/>
        </w:rPr>
      </w:r>
      <w:r>
        <w:rPr/>
        <w:t>否</w:t>
      </w:r>
    </w:p>
    <w:p>
      <w:pPr>
        <w:pStyle w:val="BodyText"/>
        <w:spacing w:line="240" w:lineRule="auto" w:before="20"/>
        <w:ind w:right="0"/>
        <w:jc w:val="left"/>
        <w:rPr>
          <w:rFonts w:ascii="宋体" w:hAnsi="宋体" w:cs="宋体" w:eastAsia="宋体" w:hint="default"/>
        </w:rPr>
      </w:pPr>
      <w:r>
        <w:rPr>
          <w:spacing w:val="-2"/>
        </w:rPr>
        <w:t>期末应收账款余额前五名合计</w:t>
      </w:r>
      <w:r>
        <w:rPr>
          <w:rFonts w:ascii="Times New Roman" w:hAnsi="Times New Roman" w:cs="Times New Roman" w:eastAsia="Times New Roman" w:hint="default"/>
          <w:spacing w:val="-2"/>
        </w:rPr>
        <w:t>16,234,382.89</w:t>
      </w:r>
      <w:r>
        <w:rPr>
          <w:spacing w:val="-2"/>
        </w:rPr>
        <w:t>元，占应收账款余额的比例为</w:t>
      </w:r>
      <w:r>
        <w:rPr>
          <w:rFonts w:ascii="Times New Roman" w:hAnsi="Times New Roman" w:cs="Times New Roman" w:eastAsia="Times New Roman" w:hint="default"/>
          <w:spacing w:val="-2"/>
        </w:rPr>
        <w:t>13.85</w:t>
      </w:r>
      <w:r>
        <w:rPr>
          <w:rFonts w:ascii="Times New Roman" w:hAnsi="Times New Roman" w:cs="Times New Roman" w:eastAsia="Times New Roman" w:hint="default"/>
        </w:rPr>
        <w:t>  </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2"/>
        </w:rPr>
        <w:t>%</w:t>
      </w:r>
      <w:r>
        <w:rPr>
          <w:spacing w:val="-2"/>
        </w:rPr>
        <w:t>，计提坏账准备金额</w:t>
      </w:r>
      <w:r>
        <w:rPr>
          <w:rFonts w:ascii="Times New Roman" w:hAnsi="Times New Roman" w:cs="Times New Roman" w:eastAsia="Times New Roman" w:hint="default"/>
          <w:spacing w:val="-2"/>
        </w:rPr>
        <w:t>1,447,819.14</w:t>
      </w:r>
      <w:r>
        <w:rPr>
          <w:spacing w:val="-2"/>
        </w:rPr>
        <w:t>元。</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5）因金融资产转移而终止确认的应收账款" w:id="223"/>
      <w:bookmarkEnd w:id="22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期末无因金融资产转移而终止确认的应收账款。</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6）转移应收账款且继续涉入形成的资产、负债金额" w:id="224"/>
      <w:bookmarkEnd w:id="22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本期无因转移应收账款而继续涉入的形成的资产、负债。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4、预付款项" w:id="225"/>
      <w:bookmarkEnd w:id="22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预付款项按账龄列示" w:id="226"/>
      <w:bookmarkEnd w:id="22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408" w:hRule="exact"/>
        </w:trPr>
        <w:tc>
          <w:tcPr>
            <w:tcW w:w="19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1910"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3,191,090.29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82.59%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3,285,014.60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86.79%</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672,498.43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17.41%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500,211.85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13.21%</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3,863,588.72</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3,785,226.45</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43" w:lineRule="auto" w:before="58"/>
        <w:ind w:right="2638" w:hanging="1"/>
        <w:jc w:val="left"/>
        <w:rPr>
          <w:rFonts w:ascii="宋体" w:hAnsi="宋体" w:cs="宋体" w:eastAsia="宋体" w:hint="default"/>
        </w:rPr>
      </w:pPr>
      <w:r>
        <w:rPr/>
        <w:t>账龄超过 </w:t>
      </w:r>
      <w:r>
        <w:rPr>
          <w:rFonts w:ascii="Times New Roman" w:hAnsi="Times New Roman" w:cs="Times New Roman" w:eastAsia="Times New Roman" w:hint="default"/>
        </w:rPr>
        <w:t>1 </w:t>
      </w:r>
      <w:r>
        <w:rPr>
          <w:spacing w:val="-3"/>
        </w:rPr>
        <w:t>年且金额重要的预付款项未及时结算原因的说明：</w:t>
      </w:r>
      <w:r>
        <w:rPr>
          <w:spacing w:val="-75"/>
        </w:rPr>
        <w:t> </w:t>
      </w:r>
      <w:r>
        <w:rPr>
          <w:spacing w:val="-75"/>
        </w:rPr>
      </w:r>
      <w:r>
        <w:rPr>
          <w:spacing w:val="-3"/>
        </w:rPr>
        <w:t>期末余额中无账龄超过</w:t>
      </w:r>
      <w:r>
        <w:rPr>
          <w:rFonts w:ascii="Times New Roman" w:hAnsi="Times New Roman" w:cs="Times New Roman" w:eastAsia="Times New Roman" w:hint="default"/>
          <w:spacing w:val="-3"/>
        </w:rPr>
        <w:t>1</w:t>
      </w:r>
      <w:r>
        <w:rPr>
          <w:spacing w:val="-3"/>
        </w:rPr>
        <w:t>年且金额重要的预付款项。</w:t>
      </w:r>
      <w:r>
        <w:rPr>
          <w:rFonts w:ascii="宋体" w:hAnsi="宋体" w:cs="宋体" w:eastAsia="宋体" w:hint="default"/>
        </w:rPr>
        <w:t> </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按预付对象归集的期末余额前五名的预付款情况" w:id="227"/>
      <w:bookmarkEnd w:id="22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期末预付款项前五名金额合计</w:t>
      </w:r>
      <w:r>
        <w:rPr>
          <w:rFonts w:ascii="Times New Roman" w:hAnsi="Times New Roman" w:cs="Times New Roman" w:eastAsia="Times New Roman" w:hint="default"/>
        </w:rPr>
        <w:t>1,174,130.00</w:t>
      </w:r>
      <w:r>
        <w:rPr/>
        <w:t>元，占期末预付款项总额比例为</w:t>
      </w:r>
      <w:r>
        <w:rPr>
          <w:rFonts w:ascii="Times New Roman" w:hAnsi="Times New Roman" w:cs="Times New Roman" w:eastAsia="Times New Roman" w:hint="default"/>
        </w:rPr>
        <w:t>30.38%</w:t>
      </w:r>
      <w:r>
        <w:rPr/>
        <w:t>。</w:t>
      </w:r>
    </w:p>
    <w:p>
      <w:pPr>
        <w:spacing w:after="0" w:line="240" w:lineRule="auto"/>
        <w:jc w:val="left"/>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5、其他应收款" w:id="228"/>
      <w:bookmarkEnd w:id="228"/>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其他应收款分类披露" w:id="229"/>
      <w:bookmarkEnd w:id="22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88"/>
        <w:gridCol w:w="974"/>
        <w:gridCol w:w="696"/>
        <w:gridCol w:w="845"/>
        <w:gridCol w:w="682"/>
        <w:gridCol w:w="787"/>
        <w:gridCol w:w="878"/>
        <w:gridCol w:w="638"/>
        <w:gridCol w:w="960"/>
        <w:gridCol w:w="686"/>
        <w:gridCol w:w="931"/>
      </w:tblGrid>
      <w:tr>
        <w:trPr>
          <w:trHeight w:val="403" w:hRule="exact"/>
        </w:trPr>
        <w:tc>
          <w:tcPr>
            <w:tcW w:w="14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8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1488" w:type="dxa"/>
            <w:vMerge/>
            <w:tcBorders>
              <w:left w:val="single" w:sz="4" w:space="0" w:color="000000"/>
              <w:right w:val="single" w:sz="4" w:space="0" w:color="000000"/>
            </w:tcBorders>
            <w:shd w:val="clear" w:color="auto" w:fill="D4D4D4"/>
          </w:tcPr>
          <w:p>
            <w:pPr/>
          </w:p>
        </w:tc>
        <w:tc>
          <w:tcPr>
            <w:tcW w:w="167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328" w:lineRule="auto"/>
              <w:ind w:left="302" w:right="117" w:hanging="183"/>
              <w:jc w:val="left"/>
              <w:rPr>
                <w:rFonts w:ascii="宋体" w:hAnsi="宋体" w:cs="宋体" w:eastAsia="宋体" w:hint="default"/>
                <w:sz w:val="18"/>
                <w:szCs w:val="18"/>
              </w:rPr>
            </w:pPr>
            <w:r>
              <w:rPr>
                <w:rFonts w:ascii="宋体" w:hAnsi="宋体" w:cs="宋体" w:eastAsia="宋体" w:hint="default"/>
                <w:spacing w:val="-4"/>
                <w:sz w:val="18"/>
                <w:szCs w:val="18"/>
              </w:rPr>
              <w:t>账面价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c>
          <w:tcPr>
            <w:tcW w:w="151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328" w:lineRule="auto"/>
              <w:ind w:left="369" w:right="194" w:hanging="183"/>
              <w:jc w:val="left"/>
              <w:rPr>
                <w:rFonts w:ascii="宋体" w:hAnsi="宋体" w:cs="宋体" w:eastAsia="宋体" w:hint="default"/>
                <w:sz w:val="18"/>
                <w:szCs w:val="18"/>
              </w:rPr>
            </w:pPr>
            <w:r>
              <w:rPr>
                <w:rFonts w:ascii="宋体" w:hAnsi="宋体" w:cs="宋体" w:eastAsia="宋体" w:hint="default"/>
                <w:spacing w:val="-4"/>
                <w:sz w:val="18"/>
                <w:szCs w:val="18"/>
              </w:rPr>
              <w:t>账面价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r>
      <w:tr>
        <w:trPr>
          <w:trHeight w:val="730" w:hRule="exact"/>
        </w:trPr>
        <w:tc>
          <w:tcPr>
            <w:tcW w:w="1488" w:type="dxa"/>
            <w:vMerge/>
            <w:tcBorders>
              <w:left w:val="single" w:sz="4" w:space="0" w:color="000000"/>
              <w:bottom w:val="single" w:sz="4" w:space="0" w:color="000000"/>
              <w:right w:val="single" w:sz="4" w:space="0" w:color="000000"/>
            </w:tcBorders>
            <w:shd w:val="clear" w:color="auto" w:fill="D4D4D4"/>
          </w:tcPr>
          <w:p>
            <w:pPr/>
          </w:p>
        </w:tc>
        <w:tc>
          <w:tcPr>
            <w:tcW w:w="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53" w:right="151"/>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58" w:right="151"/>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56" w:hRule="exact"/>
        </w:trPr>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5" w:right="112"/>
              <w:jc w:val="both"/>
              <w:rPr>
                <w:rFonts w:ascii="宋体" w:hAnsi="宋体" w:cs="宋体" w:eastAsia="宋体" w:hint="default"/>
                <w:sz w:val="18"/>
                <w:szCs w:val="18"/>
              </w:rPr>
            </w:pPr>
            <w:r>
              <w:rPr>
                <w:rFonts w:ascii="宋体" w:hAnsi="宋体" w:cs="宋体" w:eastAsia="宋体" w:hint="default"/>
                <w:spacing w:val="-3"/>
                <w:sz w:val="18"/>
                <w:szCs w:val="18"/>
              </w:rPr>
              <w:t>按信用风险特征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组合计提坏账准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备的其他应收款</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14,100,84</w:t>
            </w:r>
          </w:p>
          <w:p>
            <w:pPr>
              <w:pStyle w:val="TableParagraph"/>
              <w:spacing w:line="240" w:lineRule="auto" w:before="114"/>
              <w:ind w:left="547" w:right="0"/>
              <w:jc w:val="left"/>
              <w:rPr>
                <w:rFonts w:ascii="Times New Roman" w:hAnsi="Times New Roman" w:cs="Times New Roman" w:eastAsia="Times New Roman" w:hint="default"/>
                <w:sz w:val="18"/>
                <w:szCs w:val="18"/>
              </w:rPr>
            </w:pPr>
            <w:r>
              <w:rPr>
                <w:rFonts w:ascii="Times New Roman"/>
                <w:sz w:val="18"/>
              </w:rPr>
              <w:t>3.69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4"/>
              <w:ind w:left="247" w:right="0"/>
              <w:jc w:val="center"/>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1,907,6</w:t>
            </w:r>
          </w:p>
          <w:p>
            <w:pPr>
              <w:pStyle w:val="TableParagraph"/>
              <w:spacing w:line="240" w:lineRule="auto" w:before="114"/>
              <w:ind w:left="225" w:right="0"/>
              <w:jc w:val="center"/>
              <w:rPr>
                <w:rFonts w:ascii="Times New Roman" w:hAnsi="Times New Roman" w:cs="Times New Roman" w:eastAsia="Times New Roman" w:hint="default"/>
                <w:sz w:val="18"/>
                <w:szCs w:val="18"/>
              </w:rPr>
            </w:pPr>
            <w:r>
              <w:rPr>
                <w:rFonts w:ascii="Times New Roman"/>
                <w:sz w:val="18"/>
              </w:rPr>
              <w:t>25.19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14"/>
              <w:ind w:left="417"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14"/>
              <w:ind w:left="182" w:right="0"/>
              <w:jc w:val="left"/>
              <w:rPr>
                <w:rFonts w:ascii="Times New Roman" w:hAnsi="Times New Roman" w:cs="Times New Roman" w:eastAsia="Times New Roman" w:hint="default"/>
                <w:sz w:val="18"/>
                <w:szCs w:val="18"/>
              </w:rPr>
            </w:pPr>
            <w:r>
              <w:rPr>
                <w:rFonts w:ascii="Times New Roman"/>
                <w:sz w:val="18"/>
              </w:rPr>
              <w:t>218.50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9,831,29</w:t>
            </w:r>
          </w:p>
          <w:p>
            <w:pPr>
              <w:pStyle w:val="TableParagraph"/>
              <w:spacing w:line="240" w:lineRule="auto" w:before="114"/>
              <w:ind w:left="451" w:right="0"/>
              <w:jc w:val="left"/>
              <w:rPr>
                <w:rFonts w:ascii="Times New Roman" w:hAnsi="Times New Roman" w:cs="Times New Roman" w:eastAsia="Times New Roman" w:hint="default"/>
                <w:sz w:val="18"/>
                <w:szCs w:val="18"/>
              </w:rPr>
            </w:pPr>
            <w:r>
              <w:rPr>
                <w:rFonts w:ascii="Times New Roman"/>
                <w:sz w:val="18"/>
              </w:rPr>
              <w:t>6.70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4"/>
              <w:ind w:left="190" w:right="0"/>
              <w:jc w:val="center"/>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1,230,644</w:t>
            </w:r>
          </w:p>
          <w:p>
            <w:pPr>
              <w:pStyle w:val="TableParagraph"/>
              <w:spacing w:line="240" w:lineRule="auto" w:before="114"/>
              <w:ind w:left="623" w:right="0"/>
              <w:jc w:val="left"/>
              <w:rPr>
                <w:rFonts w:ascii="Times New Roman" w:hAnsi="Times New Roman" w:cs="Times New Roman" w:eastAsia="Times New Roman" w:hint="default"/>
                <w:sz w:val="18"/>
                <w:szCs w:val="18"/>
              </w:rPr>
            </w:pPr>
            <w:r>
              <w:rPr>
                <w:rFonts w:ascii="Times New Roman"/>
                <w:sz w:val="18"/>
              </w:rPr>
              <w:t>.70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12.52</w:t>
            </w:r>
          </w:p>
          <w:p>
            <w:pPr>
              <w:pStyle w:val="TableParagraph"/>
              <w:spacing w:line="240" w:lineRule="auto" w:before="114"/>
              <w:ind w:left="42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8,600,65</w:t>
            </w:r>
          </w:p>
          <w:p>
            <w:pPr>
              <w:pStyle w:val="TableParagraph"/>
              <w:spacing w:line="240" w:lineRule="auto" w:before="114"/>
              <w:ind w:left="499" w:right="0"/>
              <w:jc w:val="left"/>
              <w:rPr>
                <w:rFonts w:ascii="Times New Roman" w:hAnsi="Times New Roman" w:cs="Times New Roman" w:eastAsia="Times New Roman" w:hint="default"/>
                <w:sz w:val="18"/>
                <w:szCs w:val="18"/>
              </w:rPr>
            </w:pPr>
            <w:r>
              <w:rPr>
                <w:rFonts w:ascii="Times New Roman"/>
                <w:sz w:val="18"/>
              </w:rPr>
              <w:t>2.00</w:t>
            </w:r>
          </w:p>
        </w:tc>
      </w:tr>
      <w:tr>
        <w:trPr>
          <w:trHeight w:val="730" w:hRule="exact"/>
        </w:trPr>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14,100,84</w:t>
            </w:r>
          </w:p>
          <w:p>
            <w:pPr>
              <w:pStyle w:val="TableParagraph"/>
              <w:spacing w:line="240" w:lineRule="auto" w:before="114"/>
              <w:ind w:left="547" w:right="0"/>
              <w:jc w:val="left"/>
              <w:rPr>
                <w:rFonts w:ascii="Times New Roman" w:hAnsi="Times New Roman" w:cs="Times New Roman" w:eastAsia="Times New Roman" w:hint="default"/>
                <w:sz w:val="18"/>
                <w:szCs w:val="18"/>
              </w:rPr>
            </w:pPr>
            <w:r>
              <w:rPr>
                <w:rFonts w:ascii="Times New Roman"/>
                <w:sz w:val="18"/>
              </w:rPr>
              <w:t>3.69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4"/>
              <w:ind w:left="247" w:right="0"/>
              <w:jc w:val="center"/>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center"/>
              <w:rPr>
                <w:rFonts w:ascii="Times New Roman" w:hAnsi="Times New Roman" w:cs="Times New Roman" w:eastAsia="Times New Roman" w:hint="default"/>
                <w:sz w:val="18"/>
                <w:szCs w:val="18"/>
              </w:rPr>
            </w:pPr>
            <w:r>
              <w:rPr>
                <w:rFonts w:ascii="Times New Roman"/>
                <w:sz w:val="18"/>
              </w:rPr>
              <w:t>1,907,6</w:t>
            </w:r>
          </w:p>
          <w:p>
            <w:pPr>
              <w:pStyle w:val="TableParagraph"/>
              <w:spacing w:line="240" w:lineRule="auto" w:before="114"/>
              <w:ind w:left="225" w:right="0"/>
              <w:jc w:val="center"/>
              <w:rPr>
                <w:rFonts w:ascii="Times New Roman" w:hAnsi="Times New Roman" w:cs="Times New Roman" w:eastAsia="Times New Roman" w:hint="default"/>
                <w:sz w:val="18"/>
                <w:szCs w:val="18"/>
              </w:rPr>
            </w:pPr>
            <w:r>
              <w:rPr>
                <w:rFonts w:ascii="Times New Roman"/>
                <w:sz w:val="18"/>
              </w:rPr>
              <w:t>25.19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3"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14"/>
              <w:ind w:left="417"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14"/>
              <w:ind w:left="182" w:right="0"/>
              <w:jc w:val="left"/>
              <w:rPr>
                <w:rFonts w:ascii="Times New Roman" w:hAnsi="Times New Roman" w:cs="Times New Roman" w:eastAsia="Times New Roman" w:hint="default"/>
                <w:sz w:val="18"/>
                <w:szCs w:val="18"/>
              </w:rPr>
            </w:pPr>
            <w:r>
              <w:rPr>
                <w:rFonts w:ascii="Times New Roman"/>
                <w:sz w:val="18"/>
              </w:rPr>
              <w:t>218.50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9,831,29</w:t>
            </w:r>
          </w:p>
          <w:p>
            <w:pPr>
              <w:pStyle w:val="TableParagraph"/>
              <w:spacing w:line="240" w:lineRule="auto" w:before="114"/>
              <w:ind w:left="451" w:right="0"/>
              <w:jc w:val="left"/>
              <w:rPr>
                <w:rFonts w:ascii="Times New Roman" w:hAnsi="Times New Roman" w:cs="Times New Roman" w:eastAsia="Times New Roman" w:hint="default"/>
                <w:sz w:val="18"/>
                <w:szCs w:val="18"/>
              </w:rPr>
            </w:pPr>
            <w:r>
              <w:rPr>
                <w:rFonts w:ascii="Times New Roman"/>
                <w:sz w:val="18"/>
              </w:rPr>
              <w:t>6.70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4"/>
              <w:ind w:left="190" w:right="0"/>
              <w:jc w:val="center"/>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1,230,644</w:t>
            </w:r>
          </w:p>
          <w:p>
            <w:pPr>
              <w:pStyle w:val="TableParagraph"/>
              <w:spacing w:line="240" w:lineRule="auto" w:before="114"/>
              <w:ind w:left="623" w:right="0"/>
              <w:jc w:val="left"/>
              <w:rPr>
                <w:rFonts w:ascii="Times New Roman" w:hAnsi="Times New Roman" w:cs="Times New Roman" w:eastAsia="Times New Roman" w:hint="default"/>
                <w:sz w:val="18"/>
                <w:szCs w:val="18"/>
              </w:rPr>
            </w:pPr>
            <w:r>
              <w:rPr>
                <w:rFonts w:ascii="Times New Roman"/>
                <w:sz w:val="18"/>
              </w:rPr>
              <w:t>.70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12.52</w:t>
            </w:r>
          </w:p>
          <w:p>
            <w:pPr>
              <w:pStyle w:val="TableParagraph"/>
              <w:spacing w:line="240" w:lineRule="auto" w:before="114"/>
              <w:ind w:left="42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8,600,65</w:t>
            </w:r>
          </w:p>
          <w:p>
            <w:pPr>
              <w:pStyle w:val="TableParagraph"/>
              <w:spacing w:line="240" w:lineRule="auto" w:before="114"/>
              <w:ind w:left="499" w:right="0"/>
              <w:jc w:val="left"/>
              <w:rPr>
                <w:rFonts w:ascii="Times New Roman" w:hAnsi="Times New Roman" w:cs="Times New Roman" w:eastAsia="Times New Roman" w:hint="default"/>
                <w:sz w:val="18"/>
                <w:szCs w:val="18"/>
              </w:rPr>
            </w:pPr>
            <w:r>
              <w:rPr>
                <w:rFonts w:ascii="Times New Roman"/>
                <w:sz w:val="18"/>
              </w:rPr>
              <w:t>2.00</w:t>
            </w:r>
          </w:p>
        </w:tc>
      </w:tr>
    </w:tbl>
    <w:p>
      <w:pPr>
        <w:pStyle w:val="BodyText"/>
        <w:spacing w:line="240" w:lineRule="auto" w:before="58"/>
        <w:ind w:right="0"/>
        <w:jc w:val="left"/>
      </w:pPr>
      <w:r>
        <w:rPr>
          <w:spacing w:val="-3"/>
        </w:rPr>
        <w:t>期末单项金额重大并单项计提坏账准备的其他应收款：</w:t>
      </w:r>
    </w:p>
    <w:p>
      <w:pPr>
        <w:spacing w:after="0" w:line="240" w:lineRule="auto"/>
        <w:jc w:val="left"/>
        <w:sectPr>
          <w:pgSz w:w="11910" w:h="16840"/>
          <w:pgMar w:header="914" w:footer="1027" w:top="1100" w:bottom="1220" w:left="980" w:right="980"/>
        </w:sectPr>
      </w:pPr>
    </w:p>
    <w:p>
      <w:pPr>
        <w:pStyle w:val="BodyText"/>
        <w:spacing w:line="367" w:lineRule="auto" w:before="129"/>
        <w:ind w:right="0" w:hanging="1"/>
        <w:jc w:val="left"/>
      </w:pPr>
      <w:r>
        <w:rPr/>
        <w:t>□ </w:t>
      </w:r>
      <w:r>
        <w:rPr>
          <w:spacing w:val="-3"/>
        </w:rPr>
        <w:t>适用 </w:t>
      </w:r>
      <w:r>
        <w:rPr/>
        <w:t>√ 不适用</w:t>
      </w:r>
      <w:r>
        <w:rPr>
          <w:spacing w:val="-77"/>
        </w:rPr>
        <w:t> </w:t>
      </w:r>
      <w:r>
        <w:rPr>
          <w:spacing w:val="-77"/>
        </w:rPr>
      </w:r>
      <w:r>
        <w:rPr>
          <w:spacing w:val="-3"/>
        </w:rPr>
        <w:t>组合中，按账龄分析法计提坏账准备的其他应收款：</w:t>
      </w:r>
      <w:r>
        <w:rPr/>
      </w:r>
    </w:p>
    <w:p>
      <w:pPr>
        <w:pStyle w:val="BodyText"/>
        <w:spacing w:line="240" w:lineRule="auto" w:before="29"/>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980" w:right="980"/>
          <w:cols w:num="2" w:equalWidth="0">
            <w:col w:w="4292" w:space="4536"/>
            <w:col w:w="112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8" w:hRule="exact"/>
        </w:trPr>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2390" w:type="dxa"/>
            <w:vMerge/>
            <w:tcBorders>
              <w:left w:val="single" w:sz="4" w:space="0" w:color="000000"/>
              <w:bottom w:val="single" w:sz="4" w:space="0" w:color="000000"/>
              <w:right w:val="single" w:sz="4" w:space="0" w:color="000000"/>
            </w:tcBorders>
            <w:shd w:val="clear" w:color="auto" w:fill="D4D4D4"/>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宋体" w:hAnsi="宋体" w:cs="宋体" w:eastAsia="宋体" w:hint="default"/>
                <w:sz w:val="18"/>
                <w:szCs w:val="18"/>
              </w:rPr>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8"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2"/>
                <w:sz w:val="18"/>
              </w:rPr>
              <w:t>10,859,711.60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542,985.59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10,859,711.60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542,985.59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1,135,960.70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3"/>
                <w:sz w:val="18"/>
              </w:rPr>
              <w:t>113,596.08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1,067,659.83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213,531.96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3"/>
                <w:sz w:val="18"/>
              </w:rPr>
              <w:t>1,037,511.56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3"/>
                <w:sz w:val="18"/>
              </w:rPr>
              <w:t>1,037,511.56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14,100,843.69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1,907,625.19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72" w:lineRule="auto" w:before="58"/>
        <w:ind w:right="3440"/>
        <w:jc w:val="left"/>
      </w:pPr>
      <w:r>
        <w:rPr>
          <w:spacing w:val="-3"/>
        </w:rPr>
        <w:t>确定该组合依据的说明：</w:t>
      </w:r>
      <w:r>
        <w:rPr>
          <w:spacing w:val="-61"/>
        </w:rPr>
        <w:t> </w:t>
      </w:r>
      <w:r>
        <w:rPr>
          <w:spacing w:val="-61"/>
        </w:rPr>
      </w:r>
      <w:r>
        <w:rPr>
          <w:spacing w:val="-3"/>
        </w:rPr>
        <w:t>组合中，采用余额百分比法计提坏账准备的其他应收款：</w:t>
      </w:r>
      <w:r>
        <w:rPr/>
      </w:r>
    </w:p>
    <w:p>
      <w:pPr>
        <w:pStyle w:val="BodyText"/>
        <w:spacing w:line="367" w:lineRule="auto" w:before="25"/>
        <w:ind w:right="5459" w:hanging="1"/>
        <w:jc w:val="left"/>
      </w:pPr>
      <w:r>
        <w:rPr/>
        <w:t>□ </w:t>
      </w:r>
      <w:r>
        <w:rPr>
          <w:spacing w:val="-3"/>
        </w:rPr>
        <w:t>适用 </w:t>
      </w:r>
      <w:r>
        <w:rPr/>
        <w:t>√ 不适用</w:t>
      </w:r>
      <w:r>
        <w:rPr>
          <w:spacing w:val="-77"/>
        </w:rPr>
        <w:t> </w:t>
      </w:r>
      <w:r>
        <w:rPr>
          <w:spacing w:val="-77"/>
        </w:rPr>
      </w:r>
      <w:r>
        <w:rPr>
          <w:spacing w:val="-3"/>
        </w:rPr>
        <w:t>组合中，采用其他方法计提坏账准备的其他应收款：</w:t>
      </w:r>
      <w:r>
        <w:rPr/>
      </w:r>
    </w:p>
    <w:p>
      <w:pPr>
        <w:pStyle w:val="BodyText"/>
        <w:spacing w:line="240" w:lineRule="auto" w:before="29"/>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33"/>
        </w:rPr>
        <w:t> </w:t>
      </w:r>
      <w:r>
        <w:rPr>
          <w:rFonts w:ascii="Times New Roman" w:hAnsi="Times New Roman" w:cs="Times New Roman" w:eastAsia="Times New Roman" w:hint="default"/>
        </w:rPr>
        <w:t>679,080.49</w:t>
      </w:r>
      <w:r>
        <w:rPr>
          <w:rFonts w:ascii="Times New Roman" w:hAnsi="Times New Roman" w:cs="Times New Roman" w:eastAsia="Times New Roman" w:hint="default"/>
          <w:spacing w:val="12"/>
        </w:rPr>
        <w:t> </w:t>
      </w:r>
      <w:r>
        <w:rPr>
          <w:spacing w:val="-3"/>
        </w:rPr>
        <w:t>元；本期收回或转回坏账准备金额</w:t>
      </w:r>
      <w:r>
        <w:rPr>
          <w:spacing w:val="-34"/>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after="0" w:line="240" w:lineRule="auto"/>
        <w:jc w:val="left"/>
        <w:sectPr>
          <w:type w:val="continuous"/>
          <w:pgSz w:w="11910" w:h="16840"/>
          <w:pgMar w:top="1100" w:bottom="1220" w:left="980" w:right="98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3）其他应收款按款项性质分类情况" w:id="231"/>
      <w:bookmarkEnd w:id="23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8,860,134.40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7,167,030.00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其他往来及备用金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2,144,471.15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2,664,266.70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增值税软件退税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3,096,238.14</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14,100,843.69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9,831,296.70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232"/>
      <w:bookmarkEnd w:id="23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28"/>
        <w:gridCol w:w="1459"/>
        <w:gridCol w:w="1596"/>
        <w:gridCol w:w="1692"/>
        <w:gridCol w:w="1800"/>
        <w:gridCol w:w="1291"/>
      </w:tblGrid>
      <w:tr>
        <w:trPr>
          <w:trHeight w:val="727" w:hRule="exact"/>
        </w:trPr>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款项的性质</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27"/>
              <w:jc w:val="right"/>
              <w:rPr>
                <w:rFonts w:ascii="宋体" w:hAnsi="宋体" w:cs="宋体" w:eastAsia="宋体" w:hint="default"/>
                <w:sz w:val="18"/>
                <w:szCs w:val="18"/>
              </w:rPr>
            </w:pPr>
            <w:r>
              <w:rPr>
                <w:rFonts w:ascii="宋体" w:hAnsi="宋体" w:cs="宋体" w:eastAsia="宋体" w:hint="default"/>
                <w:spacing w:val="-2"/>
                <w:sz w:val="18"/>
                <w:szCs w:val="18"/>
              </w:rPr>
              <w:t>期末余额</w:t>
            </w:r>
          </w:p>
        </w:tc>
        <w:tc>
          <w:tcPr>
            <w:tcW w:w="1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61"/>
              <w:ind w:left="177" w:right="16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2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61"/>
              <w:ind w:left="374" w:right="189" w:hanging="183"/>
              <w:jc w:val="left"/>
              <w:rPr>
                <w:rFonts w:ascii="宋体" w:hAnsi="宋体" w:cs="宋体" w:eastAsia="宋体" w:hint="default"/>
                <w:sz w:val="18"/>
                <w:szCs w:val="18"/>
              </w:rPr>
            </w:pPr>
            <w:r>
              <w:rPr>
                <w:rFonts w:ascii="宋体" w:hAnsi="宋体" w:cs="宋体" w:eastAsia="宋体" w:hint="default"/>
                <w:spacing w:val="-3"/>
                <w:sz w:val="18"/>
                <w:szCs w:val="18"/>
              </w:rPr>
              <w:t>坏账准备期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末余额</w:t>
            </w:r>
            <w:r>
              <w:rPr>
                <w:rFonts w:ascii="宋体" w:hAnsi="宋体" w:cs="宋体" w:eastAsia="宋体" w:hint="default"/>
                <w:sz w:val="18"/>
                <w:szCs w:val="18"/>
              </w:rPr>
            </w:r>
          </w:p>
        </w:tc>
      </w:tr>
      <w:tr>
        <w:trPr>
          <w:trHeight w:val="737" w:hRule="exact"/>
        </w:trPr>
        <w:tc>
          <w:tcPr>
            <w:tcW w:w="1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6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长沙市高新区国家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税务局</w:t>
            </w:r>
            <w:r>
              <w:rPr>
                <w:rFonts w:ascii="宋体" w:hAnsi="宋体" w:cs="宋体" w:eastAsia="宋体" w:hint="default"/>
                <w:sz w:val="18"/>
                <w:szCs w:val="18"/>
              </w:rPr>
            </w: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软件退税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12"/>
              <w:jc w:val="right"/>
              <w:rPr>
                <w:rFonts w:ascii="Times New Roman" w:hAnsi="Times New Roman" w:cs="Times New Roman" w:eastAsia="Times New Roman" w:hint="default"/>
                <w:sz w:val="18"/>
                <w:szCs w:val="18"/>
              </w:rPr>
            </w:pPr>
            <w:r>
              <w:rPr>
                <w:rFonts w:ascii="Times New Roman"/>
                <w:spacing w:val="-1"/>
                <w:sz w:val="18"/>
              </w:rPr>
              <w:t>3,096,238.14</w:t>
            </w:r>
          </w:p>
        </w:tc>
        <w:tc>
          <w:tcPr>
            <w:tcW w:w="1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21.96%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154,811.91</w:t>
            </w:r>
          </w:p>
        </w:tc>
      </w:tr>
      <w:tr>
        <w:trPr>
          <w:trHeight w:val="410" w:hRule="exact"/>
        </w:trPr>
        <w:tc>
          <w:tcPr>
            <w:tcW w:w="1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中南大学</w:t>
            </w: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79"/>
              <w:jc w:val="right"/>
              <w:rPr>
                <w:rFonts w:ascii="Times New Roman" w:hAnsi="Times New Roman" w:cs="Times New Roman" w:eastAsia="Times New Roman" w:hint="default"/>
                <w:sz w:val="18"/>
                <w:szCs w:val="18"/>
              </w:rPr>
            </w:pPr>
            <w:r>
              <w:rPr>
                <w:rFonts w:ascii="Times New Roman"/>
                <w:spacing w:val="-1"/>
                <w:sz w:val="18"/>
              </w:rPr>
              <w:t>837,840.00</w:t>
            </w:r>
          </w:p>
        </w:tc>
        <w:tc>
          <w:tcPr>
            <w:tcW w:w="1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62" w:right="0"/>
              <w:jc w:val="left"/>
              <w:rPr>
                <w:rFonts w:ascii="Times New Roman" w:hAnsi="Times New Roman" w:cs="Times New Roman" w:eastAsia="Times New Roman" w:hint="default"/>
                <w:sz w:val="18"/>
                <w:szCs w:val="18"/>
              </w:rPr>
            </w:pPr>
            <w:r>
              <w:rPr>
                <w:rFonts w:ascii="Times New Roman"/>
                <w:sz w:val="18"/>
              </w:rPr>
              <w:t>5.94%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5" w:right="0"/>
              <w:jc w:val="left"/>
              <w:rPr>
                <w:rFonts w:ascii="Times New Roman" w:hAnsi="Times New Roman" w:cs="Times New Roman" w:eastAsia="Times New Roman" w:hint="default"/>
                <w:sz w:val="18"/>
                <w:szCs w:val="18"/>
              </w:rPr>
            </w:pPr>
            <w:r>
              <w:rPr>
                <w:rFonts w:ascii="Times New Roman"/>
                <w:sz w:val="18"/>
              </w:rPr>
              <w:t>167,568.00</w:t>
            </w:r>
          </w:p>
        </w:tc>
      </w:tr>
      <w:tr>
        <w:trPr>
          <w:trHeight w:val="1051" w:hRule="exact"/>
        </w:trPr>
        <w:tc>
          <w:tcPr>
            <w:tcW w:w="1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499" w:right="132" w:hanging="360"/>
              <w:jc w:val="left"/>
              <w:rPr>
                <w:rFonts w:ascii="宋体" w:hAnsi="宋体" w:cs="宋体" w:eastAsia="宋体" w:hint="default"/>
                <w:sz w:val="18"/>
                <w:szCs w:val="18"/>
              </w:rPr>
            </w:pPr>
            <w:r>
              <w:rPr>
                <w:rFonts w:ascii="宋体" w:hAnsi="宋体" w:cs="宋体" w:eastAsia="宋体" w:hint="default"/>
                <w:spacing w:val="-2"/>
                <w:sz w:val="18"/>
                <w:szCs w:val="18"/>
              </w:rPr>
              <w:t>岳阳市政府采购管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理办公室</w:t>
            </w: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79"/>
              <w:jc w:val="right"/>
              <w:rPr>
                <w:rFonts w:ascii="Times New Roman" w:hAnsi="Times New Roman" w:cs="Times New Roman" w:eastAsia="Times New Roman" w:hint="default"/>
                <w:sz w:val="18"/>
                <w:szCs w:val="18"/>
              </w:rPr>
            </w:pPr>
            <w:r>
              <w:rPr>
                <w:rFonts w:ascii="Times New Roman"/>
                <w:spacing w:val="-1"/>
                <w:sz w:val="18"/>
              </w:rPr>
              <w:t>724,409.60</w:t>
            </w:r>
          </w:p>
        </w:tc>
        <w:tc>
          <w:tcPr>
            <w:tcW w:w="1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640,673.60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83,736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62" w:right="0"/>
              <w:jc w:val="left"/>
              <w:rPr>
                <w:rFonts w:ascii="Times New Roman" w:hAnsi="Times New Roman" w:cs="Times New Roman" w:eastAsia="Times New Roman" w:hint="default"/>
                <w:sz w:val="18"/>
                <w:szCs w:val="18"/>
              </w:rPr>
            </w:pPr>
            <w:r>
              <w:rPr>
                <w:rFonts w:ascii="Times New Roman"/>
                <w:sz w:val="18"/>
              </w:rPr>
              <w:t>5.14%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40,407.28</w:t>
            </w:r>
          </w:p>
        </w:tc>
      </w:tr>
      <w:tr>
        <w:trPr>
          <w:trHeight w:val="413" w:hRule="exact"/>
        </w:trPr>
        <w:tc>
          <w:tcPr>
            <w:tcW w:w="1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湖南第一师范学院</w:t>
            </w: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9"/>
              <w:jc w:val="right"/>
              <w:rPr>
                <w:rFonts w:ascii="Times New Roman" w:hAnsi="Times New Roman" w:cs="Times New Roman" w:eastAsia="Times New Roman" w:hint="default"/>
                <w:sz w:val="18"/>
                <w:szCs w:val="18"/>
              </w:rPr>
            </w:pPr>
            <w:r>
              <w:rPr>
                <w:rFonts w:ascii="Times New Roman"/>
                <w:spacing w:val="-1"/>
                <w:sz w:val="18"/>
              </w:rPr>
              <w:t>619,280.15</w:t>
            </w:r>
          </w:p>
        </w:tc>
        <w:tc>
          <w:tcPr>
            <w:tcW w:w="1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2" w:right="0"/>
              <w:jc w:val="left"/>
              <w:rPr>
                <w:rFonts w:ascii="Times New Roman" w:hAnsi="Times New Roman" w:cs="Times New Roman" w:eastAsia="Times New Roman" w:hint="default"/>
                <w:sz w:val="18"/>
                <w:szCs w:val="18"/>
              </w:rPr>
            </w:pPr>
            <w:r>
              <w:rPr>
                <w:rFonts w:ascii="Times New Roman"/>
                <w:sz w:val="18"/>
              </w:rPr>
              <w:t>4.39%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3" w:right="0"/>
              <w:jc w:val="left"/>
              <w:rPr>
                <w:rFonts w:ascii="Times New Roman" w:hAnsi="Times New Roman" w:cs="Times New Roman" w:eastAsia="Times New Roman" w:hint="default"/>
                <w:sz w:val="18"/>
                <w:szCs w:val="18"/>
              </w:rPr>
            </w:pPr>
            <w:r>
              <w:rPr>
                <w:rFonts w:ascii="Times New Roman"/>
                <w:sz w:val="18"/>
              </w:rPr>
              <w:t>30,964.01</w:t>
            </w:r>
          </w:p>
        </w:tc>
      </w:tr>
      <w:tr>
        <w:trPr>
          <w:trHeight w:val="734" w:hRule="exact"/>
        </w:trPr>
        <w:tc>
          <w:tcPr>
            <w:tcW w:w="1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云南省救灾物资储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备中心</w:t>
            </w:r>
            <w:r>
              <w:rPr>
                <w:rFonts w:ascii="宋体" w:hAnsi="宋体" w:cs="宋体" w:eastAsia="宋体" w:hint="default"/>
                <w:sz w:val="18"/>
                <w:szCs w:val="18"/>
              </w:rPr>
            </w: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79"/>
              <w:jc w:val="right"/>
              <w:rPr>
                <w:rFonts w:ascii="Times New Roman" w:hAnsi="Times New Roman" w:cs="Times New Roman" w:eastAsia="Times New Roman" w:hint="default"/>
                <w:sz w:val="18"/>
                <w:szCs w:val="18"/>
              </w:rPr>
            </w:pPr>
            <w:r>
              <w:rPr>
                <w:rFonts w:ascii="Times New Roman"/>
                <w:spacing w:val="-1"/>
                <w:sz w:val="18"/>
              </w:rPr>
              <w:t>577,500.00</w:t>
            </w:r>
          </w:p>
        </w:tc>
        <w:tc>
          <w:tcPr>
            <w:tcW w:w="16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62" w:right="0"/>
              <w:jc w:val="left"/>
              <w:rPr>
                <w:rFonts w:ascii="Times New Roman" w:hAnsi="Times New Roman" w:cs="Times New Roman" w:eastAsia="Times New Roman" w:hint="default"/>
                <w:sz w:val="18"/>
                <w:szCs w:val="18"/>
              </w:rPr>
            </w:pPr>
            <w:r>
              <w:rPr>
                <w:rFonts w:ascii="Times New Roman"/>
                <w:sz w:val="18"/>
              </w:rPr>
              <w:t>4.10%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28,875.00</w:t>
            </w:r>
          </w:p>
        </w:tc>
      </w:tr>
      <w:tr>
        <w:trPr>
          <w:trHeight w:val="408" w:hRule="exact"/>
        </w:trPr>
        <w:tc>
          <w:tcPr>
            <w:tcW w:w="17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12"/>
              <w:jc w:val="right"/>
              <w:rPr>
                <w:rFonts w:ascii="Times New Roman" w:hAnsi="Times New Roman" w:cs="Times New Roman" w:eastAsia="Times New Roman" w:hint="default"/>
                <w:sz w:val="18"/>
                <w:szCs w:val="18"/>
              </w:rPr>
            </w:pPr>
            <w:r>
              <w:rPr>
                <w:rFonts w:ascii="Times New Roman"/>
                <w:spacing w:val="-1"/>
                <w:sz w:val="18"/>
              </w:rPr>
              <w:t>5,855,267.89</w:t>
            </w:r>
          </w:p>
        </w:tc>
        <w:tc>
          <w:tcPr>
            <w:tcW w:w="1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9" w:right="0"/>
              <w:jc w:val="left"/>
              <w:rPr>
                <w:rFonts w:ascii="Times New Roman" w:hAnsi="Times New Roman" w:cs="Times New Roman" w:eastAsia="Times New Roman" w:hint="default"/>
                <w:sz w:val="18"/>
                <w:szCs w:val="18"/>
              </w:rPr>
            </w:pPr>
            <w:r>
              <w:rPr>
                <w:rFonts w:ascii="Times New Roman"/>
                <w:sz w:val="18"/>
              </w:rPr>
              <w:t>41.53%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5" w:right="0"/>
              <w:jc w:val="left"/>
              <w:rPr>
                <w:rFonts w:ascii="Times New Roman" w:hAnsi="Times New Roman" w:cs="Times New Roman" w:eastAsia="Times New Roman" w:hint="default"/>
                <w:sz w:val="18"/>
                <w:szCs w:val="18"/>
              </w:rPr>
            </w:pPr>
            <w:r>
              <w:rPr>
                <w:rFonts w:ascii="Times New Roman"/>
                <w:sz w:val="18"/>
              </w:rPr>
              <w:t>422,626.20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5）涉及政府补助的应收款项" w:id="233"/>
      <w:bookmarkEnd w:id="233"/>
      <w:r>
        <w:rPr>
          <w:b w:val="0"/>
          <w:bCs w:val="0"/>
        </w:rPr>
      </w: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0"/>
        <w:gridCol w:w="1829"/>
        <w:gridCol w:w="1464"/>
        <w:gridCol w:w="1186"/>
        <w:gridCol w:w="3182"/>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3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预计收取的时间、金额及依据</w:t>
            </w:r>
            <w:r>
              <w:rPr>
                <w:rFonts w:ascii="宋体" w:hAnsi="宋体" w:cs="宋体" w:eastAsia="宋体" w:hint="default"/>
                <w:sz w:val="18"/>
                <w:szCs w:val="18"/>
              </w:rPr>
            </w:r>
          </w:p>
        </w:tc>
      </w:tr>
      <w:tr>
        <w:trPr>
          <w:trHeight w:val="1061" w:hRule="exact"/>
        </w:trPr>
        <w:tc>
          <w:tcPr>
            <w:tcW w:w="1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sz w:val="17"/>
                <w:szCs w:val="17"/>
              </w:rPr>
            </w:pPr>
          </w:p>
          <w:p>
            <w:pPr>
              <w:pStyle w:val="TableParagraph"/>
              <w:spacing w:line="328" w:lineRule="auto"/>
              <w:ind w:left="772" w:right="136" w:hanging="629"/>
              <w:jc w:val="left"/>
              <w:rPr>
                <w:rFonts w:ascii="宋体" w:hAnsi="宋体" w:cs="宋体" w:eastAsia="宋体" w:hint="default"/>
                <w:sz w:val="18"/>
                <w:szCs w:val="18"/>
              </w:rPr>
            </w:pPr>
            <w:r>
              <w:rPr>
                <w:rFonts w:ascii="宋体" w:hAnsi="宋体" w:cs="宋体" w:eastAsia="宋体" w:hint="default"/>
                <w:spacing w:val="-3"/>
                <w:sz w:val="18"/>
                <w:szCs w:val="18"/>
              </w:rPr>
              <w:t>长沙市高新区国家税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务局</w:t>
            </w:r>
          </w:p>
        </w:tc>
        <w:tc>
          <w:tcPr>
            <w:tcW w:w="1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pacing w:val="-3"/>
                <w:sz w:val="18"/>
                <w:szCs w:val="18"/>
              </w:rPr>
              <w:t>增值税软件退税</w:t>
            </w:r>
            <w:r>
              <w:rPr>
                <w:rFonts w:ascii="宋体" w:hAnsi="宋体" w:cs="宋体" w:eastAsia="宋体" w:hint="default"/>
                <w:sz w:val="18"/>
                <w:szCs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3,096,238.14</w:t>
            </w:r>
          </w:p>
        </w:tc>
        <w:tc>
          <w:tcPr>
            <w:tcW w:w="11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63"/>
              <w:ind w:left="148" w:right="136"/>
              <w:jc w:val="both"/>
              <w:rPr>
                <w:rFonts w:ascii="宋体" w:hAnsi="宋体" w:cs="宋体" w:eastAsia="宋体" w:hint="default"/>
                <w:sz w:val="18"/>
                <w:szCs w:val="18"/>
              </w:rPr>
            </w:pPr>
            <w:r>
              <w:rPr>
                <w:rFonts w:ascii="宋体" w:hAnsi="宋体" w:cs="宋体" w:eastAsia="宋体" w:hint="default"/>
                <w:spacing w:val="-3"/>
                <w:sz w:val="18"/>
                <w:szCs w:val="18"/>
              </w:rPr>
              <w:t>依据长沙市高新区国家税务局软件产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品增值税即征即退申请审批表，预计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年收到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3,096,238.14 </w:t>
            </w:r>
            <w:r>
              <w:rPr>
                <w:rFonts w:ascii="宋体" w:hAnsi="宋体" w:cs="宋体" w:eastAsia="宋体" w:hint="default"/>
                <w:sz w:val="18"/>
                <w:szCs w:val="18"/>
              </w:rPr>
              <w:t>元退税</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3,096,238.14</w:t>
            </w:r>
          </w:p>
        </w:tc>
        <w:tc>
          <w:tcPr>
            <w:tcW w:w="1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6）因金融资产转移而终止确认的其他应收款" w:id="234"/>
      <w:bookmarkEnd w:id="234"/>
      <w:r>
        <w:rPr>
          <w:b w:val="0"/>
          <w:bCs w:val="0"/>
        </w:rPr>
      </w:r>
      <w:r>
        <w:rPr/>
        <w:t>（</w:t>
      </w:r>
      <w:r>
        <w:rPr>
          <w:rFonts w:ascii="Times New Roman" w:hAnsi="Times New Roman" w:cs="Times New Roman" w:eastAsia="Times New Roman" w:hint="default"/>
        </w:rPr>
        <w:t>6</w:t>
      </w:r>
      <w:r>
        <w:rPr/>
        <w:t>）因金融资产转移而终止确认的其他应收款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本期无金融资产转移而终止确认的其他应收款。</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7）转移其他应收款且继续涉入形成的资产、负债金额" w:id="235"/>
      <w:bookmarkEnd w:id="235"/>
      <w:r>
        <w:rPr>
          <w:b w:val="0"/>
          <w:bCs w:val="0"/>
        </w:rPr>
      </w:r>
      <w:r>
        <w:rPr/>
        <w:t>（</w:t>
      </w:r>
      <w:r>
        <w:rPr>
          <w:rFonts w:ascii="Times New Roman" w:hAnsi="Times New Roman" w:cs="Times New Roman" w:eastAsia="Times New Roman" w:hint="default"/>
        </w:rPr>
        <w:t>7</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本期无转移其他应收款而继续涉入形成的资产、负债。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6、存货" w:id="236"/>
      <w:bookmarkEnd w:id="236"/>
      <w:r>
        <w:rPr>
          <w:b w:val="0"/>
          <w:bCs w:val="0"/>
        </w:rPr>
      </w:r>
      <w:r>
        <w:rPr>
          <w:rFonts w:ascii="Times New Roman" w:hAnsi="Times New Roman" w:cs="Times New Roman" w:eastAsia="Times New Roman" w:hint="default"/>
        </w:rPr>
        <w:t>6</w:t>
      </w:r>
      <w:r>
        <w:rPr/>
        <w:t>、存货</w:t>
      </w:r>
      <w:r>
        <w:rPr>
          <w:b w:val="0"/>
          <w:bCs w:val="0"/>
        </w:rPr>
      </w:r>
    </w:p>
    <w:p>
      <w:pPr>
        <w:spacing w:line="240" w:lineRule="auto" w:before="5"/>
        <w:rPr>
          <w:rFonts w:ascii="宋体" w:hAnsi="宋体" w:cs="宋体" w:eastAsia="宋体" w:hint="default"/>
          <w:b/>
          <w:bCs/>
          <w:sz w:val="27"/>
          <w:szCs w:val="27"/>
        </w:rPr>
      </w:pPr>
    </w:p>
    <w:p>
      <w:pPr>
        <w:pStyle w:val="BodyText"/>
        <w:spacing w:line="367" w:lineRule="auto"/>
        <w:ind w:right="6446"/>
        <w:jc w:val="left"/>
      </w:pPr>
      <w:r>
        <w:rPr>
          <w:spacing w:val="-3"/>
        </w:rPr>
        <w:t>公司是否需要遵守房地产行业的披露要求</w:t>
      </w:r>
      <w:r>
        <w:rPr>
          <w:spacing w:val="-33"/>
        </w:rPr>
        <w:t> </w:t>
      </w:r>
      <w:r>
        <w:rPr>
          <w:spacing w:val="-33"/>
        </w:rPr>
      </w:r>
      <w:r>
        <w:rPr/>
        <w:t>否</w:t>
      </w: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1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原材料</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205,955.92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205,955.92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275,143.53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275,143.53</w:t>
            </w:r>
          </w:p>
        </w:tc>
      </w:tr>
      <w:tr>
        <w:trPr>
          <w:trHeight w:val="4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在产品</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67,372,518.72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67,372,518.72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61,009,125.81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61,009,125.81</w:t>
            </w:r>
          </w:p>
        </w:tc>
      </w:tr>
      <w:tr>
        <w:trPr>
          <w:trHeight w:val="408"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67,578,474.64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67,578,474.64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61,284,269.34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61,284,269.34</w:t>
            </w:r>
          </w:p>
        </w:tc>
      </w:tr>
    </w:tbl>
    <w:p>
      <w:pPr>
        <w:pStyle w:val="BodyText"/>
        <w:spacing w:line="350" w:lineRule="auto" w:before="58"/>
        <w:ind w:right="1445"/>
        <w:jc w:val="left"/>
      </w:pPr>
      <w:r>
        <w:rPr>
          <w:spacing w:val="-3"/>
        </w:rPr>
        <w:t>公司是否需遵守《深圳证券交易所行业信息披露指引第 </w:t>
      </w:r>
      <w:r>
        <w:rPr>
          <w:rFonts w:ascii="Times New Roman" w:hAnsi="Times New Roman" w:cs="Times New Roman" w:eastAsia="Times New Roman" w:hint="default"/>
        </w:rPr>
        <w:t>4 </w:t>
      </w:r>
      <w:r>
        <w:rPr>
          <w:spacing w:val="-3"/>
        </w:rPr>
        <w:t>号</w:t>
      </w:r>
      <w:r>
        <w:rPr>
          <w:rFonts w:ascii="宋体" w:hAnsi="宋体" w:cs="宋体" w:eastAsia="宋体" w:hint="default"/>
          <w:spacing w:val="-3"/>
        </w:rPr>
        <w:t>—</w:t>
      </w:r>
      <w:r>
        <w:rPr>
          <w:spacing w:val="-3"/>
        </w:rPr>
        <w:t>上市公司从事种业、种植业务》的披露要求</w:t>
      </w:r>
      <w:r>
        <w:rPr>
          <w:spacing w:val="-53"/>
        </w:rPr>
        <w:t> </w:t>
      </w:r>
      <w:r>
        <w:rPr>
          <w:spacing w:val="-53"/>
        </w:rPr>
      </w:r>
      <w:r>
        <w:rPr/>
        <w:t>否</w:t>
      </w:r>
    </w:p>
    <w:p>
      <w:pPr>
        <w:pStyle w:val="BodyText"/>
        <w:spacing w:line="348" w:lineRule="auto" w:before="41"/>
        <w:ind w:right="561" w:hanging="1"/>
        <w:jc w:val="left"/>
      </w:pPr>
      <w:r>
        <w:rPr>
          <w:spacing w:val="-3"/>
        </w:rPr>
        <w:t>公司是否需遵守《深圳证券交易所创业板行业信息披露指引第 </w:t>
      </w:r>
      <w:r>
        <w:rPr>
          <w:rFonts w:ascii="Times New Roman" w:hAnsi="Times New Roman" w:cs="Times New Roman" w:eastAsia="Times New Roman" w:hint="default"/>
        </w:rPr>
        <w:t>1 </w:t>
      </w:r>
      <w:r>
        <w:rPr>
          <w:spacing w:val="-3"/>
        </w:rPr>
        <w:t>号</w:t>
      </w:r>
      <w:r>
        <w:rPr>
          <w:rFonts w:ascii="宋体" w:hAnsi="宋体" w:cs="宋体" w:eastAsia="宋体" w:hint="default"/>
          <w:spacing w:val="-3"/>
        </w:rPr>
        <w:t>——</w:t>
      </w:r>
      <w:r>
        <w:rPr>
          <w:spacing w:val="-3"/>
        </w:rPr>
        <w:t>上市公司从事广播电影电视业务》的披露要求</w:t>
      </w:r>
      <w:r>
        <w:rPr>
          <w:spacing w:val="-36"/>
        </w:rPr>
        <w:t> </w:t>
      </w:r>
      <w:r>
        <w:rPr>
          <w:spacing w:val="-36"/>
        </w:rPr>
      </w:r>
      <w:r>
        <w:rPr/>
        <w:t>否</w:t>
      </w:r>
    </w:p>
    <w:p>
      <w:pPr>
        <w:pStyle w:val="BodyText"/>
        <w:spacing w:line="350" w:lineRule="auto" w:before="43"/>
        <w:ind w:left="153" w:right="737" w:hanging="1"/>
        <w:jc w:val="left"/>
      </w:pPr>
      <w:r>
        <w:rPr>
          <w:spacing w:val="-3"/>
        </w:rPr>
        <w:t>公司是否需遵守《深圳证券交易所创业板行业信息披露指引第 </w:t>
      </w:r>
      <w:r>
        <w:rPr>
          <w:rFonts w:ascii="Times New Roman" w:hAnsi="Times New Roman" w:cs="Times New Roman" w:eastAsia="Times New Roman" w:hint="default"/>
        </w:rPr>
        <w:t>5 </w:t>
      </w:r>
      <w:r>
        <w:rPr>
          <w:spacing w:val="-3"/>
        </w:rPr>
        <w:t>号</w:t>
      </w:r>
      <w:r>
        <w:rPr>
          <w:rFonts w:ascii="宋体" w:hAnsi="宋体" w:cs="宋体" w:eastAsia="宋体" w:hint="default"/>
          <w:spacing w:val="-3"/>
        </w:rPr>
        <w:t>——</w:t>
      </w:r>
      <w:r>
        <w:rPr>
          <w:spacing w:val="-3"/>
        </w:rPr>
        <w:t>上市公司从事互联网游戏业务》的披露要求</w:t>
      </w:r>
      <w:r>
        <w:rPr>
          <w:spacing w:val="-77"/>
        </w:rPr>
        <w:t> </w:t>
      </w:r>
      <w:r>
        <w:rPr>
          <w:spacing w:val="-77"/>
        </w:rPr>
      </w:r>
      <w:r>
        <w:rPr/>
        <w:t>否</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期末存货未发现减值迹象，故无需计提存货跌价准备。</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7、其他流动资产" w:id="239"/>
      <w:bookmarkEnd w:id="239"/>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1,846.77</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预交企业所得税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9,209.89</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9,209.89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1,846.77</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1027" w:header="914" w:top="1100" w:bottom="1220" w:left="980" w:right="980"/>
          <w:pgNumType w:start="11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8、长期应收款" w:id="240"/>
      <w:bookmarkEnd w:id="240"/>
      <w:r>
        <w:rPr>
          <w:b w:val="0"/>
          <w:bCs w:val="0"/>
        </w:rPr>
      </w:r>
      <w:r>
        <w:rPr>
          <w:rFonts w:ascii="Times New Roman" w:hAnsi="Times New Roman" w:cs="Times New Roman" w:eastAsia="Times New Roman" w:hint="default"/>
        </w:rPr>
        <w:t>8</w:t>
      </w:r>
      <w:r>
        <w:rPr/>
        <w:t>、长期应收款</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长期应收款情况" w:id="241"/>
      <w:bookmarkEnd w:id="24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2"/>
        <w:gridCol w:w="1214"/>
        <w:gridCol w:w="1248"/>
        <w:gridCol w:w="1291"/>
        <w:gridCol w:w="950"/>
        <w:gridCol w:w="1022"/>
        <w:gridCol w:w="1166"/>
        <w:gridCol w:w="1166"/>
      </w:tblGrid>
      <w:tr>
        <w:trPr>
          <w:trHeight w:val="408" w:hRule="exact"/>
        </w:trPr>
        <w:tc>
          <w:tcPr>
            <w:tcW w:w="15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3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pacing w:val="-3"/>
                <w:sz w:val="18"/>
                <w:szCs w:val="18"/>
              </w:rPr>
              <w:t>折现率区间</w:t>
            </w:r>
            <w:r>
              <w:rPr>
                <w:rFonts w:ascii="宋体" w:hAnsi="宋体" w:cs="宋体" w:eastAsia="宋体" w:hint="default"/>
                <w:sz w:val="18"/>
                <w:szCs w:val="18"/>
              </w:rPr>
            </w:r>
          </w:p>
        </w:tc>
      </w:tr>
      <w:tr>
        <w:trPr>
          <w:trHeight w:val="413" w:hRule="exact"/>
        </w:trPr>
        <w:tc>
          <w:tcPr>
            <w:tcW w:w="1512" w:type="dxa"/>
            <w:vMerge/>
            <w:tcBorders>
              <w:left w:val="single" w:sz="4" w:space="0" w:color="000000"/>
              <w:bottom w:val="single" w:sz="4" w:space="0" w:color="000000"/>
              <w:right w:val="single" w:sz="4" w:space="0" w:color="000000"/>
            </w:tcBorders>
            <w:shd w:val="clear" w:color="auto" w:fill="D4D4D4"/>
          </w:tcPr>
          <w:p>
            <w:pPr/>
          </w:p>
        </w:tc>
        <w:tc>
          <w:tcPr>
            <w:tcW w:w="12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tcBorders>
              <w:left w:val="single" w:sz="4" w:space="0" w:color="000000"/>
              <w:bottom w:val="single" w:sz="4" w:space="0" w:color="000000"/>
              <w:right w:val="single" w:sz="4" w:space="0" w:color="000000"/>
            </w:tcBorders>
            <w:shd w:val="clear" w:color="auto" w:fill="D4D4D4"/>
          </w:tcPr>
          <w:p>
            <w:pPr/>
          </w:p>
        </w:tc>
      </w:tr>
      <w:tr>
        <w:trPr>
          <w:trHeight w:val="730" w:hRule="exact"/>
        </w:trPr>
        <w:tc>
          <w:tcPr>
            <w:tcW w:w="1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8"/>
              <w:ind w:left="105" w:right="98"/>
              <w:jc w:val="left"/>
              <w:rPr>
                <w:rFonts w:ascii="宋体" w:hAnsi="宋体" w:cs="宋体" w:eastAsia="宋体" w:hint="default"/>
                <w:sz w:val="18"/>
                <w:szCs w:val="18"/>
              </w:rPr>
            </w:pPr>
            <w:r>
              <w:rPr>
                <w:rFonts w:ascii="宋体" w:hAnsi="宋体" w:cs="宋体" w:eastAsia="宋体" w:hint="default"/>
                <w:sz w:val="18"/>
                <w:szCs w:val="18"/>
              </w:rPr>
              <w:t>永兴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PPP </w:t>
            </w:r>
            <w:r>
              <w:rPr>
                <w:rFonts w:ascii="宋体" w:hAnsi="宋体" w:cs="宋体" w:eastAsia="宋体" w:hint="default"/>
                <w:sz w:val="18"/>
                <w:szCs w:val="18"/>
              </w:rPr>
              <w:t>项目形</w:t>
            </w:r>
            <w:r>
              <w:rPr>
                <w:rFonts w:ascii="宋体" w:hAnsi="宋体" w:cs="宋体" w:eastAsia="宋体" w:hint="default"/>
                <w:w w:val="101"/>
                <w:sz w:val="18"/>
                <w:szCs w:val="18"/>
              </w:rPr>
              <w:t> </w:t>
            </w:r>
            <w:r>
              <w:rPr>
                <w:rFonts w:ascii="宋体" w:hAnsi="宋体" w:cs="宋体" w:eastAsia="宋体" w:hint="default"/>
                <w:spacing w:val="-3"/>
                <w:sz w:val="18"/>
                <w:szCs w:val="18"/>
              </w:rPr>
              <w:t>成的长期应收款</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7,860,000.00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7,860,000.00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13"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8"/>
                <w:szCs w:val="18"/>
              </w:rPr>
            </w:pPr>
            <w:r>
              <w:rPr>
                <w:rFonts w:ascii="Times New Roman"/>
                <w:sz w:val="18"/>
              </w:rPr>
              <w:t>7,860,000.00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0" w:right="0"/>
              <w:jc w:val="left"/>
              <w:rPr>
                <w:rFonts w:ascii="Times New Roman" w:hAnsi="Times New Roman" w:cs="Times New Roman" w:eastAsia="Times New Roman" w:hint="default"/>
                <w:sz w:val="18"/>
                <w:szCs w:val="18"/>
              </w:rPr>
            </w:pPr>
            <w:r>
              <w:rPr>
                <w:rFonts w:ascii="Times New Roman"/>
                <w:sz w:val="18"/>
              </w:rPr>
              <w:t>7,860,000.00</w:t>
            </w:r>
          </w:p>
        </w:tc>
        <w:tc>
          <w:tcPr>
            <w:tcW w:w="9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因金融资产转移而终止确认的长期应收款" w:id="242"/>
      <w:bookmarkEnd w:id="24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本期无因资产转移而终止确认的长期应收款。</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3）转移长期应收款且继续涉入形成的资产、负债金额" w:id="243"/>
      <w:bookmarkEnd w:id="24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期末无转移长期应收款且继续涉入形成的资产、负债。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9、投资性房地产" w:id="244"/>
      <w:bookmarkEnd w:id="244"/>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采用成本计量模式的投资性房地产" w:id="245"/>
      <w:bookmarkEnd w:id="24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24"/>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pacing w:val="-3"/>
                <w:sz w:val="18"/>
                <w:szCs w:val="18"/>
              </w:rPr>
              <w:t>土地使用权</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期初余额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9,772,200.00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9,772,200.00</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5" w:right="98"/>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3"/>
                <w:sz w:val="18"/>
                <w:szCs w:val="18"/>
              </w:rPr>
              <w:t>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w:t>
            </w:r>
            <w:r>
              <w:rPr>
                <w:rFonts w:ascii="宋体" w:hAnsi="宋体" w:cs="宋体" w:eastAsia="宋体" w:hint="default"/>
                <w:spacing w:val="-5"/>
                <w:w w:val="101"/>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w:t>
            </w:r>
            <w:r>
              <w:rPr>
                <w:rFonts w:ascii="宋体" w:hAnsi="宋体" w:cs="宋体" w:eastAsia="宋体" w:hint="default"/>
                <w:w w:val="101"/>
                <w:sz w:val="18"/>
                <w:szCs w:val="18"/>
              </w:rPr>
              <w:t> </w:t>
            </w:r>
            <w:r>
              <w:rPr>
                <w:rFonts w:ascii="宋体" w:hAnsi="宋体" w:cs="宋体" w:eastAsia="宋体" w:hint="default"/>
                <w:sz w:val="18"/>
                <w:szCs w:val="18"/>
              </w:rPr>
              <w:t>加</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9,772,200.00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9,772,200.00</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二、累计折旧和累计</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370"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期初余额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2,359,109.66</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2,359,109.66</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214,428.26</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214,428.26</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）计提或摊销</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214,428.26</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214,428.26</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2,573,537.92</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2,573,537.92</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期初余额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、本期减少金额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7,198,662.08</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7,198,662.08</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7,413,090.34</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7,413,090.34</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采用公允价值计量模式的投资性房地产" w:id="246"/>
      <w:bookmarkEnd w:id="24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0、固定资产" w:id="247"/>
      <w:bookmarkEnd w:id="247"/>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固定资产情况" w:id="248"/>
      <w:bookmarkEnd w:id="24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8"/>
              <w:ind w:left="4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3" w:right="0"/>
              <w:jc w:val="left"/>
              <w:rPr>
                <w:rFonts w:ascii="Times New Roman" w:hAnsi="Times New Roman" w:cs="Times New Roman" w:eastAsia="Times New Roman" w:hint="default"/>
                <w:sz w:val="18"/>
                <w:szCs w:val="18"/>
              </w:rPr>
            </w:pPr>
            <w:r>
              <w:rPr>
                <w:rFonts w:ascii="Times New Roman"/>
                <w:sz w:val="18"/>
              </w:rPr>
              <w:t>62,949,497.53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54" w:right="0"/>
              <w:jc w:val="left"/>
              <w:rPr>
                <w:rFonts w:ascii="Times New Roman" w:hAnsi="Times New Roman" w:cs="Times New Roman" w:eastAsia="Times New Roman" w:hint="default"/>
                <w:sz w:val="18"/>
                <w:szCs w:val="18"/>
              </w:rPr>
            </w:pPr>
            <w:r>
              <w:rPr>
                <w:rFonts w:ascii="Times New Roman"/>
                <w:sz w:val="18"/>
              </w:rPr>
              <w:t>2,925,593.75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19,557,447.20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85,432,538.48</w:t>
            </w: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625,637.04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625,637.04</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625,637.04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625,637.04</w:t>
            </w:r>
          </w:p>
        </w:tc>
      </w:tr>
      <w:tr>
        <w:trPr>
          <w:trHeight w:val="730"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）在建工程转</w:t>
            </w:r>
            <w:r>
              <w:rPr>
                <w:rFonts w:ascii="宋体" w:hAnsi="宋体" w:cs="宋体" w:eastAsia="宋体" w:hint="default"/>
                <w:w w:val="101"/>
                <w:sz w:val="18"/>
                <w:szCs w:val="18"/>
              </w:rPr>
              <w:t> </w:t>
            </w:r>
            <w:r>
              <w:rPr>
                <w:rFonts w:ascii="宋体" w:hAnsi="宋体" w:cs="宋体" w:eastAsia="宋体" w:hint="default"/>
                <w:sz w:val="18"/>
                <w:szCs w:val="18"/>
              </w:rPr>
              <w:t>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30"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5" w:right="9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w:t>
            </w:r>
            <w:r>
              <w:rPr>
                <w:rFonts w:ascii="宋体" w:hAnsi="宋体" w:cs="宋体" w:eastAsia="宋体" w:hint="default"/>
                <w:w w:val="101"/>
                <w:sz w:val="18"/>
                <w:szCs w:val="18"/>
              </w:rPr>
              <w:t> </w:t>
            </w:r>
            <w:r>
              <w:rPr>
                <w:rFonts w:ascii="宋体" w:hAnsi="宋体" w:cs="宋体" w:eastAsia="宋体" w:hint="default"/>
                <w:sz w:val="18"/>
                <w:szCs w:val="18"/>
              </w:rPr>
              <w:t>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140,650.00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140,650.00</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）处置或报废</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140,650.00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140,650.00</w:t>
            </w: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62,949,497.53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2,925,593.75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20,042,434.24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85,917,525.52</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3,937,405.24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2,242,639.92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9,856,781.27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16,036,826.43</w:t>
            </w: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1,495,050.57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175,212.94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3,099,170.91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4,769,434.42</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1,495,050.57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175,212.94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3,099,170.91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4,769,434.42</w:t>
            </w: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133,190.00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133,190.00</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）处置或报废</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133,190.00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133,190.00</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5,432,455.81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2,417,852.86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12,822,762.18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20,673,070.85</w:t>
            </w: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9"/>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）处置或报废</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57,517,041.72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507,740.89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7,219,672.06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65,244,454.67</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59,012,092.29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682,953.83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9,700,665.93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69,395,712.05</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通过经营租赁租出的固定资产" w:id="249"/>
      <w:bookmarkEnd w:id="249"/>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6"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18" w:hRule="exact"/>
        </w:trPr>
        <w:tc>
          <w:tcPr>
            <w:tcW w:w="47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pacing w:val="-1"/>
                <w:sz w:val="18"/>
              </w:rPr>
              <w:t>2,420,862.39</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未办妥产权证书的固定资产情况" w:id="250"/>
      <w:bookmarkEnd w:id="250"/>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期末无未办妥产权证书的房屋建筑物。</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511" w:lineRule="auto" w:before="36"/>
        <w:ind w:right="8507"/>
        <w:jc w:val="left"/>
        <w:rPr>
          <w:b w:val="0"/>
          <w:bCs w:val="0"/>
        </w:rPr>
      </w:pPr>
      <w:bookmarkStart w:name="11、在建工程" w:id="251"/>
      <w:bookmarkEnd w:id="251"/>
      <w:r>
        <w:rPr>
          <w:b w:val="0"/>
          <w:bCs w:val="0"/>
        </w:rPr>
      </w:r>
      <w:r>
        <w:rPr>
          <w:rFonts w:ascii="Times New Roman" w:hAnsi="Times New Roman" w:cs="Times New Roman" w:eastAsia="Times New Roman" w:hint="default"/>
        </w:rPr>
        <w:t>11</w:t>
      </w:r>
      <w:r>
        <w:rPr/>
        <w:t>、在建工程</w:t>
      </w:r>
      <w:r>
        <w:rPr>
          <w:spacing w:val="-103"/>
        </w:rPr>
        <w:t> </w:t>
      </w:r>
      <w:bookmarkStart w:name="在建工程情况" w:id="252"/>
      <w:bookmarkEnd w:id="252"/>
      <w:r>
        <w:rPr/>
        <w:t>在建工程情况</w:t>
      </w:r>
      <w:r>
        <w:rPr>
          <w:b w:val="0"/>
          <w:bCs w:val="0"/>
        </w:rPr>
      </w:r>
    </w:p>
    <w:p>
      <w:pPr>
        <w:pStyle w:val="BodyText"/>
        <w:spacing w:line="240" w:lineRule="auto" w:before="137"/>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8"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云计算工程</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1,315,641.33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1,315,641.33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1,315,641.33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1,315,641.33</w:t>
            </w:r>
          </w:p>
        </w:tc>
      </w:tr>
      <w:tr>
        <w:trPr>
          <w:trHeight w:val="4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1,315,641.33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1,315,641.33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1,315,641.33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1,315,641.33</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12、生产性生物资产" w:id="253"/>
      <w:bookmarkEnd w:id="253"/>
      <w:r>
        <w:rPr>
          <w:b w:val="0"/>
          <w:bCs w:val="0"/>
        </w:rPr>
      </w:r>
      <w:r>
        <w:rPr>
          <w:rFonts w:ascii="Times New Roman" w:hAnsi="Times New Roman" w:cs="Times New Roman" w:eastAsia="Times New Roman" w:hint="default"/>
        </w:rPr>
        <w:t>12</w:t>
      </w:r>
      <w:r>
        <w:rPr/>
        <w:t>、生产性生物资产</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采用成本计量模式的生产性生物资产" w:id="254"/>
      <w:bookmarkEnd w:id="25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采用公允价值计量模式的生产性生物资产" w:id="255"/>
      <w:bookmarkEnd w:id="25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3、油气资产" w:id="256"/>
      <w:bookmarkEnd w:id="256"/>
      <w:r>
        <w:rPr>
          <w:b w:val="0"/>
          <w:bCs w:val="0"/>
        </w:rPr>
      </w:r>
      <w:r>
        <w:rPr>
          <w:rFonts w:ascii="Times New Roman" w:hAnsi="Times New Roman" w:cs="Times New Roman" w:eastAsia="Times New Roman" w:hint="default"/>
        </w:rPr>
        <w:t>13</w:t>
      </w:r>
      <w:r>
        <w:rPr/>
        <w:t>、油气资产</w:t>
      </w:r>
      <w:r>
        <w:rPr>
          <w:b w:val="0"/>
          <w:bCs w:val="0"/>
        </w:rPr>
      </w:r>
    </w:p>
    <w:p>
      <w:pPr>
        <w:spacing w:line="624" w:lineRule="exact" w:before="74"/>
        <w:ind w:left="152" w:right="8238" w:firstLine="0"/>
        <w:jc w:val="left"/>
        <w:rPr>
          <w:rFonts w:ascii="宋体" w:hAnsi="宋体" w:cs="宋体" w:eastAsia="宋体" w:hint="default"/>
          <w:sz w:val="21"/>
          <w:szCs w:val="21"/>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bookmarkStart w:name="14、无形资产" w:id="257"/>
      <w:bookmarkEnd w:id="257"/>
      <w:r>
        <w:rPr>
          <w:rFonts w:ascii="宋体" w:hAnsi="宋体" w:cs="宋体" w:eastAsia="宋体" w:hint="default"/>
          <w:w w:val="101"/>
          <w:sz w:val="18"/>
          <w:szCs w:val="18"/>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、无形资产</w:t>
      </w:r>
      <w:r>
        <w:rPr>
          <w:rFonts w:ascii="宋体" w:hAnsi="宋体" w:cs="宋体" w:eastAsia="宋体" w:hint="default"/>
          <w:b/>
          <w:bCs/>
          <w:spacing w:val="-103"/>
          <w:sz w:val="21"/>
          <w:szCs w:val="21"/>
        </w:rPr>
        <w:t> </w:t>
      </w:r>
      <w:bookmarkStart w:name="无形资产情况" w:id="258"/>
      <w:bookmarkEnd w:id="258"/>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pStyle w:val="BodyText"/>
        <w:spacing w:line="240" w:lineRule="auto"/>
        <w:ind w:right="0"/>
        <w:jc w:val="left"/>
      </w:pPr>
      <w:r>
        <w:rPr>
          <w:spacing w:val="-3"/>
        </w:rPr>
        <w:t>公司是否需遵守《深圳证券交易所创业板行业信息披露指引第 </w:t>
      </w:r>
      <w:r>
        <w:rPr>
          <w:rFonts w:ascii="Times New Roman" w:hAnsi="Times New Roman" w:cs="Times New Roman" w:eastAsia="Times New Roman" w:hint="default"/>
        </w:rPr>
        <w:t>5  </w:t>
      </w:r>
      <w:r>
        <w:rPr>
          <w:rFonts w:ascii="Times New Roman" w:hAnsi="Times New Roman" w:cs="Times New Roman" w:eastAsia="Times New Roman" w:hint="default"/>
          <w:spacing w:val="13"/>
        </w:rPr>
        <w:t> </w:t>
      </w:r>
      <w:r>
        <w:rPr>
          <w:spacing w:val="-3"/>
        </w:rPr>
        <w:t>号</w:t>
      </w:r>
      <w:r>
        <w:rPr>
          <w:rFonts w:ascii="宋体" w:hAnsi="宋体" w:cs="宋体" w:eastAsia="宋体" w:hint="default"/>
          <w:spacing w:val="-3"/>
        </w:rPr>
        <w:t>——</w:t>
      </w:r>
      <w:r>
        <w:rPr>
          <w:spacing w:val="-3"/>
        </w:rPr>
        <w:t>上市公司从事互联网游戏业务》的披露要求</w:t>
      </w:r>
    </w:p>
    <w:p>
      <w:pPr>
        <w:pStyle w:val="BodyText"/>
        <w:spacing w:line="240" w:lineRule="auto" w:before="111"/>
        <w:ind w:right="0"/>
        <w:jc w:val="left"/>
      </w:pPr>
      <w:r>
        <w:rPr/>
        <w:t>□ 是 √</w:t>
      </w:r>
      <w:r>
        <w:rPr>
          <w:spacing w:val="2"/>
        </w:rPr>
        <w:t> </w:t>
      </w:r>
      <w:r>
        <w:rPr/>
        <w:t>否</w:t>
      </w:r>
    </w:p>
    <w:p>
      <w:pPr>
        <w:pStyle w:val="BodyText"/>
        <w:spacing w:line="240" w:lineRule="auto" w:before="124"/>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4"/>
        <w:gridCol w:w="1594"/>
        <w:gridCol w:w="1598"/>
      </w:tblGrid>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pacing w:val="-3"/>
                <w:sz w:val="18"/>
                <w:szCs w:val="18"/>
              </w:rPr>
              <w:t>土地使用权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23" w:right="0"/>
              <w:jc w:val="left"/>
              <w:rPr>
                <w:rFonts w:ascii="宋体" w:hAnsi="宋体" w:cs="宋体" w:eastAsia="宋体" w:hint="default"/>
                <w:sz w:val="18"/>
                <w:szCs w:val="18"/>
              </w:rPr>
            </w:pPr>
            <w:r>
              <w:rPr>
                <w:rFonts w:ascii="宋体" w:hAnsi="宋体" w:cs="宋体" w:eastAsia="宋体" w:hint="default"/>
                <w:spacing w:val="-4"/>
                <w:sz w:val="18"/>
                <w:szCs w:val="18"/>
              </w:rPr>
              <w:t>专利权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pacing w:val="-3"/>
                <w:sz w:val="18"/>
                <w:szCs w:val="18"/>
              </w:rPr>
              <w:t>非专利技术</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11,969,301.00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1,657,243.66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13,626,544.66</w:t>
            </w: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5" w:right="2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本期增加</w:t>
            </w:r>
            <w:r>
              <w:rPr>
                <w:rFonts w:ascii="宋体" w:hAnsi="宋体" w:cs="宋体" w:eastAsia="宋体" w:hint="default"/>
                <w:spacing w:val="-5"/>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2,198,023.88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2,198,023.88</w:t>
            </w: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2,198,023.88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2,198,023.88</w:t>
            </w: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5" w:right="12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w:t>
            </w:r>
            <w:r>
              <w:rPr>
                <w:rFonts w:ascii="宋体" w:hAnsi="宋体" w:cs="宋体" w:eastAsia="宋体" w:hint="default"/>
                <w:spacing w:val="-5"/>
                <w:w w:val="101"/>
                <w:sz w:val="18"/>
                <w:szCs w:val="18"/>
              </w:rPr>
              <w:t> </w:t>
            </w: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4"/>
        <w:gridCol w:w="1594"/>
        <w:gridCol w:w="1598"/>
      </w:tblGrid>
      <w:tr>
        <w:trPr>
          <w:trHeight w:val="3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5" w:right="26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w:t>
            </w:r>
            <w:r>
              <w:rPr>
                <w:rFonts w:ascii="宋体" w:hAnsi="宋体" w:cs="宋体" w:eastAsia="宋体" w:hint="default"/>
                <w:spacing w:val="-5"/>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11,969,301.00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3,855,267.54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15,824,568.54</w:t>
            </w: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1,476,213.79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476,926.99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1,953,140.78</w:t>
            </w: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5" w:right="2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本期增加</w:t>
            </w:r>
            <w:r>
              <w:rPr>
                <w:rFonts w:ascii="宋体" w:hAnsi="宋体" w:cs="宋体" w:eastAsia="宋体" w:hint="default"/>
                <w:spacing w:val="-5"/>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246,866.79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314,908.68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561,775.47</w:t>
            </w: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246,866.79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314,908.68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561,775.47</w:t>
            </w: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5" w:right="2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本期减少</w:t>
            </w:r>
            <w:r>
              <w:rPr>
                <w:rFonts w:ascii="宋体" w:hAnsi="宋体" w:cs="宋体" w:eastAsia="宋体" w:hint="default"/>
                <w:spacing w:val="-5"/>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1,723,080.58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791,835.67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2,514,916.25</w:t>
            </w: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5" w:right="2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本期增加</w:t>
            </w:r>
            <w:r>
              <w:rPr>
                <w:rFonts w:ascii="宋体" w:hAnsi="宋体" w:cs="宋体" w:eastAsia="宋体" w:hint="default"/>
                <w:spacing w:val="-5"/>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5" w:right="2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本期减少</w:t>
            </w:r>
            <w:r>
              <w:rPr>
                <w:rFonts w:ascii="宋体" w:hAnsi="宋体" w:cs="宋体" w:eastAsia="宋体" w:hint="default"/>
                <w:spacing w:val="-5"/>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8"/>
              <w:ind w:left="105" w:right="2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期末账面</w:t>
            </w:r>
            <w:r>
              <w:rPr>
                <w:rFonts w:ascii="宋体" w:hAnsi="宋体" w:cs="宋体" w:eastAsia="宋体" w:hint="default"/>
                <w:spacing w:val="-5"/>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10,246,220.42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3,063,431.87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13,309,652.29</w:t>
            </w:r>
          </w:p>
        </w:tc>
      </w:tr>
      <w:tr>
        <w:trPr>
          <w:trHeight w:val="734"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8"/>
              <w:ind w:left="105" w:right="2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期初账面</w:t>
            </w:r>
            <w:r>
              <w:rPr>
                <w:rFonts w:ascii="宋体" w:hAnsi="宋体" w:cs="宋体" w:eastAsia="宋体" w:hint="default"/>
                <w:spacing w:val="-5"/>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10,493,087.21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1,180,316.67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11,673,403.88</w:t>
            </w:r>
          </w:p>
        </w:tc>
      </w:tr>
    </w:tbl>
    <w:p>
      <w:pPr>
        <w:pStyle w:val="BodyText"/>
        <w:spacing w:line="240" w:lineRule="auto" w:before="58"/>
        <w:ind w:right="0"/>
        <w:jc w:val="left"/>
      </w:pPr>
      <w:r>
        <w:rPr>
          <w:spacing w:val="-3"/>
        </w:rPr>
        <w:t>本期末通过公司内部研发形成的无形资产占无形资产余额的比例</w:t>
      </w:r>
      <w:r>
        <w:rPr>
          <w:spacing w:val="34"/>
        </w:rPr>
        <w:t> </w:t>
      </w:r>
      <w:r>
        <w:rPr>
          <w:rFonts w:ascii="Times New Roman" w:hAnsi="Times New Roman" w:cs="Times New Roman" w:eastAsia="Times New Roman" w:hint="default"/>
        </w:rPr>
        <w:t>0.00%</w:t>
      </w:r>
      <w:r>
        <w:rPr/>
        <w:t>。</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5、商誉" w:id="259"/>
      <w:bookmarkEnd w:id="259"/>
      <w:r>
        <w:rPr>
          <w:b w:val="0"/>
          <w:bCs w:val="0"/>
        </w:rPr>
      </w:r>
      <w:r>
        <w:rPr>
          <w:rFonts w:ascii="Times New Roman" w:hAnsi="Times New Roman" w:cs="Times New Roman" w:eastAsia="Times New Roman" w:hint="default"/>
        </w:rPr>
        <w:t>15</w:t>
      </w:r>
      <w:r>
        <w:rPr/>
        <w:t>、商誉</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商誉账面原值" w:id="260"/>
      <w:bookmarkEnd w:id="26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38"/>
        <w:gridCol w:w="1301"/>
        <w:gridCol w:w="998"/>
        <w:gridCol w:w="730"/>
        <w:gridCol w:w="1560"/>
        <w:gridCol w:w="926"/>
        <w:gridCol w:w="1118"/>
      </w:tblGrid>
      <w:tr>
        <w:trPr>
          <w:trHeight w:val="413" w:hRule="exact"/>
        </w:trPr>
        <w:tc>
          <w:tcPr>
            <w:tcW w:w="29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4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293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湖南威斯理信息科技有限公司</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4" w:right="0"/>
              <w:jc w:val="left"/>
              <w:rPr>
                <w:rFonts w:ascii="Times New Roman" w:hAnsi="Times New Roman" w:cs="Times New Roman" w:eastAsia="Times New Roman" w:hint="default"/>
                <w:sz w:val="18"/>
                <w:szCs w:val="18"/>
              </w:rPr>
            </w:pPr>
            <w:r>
              <w:rPr>
                <w:rFonts w:ascii="Times New Roman"/>
                <w:sz w:val="18"/>
              </w:rPr>
              <w:t>1,358,232.76</w:t>
            </w:r>
          </w:p>
        </w:tc>
        <w:tc>
          <w:tcPr>
            <w:tcW w:w="9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9" w:right="0"/>
              <w:jc w:val="left"/>
              <w:rPr>
                <w:rFonts w:ascii="Times New Roman" w:hAnsi="Times New Roman" w:cs="Times New Roman" w:eastAsia="Times New Roman" w:hint="default"/>
                <w:sz w:val="18"/>
                <w:szCs w:val="18"/>
              </w:rPr>
            </w:pPr>
            <w:r>
              <w:rPr>
                <w:rFonts w:ascii="Times New Roman"/>
                <w:sz w:val="18"/>
              </w:rPr>
              <w:t>1,358,232.76</w:t>
            </w:r>
          </w:p>
        </w:tc>
        <w:tc>
          <w:tcPr>
            <w:tcW w:w="926"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2）商誉减值准备" w:id="261"/>
      <w:bookmarkEnd w:id="26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28"/>
        <w:gridCol w:w="1296"/>
        <w:gridCol w:w="1027"/>
        <w:gridCol w:w="725"/>
        <w:gridCol w:w="1550"/>
        <w:gridCol w:w="1051"/>
        <w:gridCol w:w="994"/>
      </w:tblGrid>
      <w:tr>
        <w:trPr>
          <w:trHeight w:val="408" w:hRule="exact"/>
        </w:trPr>
        <w:tc>
          <w:tcPr>
            <w:tcW w:w="2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0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29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湖南威斯理信息科技有限公司</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9" w:right="0"/>
              <w:jc w:val="left"/>
              <w:rPr>
                <w:rFonts w:ascii="Times New Roman" w:hAnsi="Times New Roman" w:cs="Times New Roman" w:eastAsia="Times New Roman" w:hint="default"/>
                <w:sz w:val="18"/>
                <w:szCs w:val="18"/>
              </w:rPr>
            </w:pPr>
            <w:r>
              <w:rPr>
                <w:rFonts w:ascii="Times New Roman"/>
                <w:sz w:val="18"/>
              </w:rPr>
              <w:t>1,358,232.76</w:t>
            </w:r>
          </w:p>
        </w:tc>
        <w:tc>
          <w:tcPr>
            <w:tcW w:w="10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1,358,232.76</w:t>
            </w:r>
          </w:p>
        </w:tc>
        <w:tc>
          <w:tcPr>
            <w:tcW w:w="105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16、递延所得税资产/递延所得税负债" w:id="262"/>
      <w:bookmarkEnd w:id="262"/>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未经抵销的递延所得税资产" w:id="263"/>
      <w:bookmarkEnd w:id="26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13" w:hRule="exact"/>
        </w:trPr>
        <w:tc>
          <w:tcPr>
            <w:tcW w:w="19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910" w:type="dxa"/>
            <w:vMerge/>
            <w:tcBorders>
              <w:left w:val="single" w:sz="4" w:space="0" w:color="000000"/>
              <w:bottom w:val="single" w:sz="4" w:space="0" w:color="000000"/>
              <w:right w:val="single" w:sz="4" w:space="0" w:color="000000"/>
            </w:tcBorders>
            <w:shd w:val="clear" w:color="auto" w:fill="D4D4D4"/>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r>
              <w:rPr>
                <w:rFonts w:ascii="宋体" w:hAnsi="宋体" w:cs="宋体" w:eastAsia="宋体" w:hint="default"/>
                <w:sz w:val="18"/>
                <w:szCs w:val="18"/>
              </w:rPr>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12,238,850.57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1,835,827.58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9,047,976.27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1,357,196.44</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7,182,890.75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1,077,433.62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6,027,873.13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904,180.97</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19,421,741.32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2,913,261.20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15,075,849.40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2,261,377.41</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未确认递延所得税资产明细" w:id="264"/>
      <w:bookmarkEnd w:id="264"/>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可抵扣亏损</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1,214,727.08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1,063,132.76</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269,779.86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322,261.76</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76,949.82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83,333.73</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1,358,232.76</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1,561,456.76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2,826,961.01</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未确认递延所得税资产的可抵扣亏损将于以下年度到期" w:id="265"/>
      <w:bookmarkEnd w:id="265"/>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410,145.80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580,607.37</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482,525.39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482,525.39</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322,055.89</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1,214,727.08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1,063,132.76</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8"/>
        <w:ind w:right="0"/>
        <w:jc w:val="left"/>
      </w:pPr>
      <w:r>
        <w:rPr>
          <w:spacing w:val="-3"/>
        </w:rPr>
        <w:t>其他说明：</w:t>
      </w:r>
      <w:r>
        <w:rPr/>
      </w:r>
    </w:p>
    <w:p>
      <w:pPr>
        <w:spacing w:after="0" w:line="240" w:lineRule="auto"/>
        <w:jc w:val="left"/>
        <w:sectPr>
          <w:pgSz w:w="11910" w:h="16840"/>
          <w:pgMar w:header="914" w:footer="1027" w:top="1100" w:bottom="1220" w:left="980" w:right="98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17、短期借款" w:id="266"/>
      <w:bookmarkEnd w:id="266"/>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短期借款分类" w:id="267"/>
      <w:bookmarkEnd w:id="26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38,900,000.00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38,900,000.00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已逾期未偿还的短期借款情况" w:id="268"/>
      <w:bookmarkEnd w:id="26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sz w:val="21"/>
          <w:szCs w:val="21"/>
        </w:rPr>
      </w:pPr>
      <w:r>
        <w:rPr>
          <w:spacing w:val="-3"/>
        </w:rPr>
        <w:t>本公司期末无已到期未偿还的短期借款。</w:t>
      </w:r>
      <w:r>
        <w:rPr>
          <w:rFonts w:ascii="宋体" w:hAnsi="宋体" w:cs="宋体" w:eastAsia="宋体" w:hint="default"/>
          <w:w w:val="100"/>
          <w:sz w:val="21"/>
          <w:szCs w:val="21"/>
        </w:rPr>
        <w:t> </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bookmarkStart w:name="18、衍生金融负债" w:id="269"/>
      <w:bookmarkEnd w:id="269"/>
      <w:r>
        <w:rPr>
          <w:b w:val="0"/>
          <w:bCs w:val="0"/>
        </w:rPr>
      </w:r>
      <w:r>
        <w:rPr>
          <w:rFonts w:ascii="Times New Roman" w:hAnsi="Times New Roman" w:cs="Times New Roman" w:eastAsia="Times New Roman" w:hint="default"/>
        </w:rPr>
        <w:t>18</w:t>
      </w:r>
      <w:r>
        <w:rPr/>
        <w:t>、衍生金融负债</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9、应付票据" w:id="270"/>
      <w:bookmarkEnd w:id="270"/>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13,158,636.00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1,300,950.00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13,158,636.00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1,300,950.00</w:t>
            </w:r>
          </w:p>
        </w:tc>
      </w:tr>
    </w:tbl>
    <w:p>
      <w:pPr>
        <w:pStyle w:val="BodyText"/>
        <w:spacing w:line="240" w:lineRule="auto" w:before="58"/>
        <w:ind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0、应付账款" w:id="271"/>
      <w:bookmarkEnd w:id="271"/>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应付账款列示" w:id="272"/>
      <w:bookmarkEnd w:id="27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货 </w:t>
            </w:r>
            <w:r>
              <w:rPr>
                <w:rFonts w:ascii="宋体" w:hAnsi="宋体" w:cs="宋体" w:eastAsia="宋体" w:hint="default"/>
                <w:spacing w:val="1"/>
                <w:sz w:val="18"/>
                <w:szCs w:val="18"/>
              </w:rPr>
              <w:t> </w:t>
            </w:r>
            <w:r>
              <w:rPr>
                <w:rFonts w:ascii="宋体" w:hAnsi="宋体" w:cs="宋体" w:eastAsia="宋体" w:hint="default"/>
                <w:sz w:val="18"/>
                <w:szCs w:val="18"/>
              </w:rPr>
              <w:t>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37,898,597.33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29,389,113.45</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37,898,597.33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29,389,113.45</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应付账款" w:id="273"/>
      <w:bookmarkEnd w:id="273"/>
      <w:r>
        <w:rPr>
          <w:b w:val="0"/>
          <w:bCs w:val="0"/>
        </w:rPr>
      </w: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期末无账龄超过</w:t>
      </w:r>
      <w:r>
        <w:rPr>
          <w:rFonts w:ascii="Times New Roman" w:hAnsi="Times New Roman" w:cs="Times New Roman" w:eastAsia="Times New Roman" w:hint="default"/>
          <w:spacing w:val="-3"/>
        </w:rPr>
        <w:t>1</w:t>
      </w:r>
      <w:r>
        <w:rPr>
          <w:spacing w:val="-3"/>
        </w:rPr>
        <w:t>年的重要应付账款。</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21、预收款项" w:id="274"/>
      <w:bookmarkEnd w:id="274"/>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预收款项列示" w:id="275"/>
      <w:bookmarkEnd w:id="27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项目进度款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37,298,630.40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56,804,527.65</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37,298,630.40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56,804,527.65</w:t>
            </w:r>
          </w:p>
        </w:tc>
      </w:tr>
    </w:tbl>
    <w:p>
      <w:pPr>
        <w:spacing w:line="240" w:lineRule="auto" w:before="7"/>
        <w:rPr>
          <w:rFonts w:ascii="宋体" w:hAnsi="宋体" w:cs="宋体" w:eastAsia="宋体" w:hint="default"/>
          <w:sz w:val="19"/>
          <w:szCs w:val="19"/>
        </w:rPr>
      </w:pPr>
    </w:p>
    <w:p>
      <w:pPr>
        <w:spacing w:line="554" w:lineRule="auto" w:before="36"/>
        <w:ind w:left="152" w:right="5239" w:firstLine="0"/>
        <w:jc w:val="left"/>
        <w:rPr>
          <w:rFonts w:ascii="宋体" w:hAnsi="宋体" w:cs="宋体" w:eastAsia="宋体" w:hint="default"/>
          <w:sz w:val="21"/>
          <w:szCs w:val="21"/>
        </w:rPr>
      </w:pPr>
      <w:bookmarkStart w:name="（2）期末建造合同形成的已结算未完工项目情况"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）期末建造合同形成的已结算未完工项目情况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18"/>
          <w:szCs w:val="18"/>
        </w:rPr>
        <w:t>期末无账龄超过</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年的重要预收款项。</w:t>
      </w:r>
      <w:r>
        <w:rPr>
          <w:rFonts w:ascii="宋体" w:hAnsi="宋体" w:cs="宋体" w:eastAsia="宋体" w:hint="default"/>
          <w:spacing w:val="-40"/>
          <w:sz w:val="18"/>
          <w:szCs w:val="18"/>
        </w:rPr>
        <w:t> </w:t>
      </w:r>
      <w:r>
        <w:rPr>
          <w:rFonts w:ascii="宋体" w:hAnsi="宋体" w:cs="宋体" w:eastAsia="宋体" w:hint="default"/>
          <w:spacing w:val="-40"/>
          <w:sz w:val="18"/>
          <w:szCs w:val="18"/>
        </w:rPr>
      </w:r>
      <w:bookmarkStart w:name="22、应付职工薪酬" w:id="277"/>
      <w:bookmarkEnd w:id="277"/>
      <w:r>
        <w:rPr>
          <w:rFonts w:ascii="宋体" w:hAnsi="宋体" w:cs="宋体" w:eastAsia="宋体" w:hint="default"/>
          <w:spacing w:val="-40"/>
          <w:sz w:val="18"/>
          <w:szCs w:val="18"/>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Heading4"/>
        <w:spacing w:line="240" w:lineRule="auto" w:before="28"/>
        <w:ind w:right="0"/>
        <w:jc w:val="left"/>
        <w:rPr>
          <w:b w:val="0"/>
          <w:bCs w:val="0"/>
        </w:rPr>
      </w:pPr>
      <w:bookmarkStart w:name="（1）应付职工薪酬列示" w:id="278"/>
      <w:bookmarkEnd w:id="27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8"/>
        <w:gridCol w:w="1421"/>
        <w:gridCol w:w="1738"/>
        <w:gridCol w:w="1978"/>
        <w:gridCol w:w="1757"/>
      </w:tblGrid>
      <w:tr>
        <w:trPr>
          <w:trHeight w:val="408" w:hRule="exact"/>
        </w:trPr>
        <w:tc>
          <w:tcPr>
            <w:tcW w:w="2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6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2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15,094,916.87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88,026,178.89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85,977,818.84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17,143,276.92</w:t>
            </w:r>
          </w:p>
        </w:tc>
      </w:tr>
      <w:tr>
        <w:trPr>
          <w:trHeight w:val="408" w:hRule="exact"/>
        </w:trPr>
        <w:tc>
          <w:tcPr>
            <w:tcW w:w="2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设定提存计划</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31,268.65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5,755,342.75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5,768,766.44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17,844.96</w:t>
            </w:r>
          </w:p>
        </w:tc>
      </w:tr>
      <w:tr>
        <w:trPr>
          <w:trHeight w:val="413" w:hRule="exact"/>
        </w:trPr>
        <w:tc>
          <w:tcPr>
            <w:tcW w:w="2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15,126,185.52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93,781,521.64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91,746,585.28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17,161,121.88</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279"/>
      <w:bookmarkEnd w:id="27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38"/>
        <w:gridCol w:w="1392"/>
        <w:gridCol w:w="1910"/>
        <w:gridCol w:w="2050"/>
        <w:gridCol w:w="1781"/>
      </w:tblGrid>
      <w:tr>
        <w:trPr>
          <w:trHeight w:val="413"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65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5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、工资、奖金、津贴和补贴</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14,209,867.78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82,062,274.29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80,006,560.74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16,265,581.33</w:t>
            </w:r>
          </w:p>
        </w:tc>
      </w:tr>
      <w:tr>
        <w:trPr>
          <w:trHeight w:val="408"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392"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782,618.36</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782,618.36</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17,519.50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2,815,615.55</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2,822,489.05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10,646.00</w:t>
            </w:r>
          </w:p>
        </w:tc>
      </w:tr>
      <w:tr>
        <w:trPr>
          <w:trHeight w:val="413"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其中：医疗保险费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15,798.44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2,469,514.46</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2,475,776.86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9,536.04</w:t>
            </w:r>
          </w:p>
        </w:tc>
      </w:tr>
      <w:tr>
        <w:trPr>
          <w:trHeight w:val="408"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483.02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138,552.60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138,665.62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370.00</w:t>
            </w:r>
          </w:p>
        </w:tc>
      </w:tr>
      <w:tr>
        <w:trPr>
          <w:trHeight w:val="413"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1,238.04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207,548.49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208,046.57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739.96</w:t>
            </w:r>
          </w:p>
        </w:tc>
      </w:tr>
      <w:tr>
        <w:trPr>
          <w:trHeight w:val="408"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392"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2,121,764.00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2,121,764.00</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、工会经费和职工教育经费</w:t>
            </w:r>
            <w:r>
              <w:rPr>
                <w:rFonts w:ascii="宋体" w:hAnsi="宋体" w:cs="宋体" w:eastAsia="宋体" w:hint="default"/>
                <w:sz w:val="18"/>
                <w:szCs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867,529.59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230,771.92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231,251.92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867,049.59</w:t>
            </w:r>
          </w:p>
        </w:tc>
      </w:tr>
      <w:tr>
        <w:trPr>
          <w:trHeight w:val="413" w:hRule="exact"/>
        </w:trPr>
        <w:tc>
          <w:tcPr>
            <w:tcW w:w="24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2"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13,134.77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13,134.77</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15,094,916.87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88,026,178.89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85,977,818.84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17,143,276.92</w:t>
            </w:r>
          </w:p>
        </w:tc>
      </w:tr>
    </w:tbl>
    <w:p>
      <w:pPr>
        <w:spacing w:after="0" w:line="240" w:lineRule="auto"/>
        <w:jc w:val="righ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3）设定提存计划列示" w:id="280"/>
      <w:bookmarkEnd w:id="28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、基本养老保险</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30,031.14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5,553,265.12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5,566,154.26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17,142.00</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1,237.51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202,077.63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202,612.18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702.96</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31,268.65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5,755,342.75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5,768,766.44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17,844.96</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3、应交税费" w:id="281"/>
      <w:bookmarkEnd w:id="281"/>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4"/>
                <w:sz w:val="18"/>
                <w:szCs w:val="18"/>
              </w:rPr>
              <w:t>增值税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2,908,617.84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5,833,703.23</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企业所得税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8,063,270.14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3"/>
                <w:sz w:val="18"/>
              </w:rPr>
              <w:t>6,312,112.90</w:t>
            </w:r>
            <w:r>
              <w:rPr>
                <w:rFonts w:ascii="Times New Roman"/>
                <w:sz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个人所得税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232,154.93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177,912.14</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203,116.19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372,592.13</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教育费附加及地方教育附加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144,861.70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266,119.42</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房产税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447,182.04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438,021.01</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印花税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48,097.30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30,516.70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50,400.00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12,097,700.14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13,430,977.53</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4、其他应付款" w:id="282"/>
      <w:bookmarkEnd w:id="282"/>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按款项性质列示其他应付款" w:id="283"/>
      <w:bookmarkEnd w:id="28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上市扶持资金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2,974,021.45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3,786,844.69</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5,309,433.97</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8,783,455.42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4,286,844.69</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其他应付款" w:id="284"/>
      <w:bookmarkEnd w:id="284"/>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期末无账龄超过</w:t>
      </w:r>
      <w:r>
        <w:rPr>
          <w:rFonts w:ascii="Times New Roman" w:hAnsi="Times New Roman" w:cs="Times New Roman" w:eastAsia="Times New Roman" w:hint="default"/>
          <w:spacing w:val="-3"/>
        </w:rPr>
        <w:t>1</w:t>
      </w:r>
      <w:r>
        <w:rPr>
          <w:spacing w:val="-3"/>
        </w:rPr>
        <w:t>年的重要其他应付款。</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25、预计负债" w:id="285"/>
      <w:bookmarkEnd w:id="28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20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4"/>
        <w:gridCol w:w="2491"/>
        <w:gridCol w:w="2347"/>
        <w:gridCol w:w="2554"/>
      </w:tblGrid>
      <w:tr>
        <w:trPr>
          <w:trHeight w:val="408" w:hRule="exact"/>
        </w:trPr>
        <w:tc>
          <w:tcPr>
            <w:tcW w:w="2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0" w:hRule="exact"/>
        </w:trPr>
        <w:tc>
          <w:tcPr>
            <w:tcW w:w="2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7,452,670.61</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6,350,134.89</w:t>
            </w:r>
          </w:p>
        </w:tc>
        <w:tc>
          <w:tcPr>
            <w:tcW w:w="25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按到当期收入总额的</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预提</w:t>
            </w:r>
          </w:p>
        </w:tc>
      </w:tr>
      <w:tr>
        <w:trPr>
          <w:trHeight w:val="413" w:hRule="exact"/>
        </w:trPr>
        <w:tc>
          <w:tcPr>
            <w:tcW w:w="21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7,452,670.61</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6,350,134.89</w:t>
            </w:r>
          </w:p>
        </w:tc>
        <w:tc>
          <w:tcPr>
            <w:tcW w:w="2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6、递延收益" w:id="286"/>
      <w:bookmarkEnd w:id="286"/>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20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1" w:right="0"/>
              <w:jc w:val="left"/>
              <w:rPr>
                <w:rFonts w:ascii="Times New Roman" w:hAnsi="Times New Roman" w:cs="Times New Roman" w:eastAsia="Times New Roman" w:hint="default"/>
                <w:sz w:val="18"/>
                <w:szCs w:val="18"/>
              </w:rPr>
            </w:pPr>
            <w:r>
              <w:rPr>
                <w:rFonts w:ascii="Times New Roman"/>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Times New Roman" w:hAnsi="Times New Roman" w:cs="Times New Roman" w:eastAsia="Times New Roman" w:hint="default"/>
                <w:sz w:val="18"/>
                <w:szCs w:val="18"/>
              </w:rPr>
            </w:pPr>
            <w:r>
              <w:rPr>
                <w:rFonts w:ascii="Times New Roman"/>
                <w:sz w:val="18"/>
              </w:rPr>
              <w:t>15,000,000.00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1" w:right="0"/>
              <w:jc w:val="left"/>
              <w:rPr>
                <w:rFonts w:ascii="Times New Roman" w:hAnsi="Times New Roman" w:cs="Times New Roman" w:eastAsia="Times New Roman" w:hint="default"/>
                <w:sz w:val="18"/>
                <w:szCs w:val="18"/>
              </w:rPr>
            </w:pPr>
            <w:r>
              <w:rPr>
                <w:rFonts w:ascii="Times New Roman"/>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1" w:right="0"/>
              <w:jc w:val="left"/>
              <w:rPr>
                <w:rFonts w:ascii="Times New Roman" w:hAnsi="Times New Roman" w:cs="Times New Roman" w:eastAsia="Times New Roman" w:hint="default"/>
                <w:sz w:val="18"/>
                <w:szCs w:val="18"/>
              </w:rPr>
            </w:pPr>
            <w:r>
              <w:rPr>
                <w:rFonts w:ascii="Times New Roman"/>
                <w:sz w:val="18"/>
              </w:rPr>
              <w:t>15,000,000.00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8"/>
        <w:ind w:right="0"/>
        <w:jc w:val="left"/>
      </w:pPr>
      <w:r>
        <w:rPr/>
        <w:t>涉及政府补助的项目：</w:t>
      </w:r>
    </w:p>
    <w:p>
      <w:pPr>
        <w:pStyle w:val="BodyText"/>
        <w:spacing w:line="240" w:lineRule="auto" w:before="129"/>
        <w:ind w:left="0" w:right="206"/>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12"/>
        <w:gridCol w:w="926"/>
        <w:gridCol w:w="936"/>
        <w:gridCol w:w="1138"/>
        <w:gridCol w:w="1090"/>
        <w:gridCol w:w="1186"/>
        <w:gridCol w:w="658"/>
        <w:gridCol w:w="1061"/>
        <w:gridCol w:w="1066"/>
      </w:tblGrid>
      <w:tr>
        <w:trPr>
          <w:trHeight w:val="1056"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9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369" w:right="185" w:hanging="178"/>
              <w:jc w:val="left"/>
              <w:rPr>
                <w:rFonts w:ascii="宋体" w:hAnsi="宋体" w:cs="宋体" w:eastAsia="宋体" w:hint="default"/>
                <w:sz w:val="18"/>
                <w:szCs w:val="18"/>
              </w:rPr>
            </w:pPr>
            <w:r>
              <w:rPr>
                <w:rFonts w:ascii="宋体" w:hAnsi="宋体" w:cs="宋体" w:eastAsia="宋体" w:hint="default"/>
                <w:spacing w:val="-4"/>
                <w:sz w:val="18"/>
                <w:szCs w:val="18"/>
              </w:rPr>
              <w:t>期初余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w:t>
            </w:r>
          </w:p>
        </w:tc>
        <w:tc>
          <w:tcPr>
            <w:tcW w:w="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05" w:right="93"/>
              <w:jc w:val="left"/>
              <w:rPr>
                <w:rFonts w:ascii="宋体" w:hAnsi="宋体" w:cs="宋体" w:eastAsia="宋体" w:hint="default"/>
                <w:sz w:val="18"/>
                <w:szCs w:val="18"/>
              </w:rPr>
            </w:pPr>
            <w:r>
              <w:rPr>
                <w:rFonts w:ascii="宋体" w:hAnsi="宋体" w:cs="宋体" w:eastAsia="宋体" w:hint="default"/>
                <w:sz w:val="18"/>
                <w:szCs w:val="18"/>
              </w:rPr>
              <w:t>本期新增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补助金额</w:t>
            </w:r>
          </w:p>
        </w:tc>
        <w:tc>
          <w:tcPr>
            <w:tcW w:w="11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15" w:right="113"/>
              <w:jc w:val="center"/>
              <w:rPr>
                <w:rFonts w:ascii="宋体" w:hAnsi="宋体" w:cs="宋体" w:eastAsia="宋体" w:hint="default"/>
                <w:sz w:val="18"/>
                <w:szCs w:val="18"/>
              </w:rPr>
            </w:pPr>
            <w:r>
              <w:rPr>
                <w:rFonts w:ascii="宋体" w:hAnsi="宋体" w:cs="宋体" w:eastAsia="宋体" w:hint="default"/>
                <w:spacing w:val="-3"/>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77" w:right="175"/>
              <w:jc w:val="center"/>
              <w:rPr>
                <w:rFonts w:ascii="宋体" w:hAnsi="宋体" w:cs="宋体" w:eastAsia="宋体" w:hint="default"/>
                <w:sz w:val="18"/>
                <w:szCs w:val="18"/>
              </w:rPr>
            </w:pPr>
            <w:r>
              <w:rPr>
                <w:rFonts w:ascii="宋体" w:hAnsi="宋体" w:cs="宋体" w:eastAsia="宋体" w:hint="default"/>
                <w:spacing w:val="-2"/>
                <w:sz w:val="18"/>
                <w:szCs w:val="18"/>
              </w:rPr>
              <w:t>本期计入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其他收益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43" w:right="132"/>
              <w:jc w:val="left"/>
              <w:rPr>
                <w:rFonts w:ascii="宋体" w:hAnsi="宋体" w:cs="宋体" w:eastAsia="宋体" w:hint="default"/>
                <w:sz w:val="18"/>
                <w:szCs w:val="18"/>
              </w:rPr>
            </w:pPr>
            <w:r>
              <w:rPr>
                <w:rFonts w:ascii="宋体" w:hAnsi="宋体" w:cs="宋体" w:eastAsia="宋体" w:hint="default"/>
                <w:spacing w:val="-3"/>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本费用金额</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43" w:right="137"/>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8"/>
              <w:ind w:left="143" w:right="141" w:firstLine="4"/>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3"/>
                <w:sz w:val="18"/>
                <w:szCs w:val="18"/>
              </w:rPr>
              <w:t>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w:t>
            </w:r>
          </w:p>
        </w:tc>
      </w:tr>
      <w:tr>
        <w:trPr>
          <w:trHeight w:val="1051" w:hRule="exact"/>
        </w:trPr>
        <w:tc>
          <w:tcPr>
            <w:tcW w:w="1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105" w:right="136"/>
              <w:jc w:val="both"/>
              <w:rPr>
                <w:rFonts w:ascii="宋体" w:hAnsi="宋体" w:cs="宋体" w:eastAsia="宋体" w:hint="default"/>
                <w:sz w:val="18"/>
                <w:szCs w:val="18"/>
              </w:rPr>
            </w:pPr>
            <w:r>
              <w:rPr>
                <w:rFonts w:ascii="宋体" w:hAnsi="宋体" w:cs="宋体" w:eastAsia="宋体" w:hint="default"/>
                <w:spacing w:val="-3"/>
                <w:sz w:val="18"/>
                <w:szCs w:val="18"/>
              </w:rPr>
              <w:t>面向电子政务的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专有云计算平台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研发与推广项目</w:t>
            </w:r>
            <w:r>
              <w:rPr>
                <w:rFonts w:ascii="宋体" w:hAnsi="宋体" w:cs="宋体" w:eastAsia="宋体" w:hint="default"/>
                <w:sz w:val="18"/>
                <w:szCs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14"/>
              <w:ind w:left="412" w:right="0"/>
              <w:jc w:val="left"/>
              <w:rPr>
                <w:rFonts w:ascii="Times New Roman" w:hAnsi="Times New Roman" w:cs="Times New Roman" w:eastAsia="Times New Roman" w:hint="default"/>
                <w:sz w:val="18"/>
                <w:szCs w:val="18"/>
              </w:rPr>
            </w:pPr>
            <w:r>
              <w:rPr>
                <w:rFonts w:ascii="Times New Roman"/>
                <w:sz w:val="18"/>
              </w:rPr>
              <w:t>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8" w:lineRule="auto"/>
              <w:ind w:left="105" w:right="223"/>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30" w:hRule="exact"/>
        </w:trPr>
        <w:tc>
          <w:tcPr>
            <w:tcW w:w="15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14"/>
              <w:ind w:left="412" w:right="0"/>
              <w:jc w:val="left"/>
              <w:rPr>
                <w:rFonts w:ascii="Times New Roman" w:hAnsi="Times New Roman" w:cs="Times New Roman" w:eastAsia="Times New Roman" w:hint="default"/>
                <w:sz w:val="18"/>
                <w:szCs w:val="18"/>
              </w:rPr>
            </w:pPr>
            <w:r>
              <w:rPr>
                <w:rFonts w:ascii="Times New Roman"/>
                <w:sz w:val="18"/>
              </w:rPr>
              <w:t>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8"/>
        <w:ind w:right="0"/>
        <w:jc w:val="left"/>
      </w:pPr>
      <w:r>
        <w:rPr>
          <w:spacing w:val="-3"/>
        </w:rPr>
        <w:t>其他说明：</w:t>
      </w:r>
      <w:r>
        <w:rPr/>
      </w:r>
    </w:p>
    <w:p>
      <w:pPr>
        <w:spacing w:line="240" w:lineRule="auto" w:before="4"/>
        <w:rPr>
          <w:rFonts w:ascii="宋体" w:hAnsi="宋体" w:cs="宋体" w:eastAsia="宋体" w:hint="default"/>
          <w:sz w:val="14"/>
          <w:szCs w:val="14"/>
        </w:rPr>
      </w:pPr>
    </w:p>
    <w:p>
      <w:pPr>
        <w:pStyle w:val="BodyText"/>
        <w:spacing w:line="309" w:lineRule="auto"/>
        <w:ind w:right="0" w:firstLine="360"/>
        <w:jc w:val="left"/>
        <w:rPr>
          <w:rFonts w:ascii="宋体" w:hAnsi="宋体" w:cs="宋体" w:eastAsia="宋体" w:hint="default"/>
        </w:rPr>
      </w:pPr>
      <w:r>
        <w:rPr>
          <w:spacing w:val="-4"/>
          <w:w w:val="101"/>
        </w:rPr>
        <w:t>根据湖南省发展和改革委员会</w:t>
      </w:r>
      <w:r>
        <w:rPr>
          <w:rFonts w:ascii="Times New Roman" w:hAnsi="Times New Roman" w:cs="Times New Roman" w:eastAsia="Times New Roman" w:hint="default"/>
          <w:spacing w:val="-4"/>
          <w:w w:val="101"/>
        </w:rPr>
        <w:t>2014</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16</w:t>
      </w:r>
      <w:r>
        <w:rPr>
          <w:spacing w:val="-4"/>
          <w:w w:val="101"/>
        </w:rPr>
        <w:t>日《关于湖南科创信息技术股份有限公司面向电子政务的专有云计算平台研</w:t>
      </w:r>
      <w:r>
        <w:rPr>
          <w:spacing w:val="-5"/>
          <w:w w:val="101"/>
        </w:rPr>
        <w:t> </w:t>
      </w:r>
      <w:r>
        <w:rPr>
          <w:spacing w:val="-3"/>
          <w:w w:val="101"/>
        </w:rPr>
        <w:t>发与推广项目实施方案的批复》（湘发改高技专项</w:t>
      </w:r>
      <w:r>
        <w:rPr>
          <w:rFonts w:ascii="Times New Roman" w:hAnsi="Times New Roman" w:cs="Times New Roman" w:eastAsia="Times New Roman" w:hint="default"/>
          <w:spacing w:val="-3"/>
          <w:w w:val="101"/>
        </w:rPr>
        <w:t>[2014]20</w:t>
      </w:r>
      <w:r>
        <w:rPr>
          <w:spacing w:val="-3"/>
          <w:w w:val="101"/>
        </w:rPr>
        <w:t>号）文件、长沙市财政局</w:t>
      </w:r>
      <w:r>
        <w:rPr>
          <w:rFonts w:ascii="Times New Roman" w:hAnsi="Times New Roman" w:cs="Times New Roman" w:eastAsia="Times New Roman" w:hint="default"/>
          <w:spacing w:val="-3"/>
          <w:w w:val="101"/>
        </w:rPr>
        <w:t>2014</w:t>
      </w:r>
      <w:r>
        <w:rPr>
          <w:spacing w:val="-3"/>
          <w:w w:val="101"/>
        </w:rPr>
        <w:t>年</w:t>
      </w:r>
      <w:r>
        <w:rPr>
          <w:rFonts w:ascii="Times New Roman" w:hAnsi="Times New Roman" w:cs="Times New Roman" w:eastAsia="Times New Roman" w:hint="default"/>
          <w:spacing w:val="-3"/>
          <w:w w:val="101"/>
        </w:rPr>
        <w:t>12</w:t>
      </w:r>
      <w:r>
        <w:rPr>
          <w:spacing w:val="-3"/>
          <w:w w:val="101"/>
        </w:rPr>
        <w:t>月</w:t>
      </w:r>
      <w:r>
        <w:rPr>
          <w:rFonts w:ascii="Times New Roman" w:hAnsi="Times New Roman" w:cs="Times New Roman" w:eastAsia="Times New Roman" w:hint="default"/>
          <w:spacing w:val="-3"/>
          <w:w w:val="101"/>
        </w:rPr>
        <w:t>23</w:t>
      </w:r>
      <w:r>
        <w:rPr>
          <w:spacing w:val="-3"/>
          <w:w w:val="101"/>
        </w:rPr>
        <w:t>日《关于下达中央财政补</w:t>
      </w:r>
      <w:r>
        <w:rPr>
          <w:spacing w:val="-57"/>
          <w:w w:val="101"/>
        </w:rPr>
        <w:t> </w:t>
      </w:r>
      <w:r>
        <w:rPr>
          <w:spacing w:val="-57"/>
          <w:w w:val="101"/>
        </w:rPr>
      </w:r>
      <w:r>
        <w:rPr>
          <w:spacing w:val="-7"/>
          <w:w w:val="101"/>
        </w:rPr>
        <w:t>助</w:t>
      </w:r>
      <w:r>
        <w:rPr>
          <w:rFonts w:ascii="Times New Roman" w:hAnsi="Times New Roman" w:cs="Times New Roman" w:eastAsia="Times New Roman" w:hint="default"/>
          <w:spacing w:val="-7"/>
          <w:w w:val="101"/>
        </w:rPr>
        <w:t>2014</w:t>
      </w:r>
      <w:r>
        <w:rPr>
          <w:spacing w:val="-7"/>
          <w:w w:val="101"/>
        </w:rPr>
        <w:t>年战略新兴产业发展专项资金（云计算工程项目）的通知》（长财企指</w:t>
      </w:r>
      <w:r>
        <w:rPr>
          <w:rFonts w:ascii="Times New Roman" w:hAnsi="Times New Roman" w:cs="Times New Roman" w:eastAsia="Times New Roman" w:hint="default"/>
          <w:spacing w:val="-7"/>
          <w:w w:val="101"/>
        </w:rPr>
        <w:t>[2014]141</w:t>
      </w:r>
      <w:r>
        <w:rPr>
          <w:spacing w:val="-7"/>
          <w:w w:val="101"/>
        </w:rPr>
        <w:t>号）文件，公司获得中央财政补助</w:t>
      </w:r>
      <w:r>
        <w:rPr>
          <w:rFonts w:ascii="Times New Roman" w:hAnsi="Times New Roman" w:cs="Times New Roman" w:eastAsia="Times New Roman" w:hint="default"/>
          <w:spacing w:val="-7"/>
          <w:w w:val="101"/>
        </w:rPr>
        <w:t>2014</w:t>
      </w:r>
      <w:r>
        <w:rPr>
          <w:rFonts w:ascii="Times New Roman" w:hAnsi="Times New Roman" w:cs="Times New Roman" w:eastAsia="Times New Roman" w:hint="default"/>
          <w:spacing w:val="-30"/>
          <w:w w:val="101"/>
        </w:rPr>
        <w:t> </w:t>
      </w:r>
      <w:r>
        <w:rPr>
          <w:rFonts w:ascii="Times New Roman" w:hAnsi="Times New Roman" w:cs="Times New Roman" w:eastAsia="Times New Roman" w:hint="default"/>
          <w:spacing w:val="-30"/>
          <w:w w:val="101"/>
        </w:rPr>
      </w:r>
      <w:r>
        <w:rPr>
          <w:spacing w:val="-4"/>
        </w:rPr>
        <w:t>年战略新兴产业发展专项资金（云计算工程项目）</w:t>
      </w:r>
      <w:r>
        <w:rPr>
          <w:rFonts w:ascii="Times New Roman" w:hAnsi="Times New Roman" w:cs="Times New Roman" w:eastAsia="Times New Roman" w:hint="default"/>
          <w:spacing w:val="-4"/>
        </w:rPr>
        <w:t>15,000,000.00</w:t>
      </w:r>
      <w:r>
        <w:rPr>
          <w:spacing w:val="-4"/>
        </w:rPr>
        <w:t>元，用于</w:t>
      </w:r>
      <w:r>
        <w:rPr>
          <w:rFonts w:ascii="Times New Roman" w:hAnsi="Times New Roman" w:cs="Times New Roman" w:eastAsia="Times New Roman" w:hint="default"/>
          <w:spacing w:val="-4"/>
        </w:rPr>
        <w:t>“</w:t>
      </w:r>
      <w:r>
        <w:rPr>
          <w:spacing w:val="-4"/>
        </w:rPr>
        <w:t>面向电子政务的专有云计算平台研发与推广项目</w:t>
      </w:r>
      <w:r>
        <w:rPr>
          <w:rFonts w:ascii="Times New Roman" w:hAnsi="Times New Roman" w:cs="Times New Roman" w:eastAsia="Times New Roman" w:hint="default"/>
          <w:spacing w:val="-4"/>
        </w:rPr>
        <w:t>”</w:t>
      </w:r>
      <w:r>
        <w:rPr>
          <w:spacing w:val="-4"/>
        </w:rPr>
        <w:t>。</w:t>
      </w:r>
      <w:r>
        <w:rPr>
          <w:spacing w:val="49"/>
        </w:rPr>
        <w:t> </w:t>
      </w:r>
      <w:r>
        <w:rPr>
          <w:spacing w:val="-3"/>
        </w:rPr>
        <w:t>该补助为与资产相关的政府补助，将于项目验收后按对应资产剩余折旧期间平均摊销计入当期损益。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before="36"/>
        <w:ind w:right="0"/>
        <w:jc w:val="left"/>
        <w:rPr>
          <w:b w:val="0"/>
          <w:bCs w:val="0"/>
        </w:rPr>
      </w:pPr>
      <w:bookmarkStart w:name="27、股本" w:id="287"/>
      <w:bookmarkEnd w:id="287"/>
      <w:r>
        <w:rPr>
          <w:b w:val="0"/>
          <w:bCs w:val="0"/>
        </w:rPr>
      </w:r>
      <w:r>
        <w:rPr>
          <w:rFonts w:ascii="Times New Roman" w:hAnsi="Times New Roman" w:cs="Times New Roman" w:eastAsia="Times New Roman" w:hint="default"/>
        </w:rPr>
        <w:t>27</w:t>
      </w:r>
      <w:r>
        <w:rPr/>
        <w:t>、股本</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205"/>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445"/>
        <w:gridCol w:w="1349"/>
        <w:gridCol w:w="797"/>
        <w:gridCol w:w="1195"/>
        <w:gridCol w:w="931"/>
        <w:gridCol w:w="1315"/>
        <w:gridCol w:w="1339"/>
      </w:tblGrid>
      <w:tr>
        <w:trPr>
          <w:trHeight w:val="413" w:hRule="exact"/>
        </w:trPr>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44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8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838"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13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195" w:type="dxa"/>
            <w:vMerge/>
            <w:tcBorders>
              <w:left w:val="single" w:sz="4" w:space="0" w:color="000000"/>
              <w:bottom w:val="single" w:sz="4" w:space="0" w:color="000000"/>
              <w:right w:val="single" w:sz="4" w:space="0" w:color="000000"/>
            </w:tcBorders>
            <w:shd w:val="clear" w:color="auto" w:fill="D4D4D4"/>
          </w:tcPr>
          <w:p>
            <w:pPr/>
          </w:p>
        </w:tc>
        <w:tc>
          <w:tcPr>
            <w:tcW w:w="1445" w:type="dxa"/>
            <w:vMerge/>
            <w:tcBorders>
              <w:left w:val="single" w:sz="4" w:space="0" w:color="000000"/>
              <w:bottom w:val="single" w:sz="4" w:space="0" w:color="000000"/>
              <w:right w:val="single" w:sz="4" w:space="0" w:color="000000"/>
            </w:tcBorders>
            <w:shd w:val="clear" w:color="auto" w:fill="D4D4D4"/>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pacing w:val="-3"/>
                <w:sz w:val="18"/>
                <w:szCs w:val="18"/>
              </w:rPr>
              <w:t>公积金转股</w:t>
            </w:r>
            <w:r>
              <w:rPr>
                <w:rFonts w:ascii="宋体" w:hAnsi="宋体" w:cs="宋体" w:eastAsia="宋体" w:hint="default"/>
                <w:sz w:val="18"/>
                <w:szCs w:val="18"/>
              </w:rPr>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39" w:type="dxa"/>
            <w:vMerge/>
            <w:tcBorders>
              <w:left w:val="single" w:sz="4" w:space="0" w:color="000000"/>
              <w:bottom w:val="single" w:sz="4" w:space="0" w:color="000000"/>
              <w:right w:val="single" w:sz="4" w:space="0" w:color="000000"/>
            </w:tcBorders>
            <w:shd w:val="clear" w:color="auto" w:fill="D4D4D4"/>
          </w:tcPr>
          <w:p>
            <w:pPr/>
          </w:p>
        </w:tc>
      </w:tr>
      <w:tr>
        <w:trPr>
          <w:trHeight w:val="4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69,705,999.00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Times New Roman" w:hAnsi="Times New Roman" w:cs="Times New Roman" w:eastAsia="Times New Roman" w:hint="default"/>
                <w:sz w:val="18"/>
                <w:szCs w:val="18"/>
              </w:rPr>
            </w:pPr>
            <w:r>
              <w:rPr>
                <w:rFonts w:ascii="Times New Roman"/>
                <w:sz w:val="18"/>
              </w:rPr>
              <w:t>23,240,000.00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8"/>
                <w:szCs w:val="18"/>
              </w:rPr>
            </w:pPr>
            <w:r>
              <w:rPr>
                <w:rFonts w:ascii="Times New Roman"/>
                <w:sz w:val="18"/>
              </w:rPr>
              <w:t>23,240,000.00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1" w:right="0"/>
              <w:jc w:val="left"/>
              <w:rPr>
                <w:rFonts w:ascii="Times New Roman" w:hAnsi="Times New Roman" w:cs="Times New Roman" w:eastAsia="Times New Roman" w:hint="default"/>
                <w:sz w:val="18"/>
                <w:szCs w:val="18"/>
              </w:rPr>
            </w:pPr>
            <w:r>
              <w:rPr>
                <w:rFonts w:ascii="Times New Roman"/>
                <w:sz w:val="18"/>
              </w:rPr>
              <w:t>92,945,999.00</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1027" w:header="914" w:top="1100" w:bottom="1220" w:left="980" w:right="920"/>
          <w:pgNumType w:start="120"/>
        </w:sectPr>
      </w:pPr>
    </w:p>
    <w:p>
      <w:pPr>
        <w:spacing w:line="240" w:lineRule="auto" w:before="7"/>
        <w:rPr>
          <w:rFonts w:ascii="宋体" w:hAnsi="宋体" w:cs="宋体" w:eastAsia="宋体" w:hint="default"/>
          <w:sz w:val="23"/>
          <w:szCs w:val="23"/>
        </w:rPr>
      </w:pPr>
    </w:p>
    <w:p>
      <w:pPr>
        <w:pStyle w:val="BodyText"/>
        <w:spacing w:line="240" w:lineRule="auto" w:before="46"/>
        <w:ind w:right="0"/>
        <w:jc w:val="left"/>
      </w:pPr>
      <w:r>
        <w:rPr>
          <w:spacing w:val="-3"/>
        </w:rPr>
        <w:t>其他说明：</w:t>
      </w:r>
      <w:r>
        <w:rPr/>
      </w:r>
    </w:p>
    <w:p>
      <w:pPr>
        <w:spacing w:line="240" w:lineRule="auto" w:before="12"/>
        <w:rPr>
          <w:rFonts w:ascii="宋体" w:hAnsi="宋体" w:cs="宋体" w:eastAsia="宋体" w:hint="default"/>
          <w:sz w:val="13"/>
          <w:szCs w:val="13"/>
        </w:rPr>
      </w:pPr>
    </w:p>
    <w:p>
      <w:pPr>
        <w:pStyle w:val="BodyText"/>
        <w:spacing w:line="309" w:lineRule="auto"/>
        <w:ind w:right="162"/>
        <w:jc w:val="left"/>
        <w:rPr>
          <w:rFonts w:ascii="宋体" w:hAnsi="宋体" w:cs="宋体" w:eastAsia="宋体" w:hint="default"/>
        </w:rPr>
      </w:pPr>
      <w:r>
        <w:rPr>
          <w:spacing w:val="-2"/>
        </w:rPr>
        <w:t>注：本期股本增加</w:t>
      </w:r>
      <w:r>
        <w:rPr>
          <w:rFonts w:ascii="Times New Roman" w:hAnsi="Times New Roman" w:cs="Times New Roman" w:eastAsia="Times New Roman" w:hint="default"/>
          <w:spacing w:val="-2"/>
        </w:rPr>
        <w:t>23,240,000.00</w:t>
      </w:r>
      <w:r>
        <w:rPr>
          <w:spacing w:val="-2"/>
        </w:rPr>
        <w:t>元为公司</w:t>
      </w:r>
      <w:r>
        <w:rPr>
          <w:rFonts w:ascii="Times New Roman" w:hAnsi="Times New Roman" w:cs="Times New Roman" w:eastAsia="Times New Roman" w:hint="default"/>
          <w:spacing w:val="-2"/>
        </w:rPr>
        <w:t>2017</w:t>
      </w:r>
      <w:r>
        <w:rPr>
          <w:spacing w:val="-2"/>
        </w:rPr>
        <w:t>年经中国证券监督管理委员会核准公开发行</w:t>
      </w:r>
      <w:r>
        <w:rPr>
          <w:rFonts w:ascii="Times New Roman" w:hAnsi="Times New Roman" w:cs="Times New Roman" w:eastAsia="Times New Roman" w:hint="default"/>
          <w:spacing w:val="-2"/>
        </w:rPr>
        <w:t>23,240,000</w:t>
      </w:r>
      <w:r>
        <w:rPr>
          <w:spacing w:val="-2"/>
        </w:rPr>
        <w:t>股人民币普通股股票所</w:t>
      </w:r>
      <w:r>
        <w:rPr>
          <w:spacing w:val="3"/>
        </w:rPr>
        <w:t> </w:t>
      </w:r>
      <w:r>
        <w:rPr>
          <w:spacing w:val="3"/>
        </w:rPr>
      </w:r>
      <w:r>
        <w:rPr>
          <w:spacing w:val="-3"/>
        </w:rPr>
        <w:t>致。</w:t>
      </w:r>
      <w:r>
        <w:rPr>
          <w:rFonts w:ascii="宋体" w:hAnsi="宋体" w:cs="宋体" w:eastAsia="宋体" w:hint="default"/>
        </w:rPr>
        <w:t> </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28、资本公积" w:id="288"/>
      <w:bookmarkEnd w:id="288"/>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4"/>
                <w:sz w:val="18"/>
                <w:szCs w:val="18"/>
              </w:rPr>
              <w:t>资本溢价（股本溢价）</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5,174,001.00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139,412,900.00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144,586,901.00</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2,252,627.80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2,252,627.80</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7,426,628.80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139,412,900.00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146,839,528.80</w:t>
            </w:r>
          </w:p>
        </w:tc>
      </w:tr>
    </w:tbl>
    <w:p>
      <w:pPr>
        <w:pStyle w:val="BodyText"/>
        <w:spacing w:line="240" w:lineRule="auto" w:before="58"/>
        <w:ind w:right="0"/>
        <w:jc w:val="left"/>
      </w:pPr>
      <w:r>
        <w:rPr>
          <w:spacing w:val="-3"/>
        </w:rPr>
        <w:t>其他说明，包括本期增减变动情况、变动原因说明：</w:t>
      </w:r>
      <w:r>
        <w:rPr/>
      </w:r>
    </w:p>
    <w:p>
      <w:pPr>
        <w:spacing w:line="240" w:lineRule="auto" w:before="4"/>
        <w:rPr>
          <w:rFonts w:ascii="宋体" w:hAnsi="宋体" w:cs="宋体" w:eastAsia="宋体" w:hint="default"/>
          <w:sz w:val="14"/>
          <w:szCs w:val="14"/>
        </w:rPr>
      </w:pPr>
    </w:p>
    <w:p>
      <w:pPr>
        <w:pStyle w:val="BodyText"/>
        <w:spacing w:line="304" w:lineRule="auto"/>
        <w:ind w:right="0"/>
        <w:jc w:val="left"/>
        <w:rPr>
          <w:rFonts w:ascii="宋体" w:hAnsi="宋体" w:cs="宋体" w:eastAsia="宋体" w:hint="default"/>
        </w:rPr>
      </w:pPr>
      <w:r>
        <w:rPr>
          <w:spacing w:val="-4"/>
        </w:rPr>
        <w:t>注：</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29</w:t>
      </w:r>
      <w:r>
        <w:rPr>
          <w:spacing w:val="-4"/>
        </w:rPr>
        <w:t>日，公司收到募集资金净额人民币</w:t>
      </w:r>
      <w:r>
        <w:rPr>
          <w:rFonts w:ascii="Times New Roman" w:hAnsi="Times New Roman" w:cs="Times New Roman" w:eastAsia="Times New Roman" w:hint="default"/>
          <w:spacing w:val="-4"/>
        </w:rPr>
        <w:t>162,652,900.00</w:t>
      </w:r>
      <w:r>
        <w:rPr>
          <w:spacing w:val="-4"/>
        </w:rPr>
        <w:t>元，其中增加股本人民币</w:t>
      </w:r>
      <w:r>
        <w:rPr>
          <w:rFonts w:ascii="Times New Roman" w:hAnsi="Times New Roman" w:cs="Times New Roman" w:eastAsia="Times New Roman" w:hint="default"/>
          <w:spacing w:val="-4"/>
        </w:rPr>
        <w:t>23,240,000.00</w:t>
      </w:r>
      <w:r>
        <w:rPr>
          <w:spacing w:val="-4"/>
        </w:rPr>
        <w:t>元，增加资本公积</w:t>
      </w:r>
      <w:r>
        <w:rPr>
          <w:spacing w:val="25"/>
        </w:rPr>
        <w:t> </w:t>
      </w:r>
      <w:r>
        <w:rPr>
          <w:spacing w:val="25"/>
        </w:rPr>
      </w:r>
      <w:r>
        <w:rPr/>
        <w:t>人民币</w:t>
      </w:r>
      <w:r>
        <w:rPr>
          <w:rFonts w:ascii="Times New Roman" w:hAnsi="Times New Roman" w:cs="Times New Roman" w:eastAsia="Times New Roman" w:hint="default"/>
        </w:rPr>
        <w:t>139,412,900.00</w:t>
      </w:r>
      <w:r>
        <w:rPr/>
        <w:t>元。</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29、盈余公积" w:id="289"/>
      <w:bookmarkEnd w:id="289"/>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14,963,210.06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4,306,410.78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19,269,620.84</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14,963,210.06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4,306,410.78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19,269,620.84</w:t>
            </w:r>
          </w:p>
        </w:tc>
      </w:tr>
    </w:tbl>
    <w:p>
      <w:pPr>
        <w:pStyle w:val="BodyText"/>
        <w:spacing w:line="367" w:lineRule="auto" w:before="58"/>
        <w:ind w:right="0"/>
        <w:jc w:val="left"/>
        <w:rPr>
          <w:rFonts w:ascii="宋体" w:hAnsi="宋体" w:cs="宋体" w:eastAsia="宋体" w:hint="default"/>
        </w:rPr>
      </w:pPr>
      <w:r>
        <w:rPr>
          <w:spacing w:val="-3"/>
        </w:rPr>
        <w:t>盈余公积说明，包括本期增减变动情况、变动原因说明：</w:t>
      </w:r>
      <w:r>
        <w:rPr>
          <w:spacing w:val="-20"/>
        </w:rPr>
        <w:t> </w:t>
      </w:r>
      <w:r>
        <w:rPr>
          <w:spacing w:val="-20"/>
        </w:rPr>
      </w:r>
      <w:r>
        <w:rPr>
          <w:spacing w:val="-3"/>
        </w:rPr>
        <w:t>本公司根据公司章程规定，按母公司当期实现净利润的</w:t>
      </w:r>
      <w:r>
        <w:rPr>
          <w:rFonts w:ascii="宋体" w:hAnsi="宋体" w:cs="宋体" w:eastAsia="宋体" w:hint="default"/>
          <w:spacing w:val="-3"/>
        </w:rPr>
        <w:t>10%</w:t>
      </w:r>
      <w:r>
        <w:rPr>
          <w:spacing w:val="-3"/>
        </w:rPr>
        <w:t>提取法定盈余公积，即本期增加</w:t>
      </w:r>
      <w:r>
        <w:rPr>
          <w:rFonts w:ascii="宋体" w:hAnsi="宋体" w:cs="宋体" w:eastAsia="宋体" w:hint="default"/>
          <w:spacing w:val="-3"/>
        </w:rPr>
        <w:t>4,306,410.78</w:t>
      </w:r>
      <w:r>
        <w:rPr>
          <w:spacing w:val="-3"/>
        </w:rPr>
        <w:t>元。</w:t>
      </w:r>
      <w:r>
        <w:rPr>
          <w:rFonts w:ascii="宋体" w:hAnsi="宋体" w:cs="宋体" w:eastAsia="宋体" w:hint="default"/>
        </w:rPr>
        <w:t> </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30、未分配利润" w:id="290"/>
      <w:bookmarkEnd w:id="290"/>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5"/>
        <w:gridCol w:w="2923"/>
        <w:gridCol w:w="2918"/>
      </w:tblGrid>
      <w:tr>
        <w:trPr>
          <w:trHeight w:val="41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r>
              <w:rPr>
                <w:rFonts w:ascii="宋体" w:hAnsi="宋体" w:cs="宋体" w:eastAsia="宋体" w:hint="default"/>
                <w:sz w:val="18"/>
                <w:szCs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85,219,081.03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59,765,716.71</w:t>
            </w:r>
          </w:p>
        </w:tc>
      </w:tr>
      <w:tr>
        <w:trPr>
          <w:trHeight w:val="408"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85,219,081.03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59,765,716.71</w:t>
            </w:r>
          </w:p>
        </w:tc>
      </w:tr>
      <w:tr>
        <w:trPr>
          <w:trHeight w:val="41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r>
              <w:rPr>
                <w:rFonts w:ascii="宋体" w:hAnsi="宋体" w:cs="宋体" w:eastAsia="宋体" w:hint="default"/>
                <w:sz w:val="18"/>
                <w:szCs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44,494,787.97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37,490,815.73</w:t>
            </w:r>
          </w:p>
        </w:tc>
      </w:tr>
      <w:tr>
        <w:trPr>
          <w:trHeight w:val="408"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4,306,410.78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3,672,731.53</w:t>
            </w:r>
          </w:p>
        </w:tc>
      </w:tr>
      <w:tr>
        <w:trPr>
          <w:trHeight w:val="41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应付普通股股利</w:t>
            </w:r>
            <w:r>
              <w:rPr>
                <w:rFonts w:ascii="宋体" w:hAnsi="宋体" w:cs="宋体" w:eastAsia="宋体" w:hint="default"/>
                <w:sz w:val="18"/>
                <w:szCs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5,576,479.92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8,364,719.88</w:t>
            </w:r>
          </w:p>
        </w:tc>
      </w:tr>
      <w:tr>
        <w:trPr>
          <w:trHeight w:val="413" w:hRule="exact"/>
        </w:trPr>
        <w:tc>
          <w:tcPr>
            <w:tcW w:w="3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r>
              <w:rPr>
                <w:rFonts w:ascii="宋体" w:hAnsi="宋体" w:cs="宋体" w:eastAsia="宋体" w:hint="default"/>
                <w:sz w:val="18"/>
                <w:szCs w:val="18"/>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119,830,978.30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85,219,081.03</w:t>
            </w:r>
          </w:p>
        </w:tc>
      </w:tr>
    </w:tbl>
    <w:p>
      <w:pPr>
        <w:pStyle w:val="BodyText"/>
        <w:spacing w:line="240" w:lineRule="auto" w:before="58"/>
        <w:ind w:right="0"/>
        <w:jc w:val="left"/>
      </w:pPr>
      <w:r>
        <w:rPr>
          <w:spacing w:val="-3"/>
        </w:rPr>
        <w:t>调整期初未分配利润明细：</w:t>
      </w:r>
    </w:p>
    <w:p>
      <w:pPr>
        <w:pStyle w:val="BodyText"/>
        <w:spacing w:line="240" w:lineRule="auto" w:before="124"/>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1"/>
        </w:rPr>
        <w:t> </w:t>
      </w:r>
      <w:r>
        <w:rPr>
          <w:spacing w:val="-5"/>
        </w:rPr>
        <w:t>元。</w:t>
      </w:r>
      <w:r>
        <w:rPr/>
      </w:r>
    </w:p>
    <w:p>
      <w:pPr>
        <w:pStyle w:val="BodyText"/>
        <w:spacing w:line="240" w:lineRule="auto" w:before="111"/>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0"/>
        </w:rPr>
        <w:t> </w:t>
      </w:r>
      <w:r>
        <w:rPr/>
        <w:t>元。</w:t>
      </w:r>
    </w:p>
    <w:p>
      <w:pPr>
        <w:pStyle w:val="BodyText"/>
        <w:spacing w:line="240" w:lineRule="auto" w:before="115"/>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6"/>
        </w:rPr>
        <w:t> </w:t>
      </w:r>
      <w:r>
        <w:rPr/>
        <w:t>元。</w:t>
      </w:r>
    </w:p>
    <w:p>
      <w:pPr>
        <w:spacing w:after="0" w:line="240" w:lineRule="auto"/>
        <w:jc w:val="left"/>
        <w:sectPr>
          <w:pgSz w:w="11910" w:h="16840"/>
          <w:pgMar w:header="914" w:footer="1027" w:top="1100" w:bottom="1220" w:left="980" w:right="980"/>
        </w:sectPr>
      </w:pPr>
    </w:p>
    <w:p>
      <w:pPr>
        <w:spacing w:line="240" w:lineRule="auto" w:before="7"/>
        <w:rPr>
          <w:rFonts w:ascii="宋体" w:hAnsi="宋体" w:cs="宋体" w:eastAsia="宋体" w:hint="default"/>
          <w:sz w:val="23"/>
          <w:szCs w:val="23"/>
        </w:rPr>
      </w:pPr>
    </w:p>
    <w:p>
      <w:pPr>
        <w:pStyle w:val="BodyText"/>
        <w:spacing w:line="240" w:lineRule="auto" w:before="46"/>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37"/>
        </w:rPr>
        <w:t> </w:t>
      </w:r>
      <w:r>
        <w:rPr/>
        <w:t>元。</w:t>
      </w:r>
    </w:p>
    <w:p>
      <w:pPr>
        <w:pStyle w:val="BodyText"/>
        <w:spacing w:line="240" w:lineRule="auto" w:before="111"/>
        <w:ind w:right="0"/>
        <w:jc w:val="left"/>
      </w:pPr>
      <w:r>
        <w:rPr>
          <w:rFonts w:ascii="Times New Roman" w:hAnsi="Times New Roman" w:cs="Times New Roman" w:eastAsia="Times New Roman" w:hint="default"/>
        </w:rPr>
        <w:t>5)</w:t>
      </w:r>
      <w:r>
        <w:rPr/>
        <w:t>、其他调整合计影响期初未分配利润</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1、营业收入和营业成本" w:id="291"/>
      <w:bookmarkEnd w:id="291"/>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13" w:hRule="exact"/>
        </w:trPr>
        <w:tc>
          <w:tcPr>
            <w:tcW w:w="19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1910" w:type="dxa"/>
            <w:vMerge/>
            <w:tcBorders>
              <w:left w:val="single" w:sz="4" w:space="0" w:color="000000"/>
              <w:bottom w:val="single" w:sz="4" w:space="0" w:color="000000"/>
              <w:right w:val="single" w:sz="4" w:space="0" w:color="000000"/>
            </w:tcBorders>
            <w:shd w:val="clear" w:color="auto" w:fill="D4D4D4"/>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8"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306,172,462.08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187,429,541.35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270,597,788.92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161,753,490.29</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1,251,063.20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276,898.46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835,410.19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250,357.94</w:t>
            </w:r>
          </w:p>
        </w:tc>
      </w:tr>
      <w:tr>
        <w:trPr>
          <w:trHeight w:val="4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307,423,525.28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187,706,439.81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271,433,199.11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162,003,848.23</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2、税金及附加" w:id="292"/>
      <w:bookmarkEnd w:id="292"/>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749,584.54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738,292.49</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教育费附加</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518,421.89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526,948.73</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房产税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781,244.02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573,121.26</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土地使用税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164,330.32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164,330.32</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营业税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201,528.19</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309,447.58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46,462.50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2,523,028.35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2,250,683.49</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3、销售费用" w:id="293"/>
      <w:bookmarkEnd w:id="293"/>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3,000,768.18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3"/>
                <w:sz w:val="18"/>
              </w:rPr>
              <w:t>3,113,683.17</w:t>
            </w:r>
            <w:r>
              <w:rPr>
                <w:rFonts w:ascii="Times New Roman"/>
                <w:sz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售后服务费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6,148,470.50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5,428,663.98</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招待费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3,341,516.02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2,609,545.16</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市场开发费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2,083,364.21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2,152,201.18</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办公费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1,373,664.15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2,492,786.07</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差旅费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2,067,365.51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2,468,549.65</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招投标费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2,237,648.77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2,136,936.07</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179,849.84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175,877.10</w:t>
            </w:r>
          </w:p>
        </w:tc>
      </w:tr>
    </w:tbl>
    <w:p>
      <w:pPr>
        <w:spacing w:after="0" w:line="240" w:lineRule="auto"/>
        <w:jc w:val="righ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4" w:right="0"/>
              <w:jc w:val="left"/>
              <w:rPr>
                <w:rFonts w:ascii="Times New Roman" w:hAnsi="Times New Roman" w:cs="Times New Roman" w:eastAsia="Times New Roman" w:hint="default"/>
                <w:sz w:val="18"/>
                <w:szCs w:val="18"/>
              </w:rPr>
            </w:pPr>
            <w:r>
              <w:rPr>
                <w:rFonts w:ascii="Times New Roman"/>
                <w:sz w:val="18"/>
              </w:rPr>
              <w:t>20,432,647.18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4" w:right="0"/>
              <w:jc w:val="left"/>
              <w:rPr>
                <w:rFonts w:ascii="Times New Roman" w:hAnsi="Times New Roman" w:cs="Times New Roman" w:eastAsia="Times New Roman" w:hint="default"/>
                <w:sz w:val="18"/>
                <w:szCs w:val="18"/>
              </w:rPr>
            </w:pPr>
            <w:r>
              <w:rPr>
                <w:rFonts w:ascii="Times New Roman"/>
                <w:sz w:val="18"/>
              </w:rPr>
              <w:t>20,578,242.38</w:t>
            </w:r>
          </w:p>
        </w:tc>
      </w:tr>
    </w:tbl>
    <w:p>
      <w:pPr>
        <w:pStyle w:val="BodyText"/>
        <w:spacing w:line="240" w:lineRule="auto" w:before="58"/>
        <w:ind w:right="0"/>
        <w:jc w:val="left"/>
      </w:pPr>
      <w:r>
        <w:rPr>
          <w:spacing w:val="-3"/>
        </w:rPr>
        <w:t>其他说明：</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4、管理费用" w:id="294"/>
      <w:bookmarkEnd w:id="294"/>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22,045,032.76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21,718,362.36</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12,953,449.95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12,823,540.84</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办公费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4,968,759.45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4,544,760.88</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折旧与摊销</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3,878,154.96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4,093,685.32</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招待费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2,554,089.50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1,661,904.81</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2,396,014.13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1,734,102.73</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中介服务费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2,276,206.79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2,084,301.15</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3,413.74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327,625.00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51,075,121.28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48,988,283.09</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5、财务费用" w:id="295"/>
      <w:bookmarkEnd w:id="295"/>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利息收入（负数列示）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-178,656.84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-113,806.23</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2,563,659.46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1,687,286.12</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银行手续费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173,771.67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59,543.09</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2,558,774.29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1,633,022.98</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6、资产减值损失" w:id="296"/>
      <w:bookmarkEnd w:id="296"/>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4,334,805.39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650,105.71</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1,358,232.76</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4,334,805.39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2,008,338.47</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7、投资收益" w:id="297"/>
      <w:bookmarkEnd w:id="297"/>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after="0" w:line="240" w:lineRule="auto"/>
        <w:jc w:val="right"/>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461"/>
        <w:gridCol w:w="3187"/>
        <w:gridCol w:w="2918"/>
      </w:tblGrid>
      <w:tr>
        <w:trPr>
          <w:trHeight w:val="41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r>
              <w:rPr>
                <w:rFonts w:ascii="宋体" w:hAnsi="宋体" w:cs="宋体" w:eastAsia="宋体" w:hint="default"/>
                <w:sz w:val="18"/>
                <w:szCs w:val="18"/>
              </w:rPr>
            </w:r>
          </w:p>
        </w:tc>
        <w:tc>
          <w:tcPr>
            <w:tcW w:w="318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663,561.03</w:t>
            </w:r>
          </w:p>
        </w:tc>
      </w:tr>
      <w:tr>
        <w:trPr>
          <w:trHeight w:val="413" w:hRule="exact"/>
        </w:trPr>
        <w:tc>
          <w:tcPr>
            <w:tcW w:w="34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8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36,690.41</w:t>
            </w:r>
          </w:p>
        </w:tc>
      </w:tr>
      <w:tr>
        <w:trPr>
          <w:trHeight w:val="41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700,251.44</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8、资产处置收益" w:id="298"/>
      <w:bookmarkEnd w:id="298"/>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-7,460.00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-27,750.50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9、其他收益" w:id="299"/>
      <w:bookmarkEnd w:id="299"/>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91"/>
        <w:gridCol w:w="2573"/>
        <w:gridCol w:w="2707"/>
      </w:tblGrid>
      <w:tr>
        <w:trPr>
          <w:trHeight w:val="403" w:hRule="exact"/>
        </w:trPr>
        <w:tc>
          <w:tcPr>
            <w:tcW w:w="42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334"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r>
              <w:rPr>
                <w:rFonts w:ascii="宋体" w:hAnsi="宋体" w:cs="宋体" w:eastAsia="宋体" w:hint="default"/>
                <w:sz w:val="18"/>
                <w:szCs w:val="18"/>
              </w:rPr>
            </w:r>
          </w:p>
        </w:tc>
        <w:tc>
          <w:tcPr>
            <w:tcW w:w="2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830" w:right="0"/>
              <w:jc w:val="left"/>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2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02" w:right="0"/>
              <w:jc w:val="left"/>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8"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软件增值税退税</w:t>
            </w:r>
            <w:r>
              <w:rPr>
                <w:rFonts w:ascii="宋体" w:hAnsi="宋体" w:cs="宋体" w:eastAsia="宋体" w:hint="default"/>
                <w:sz w:val="18"/>
                <w:szCs w:val="18"/>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7,490,313.17</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长沙市商务局年度市服务贸易和服务外包发展资金</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520,000.00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创新平台建设专项补助资金</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小微企业创业创新基地城市示范</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高校毕业生见习补贴</w:t>
            </w:r>
            <w:r>
              <w:rPr>
                <w:rFonts w:ascii="宋体" w:hAnsi="宋体" w:cs="宋体" w:eastAsia="宋体" w:hint="default"/>
                <w:sz w:val="18"/>
                <w:szCs w:val="18"/>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235,430.00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长沙市技术创新示范企业补助资金</w:t>
            </w:r>
            <w:r>
              <w:rPr>
                <w:rFonts w:ascii="宋体" w:hAnsi="宋体" w:cs="宋体" w:eastAsia="宋体" w:hint="default"/>
                <w:sz w:val="18"/>
                <w:szCs w:val="18"/>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长沙市财政局高新区专项补贴</w:t>
            </w:r>
            <w:r>
              <w:rPr>
                <w:rFonts w:ascii="宋体" w:hAnsi="宋体" w:cs="宋体" w:eastAsia="宋体" w:hint="default"/>
                <w:sz w:val="18"/>
                <w:szCs w:val="18"/>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长沙市失业保险管理服务局稳岗补贴</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149,178.29</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2"/>
                <w:sz w:val="18"/>
                <w:szCs w:val="18"/>
              </w:rPr>
              <w:t>长沙市知识产权局</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年密集型培育资金</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100,000.00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年经济工作大会支持款</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75,800.00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50,217.00</w:t>
            </w:r>
          </w:p>
        </w:tc>
        <w:tc>
          <w:tcPr>
            <w:tcW w:w="2707"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42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9,720,938.46</w:t>
            </w:r>
          </w:p>
        </w:tc>
        <w:tc>
          <w:tcPr>
            <w:tcW w:w="27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0、营业外收入" w:id="300"/>
      <w:bookmarkEnd w:id="300"/>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34"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103"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3,154,471.82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9,170,915.19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3,154,471.82</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1"/>
                <w:sz w:val="18"/>
                <w:szCs w:val="18"/>
              </w:rPr>
              <w:t> </w:t>
            </w:r>
            <w:r>
              <w:rPr>
                <w:rFonts w:ascii="宋体" w:hAnsi="宋体" w:cs="宋体" w:eastAsia="宋体" w:hint="default"/>
                <w:sz w:val="18"/>
                <w:szCs w:val="18"/>
              </w:rPr>
              <w:t>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683,285.66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1,032.67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683,285.66</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3,837,757.48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9,171,947.86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3,837,757.48</w:t>
            </w:r>
          </w:p>
        </w:tc>
      </w:tr>
    </w:tbl>
    <w:p>
      <w:pPr>
        <w:spacing w:after="0" w:line="240" w:lineRule="auto"/>
        <w:jc w:val="righ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0"/>
        <w:jc w:val="left"/>
      </w:pPr>
      <w:r>
        <w:rPr>
          <w:spacing w:val="-3"/>
        </w:rPr>
        <w:t>计入当期损益的政府补助：</w:t>
      </w:r>
    </w:p>
    <w:p>
      <w:pPr>
        <w:pStyle w:val="BodyText"/>
        <w:spacing w:line="240" w:lineRule="auto" w:before="124"/>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1075"/>
        <w:gridCol w:w="864"/>
        <w:gridCol w:w="1157"/>
        <w:gridCol w:w="1200"/>
        <w:gridCol w:w="941"/>
        <w:gridCol w:w="1277"/>
        <w:gridCol w:w="859"/>
        <w:gridCol w:w="946"/>
      </w:tblGrid>
      <w:tr>
        <w:trPr>
          <w:trHeight w:val="1051"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328" w:lineRule="auto"/>
              <w:ind w:left="335" w:right="161" w:hanging="183"/>
              <w:jc w:val="left"/>
              <w:rPr>
                <w:rFonts w:ascii="宋体" w:hAnsi="宋体" w:cs="宋体" w:eastAsia="宋体" w:hint="default"/>
                <w:sz w:val="18"/>
                <w:szCs w:val="18"/>
              </w:rPr>
            </w:pPr>
            <w:r>
              <w:rPr>
                <w:rFonts w:ascii="宋体" w:hAnsi="宋体" w:cs="宋体" w:eastAsia="宋体" w:hint="default"/>
                <w:spacing w:val="-4"/>
                <w:sz w:val="18"/>
                <w:szCs w:val="18"/>
              </w:rPr>
              <w:t>发放原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因</w:t>
            </w:r>
          </w:p>
        </w:tc>
        <w:tc>
          <w:tcPr>
            <w:tcW w:w="11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328" w:lineRule="auto"/>
              <w:ind w:left="148" w:right="141"/>
              <w:jc w:val="left"/>
              <w:rPr>
                <w:rFonts w:ascii="宋体" w:hAnsi="宋体" w:cs="宋体" w:eastAsia="宋体" w:hint="default"/>
                <w:sz w:val="18"/>
                <w:szCs w:val="18"/>
              </w:rPr>
            </w:pPr>
            <w:r>
              <w:rPr>
                <w:rFonts w:ascii="宋体" w:hAnsi="宋体" w:cs="宋体" w:eastAsia="宋体" w:hint="default"/>
                <w:spacing w:val="-3"/>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响当年盈亏</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328" w:lineRule="auto"/>
              <w:ind w:left="283" w:right="98" w:hanging="178"/>
              <w:jc w:val="left"/>
              <w:rPr>
                <w:rFonts w:ascii="宋体" w:hAnsi="宋体" w:cs="宋体" w:eastAsia="宋体" w:hint="default"/>
                <w:sz w:val="18"/>
                <w:szCs w:val="18"/>
              </w:rPr>
            </w:pPr>
            <w:r>
              <w:rPr>
                <w:rFonts w:ascii="宋体" w:hAnsi="宋体" w:cs="宋体" w:eastAsia="宋体" w:hint="default"/>
                <w:sz w:val="18"/>
                <w:szCs w:val="18"/>
              </w:rPr>
              <w:t>是否特殊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补贴</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328" w:lineRule="auto"/>
              <w:ind w:left="547" w:right="180" w:hanging="360"/>
              <w:jc w:val="left"/>
              <w:rPr>
                <w:rFonts w:ascii="宋体" w:hAnsi="宋体" w:cs="宋体" w:eastAsia="宋体" w:hint="default"/>
                <w:sz w:val="18"/>
                <w:szCs w:val="18"/>
              </w:rPr>
            </w:pPr>
            <w:r>
              <w:rPr>
                <w:rFonts w:ascii="宋体" w:hAnsi="宋体" w:cs="宋体" w:eastAsia="宋体" w:hint="default"/>
                <w:spacing w:val="-3"/>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328" w:lineRule="auto"/>
              <w:ind w:left="153" w:right="156"/>
              <w:jc w:val="left"/>
              <w:rPr>
                <w:rFonts w:ascii="宋体" w:hAnsi="宋体" w:cs="宋体" w:eastAsia="宋体" w:hint="default"/>
                <w:sz w:val="18"/>
                <w:szCs w:val="18"/>
              </w:rPr>
            </w:pPr>
            <w:r>
              <w:rPr>
                <w:rFonts w:ascii="宋体" w:hAnsi="宋体" w:cs="宋体" w:eastAsia="宋体" w:hint="default"/>
                <w:spacing w:val="-4"/>
                <w:sz w:val="18"/>
                <w:szCs w:val="18"/>
              </w:rPr>
              <w:t>上期发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生金额</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8"/>
              <w:ind w:left="172" w:right="103" w:hanging="68"/>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w:t>
            </w:r>
            <w:r>
              <w:rPr>
                <w:rFonts w:ascii="宋体" w:hAnsi="宋体" w:cs="宋体" w:eastAsia="宋体" w:hint="default"/>
                <w:w w:val="101"/>
                <w:sz w:val="18"/>
                <w:szCs w:val="18"/>
              </w:rPr>
              <w:t> </w:t>
            </w:r>
            <w:r>
              <w:rPr>
                <w:rFonts w:ascii="宋体" w:hAnsi="宋体" w:cs="宋体" w:eastAsia="宋体" w:hint="default"/>
                <w:spacing w:val="-4"/>
                <w:sz w:val="18"/>
                <w:szCs w:val="18"/>
              </w:rPr>
              <w:t>益相关</w:t>
            </w:r>
            <w:r>
              <w:rPr>
                <w:rFonts w:ascii="宋体" w:hAnsi="宋体" w:cs="宋体" w:eastAsia="宋体" w:hint="default"/>
                <w:sz w:val="18"/>
                <w:szCs w:val="18"/>
              </w:rPr>
            </w:r>
          </w:p>
        </w:tc>
      </w:tr>
      <w:tr>
        <w:trPr>
          <w:trHeight w:val="1051"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264" w:right="170" w:hanging="92"/>
              <w:jc w:val="left"/>
              <w:rPr>
                <w:rFonts w:ascii="宋体" w:hAnsi="宋体" w:cs="宋体" w:eastAsia="宋体" w:hint="default"/>
                <w:sz w:val="18"/>
                <w:szCs w:val="18"/>
              </w:rPr>
            </w:pPr>
            <w:r>
              <w:rPr>
                <w:rFonts w:ascii="宋体" w:hAnsi="宋体" w:cs="宋体" w:eastAsia="宋体" w:hint="default"/>
                <w:spacing w:val="-3"/>
                <w:sz w:val="18"/>
                <w:szCs w:val="18"/>
              </w:rPr>
              <w:t>上市和挂牌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补助资金</w:t>
            </w:r>
          </w:p>
        </w:tc>
        <w:tc>
          <w:tcPr>
            <w:tcW w:w="10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350" w:right="170" w:hanging="183"/>
              <w:jc w:val="left"/>
              <w:rPr>
                <w:rFonts w:ascii="宋体" w:hAnsi="宋体" w:cs="宋体" w:eastAsia="宋体" w:hint="default"/>
                <w:sz w:val="18"/>
                <w:szCs w:val="18"/>
              </w:rPr>
            </w:pPr>
            <w:r>
              <w:rPr>
                <w:rFonts w:ascii="宋体" w:hAnsi="宋体" w:cs="宋体" w:eastAsia="宋体" w:hint="default"/>
                <w:sz w:val="18"/>
                <w:szCs w:val="18"/>
              </w:rPr>
              <w:t>当地政府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机关</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8"/>
              <w:ind w:left="129" w:right="117"/>
              <w:jc w:val="center"/>
              <w:rPr>
                <w:rFonts w:ascii="宋体" w:hAnsi="宋体" w:cs="宋体" w:eastAsia="宋体" w:hint="default"/>
                <w:sz w:val="18"/>
                <w:szCs w:val="18"/>
              </w:rPr>
            </w:pPr>
            <w:r>
              <w:rPr>
                <w:rFonts w:ascii="宋体" w:hAnsi="宋体" w:cs="宋体" w:eastAsia="宋体" w:hint="default"/>
                <w:spacing w:val="-3"/>
                <w:sz w:val="18"/>
                <w:szCs w:val="18"/>
              </w:rPr>
              <w:t>奖励上市而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给予的政府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0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7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3,020,000.00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379" w:right="103" w:hanging="274"/>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694"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个税手续费</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28" w:lineRule="auto"/>
              <w:ind w:left="350" w:right="170" w:hanging="183"/>
              <w:jc w:val="left"/>
              <w:rPr>
                <w:rFonts w:ascii="宋体" w:hAnsi="宋体" w:cs="宋体" w:eastAsia="宋体" w:hint="default"/>
                <w:sz w:val="18"/>
                <w:szCs w:val="18"/>
              </w:rPr>
            </w:pPr>
            <w:r>
              <w:rPr>
                <w:rFonts w:ascii="宋体" w:hAnsi="宋体" w:cs="宋体" w:eastAsia="宋体" w:hint="default"/>
                <w:sz w:val="18"/>
                <w:szCs w:val="18"/>
              </w:rPr>
              <w:t>当地政府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机关</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8"/>
              <w:ind w:left="129" w:right="117"/>
              <w:jc w:val="both"/>
              <w:rPr>
                <w:rFonts w:ascii="宋体" w:hAnsi="宋体" w:cs="宋体" w:eastAsia="宋体" w:hint="default"/>
                <w:sz w:val="18"/>
                <w:szCs w:val="18"/>
              </w:rPr>
            </w:pPr>
            <w:r>
              <w:rPr>
                <w:rFonts w:ascii="宋体" w:hAnsi="宋体" w:cs="宋体" w:eastAsia="宋体" w:hint="default"/>
                <w:spacing w:val="-3"/>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获得的补助</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84,471.82</w:t>
            </w:r>
          </w:p>
        </w:tc>
        <w:tc>
          <w:tcPr>
            <w:tcW w:w="8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28" w:lineRule="auto"/>
              <w:ind w:left="379" w:right="103" w:hanging="274"/>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699" w:hRule="exact"/>
        </w:trPr>
        <w:tc>
          <w:tcPr>
            <w:tcW w:w="12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before="144"/>
              <w:ind w:left="172" w:right="170"/>
              <w:jc w:val="center"/>
              <w:rPr>
                <w:rFonts w:ascii="宋体" w:hAnsi="宋体" w:cs="宋体" w:eastAsia="宋体" w:hint="default"/>
                <w:sz w:val="18"/>
                <w:szCs w:val="18"/>
              </w:rPr>
            </w:pPr>
            <w:r>
              <w:rPr>
                <w:rFonts w:ascii="宋体" w:hAnsi="宋体" w:cs="宋体" w:eastAsia="宋体" w:hint="default"/>
                <w:spacing w:val="-3"/>
                <w:sz w:val="18"/>
                <w:szCs w:val="18"/>
              </w:rPr>
              <w:t>长沙高新区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非公企业党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w:t>
            </w:r>
          </w:p>
        </w:tc>
        <w:tc>
          <w:tcPr>
            <w:tcW w:w="10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28" w:lineRule="auto"/>
              <w:ind w:left="350" w:right="170" w:hanging="183"/>
              <w:jc w:val="left"/>
              <w:rPr>
                <w:rFonts w:ascii="宋体" w:hAnsi="宋体" w:cs="宋体" w:eastAsia="宋体" w:hint="default"/>
                <w:sz w:val="18"/>
                <w:szCs w:val="18"/>
              </w:rPr>
            </w:pPr>
            <w:r>
              <w:rPr>
                <w:rFonts w:ascii="宋体" w:hAnsi="宋体" w:cs="宋体" w:eastAsia="宋体" w:hint="default"/>
                <w:sz w:val="18"/>
                <w:szCs w:val="18"/>
              </w:rPr>
              <w:t>当地政府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机关</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3"/>
              <w:ind w:left="129" w:right="117"/>
              <w:jc w:val="both"/>
              <w:rPr>
                <w:rFonts w:ascii="宋体" w:hAnsi="宋体" w:cs="宋体" w:eastAsia="宋体" w:hint="default"/>
                <w:sz w:val="18"/>
                <w:szCs w:val="18"/>
              </w:rPr>
            </w:pPr>
            <w:r>
              <w:rPr>
                <w:rFonts w:ascii="宋体" w:hAnsi="宋体" w:cs="宋体" w:eastAsia="宋体" w:hint="default"/>
                <w:spacing w:val="-3"/>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获得的补助</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28" w:lineRule="auto"/>
              <w:ind w:left="379" w:right="103" w:hanging="274"/>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408"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53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left="40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3,154,471.82</w:t>
            </w:r>
          </w:p>
        </w:tc>
        <w:tc>
          <w:tcPr>
            <w:tcW w:w="85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1、营业外支出" w:id="301"/>
      <w:bookmarkEnd w:id="301"/>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30"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103"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50,000.00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10,814.35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2,713.21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10,814.35</w:t>
            </w:r>
          </w:p>
        </w:tc>
      </w:tr>
      <w:tr>
        <w:trPr>
          <w:trHeight w:val="4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60,814.35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2,713.21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60,814.35</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2、所得税费用" w:id="302"/>
      <w:bookmarkEnd w:id="302"/>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所得税费用表" w:id="303"/>
      <w:bookmarkEnd w:id="3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3"/>
                <w:sz w:val="18"/>
              </w:rPr>
              <w:t>8,367,811.08</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6,180,663.28</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-651,883.79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-267,369.25</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7,715,927.29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5,913,294.03</w:t>
            </w:r>
          </w:p>
        </w:tc>
      </w:tr>
    </w:tbl>
    <w:p>
      <w:pPr>
        <w:spacing w:after="0" w:line="240" w:lineRule="auto"/>
        <w:jc w:val="righ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2）会计利润与所得税费用调整过程" w:id="304"/>
      <w:bookmarkEnd w:id="3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827"/>
        <w:gridCol w:w="3739"/>
      </w:tblGrid>
      <w:tr>
        <w:trPr>
          <w:trHeight w:val="410"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r>
      <w:tr>
        <w:trPr>
          <w:trHeight w:val="410"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spacing w:val="-1"/>
                <w:sz w:val="18"/>
              </w:rPr>
              <w:t>52,283,130.57</w:t>
            </w:r>
          </w:p>
        </w:tc>
      </w:tr>
      <w:tr>
        <w:trPr>
          <w:trHeight w:val="413"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7,842,469.59</w:t>
            </w:r>
          </w:p>
        </w:tc>
      </w:tr>
      <w:tr>
        <w:trPr>
          <w:trHeight w:val="408"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-16,463.69</w:t>
            </w:r>
          </w:p>
        </w:tc>
      </w:tr>
      <w:tr>
        <w:trPr>
          <w:trHeight w:val="413"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1,537,550.94</w:t>
            </w:r>
          </w:p>
        </w:tc>
      </w:tr>
      <w:tr>
        <w:trPr>
          <w:trHeight w:val="413"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r>
              <w:rPr>
                <w:rFonts w:ascii="宋体" w:hAnsi="宋体" w:cs="宋体" w:eastAsia="宋体" w:hint="default"/>
                <w:sz w:val="18"/>
                <w:szCs w:val="18"/>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-42,615.39</w:t>
            </w:r>
          </w:p>
        </w:tc>
      </w:tr>
      <w:tr>
        <w:trPr>
          <w:trHeight w:val="408"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本期未确认递延所得税资产的可抵扣暂时性差异或可抵扣亏损的影响</w:t>
            </w:r>
            <w:r>
              <w:rPr>
                <w:rFonts w:ascii="宋体" w:hAnsi="宋体" w:cs="宋体" w:eastAsia="宋体" w:hint="default"/>
                <w:sz w:val="18"/>
                <w:szCs w:val="18"/>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23,182.13</w:t>
            </w:r>
          </w:p>
        </w:tc>
      </w:tr>
      <w:tr>
        <w:trPr>
          <w:trHeight w:val="413" w:hRule="exact"/>
        </w:trPr>
        <w:tc>
          <w:tcPr>
            <w:tcW w:w="58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合并抵销利润影响当期所得税</w:t>
            </w:r>
            <w:r>
              <w:rPr>
                <w:rFonts w:ascii="宋体" w:hAnsi="宋体" w:cs="宋体" w:eastAsia="宋体" w:hint="default"/>
                <w:sz w:val="18"/>
                <w:szCs w:val="18"/>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-255,498.04</w:t>
            </w:r>
          </w:p>
        </w:tc>
      </w:tr>
      <w:tr>
        <w:trPr>
          <w:trHeight w:val="410" w:hRule="exact"/>
        </w:trPr>
        <w:tc>
          <w:tcPr>
            <w:tcW w:w="58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研发费用加计扣除的影响</w:t>
            </w:r>
            <w:r>
              <w:rPr>
                <w:rFonts w:ascii="宋体" w:hAnsi="宋体" w:cs="宋体" w:eastAsia="宋体" w:hint="default"/>
                <w:sz w:val="18"/>
                <w:szCs w:val="18"/>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-1,372,698.25</w:t>
            </w:r>
          </w:p>
        </w:tc>
      </w:tr>
      <w:tr>
        <w:trPr>
          <w:trHeight w:val="410" w:hRule="exact"/>
        </w:trPr>
        <w:tc>
          <w:tcPr>
            <w:tcW w:w="58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pacing w:val="-3"/>
                <w:sz w:val="18"/>
                <w:szCs w:val="18"/>
              </w:rPr>
              <w:t>所得税费用</w:t>
            </w:r>
            <w:r>
              <w:rPr>
                <w:rFonts w:ascii="宋体" w:hAnsi="宋体" w:cs="宋体" w:eastAsia="宋体" w:hint="default"/>
                <w:sz w:val="18"/>
                <w:szCs w:val="18"/>
              </w:rPr>
            </w:r>
          </w:p>
        </w:tc>
        <w:tc>
          <w:tcPr>
            <w:tcW w:w="3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spacing w:val="-1"/>
                <w:sz w:val="18"/>
              </w:rPr>
              <w:t>7,715,927.29</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3、其他综合收益" w:id="305"/>
      <w:bookmarkEnd w:id="305"/>
      <w:r>
        <w:rPr>
          <w:b w:val="0"/>
          <w:bCs w:val="0"/>
        </w:rPr>
      </w:r>
      <w:r>
        <w:rPr>
          <w:rFonts w:ascii="Times New Roman" w:hAnsi="Times New Roman" w:cs="Times New Roman" w:eastAsia="Times New Roman" w:hint="default"/>
        </w:rPr>
        <w:t>43</w:t>
      </w:r>
      <w:r>
        <w:rPr/>
        <w:t>、其他综合收益</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spacing w:val="-3"/>
        </w:rPr>
        <w:t>详见附注。</w:t>
      </w:r>
      <w:r>
        <w:rPr/>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bookmarkStart w:name="44、现金流量表项目" w:id="306"/>
      <w:bookmarkEnd w:id="306"/>
      <w:r>
        <w:rPr>
          <w:b w:val="0"/>
          <w:bCs w:val="0"/>
        </w:rPr>
      </w:r>
      <w:r>
        <w:rPr>
          <w:rFonts w:ascii="Times New Roman" w:hAnsi="Times New Roman" w:cs="Times New Roman" w:eastAsia="Times New Roman" w:hint="default"/>
        </w:rPr>
        <w:t>44</w:t>
      </w:r>
      <w:r>
        <w:rPr/>
        <w:t>、现金流量表项目</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收到的其他与经营活动有关的现金" w:id="307"/>
      <w:bookmarkEnd w:id="3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银行承兑汇票保证金、保函保证金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150,819.74</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4,715,142.37</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政府补助及其他营业外收入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6,068,382.77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3,622,622.83</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178,656.84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3"/>
                <w:sz w:val="18"/>
              </w:rPr>
              <w:t>113,806.23</w:t>
            </w:r>
            <w:r>
              <w:rPr>
                <w:rFonts w:ascii="Times New Roman"/>
                <w:sz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6,247,039.61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8,602,391.17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0"/>
        <w:jc w:val="left"/>
        <w:rPr>
          <w:b w:val="0"/>
          <w:bCs w:val="0"/>
        </w:rPr>
      </w:pPr>
      <w:bookmarkStart w:name="（2）支付的其他与经营活动有关的现金" w:id="308"/>
      <w:bookmarkEnd w:id="3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1,481,820.35</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31,579,964.41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39" w:right="0"/>
              <w:jc w:val="left"/>
              <w:rPr>
                <w:rFonts w:ascii="Times New Roman" w:hAnsi="Times New Roman" w:cs="Times New Roman" w:eastAsia="Times New Roman" w:hint="default"/>
                <w:sz w:val="18"/>
                <w:szCs w:val="18"/>
              </w:rPr>
            </w:pPr>
            <w:r>
              <w:rPr>
                <w:rFonts w:ascii="Times New Roman"/>
                <w:sz w:val="18"/>
              </w:rPr>
              <w:t>26,338,214.19</w:t>
            </w:r>
          </w:p>
        </w:tc>
      </w:tr>
    </w:tbl>
    <w:p>
      <w:pPr>
        <w:spacing w:after="0" w:line="240" w:lineRule="auto"/>
        <w:jc w:val="lef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银行承兑汇票保证金、保函保证金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7,440,894.21</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其他营业外支出</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60,814.35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2,713.21</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40,563,493.32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26,340,927.40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收到的其他与投资活动有关的现金" w:id="309"/>
      <w:bookmarkEnd w:id="30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支付的其他与投资活动有关的现金" w:id="310"/>
      <w:bookmarkEnd w:id="31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6,000,000.00</w:t>
            </w:r>
          </w:p>
        </w:tc>
      </w:tr>
    </w:tbl>
    <w:p>
      <w:pPr>
        <w:pStyle w:val="BodyText"/>
        <w:spacing w:line="240" w:lineRule="auto" w:before="58"/>
        <w:ind w:right="0"/>
        <w:jc w:val="left"/>
      </w:pPr>
      <w:r>
        <w:rPr>
          <w:spacing w:val="-3"/>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5）支付的其他与筹资活动有关的现金" w:id="311"/>
      <w:bookmarkEnd w:id="311"/>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5,837,300.00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5,837,300.00</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5、现金流量表补充资料" w:id="312"/>
      <w:bookmarkEnd w:id="312"/>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现金流量表补充资料" w:id="313"/>
      <w:bookmarkEnd w:id="31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603"/>
        <w:gridCol w:w="2635"/>
        <w:gridCol w:w="2328"/>
      </w:tblGrid>
      <w:tr>
        <w:trPr>
          <w:trHeight w:val="41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18"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44,567,203.28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37,899,222.03</w:t>
            </w:r>
          </w:p>
        </w:tc>
      </w:tr>
      <w:tr>
        <w:trPr>
          <w:trHeight w:val="41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4,334,805.39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2,008,338.47</w:t>
            </w:r>
          </w:p>
        </w:tc>
      </w:tr>
      <w:tr>
        <w:trPr>
          <w:trHeight w:val="408"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4,983,862.68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5,938,140.22</w:t>
            </w:r>
          </w:p>
        </w:tc>
      </w:tr>
      <w:tr>
        <w:trPr>
          <w:trHeight w:val="41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561,775.47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396,606.34</w:t>
            </w:r>
          </w:p>
        </w:tc>
      </w:tr>
    </w:tbl>
    <w:p>
      <w:pPr>
        <w:spacing w:after="0" w:line="240" w:lineRule="auto"/>
        <w:jc w:val="righ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4603"/>
        <w:gridCol w:w="2635"/>
        <w:gridCol w:w="2328"/>
      </w:tblGrid>
      <w:tr>
        <w:trPr>
          <w:trHeight w:val="732"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5" w:right="1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以</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号填列）</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7,460.00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27,750.50</w:t>
            </w:r>
          </w:p>
        </w:tc>
      </w:tr>
      <w:tr>
        <w:trPr>
          <w:trHeight w:val="410"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spacing w:val="-1"/>
                <w:sz w:val="18"/>
              </w:rPr>
              <w:t>2,563,659.46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right"/>
              <w:rPr>
                <w:rFonts w:ascii="Times New Roman" w:hAnsi="Times New Roman" w:cs="Times New Roman" w:eastAsia="Times New Roman" w:hint="default"/>
                <w:sz w:val="18"/>
                <w:szCs w:val="18"/>
              </w:rPr>
            </w:pPr>
            <w:r>
              <w:rPr>
                <w:rFonts w:ascii="Times New Roman"/>
                <w:spacing w:val="-1"/>
                <w:sz w:val="18"/>
              </w:rPr>
              <w:t>1,687,286.12</w:t>
            </w:r>
          </w:p>
        </w:tc>
      </w:tr>
      <w:tr>
        <w:trPr>
          <w:trHeight w:val="41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-700,251.44</w:t>
            </w:r>
          </w:p>
        </w:tc>
      </w:tr>
      <w:tr>
        <w:trPr>
          <w:trHeight w:val="408"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-651,883.79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-267,369.25</w:t>
            </w:r>
          </w:p>
        </w:tc>
      </w:tr>
      <w:tr>
        <w:trPr>
          <w:trHeight w:val="41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-6,294,205.30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-2,815,074.48</w:t>
            </w:r>
          </w:p>
        </w:tc>
      </w:tr>
      <w:tr>
        <w:trPr>
          <w:trHeight w:val="41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-46,147,174.80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-6,956,425.28</w:t>
            </w:r>
          </w:p>
        </w:tc>
      </w:tr>
      <w:tr>
        <w:trPr>
          <w:trHeight w:val="408"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3,536,574.30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-36,266,566.37</w:t>
            </w:r>
          </w:p>
        </w:tc>
      </w:tr>
      <w:tr>
        <w:trPr>
          <w:trHeight w:val="418"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7,462,076.69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951,656.86</w:t>
            </w:r>
          </w:p>
        </w:tc>
      </w:tr>
      <w:tr>
        <w:trPr>
          <w:trHeight w:val="406"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252"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6"/>
              <w:ind w:left="109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6"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left="1252"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3"/>
              <w:ind w:left="109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18"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308,209,155.39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2"/>
                <w:sz w:val="18"/>
              </w:rPr>
              <w:t>114,254,575.25</w:t>
            </w:r>
          </w:p>
        </w:tc>
      </w:tr>
      <w:tr>
        <w:trPr>
          <w:trHeight w:val="408"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r>
              <w:rPr>
                <w:rFonts w:ascii="宋体" w:hAnsi="宋体" w:cs="宋体" w:eastAsia="宋体" w:hint="default"/>
                <w:sz w:val="18"/>
                <w:szCs w:val="18"/>
              </w:rPr>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114,254,575.25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109,389,481.60</w:t>
            </w:r>
          </w:p>
        </w:tc>
      </w:tr>
      <w:tr>
        <w:trPr>
          <w:trHeight w:val="413" w:hRule="exact"/>
        </w:trPr>
        <w:tc>
          <w:tcPr>
            <w:tcW w:w="46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193,954,580.14</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4,865,093.65</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2）现金和现金等价物的构成" w:id="314"/>
      <w:bookmarkEnd w:id="314"/>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10"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308,209,155.39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114,254,575.25</w:t>
            </w:r>
          </w:p>
        </w:tc>
      </w:tr>
      <w:tr>
        <w:trPr>
          <w:trHeight w:val="408"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184,105.99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54,768.86</w:t>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86"/>
                <w:w w:val="101"/>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可随时用于支付的银行存款</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308,025,049.40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114,199,806.39</w:t>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308,209,155.39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114,254,575.25</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6、所有权或使用权受到限制的资产" w:id="315"/>
      <w:bookmarkEnd w:id="315"/>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8" w:hRule="exact"/>
        </w:trPr>
        <w:tc>
          <w:tcPr>
            <w:tcW w:w="3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房屋建筑物</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57,517,041.72</w:t>
            </w:r>
          </w:p>
        </w:tc>
        <w:tc>
          <w:tcPr>
            <w:tcW w:w="3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土地使用权</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10,246,220.42</w:t>
            </w:r>
          </w:p>
        </w:tc>
        <w:tc>
          <w:tcPr>
            <w:tcW w:w="3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8" w:hRule="exact"/>
        </w:trPr>
        <w:tc>
          <w:tcPr>
            <w:tcW w:w="3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6,345,862.78</w:t>
            </w:r>
          </w:p>
        </w:tc>
        <w:tc>
          <w:tcPr>
            <w:tcW w:w="3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保函保证金</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1,615,294.52</w:t>
            </w:r>
          </w:p>
        </w:tc>
        <w:tc>
          <w:tcPr>
            <w:tcW w:w="31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75,724,419.44</w:t>
            </w:r>
          </w:p>
        </w:tc>
        <w:tc>
          <w:tcPr>
            <w:tcW w:w="3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8"/>
        <w:ind w:right="0"/>
        <w:jc w:val="left"/>
      </w:pPr>
      <w:r>
        <w:rPr>
          <w:spacing w:val="-3"/>
        </w:rPr>
        <w:t>其他说明：</w:t>
      </w:r>
      <w:r>
        <w:rPr/>
      </w:r>
    </w:p>
    <w:p>
      <w:pPr>
        <w:spacing w:after="0" w:line="240" w:lineRule="auto"/>
        <w:jc w:val="left"/>
        <w:sectPr>
          <w:pgSz w:w="11910" w:h="16840"/>
          <w:pgMar w:header="914" w:footer="1027" w:top="1100" w:bottom="1220" w:left="980" w:right="98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47、外币货币性项目" w:id="316"/>
      <w:bookmarkEnd w:id="316"/>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11"/>
        <w:rPr>
          <w:rFonts w:ascii="宋体" w:hAnsi="宋体" w:cs="宋体" w:eastAsia="宋体" w:hint="default"/>
          <w:b/>
          <w:bCs/>
          <w:sz w:val="25"/>
          <w:szCs w:val="25"/>
        </w:rPr>
      </w:pPr>
    </w:p>
    <w:p>
      <w:pPr>
        <w:pStyle w:val="Heading4"/>
        <w:spacing w:line="276" w:lineRule="auto"/>
        <w:ind w:right="0"/>
        <w:jc w:val="left"/>
        <w:rPr>
          <w:b w:val="0"/>
          <w:bCs w:val="0"/>
        </w:rPr>
      </w:pPr>
      <w:bookmarkStart w:name="境外经营实体说明，包括对于重要的境外经营实体，应披露其境外主要经营地、记账本位币" w:id="317"/>
      <w:bookmarkEnd w:id="317"/>
      <w:r>
        <w:rPr>
          <w:b w:val="0"/>
          <w:bCs w:val="0"/>
        </w:rPr>
      </w:r>
      <w:r>
        <w:rPr>
          <w:spacing w:val="-1"/>
        </w:rPr>
        <w:t>境外经营实体说明，包括对于重要的境外经营实体，应披露其境外主要经营地、记账本位币及选择依据，</w:t>
      </w:r>
      <w:r>
        <w:rPr>
          <w:spacing w:val="-58"/>
        </w:rPr>
        <w:t> </w:t>
      </w:r>
      <w:r>
        <w:rPr>
          <w:spacing w:val="-58"/>
        </w:rPr>
      </w:r>
      <w:r>
        <w:rPr/>
        <w:t>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6"/>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18"/>
      <w:bookmarkEnd w:id="318"/>
      <w:r>
        <w:rPr>
          <w:b w:val="0"/>
          <w:bCs w:val="0"/>
        </w:rPr>
      </w: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4"/>
        <w:spacing w:line="516" w:lineRule="auto"/>
        <w:ind w:right="3186"/>
        <w:jc w:val="left"/>
        <w:rPr>
          <w:b w:val="0"/>
          <w:bCs w:val="0"/>
        </w:rPr>
      </w:pPr>
      <w:bookmarkStart w:name="1、非同一控制下企业合并" w:id="319"/>
      <w:bookmarkEnd w:id="319"/>
      <w:r>
        <w:rPr>
          <w:b w:val="0"/>
          <w:bCs w:val="0"/>
        </w:rPr>
      </w:r>
      <w:r>
        <w:rPr>
          <w:rFonts w:ascii="Times New Roman" w:hAnsi="Times New Roman" w:cs="Times New Roman" w:eastAsia="Times New Roman" w:hint="default"/>
        </w:rPr>
        <w:t>1</w:t>
      </w:r>
      <w:r>
        <w:rPr/>
        <w:t>、非同一控制下企业合并</w:t>
      </w:r>
      <w:r>
        <w:rPr>
          <w:spacing w:val="-102"/>
        </w:rPr>
        <w:t> </w:t>
      </w:r>
      <w:bookmarkStart w:name="购买日之前持有的股权按照公允价值重新计量产生的利得或损失" w:id="320"/>
      <w:bookmarkEnd w:id="320"/>
      <w:r>
        <w:rPr>
          <w:spacing w:val="-1"/>
        </w:rPr>
        <w:t>购买日之前持有的股权按照公允价值</w:t>
      </w:r>
      <w:r>
        <w:rPr>
          <w:spacing w:val="-1"/>
        </w:rPr>
        <w:t>重新计量产生的利得或损失</w:t>
      </w:r>
      <w:r>
        <w:rPr>
          <w:b w:val="0"/>
          <w:bCs w:val="0"/>
          <w:spacing w:val="-1"/>
        </w:rPr>
      </w:r>
    </w:p>
    <w:p>
      <w:pPr>
        <w:pStyle w:val="BodyText"/>
        <w:spacing w:line="240" w:lineRule="auto" w:before="138"/>
        <w:ind w:right="0"/>
        <w:jc w:val="left"/>
      </w:pPr>
      <w:r>
        <w:rPr>
          <w:spacing w:val="-3"/>
        </w:rPr>
        <w:t>是否存在通过多次交易分步实现企业合并且在报告期内取得控制权的交易</w:t>
      </w:r>
      <w:r>
        <w:rPr/>
      </w:r>
    </w:p>
    <w:p>
      <w:pPr>
        <w:pStyle w:val="BodyText"/>
        <w:spacing w:line="240" w:lineRule="auto" w:before="124"/>
        <w:ind w:right="0"/>
        <w:jc w:val="left"/>
      </w:pPr>
      <w:r>
        <w:rPr/>
        <w:t>□ 是 √</w:t>
      </w:r>
      <w:r>
        <w:rPr>
          <w:spacing w:val="2"/>
        </w:rPr>
        <w:t> </w:t>
      </w:r>
      <w:r>
        <w:rPr/>
        <w:t>否</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处置子公司" w:id="321"/>
      <w:bookmarkEnd w:id="321"/>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spacing w:val="-3"/>
        </w:rPr>
        <w:t>是否存在单次处置对子公司投资即丧失控制权的情形</w:t>
      </w:r>
      <w:r>
        <w:rPr/>
      </w:r>
    </w:p>
    <w:p>
      <w:pPr>
        <w:pStyle w:val="BodyText"/>
        <w:spacing w:line="367" w:lineRule="auto" w:before="124"/>
        <w:ind w:right="3186" w:hanging="1"/>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是否存在通过多次交易分步处置对子公司投资且在本期丧失控制权的情形</w:t>
      </w:r>
      <w:r>
        <w:rPr/>
      </w:r>
    </w:p>
    <w:p>
      <w:pPr>
        <w:pStyle w:val="BodyText"/>
        <w:spacing w:line="240" w:lineRule="auto" w:before="34"/>
        <w:ind w:right="0"/>
        <w:jc w:val="left"/>
      </w:pPr>
      <w:r>
        <w:rPr/>
        <w:t>□ 是 √</w:t>
      </w:r>
      <w:r>
        <w:rPr>
          <w:spacing w:val="2"/>
        </w:rPr>
        <w:t> </w:t>
      </w:r>
      <w:r>
        <w:rPr/>
        <w:t>否</w:t>
      </w: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bookmarkStart w:name="3、其他原因的合并范围变动" w:id="322"/>
      <w:bookmarkEnd w:id="322"/>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spacing w:val="-3"/>
        </w:rPr>
        <w:t>说明其他原因导致的合并范围变动（如，新设子公司、清算子公司等）及其相关情况：</w:t>
      </w:r>
      <w:r>
        <w:rPr/>
      </w:r>
    </w:p>
    <w:p>
      <w:pPr>
        <w:pStyle w:val="BodyText"/>
        <w:spacing w:line="448" w:lineRule="auto" w:before="119"/>
        <w:ind w:left="512" w:right="5824"/>
        <w:jc w:val="left"/>
        <w:rPr>
          <w:rFonts w:ascii="宋体" w:hAnsi="宋体" w:cs="宋体" w:eastAsia="宋体" w:hint="default"/>
        </w:rPr>
      </w:pPr>
      <w:r>
        <w:rPr>
          <w:rFonts w:ascii="宋体" w:hAnsi="宋体" w:cs="宋体" w:eastAsia="宋体" w:hint="default"/>
        </w:rPr>
        <w:t>1</w:t>
      </w:r>
      <w:r>
        <w:rPr/>
        <w:t>、新设子公司</w:t>
      </w:r>
      <w:r>
        <w:rPr>
          <w:spacing w:val="-85"/>
        </w:rPr>
        <w:t> </w:t>
      </w:r>
      <w:r>
        <w:rPr>
          <w:spacing w:val="-85"/>
        </w:rPr>
      </w:r>
      <w:r>
        <w:rPr>
          <w:spacing w:val="-3"/>
        </w:rPr>
        <w:t>湖南科创信息系统集成有限公司</w:t>
      </w:r>
      <w:r>
        <w:rPr>
          <w:rFonts w:ascii="宋体" w:hAnsi="宋体" w:cs="宋体" w:eastAsia="宋体" w:hint="default"/>
        </w:rPr>
        <w:t> </w:t>
      </w:r>
    </w:p>
    <w:p>
      <w:pPr>
        <w:pStyle w:val="BodyText"/>
        <w:spacing w:line="307" w:lineRule="auto" w:before="49"/>
        <w:ind w:right="170" w:firstLine="359"/>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日，公司成立全资子公司湖南科创信息系统集成有限公司。该公司注册资本</w:t>
      </w:r>
      <w:r>
        <w:rPr>
          <w:rFonts w:ascii="Times New Roman" w:hAnsi="Times New Roman" w:cs="Times New Roman" w:eastAsia="Times New Roman" w:hint="default"/>
          <w:spacing w:val="-2"/>
        </w:rPr>
        <w:t>2,000</w:t>
      </w:r>
      <w:r>
        <w:rPr>
          <w:spacing w:val="-2"/>
        </w:rPr>
        <w:t>万元；经长沙市工商行政</w:t>
      </w:r>
      <w:r>
        <w:rPr>
          <w:w w:val="101"/>
        </w:rPr>
        <w:t> </w:t>
      </w:r>
      <w:r>
        <w:rPr>
          <w:spacing w:val="-4"/>
        </w:rPr>
        <w:t>管理局高新技术产业开发分局登记成立；公司统一社会信用代码： </w:t>
      </w:r>
      <w:r>
        <w:rPr>
          <w:rFonts w:ascii="Times New Roman" w:hAnsi="Times New Roman" w:cs="Times New Roman" w:eastAsia="Times New Roman" w:hint="default"/>
          <w:spacing w:val="-5"/>
        </w:rPr>
        <w:t>91430100MA4LUTCQ5Q</w:t>
      </w:r>
      <w:r>
        <w:rPr>
          <w:spacing w:val="-5"/>
        </w:rPr>
        <w:t>；公司类型：有限责任公司（非</w:t>
      </w:r>
      <w:r>
        <w:rPr>
          <w:spacing w:val="-25"/>
        </w:rPr>
        <w:t> </w:t>
      </w:r>
      <w:r>
        <w:rPr>
          <w:spacing w:val="-25"/>
        </w:rPr>
      </w:r>
      <w:r>
        <w:rPr>
          <w:spacing w:val="-4"/>
          <w:w w:val="101"/>
        </w:rPr>
        <w:t>自然人投资或控股的法人独资）；法定代表人：费耀平；住所：长沙高新开发区青山路</w:t>
      </w:r>
      <w:r>
        <w:rPr>
          <w:rFonts w:ascii="Times New Roman" w:hAnsi="Times New Roman" w:cs="Times New Roman" w:eastAsia="Times New Roman" w:hint="default"/>
          <w:spacing w:val="-4"/>
          <w:w w:val="101"/>
        </w:rPr>
        <w:t>678</w:t>
      </w:r>
      <w:r>
        <w:rPr>
          <w:spacing w:val="-4"/>
          <w:w w:val="101"/>
        </w:rPr>
        <w:t>号生产楼</w:t>
      </w:r>
      <w:r>
        <w:rPr>
          <w:rFonts w:ascii="Times New Roman" w:hAnsi="Times New Roman" w:cs="Times New Roman" w:eastAsia="Times New Roman" w:hint="default"/>
          <w:spacing w:val="-4"/>
          <w:w w:val="101"/>
        </w:rPr>
        <w:t>301</w:t>
      </w:r>
      <w:r>
        <w:rPr>
          <w:spacing w:val="-4"/>
          <w:w w:val="101"/>
        </w:rPr>
        <w:t>、</w:t>
      </w:r>
      <w:r>
        <w:rPr>
          <w:rFonts w:ascii="Times New Roman" w:hAnsi="Times New Roman" w:cs="Times New Roman" w:eastAsia="Times New Roman" w:hint="default"/>
          <w:spacing w:val="-4"/>
          <w:w w:val="101"/>
        </w:rPr>
        <w:t>401</w:t>
      </w:r>
      <w:r>
        <w:rPr>
          <w:spacing w:val="-4"/>
          <w:w w:val="101"/>
        </w:rPr>
        <w:t>室。</w:t>
      </w:r>
      <w:r>
        <w:rPr>
          <w:spacing w:val="-4"/>
        </w:rPr>
      </w:r>
    </w:p>
    <w:p>
      <w:pPr>
        <w:pStyle w:val="BodyText"/>
        <w:spacing w:line="328" w:lineRule="auto" w:before="136"/>
        <w:ind w:left="513" w:right="5824"/>
        <w:jc w:val="left"/>
      </w:pPr>
      <w:r>
        <w:rPr>
          <w:spacing w:val="-3"/>
        </w:rPr>
        <w:t>该公司从成立之日起纳入合并。</w:t>
      </w:r>
      <w:r>
        <w:rPr>
          <w:spacing w:val="-51"/>
        </w:rPr>
        <w:t> </w:t>
      </w:r>
      <w:r>
        <w:rPr>
          <w:rFonts w:ascii="宋体" w:hAnsi="宋体" w:cs="宋体" w:eastAsia="宋体" w:hint="default"/>
          <w:spacing w:val="-51"/>
        </w:rPr>
      </w:r>
      <w:r>
        <w:rPr>
          <w:rFonts w:ascii="宋体" w:hAnsi="宋体" w:cs="宋体" w:eastAsia="宋体" w:hint="default"/>
        </w:rPr>
        <w:t>2</w:t>
      </w:r>
      <w:r>
        <w:rPr/>
        <w:t>、清算子公司</w:t>
      </w:r>
    </w:p>
    <w:p>
      <w:pPr>
        <w:pStyle w:val="BodyText"/>
        <w:spacing w:line="240" w:lineRule="auto" w:before="139"/>
        <w:ind w:left="513" w:right="0"/>
        <w:jc w:val="left"/>
      </w:pPr>
      <w:r>
        <w:rPr>
          <w:spacing w:val="-3"/>
        </w:rPr>
        <w:t>湖南威斯理信息科技有限公司经由公司股东决定清算注销，已于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日前注销完毕，不再纳入合并。</w:t>
      </w:r>
    </w:p>
    <w:p>
      <w:pPr>
        <w:spacing w:line="240" w:lineRule="auto" w:before="9"/>
        <w:rPr>
          <w:rFonts w:ascii="宋体" w:hAnsi="宋体" w:cs="宋体" w:eastAsia="宋体" w:hint="default"/>
          <w:sz w:val="14"/>
          <w:szCs w:val="14"/>
        </w:rPr>
      </w:pPr>
    </w:p>
    <w:p>
      <w:pPr>
        <w:pStyle w:val="BodyText"/>
        <w:spacing w:line="240" w:lineRule="auto"/>
        <w:ind w:left="153" w:right="0"/>
        <w:jc w:val="left"/>
        <w:rPr>
          <w:rFonts w:ascii="宋体" w:hAnsi="宋体" w:cs="宋体" w:eastAsia="宋体" w:hint="default"/>
        </w:rPr>
      </w:pPr>
      <w:r>
        <w:rPr>
          <w:rFonts w:ascii="宋体"/>
          <w:w w:val="101"/>
        </w:rPr>
        <w:t> </w:t>
      </w:r>
      <w:r>
        <w:rPr>
          <w:rFonts w:ascii="宋体"/>
        </w:rPr>
      </w:r>
    </w:p>
    <w:p>
      <w:pPr>
        <w:spacing w:after="0" w:line="240" w:lineRule="auto"/>
        <w:jc w:val="left"/>
        <w:rPr>
          <w:rFonts w:ascii="宋体" w:hAnsi="宋体" w:cs="宋体" w:eastAsia="宋体" w:hint="default"/>
        </w:rPr>
        <w:sectPr>
          <w:pgSz w:w="11910" w:h="16840"/>
          <w:pgMar w:header="914" w:footer="1027" w:top="1100" w:bottom="1220" w:left="980" w:right="960"/>
        </w:sectPr>
      </w:pPr>
    </w:p>
    <w:p>
      <w:pPr>
        <w:spacing w:line="240" w:lineRule="auto" w:before="3"/>
        <w:rPr>
          <w:rFonts w:ascii="宋体" w:hAnsi="宋体" w:cs="宋体" w:eastAsia="宋体" w:hint="default"/>
          <w:sz w:val="21"/>
          <w:szCs w:val="21"/>
        </w:rPr>
      </w:pPr>
    </w:p>
    <w:p>
      <w:pPr>
        <w:pStyle w:val="Heading2"/>
        <w:spacing w:line="240" w:lineRule="auto" w:before="26"/>
        <w:ind w:right="0"/>
        <w:jc w:val="left"/>
        <w:rPr>
          <w:b w:val="0"/>
          <w:bCs w:val="0"/>
        </w:rPr>
      </w:pPr>
      <w:bookmarkStart w:name="九、在其他主体中的权益" w:id="323"/>
      <w:bookmarkEnd w:id="323"/>
      <w:r>
        <w:rPr>
          <w:b w:val="0"/>
          <w:bCs w:val="0"/>
        </w:rPr>
      </w:r>
      <w:r>
        <w:rPr/>
        <w:t>九、在其他主体中的权益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在子公司中的权益" w:id="324"/>
      <w:bookmarkEnd w:id="324"/>
      <w:r>
        <w:rPr>
          <w:b w:val="0"/>
          <w:bCs w:val="0"/>
        </w:rPr>
      </w:r>
      <w:r>
        <w:rPr/>
        <w:t>在子公司中的权益</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right="0"/>
        <w:jc w:val="left"/>
        <w:rPr>
          <w:b w:val="0"/>
          <w:bCs w:val="0"/>
        </w:rPr>
      </w:pPr>
      <w:bookmarkStart w:name="（1）企业集团的构成" w:id="325"/>
      <w:bookmarkEnd w:id="3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102"/>
        <w:gridCol w:w="1272"/>
        <w:gridCol w:w="1402"/>
        <w:gridCol w:w="1248"/>
        <w:gridCol w:w="1339"/>
        <w:gridCol w:w="1090"/>
        <w:gridCol w:w="1118"/>
      </w:tblGrid>
      <w:tr>
        <w:trPr>
          <w:trHeight w:val="413" w:hRule="exact"/>
        </w:trPr>
        <w:tc>
          <w:tcPr>
            <w:tcW w:w="21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pacing w:val="-3"/>
                <w:sz w:val="18"/>
                <w:szCs w:val="18"/>
              </w:rPr>
              <w:t>子公司名称</w:t>
            </w:r>
            <w:r>
              <w:rPr>
                <w:rFonts w:ascii="宋体" w:hAnsi="宋体" w:cs="宋体" w:eastAsia="宋体" w:hint="default"/>
                <w:sz w:val="18"/>
                <w:szCs w:val="18"/>
              </w:rPr>
            </w:r>
          </w:p>
        </w:tc>
        <w:tc>
          <w:tcPr>
            <w:tcW w:w="127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3"/>
                <w:sz w:val="18"/>
                <w:szCs w:val="18"/>
              </w:rPr>
              <w:t>主要经营地</w:t>
            </w:r>
            <w:r>
              <w:rPr>
                <w:rFonts w:ascii="宋体" w:hAnsi="宋体" w:cs="宋体" w:eastAsia="宋体" w:hint="default"/>
                <w:sz w:val="18"/>
                <w:szCs w:val="18"/>
              </w:rPr>
            </w:r>
          </w:p>
        </w:tc>
        <w:tc>
          <w:tcPr>
            <w:tcW w:w="14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pacing w:val="-4"/>
                <w:sz w:val="18"/>
                <w:szCs w:val="18"/>
              </w:rPr>
              <w:t>注册地</w:t>
            </w:r>
            <w:r>
              <w:rPr>
                <w:rFonts w:ascii="宋体" w:hAnsi="宋体" w:cs="宋体" w:eastAsia="宋体" w:hint="default"/>
                <w:sz w:val="18"/>
                <w:szCs w:val="18"/>
              </w:rPr>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4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1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8" w:hRule="exact"/>
        </w:trPr>
        <w:tc>
          <w:tcPr>
            <w:tcW w:w="2102" w:type="dxa"/>
            <w:vMerge/>
            <w:tcBorders>
              <w:left w:val="single" w:sz="4" w:space="0" w:color="000000"/>
              <w:bottom w:val="single" w:sz="4" w:space="0" w:color="000000"/>
              <w:right w:val="single" w:sz="4" w:space="0" w:color="000000"/>
            </w:tcBorders>
            <w:shd w:val="clear" w:color="auto" w:fill="D4D4D4"/>
          </w:tcPr>
          <w:p>
            <w:pPr/>
          </w:p>
        </w:tc>
        <w:tc>
          <w:tcPr>
            <w:tcW w:w="1272" w:type="dxa"/>
            <w:vMerge/>
            <w:tcBorders>
              <w:left w:val="single" w:sz="4" w:space="0" w:color="000000"/>
              <w:bottom w:val="single" w:sz="4" w:space="0" w:color="000000"/>
              <w:right w:val="single" w:sz="4" w:space="0" w:color="000000"/>
            </w:tcBorders>
            <w:shd w:val="clear" w:color="auto" w:fill="D4D4D4"/>
          </w:tcPr>
          <w:p>
            <w:pPr/>
          </w:p>
        </w:tc>
        <w:tc>
          <w:tcPr>
            <w:tcW w:w="1402"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5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118" w:type="dxa"/>
            <w:vMerge/>
            <w:tcBorders>
              <w:left w:val="single" w:sz="4" w:space="0" w:color="000000"/>
              <w:bottom w:val="single" w:sz="4" w:space="0" w:color="000000"/>
              <w:right w:val="single" w:sz="4" w:space="0" w:color="000000"/>
            </w:tcBorders>
            <w:shd w:val="clear" w:color="auto" w:fill="D4D4D4"/>
          </w:tcPr>
          <w:p>
            <w:pPr/>
          </w:p>
        </w:tc>
      </w:tr>
      <w:tr>
        <w:trPr>
          <w:trHeight w:val="734" w:hRule="exact"/>
        </w:trPr>
        <w:tc>
          <w:tcPr>
            <w:tcW w:w="2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686" w:right="136" w:hanging="538"/>
              <w:jc w:val="left"/>
              <w:rPr>
                <w:rFonts w:ascii="宋体" w:hAnsi="宋体" w:cs="宋体" w:eastAsia="宋体" w:hint="default"/>
                <w:sz w:val="18"/>
                <w:szCs w:val="18"/>
              </w:rPr>
            </w:pPr>
            <w:r>
              <w:rPr>
                <w:rFonts w:ascii="宋体" w:hAnsi="宋体" w:cs="宋体" w:eastAsia="宋体" w:hint="default"/>
                <w:spacing w:val="-2"/>
                <w:sz w:val="18"/>
                <w:szCs w:val="18"/>
              </w:rPr>
              <w:t>北京科创鑫源信息技术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北京市</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北京市</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34"/>
              <w:jc w:val="right"/>
              <w:rPr>
                <w:rFonts w:ascii="Times New Roman" w:hAnsi="Times New Roman" w:cs="Times New Roman" w:eastAsia="Times New Roman" w:hint="default"/>
                <w:sz w:val="18"/>
                <w:szCs w:val="18"/>
              </w:rPr>
            </w:pPr>
            <w:r>
              <w:rPr>
                <w:rFonts w:ascii="Times New Roman"/>
                <w:spacing w:val="-5"/>
                <w:sz w:val="18"/>
              </w:rPr>
              <w:t>IT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51.00%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0" w:hRule="exact"/>
        </w:trPr>
        <w:tc>
          <w:tcPr>
            <w:tcW w:w="2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686" w:right="136" w:hanging="538"/>
              <w:jc w:val="left"/>
              <w:rPr>
                <w:rFonts w:ascii="宋体" w:hAnsi="宋体" w:cs="宋体" w:eastAsia="宋体" w:hint="default"/>
                <w:sz w:val="18"/>
                <w:szCs w:val="18"/>
              </w:rPr>
            </w:pPr>
            <w:r>
              <w:rPr>
                <w:rFonts w:ascii="宋体" w:hAnsi="宋体" w:cs="宋体" w:eastAsia="宋体" w:hint="default"/>
                <w:spacing w:val="-2"/>
                <w:sz w:val="18"/>
                <w:szCs w:val="18"/>
              </w:rPr>
              <w:t>永兴科创南方技术服务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永兴</w:t>
            </w:r>
          </w:p>
        </w:tc>
        <w:tc>
          <w:tcPr>
            <w:tcW w:w="1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永兴</w:t>
            </w:r>
          </w:p>
        </w:tc>
        <w:tc>
          <w:tcPr>
            <w:tcW w:w="12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534"/>
              <w:jc w:val="right"/>
              <w:rPr>
                <w:rFonts w:ascii="Times New Roman" w:hAnsi="Times New Roman" w:cs="Times New Roman" w:eastAsia="Times New Roman" w:hint="default"/>
                <w:sz w:val="18"/>
                <w:szCs w:val="18"/>
              </w:rPr>
            </w:pPr>
            <w:r>
              <w:rPr>
                <w:rFonts w:ascii="Times New Roman"/>
                <w:spacing w:val="-5"/>
                <w:sz w:val="18"/>
              </w:rPr>
              <w:t>IT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60.30%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34" w:hRule="exact"/>
        </w:trPr>
        <w:tc>
          <w:tcPr>
            <w:tcW w:w="21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686" w:right="136" w:hanging="538"/>
              <w:jc w:val="left"/>
              <w:rPr>
                <w:rFonts w:ascii="宋体" w:hAnsi="宋体" w:cs="宋体" w:eastAsia="宋体" w:hint="default"/>
                <w:sz w:val="18"/>
                <w:szCs w:val="18"/>
              </w:rPr>
            </w:pPr>
            <w:r>
              <w:rPr>
                <w:rFonts w:ascii="宋体" w:hAnsi="宋体" w:cs="宋体" w:eastAsia="宋体" w:hint="default"/>
                <w:spacing w:val="-2"/>
                <w:sz w:val="18"/>
                <w:szCs w:val="18"/>
              </w:rPr>
              <w:t>湖南科创信息系统集成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长沙市</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长沙市</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534"/>
              <w:jc w:val="right"/>
              <w:rPr>
                <w:rFonts w:ascii="Times New Roman" w:hAnsi="Times New Roman" w:cs="Times New Roman" w:eastAsia="Times New Roman" w:hint="default"/>
                <w:sz w:val="18"/>
                <w:szCs w:val="18"/>
              </w:rPr>
            </w:pPr>
            <w:r>
              <w:rPr>
                <w:rFonts w:ascii="Times New Roman"/>
                <w:spacing w:val="-5"/>
                <w:sz w:val="18"/>
              </w:rPr>
              <w:t>IT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7"/>
        <w:rPr>
          <w:rFonts w:ascii="宋体" w:hAnsi="宋体" w:cs="宋体" w:eastAsia="宋体" w:hint="default"/>
          <w:b/>
          <w:bCs/>
          <w:sz w:val="19"/>
          <w:szCs w:val="19"/>
        </w:rPr>
      </w:pPr>
    </w:p>
    <w:p>
      <w:pPr>
        <w:pStyle w:val="Heading4"/>
        <w:spacing w:line="240" w:lineRule="auto" w:before="36"/>
        <w:ind w:right="0"/>
        <w:jc w:val="left"/>
        <w:rPr>
          <w:b w:val="0"/>
          <w:bCs w:val="0"/>
        </w:rPr>
      </w:pPr>
      <w:bookmarkStart w:name="（2）重要的非全资子公司" w:id="326"/>
      <w:bookmarkEnd w:id="3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5"/>
        <w:gridCol w:w="1910"/>
        <w:gridCol w:w="1915"/>
      </w:tblGrid>
      <w:tr>
        <w:trPr>
          <w:trHeight w:val="782"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pacing w:val="-3"/>
                <w:sz w:val="18"/>
                <w:szCs w:val="18"/>
              </w:rPr>
              <w:t>子公司名称</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82"/>
              <w:ind w:left="686" w:right="141" w:hanging="543"/>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的损益</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82"/>
              <w:ind w:left="499" w:right="141" w:hanging="360"/>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分派的股利</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3" w:lineRule="auto" w:before="82"/>
              <w:ind w:left="863" w:right="141" w:hanging="720"/>
              <w:jc w:val="left"/>
              <w:rPr>
                <w:rFonts w:ascii="宋体" w:hAnsi="宋体" w:cs="宋体" w:eastAsia="宋体" w:hint="default"/>
                <w:sz w:val="18"/>
                <w:szCs w:val="18"/>
              </w:rPr>
            </w:pPr>
            <w:r>
              <w:rPr>
                <w:rFonts w:ascii="宋体" w:hAnsi="宋体" w:cs="宋体" w:eastAsia="宋体" w:hint="default"/>
                <w:spacing w:val="-3"/>
                <w:sz w:val="18"/>
                <w:szCs w:val="18"/>
              </w:rPr>
              <w:t>期末少数股东权益余</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额</w:t>
            </w:r>
          </w:p>
        </w:tc>
      </w:tr>
      <w:tr>
        <w:trPr>
          <w:trHeight w:val="734" w:hRule="exact"/>
        </w:trPr>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504" w:right="141" w:hanging="360"/>
              <w:jc w:val="left"/>
              <w:rPr>
                <w:rFonts w:ascii="宋体" w:hAnsi="宋体" w:cs="宋体" w:eastAsia="宋体" w:hint="default"/>
                <w:sz w:val="18"/>
                <w:szCs w:val="18"/>
              </w:rPr>
            </w:pPr>
            <w:r>
              <w:rPr>
                <w:rFonts w:ascii="宋体" w:hAnsi="宋体" w:cs="宋体" w:eastAsia="宋体" w:hint="default"/>
                <w:spacing w:val="-3"/>
                <w:sz w:val="18"/>
                <w:szCs w:val="18"/>
              </w:rPr>
              <w:t>北京科创鑫源信息技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术有限公司</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83,526.17</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779,028.56</w:t>
            </w:r>
          </w:p>
        </w:tc>
      </w:tr>
      <w:tr>
        <w:trPr>
          <w:trHeight w:val="730" w:hRule="exact"/>
        </w:trPr>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504" w:right="141" w:hanging="360"/>
              <w:jc w:val="left"/>
              <w:rPr>
                <w:rFonts w:ascii="宋体" w:hAnsi="宋体" w:cs="宋体" w:eastAsia="宋体" w:hint="default"/>
                <w:sz w:val="18"/>
                <w:szCs w:val="18"/>
              </w:rPr>
            </w:pPr>
            <w:r>
              <w:rPr>
                <w:rFonts w:ascii="宋体" w:hAnsi="宋体" w:cs="宋体" w:eastAsia="宋体" w:hint="default"/>
                <w:spacing w:val="-3"/>
                <w:sz w:val="18"/>
                <w:szCs w:val="18"/>
              </w:rPr>
              <w:t>永兴科创南方技术服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务有限公司</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pacing w:val="-3"/>
                <w:sz w:val="18"/>
              </w:rPr>
              <w:t>-11,110.86</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7,917,604.38</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3）重要非全资子公司的主要财务信息" w:id="327"/>
      <w:bookmarkEnd w:id="3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725"/>
        <w:gridCol w:w="638"/>
        <w:gridCol w:w="749"/>
        <w:gridCol w:w="749"/>
        <w:gridCol w:w="691"/>
        <w:gridCol w:w="734"/>
        <w:gridCol w:w="734"/>
        <w:gridCol w:w="734"/>
        <w:gridCol w:w="734"/>
        <w:gridCol w:w="739"/>
        <w:gridCol w:w="734"/>
        <w:gridCol w:w="739"/>
      </w:tblGrid>
      <w:tr>
        <w:trPr>
          <w:trHeight w:val="410"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28" w:lineRule="auto"/>
              <w:ind w:left="249" w:right="156" w:hanging="92"/>
              <w:jc w:val="left"/>
              <w:rPr>
                <w:rFonts w:ascii="宋体" w:hAnsi="宋体" w:cs="宋体" w:eastAsia="宋体" w:hint="default"/>
                <w:sz w:val="18"/>
                <w:szCs w:val="18"/>
              </w:rPr>
            </w:pPr>
            <w:r>
              <w:rPr>
                <w:rFonts w:ascii="宋体" w:hAnsi="宋体" w:cs="宋体" w:eastAsia="宋体" w:hint="default"/>
                <w:spacing w:val="-4"/>
                <w:sz w:val="18"/>
                <w:szCs w:val="18"/>
              </w:rPr>
              <w:t>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名称</w:t>
            </w:r>
          </w:p>
        </w:tc>
        <w:tc>
          <w:tcPr>
            <w:tcW w:w="428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51"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77" w:right="17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34" w:right="127"/>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87" w:right="185"/>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91" w:right="18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6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63" w:right="151"/>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82" w:right="175"/>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82" w:right="175"/>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82" w:right="175"/>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82" w:right="175"/>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87" w:right="175"/>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82" w:right="175"/>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r>
      <w:tr>
        <w:trPr>
          <w:trHeight w:val="1378"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63"/>
              <w:ind w:left="105" w:right="209"/>
              <w:jc w:val="both"/>
              <w:rPr>
                <w:rFonts w:ascii="宋体" w:hAnsi="宋体" w:cs="宋体" w:eastAsia="宋体" w:hint="default"/>
                <w:sz w:val="18"/>
                <w:szCs w:val="18"/>
              </w:rPr>
            </w:pPr>
            <w:r>
              <w:rPr>
                <w:rFonts w:ascii="宋体" w:hAnsi="宋体" w:cs="宋体" w:eastAsia="宋体" w:hint="default"/>
                <w:spacing w:val="-4"/>
                <w:sz w:val="18"/>
                <w:szCs w:val="18"/>
              </w:rPr>
              <w:t>北京科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创鑫源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信息技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6,664,</w:t>
            </w:r>
          </w:p>
          <w:p>
            <w:pPr>
              <w:pStyle w:val="TableParagraph"/>
              <w:spacing w:line="240" w:lineRule="auto" w:before="119"/>
              <w:ind w:left="119" w:right="0"/>
              <w:jc w:val="left"/>
              <w:rPr>
                <w:rFonts w:ascii="Times New Roman" w:hAnsi="Times New Roman" w:cs="Times New Roman" w:eastAsia="Times New Roman" w:hint="default"/>
                <w:sz w:val="18"/>
                <w:szCs w:val="18"/>
              </w:rPr>
            </w:pPr>
            <w:r>
              <w:rPr>
                <w:rFonts w:ascii="Times New Roman"/>
                <w:sz w:val="18"/>
              </w:rPr>
              <w:t>571.59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40" w:lineRule="auto" w:before="119"/>
              <w:ind w:left="211" w:right="0"/>
              <w:jc w:val="left"/>
              <w:rPr>
                <w:rFonts w:ascii="Times New Roman" w:hAnsi="Times New Roman" w:cs="Times New Roman" w:eastAsia="Times New Roman" w:hint="default"/>
                <w:sz w:val="18"/>
                <w:szCs w:val="18"/>
              </w:rPr>
            </w:pPr>
            <w:r>
              <w:rPr>
                <w:rFonts w:ascii="Times New Roman"/>
                <w:sz w:val="18"/>
              </w:rPr>
              <w:t>6.10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6,711,2</w:t>
            </w:r>
          </w:p>
          <w:p>
            <w:pPr>
              <w:pStyle w:val="TableParagraph"/>
              <w:spacing w:line="240" w:lineRule="auto" w:before="119"/>
              <w:ind w:left="129" w:right="0"/>
              <w:jc w:val="center"/>
              <w:rPr>
                <w:rFonts w:ascii="Times New Roman" w:hAnsi="Times New Roman" w:cs="Times New Roman" w:eastAsia="Times New Roman" w:hint="default"/>
                <w:sz w:val="18"/>
                <w:szCs w:val="18"/>
              </w:rPr>
            </w:pPr>
            <w:r>
              <w:rPr>
                <w:rFonts w:ascii="Times New Roman"/>
                <w:sz w:val="18"/>
              </w:rPr>
              <w:t>37.69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4,851,</w:t>
            </w:r>
          </w:p>
          <w:p>
            <w:pPr>
              <w:pStyle w:val="TableParagraph"/>
              <w:spacing w:line="240" w:lineRule="auto" w:before="119"/>
              <w:ind w:left="143" w:right="0"/>
              <w:jc w:val="left"/>
              <w:rPr>
                <w:rFonts w:ascii="Times New Roman" w:hAnsi="Times New Roman" w:cs="Times New Roman" w:eastAsia="Times New Roman" w:hint="default"/>
                <w:sz w:val="18"/>
                <w:szCs w:val="18"/>
              </w:rPr>
            </w:pPr>
            <w:r>
              <w:rPr>
                <w:rFonts w:ascii="Times New Roman"/>
                <w:sz w:val="18"/>
              </w:rPr>
              <w:t>603.63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269,7</w:t>
            </w:r>
          </w:p>
          <w:p>
            <w:pPr>
              <w:pStyle w:val="TableParagraph"/>
              <w:spacing w:line="240" w:lineRule="auto" w:before="119"/>
              <w:ind w:left="177" w:right="0"/>
              <w:jc w:val="left"/>
              <w:rPr>
                <w:rFonts w:ascii="Times New Roman" w:hAnsi="Times New Roman" w:cs="Times New Roman" w:eastAsia="Times New Roman" w:hint="default"/>
                <w:sz w:val="18"/>
                <w:szCs w:val="18"/>
              </w:rPr>
            </w:pPr>
            <w:r>
              <w:rPr>
                <w:rFonts w:ascii="Times New Roman"/>
                <w:sz w:val="18"/>
              </w:rPr>
              <w:t>79.86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5,121,</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383.49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4,728,</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190.36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70,592</w:t>
            </w:r>
          </w:p>
          <w:p>
            <w:pPr>
              <w:pStyle w:val="TableParagraph"/>
              <w:spacing w:line="240" w:lineRule="auto" w:before="119"/>
              <w:ind w:left="398" w:right="0"/>
              <w:jc w:val="left"/>
              <w:rPr>
                <w:rFonts w:ascii="Times New Roman" w:hAnsi="Times New Roman" w:cs="Times New Roman" w:eastAsia="Times New Roman" w:hint="default"/>
                <w:sz w:val="18"/>
                <w:szCs w:val="18"/>
              </w:rPr>
            </w:pPr>
            <w:r>
              <w:rPr>
                <w:rFonts w:ascii="Times New Roman"/>
                <w:sz w:val="18"/>
              </w:rPr>
              <w:t>.56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4,798,</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782.92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3,164,</w:t>
            </w:r>
          </w:p>
          <w:p>
            <w:pPr>
              <w:pStyle w:val="TableParagraph"/>
              <w:spacing w:line="240" w:lineRule="auto" w:before="119"/>
              <w:ind w:left="134" w:right="0"/>
              <w:jc w:val="left"/>
              <w:rPr>
                <w:rFonts w:ascii="Times New Roman" w:hAnsi="Times New Roman" w:cs="Times New Roman" w:eastAsia="Times New Roman" w:hint="default"/>
                <w:sz w:val="18"/>
                <w:szCs w:val="18"/>
              </w:rPr>
            </w:pPr>
            <w:r>
              <w:rPr>
                <w:rFonts w:ascii="Times New Roman"/>
                <w:sz w:val="18"/>
              </w:rPr>
              <w:t>552.15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214,83</w:t>
            </w:r>
          </w:p>
          <w:p>
            <w:pPr>
              <w:pStyle w:val="TableParagraph"/>
              <w:spacing w:line="240" w:lineRule="auto" w:before="119"/>
              <w:ind w:left="211" w:right="0"/>
              <w:jc w:val="center"/>
              <w:rPr>
                <w:rFonts w:ascii="Times New Roman" w:hAnsi="Times New Roman" w:cs="Times New Roman" w:eastAsia="Times New Roman" w:hint="default"/>
                <w:sz w:val="18"/>
                <w:szCs w:val="18"/>
              </w:rPr>
            </w:pPr>
            <w:r>
              <w:rPr>
                <w:rFonts w:ascii="Times New Roman"/>
                <w:sz w:val="18"/>
              </w:rPr>
              <w:t>8.14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3,379,</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390.29</w:t>
            </w:r>
          </w:p>
        </w:tc>
      </w:tr>
      <w:tr>
        <w:trPr>
          <w:trHeight w:val="1373"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105" w:right="209"/>
              <w:jc w:val="both"/>
              <w:rPr>
                <w:rFonts w:ascii="宋体" w:hAnsi="宋体" w:cs="宋体" w:eastAsia="宋体" w:hint="default"/>
                <w:sz w:val="18"/>
                <w:szCs w:val="18"/>
              </w:rPr>
            </w:pPr>
            <w:r>
              <w:rPr>
                <w:rFonts w:ascii="宋体" w:hAnsi="宋体" w:cs="宋体" w:eastAsia="宋体" w:hint="default"/>
                <w:spacing w:val="-4"/>
                <w:sz w:val="18"/>
                <w:szCs w:val="18"/>
              </w:rPr>
              <w:t>永兴科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创南方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技术服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2,449,</w:t>
            </w:r>
          </w:p>
          <w:p>
            <w:pPr>
              <w:pStyle w:val="TableParagraph"/>
              <w:spacing w:line="240" w:lineRule="auto" w:before="114"/>
              <w:ind w:left="119" w:right="0"/>
              <w:jc w:val="left"/>
              <w:rPr>
                <w:rFonts w:ascii="Times New Roman" w:hAnsi="Times New Roman" w:cs="Times New Roman" w:eastAsia="Times New Roman" w:hint="default"/>
                <w:sz w:val="18"/>
                <w:szCs w:val="18"/>
              </w:rPr>
            </w:pPr>
            <w:r>
              <w:rPr>
                <w:rFonts w:ascii="Times New Roman"/>
                <w:sz w:val="18"/>
              </w:rPr>
              <w:t>438.36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17,55</w:t>
            </w:r>
          </w:p>
          <w:p>
            <w:pPr>
              <w:pStyle w:val="TableParagraph"/>
              <w:spacing w:line="240" w:lineRule="auto" w:before="110"/>
              <w:ind w:left="28" w:right="0"/>
              <w:jc w:val="center"/>
              <w:rPr>
                <w:rFonts w:ascii="Times New Roman" w:hAnsi="Times New Roman" w:cs="Times New Roman" w:eastAsia="Times New Roman" w:hint="default"/>
                <w:sz w:val="18"/>
                <w:szCs w:val="18"/>
              </w:rPr>
            </w:pPr>
            <w:r>
              <w:rPr>
                <w:rFonts w:ascii="Times New Roman"/>
                <w:sz w:val="18"/>
              </w:rPr>
              <w:t>5,905</w:t>
            </w:r>
          </w:p>
          <w:p>
            <w:pPr>
              <w:pStyle w:val="TableParagraph"/>
              <w:spacing w:line="240" w:lineRule="auto" w:before="119"/>
              <w:ind w:left="206" w:right="0"/>
              <w:jc w:val="center"/>
              <w:rPr>
                <w:rFonts w:ascii="Times New Roman" w:hAnsi="Times New Roman" w:cs="Times New Roman" w:eastAsia="Times New Roman" w:hint="default"/>
                <w:sz w:val="18"/>
                <w:szCs w:val="18"/>
              </w:rPr>
            </w:pPr>
            <w:r>
              <w:rPr>
                <w:rFonts w:ascii="Times New Roman"/>
                <w:sz w:val="18"/>
              </w:rPr>
              <w:t>.58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,343.9</w:t>
            </w: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51,756</w:t>
            </w:r>
          </w:p>
          <w:p>
            <w:pPr>
              <w:pStyle w:val="TableParagraph"/>
              <w:spacing w:line="240" w:lineRule="auto" w:before="114"/>
              <w:ind w:left="412" w:right="0"/>
              <w:jc w:val="left"/>
              <w:rPr>
                <w:rFonts w:ascii="Times New Roman" w:hAnsi="Times New Roman" w:cs="Times New Roman" w:eastAsia="Times New Roman" w:hint="default"/>
                <w:sz w:val="18"/>
                <w:szCs w:val="18"/>
              </w:rPr>
            </w:pPr>
            <w:r>
              <w:rPr>
                <w:rFonts w:ascii="Times New Roman"/>
                <w:sz w:val="18"/>
              </w:rPr>
              <w:t>.00</w:t>
            </w:r>
          </w:p>
        </w:tc>
        <w:tc>
          <w:tcPr>
            <w:tcW w:w="691"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51,756</w:t>
            </w:r>
          </w:p>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28,425</w:t>
            </w:r>
          </w:p>
          <w:p>
            <w:pPr>
              <w:pStyle w:val="TableParagraph"/>
              <w:spacing w:line="240" w:lineRule="auto" w:before="114"/>
              <w:ind w:left="40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28,425</w:t>
            </w:r>
          </w:p>
          <w:p>
            <w:pPr>
              <w:pStyle w:val="TableParagraph"/>
              <w:spacing w:line="240" w:lineRule="auto" w:before="114"/>
              <w:ind w:left="398" w:right="0"/>
              <w:jc w:val="lef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lef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7"/>
        <w:rPr>
          <w:rFonts w:ascii="宋体" w:hAnsi="宋体" w:cs="宋体" w:eastAsia="宋体" w:hint="default"/>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0"/>
      </w:tblGrid>
      <w:tr>
        <w:trPr>
          <w:trHeight w:val="413"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328" w:lineRule="auto"/>
              <w:ind w:left="436" w:right="156" w:hanging="269"/>
              <w:jc w:val="left"/>
              <w:rPr>
                <w:rFonts w:ascii="宋体" w:hAnsi="宋体" w:cs="宋体" w:eastAsia="宋体" w:hint="default"/>
                <w:sz w:val="18"/>
                <w:szCs w:val="18"/>
              </w:rPr>
            </w:pPr>
            <w:r>
              <w:rPr>
                <w:rFonts w:ascii="宋体" w:hAnsi="宋体" w:cs="宋体" w:eastAsia="宋体" w:hint="default"/>
                <w:sz w:val="18"/>
                <w:szCs w:val="18"/>
              </w:rPr>
              <w:t>子公司名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42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730"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350" w:right="161" w:hanging="183"/>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67" w:right="161"/>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345" w:right="156" w:hanging="178"/>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67" w:right="165"/>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r>
      <w:tr>
        <w:trPr>
          <w:trHeight w:val="1056" w:hRule="exact"/>
        </w:trPr>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105" w:right="218"/>
              <w:jc w:val="both"/>
              <w:rPr>
                <w:rFonts w:ascii="宋体" w:hAnsi="宋体" w:cs="宋体" w:eastAsia="宋体" w:hint="default"/>
                <w:sz w:val="18"/>
                <w:szCs w:val="18"/>
              </w:rPr>
            </w:pPr>
            <w:r>
              <w:rPr>
                <w:rFonts w:ascii="宋体" w:hAnsi="宋体" w:cs="宋体" w:eastAsia="宋体" w:hint="default"/>
                <w:sz w:val="18"/>
                <w:szCs w:val="18"/>
              </w:rPr>
              <w:t>北京科创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鑫源信息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8,182,290.</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170,461.57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170,461.57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1,570,514.</w:t>
            </w:r>
          </w:p>
          <w:p>
            <w:pPr>
              <w:pStyle w:val="TableParagraph"/>
              <w:spacing w:line="240" w:lineRule="auto" w:before="114"/>
              <w:ind w:right="95"/>
              <w:jc w:val="right"/>
              <w:rPr>
                <w:rFonts w:ascii="Times New Roman" w:hAnsi="Times New Roman" w:cs="Times New Roman" w:eastAsia="Times New Roman" w:hint="default"/>
                <w:sz w:val="18"/>
                <w:szCs w:val="18"/>
              </w:rPr>
            </w:pPr>
            <w:r>
              <w:rPr>
                <w:rFonts w:ascii="Times New Roman"/>
                <w:sz w:val="18"/>
              </w:rPr>
              <w:t>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7,718,281.</w:t>
            </w:r>
          </w:p>
          <w:p>
            <w:pPr>
              <w:pStyle w:val="TableParagraph"/>
              <w:spacing w:line="240" w:lineRule="auto" w:before="114"/>
              <w:ind w:right="98"/>
              <w:jc w:val="right"/>
              <w:rPr>
                <w:rFonts w:ascii="Times New Roman" w:hAnsi="Times New Roman" w:cs="Times New Roman" w:eastAsia="Times New Roman" w:hint="default"/>
                <w:sz w:val="18"/>
                <w:szCs w:val="18"/>
              </w:rPr>
            </w:pPr>
            <w:r>
              <w:rPr>
                <w:rFonts w:ascii="Times New Roman"/>
                <w:sz w:val="18"/>
              </w:rPr>
              <w:t>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858,855.23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858,855.23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431,302.58</w:t>
            </w:r>
          </w:p>
        </w:tc>
      </w:tr>
      <w:tr>
        <w:trPr>
          <w:trHeight w:val="1051" w:hRule="exact"/>
        </w:trPr>
        <w:tc>
          <w:tcPr>
            <w:tcW w:w="10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105" w:right="218"/>
              <w:jc w:val="both"/>
              <w:rPr>
                <w:rFonts w:ascii="宋体" w:hAnsi="宋体" w:cs="宋体" w:eastAsia="宋体" w:hint="default"/>
                <w:sz w:val="18"/>
                <w:szCs w:val="18"/>
              </w:rPr>
            </w:pPr>
            <w:r>
              <w:rPr>
                <w:rFonts w:ascii="宋体" w:hAnsi="宋体" w:cs="宋体" w:eastAsia="宋体" w:hint="default"/>
                <w:sz w:val="18"/>
                <w:szCs w:val="18"/>
              </w:rPr>
              <w:t>永兴科创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南方技术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-27,987.06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-27,987.06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5,343.94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-28,425.00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-28,425.00</w:t>
            </w:r>
          </w:p>
        </w:tc>
        <w:tc>
          <w:tcPr>
            <w:tcW w:w="10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2"/>
        <w:spacing w:line="240" w:lineRule="auto" w:before="26"/>
        <w:ind w:right="0"/>
        <w:jc w:val="left"/>
        <w:rPr>
          <w:b w:val="0"/>
          <w:bCs w:val="0"/>
        </w:rPr>
      </w:pPr>
      <w:bookmarkStart w:name="十、与金融工具相关的风险" w:id="328"/>
      <w:bookmarkEnd w:id="328"/>
      <w:r>
        <w:rPr>
          <w:b w:val="0"/>
          <w:bCs w:val="0"/>
        </w:rPr>
      </w:r>
      <w:r>
        <w:rPr/>
        <w:t>十、与金融工具相关的风险</w:t>
      </w:r>
      <w:r>
        <w:rPr>
          <w:b w:val="0"/>
          <w:bCs w:val="0"/>
        </w:rPr>
      </w:r>
    </w:p>
    <w:p>
      <w:pPr>
        <w:spacing w:line="240" w:lineRule="auto" w:before="3"/>
        <w:rPr>
          <w:rFonts w:ascii="宋体" w:hAnsi="宋体" w:cs="宋体" w:eastAsia="宋体" w:hint="default"/>
          <w:b/>
          <w:bCs/>
          <w:sz w:val="25"/>
          <w:szCs w:val="25"/>
        </w:rPr>
      </w:pPr>
    </w:p>
    <w:p>
      <w:pPr>
        <w:pStyle w:val="Heading5"/>
        <w:spacing w:line="280" w:lineRule="auto"/>
        <w:ind w:left="152" w:right="141" w:firstLine="422"/>
        <w:jc w:val="both"/>
        <w:rPr>
          <w:rFonts w:ascii="宋体" w:hAnsi="宋体" w:cs="宋体" w:eastAsia="宋体" w:hint="default"/>
        </w:rPr>
      </w:pPr>
      <w:r>
        <w:rPr>
          <w:spacing w:val="-2"/>
        </w:rPr>
        <w:t>本公司报告期的金融工具，金融资产主要为因经营而直接产生的贷款与应收款项，如货币资金、应收</w:t>
      </w:r>
      <w:r>
        <w:rPr>
          <w:w w:val="100"/>
        </w:rPr>
        <w:t> </w:t>
      </w:r>
      <w:r>
        <w:rPr>
          <w:spacing w:val="-2"/>
        </w:rPr>
        <w:t>票据、应收账款、其他应收款等；金融负债主要为因经营而直接产生的其他金融负债，如应付票据、应付</w:t>
      </w:r>
      <w:r>
        <w:rPr>
          <w:spacing w:val="-38"/>
        </w:rPr>
        <w:t> </w:t>
      </w:r>
      <w:r>
        <w:rPr>
          <w:spacing w:val="-38"/>
        </w:rPr>
      </w:r>
      <w:r>
        <w:rPr/>
        <w:t>账款、长短期借款等。这些金融工具的主要目的在于为本公司的运营融资。</w:t>
      </w:r>
      <w:r>
        <w:rPr>
          <w:rFonts w:ascii="宋体" w:hAnsi="宋体" w:cs="宋体" w:eastAsia="宋体" w:hint="default"/>
        </w:rPr>
        <w:t> </w:t>
      </w:r>
    </w:p>
    <w:p>
      <w:pPr>
        <w:pStyle w:val="Heading5"/>
        <w:spacing w:line="386" w:lineRule="auto" w:before="131"/>
        <w:ind w:right="1136"/>
        <w:jc w:val="left"/>
        <w:rPr>
          <w:rFonts w:ascii="宋体" w:hAnsi="宋体" w:cs="宋体" w:eastAsia="宋体" w:hint="default"/>
        </w:rPr>
      </w:pPr>
      <w:r>
        <w:rPr/>
        <w:t>本公司的金融工具导致的主要风险主要包括信用风险、流动风险及市场风险。</w:t>
      </w:r>
      <w:r>
        <w:rPr>
          <w:rFonts w:ascii="宋体" w:hAnsi="宋体" w:cs="宋体" w:eastAsia="宋体" w:hint="default"/>
          <w:w w:val="100"/>
        </w:rPr>
        <w:t> </w:t>
      </w:r>
      <w:r>
        <w:rPr>
          <w:rFonts w:ascii="宋体" w:hAnsi="宋体" w:cs="宋体" w:eastAsia="宋体" w:hint="default"/>
        </w:rPr>
        <w:t>1</w:t>
      </w:r>
      <w:r>
        <w:rPr/>
        <w:t>、金融工具分类</w:t>
      </w:r>
      <w:r>
        <w:rPr>
          <w:rFonts w:ascii="宋体" w:hAnsi="宋体" w:cs="宋体" w:eastAsia="宋体" w:hint="default"/>
        </w:rPr>
        <w:t> </w:t>
      </w:r>
    </w:p>
    <w:p>
      <w:pPr>
        <w:pStyle w:val="BodyText"/>
        <w:spacing w:line="240" w:lineRule="auto" w:before="126"/>
        <w:ind w:left="512" w:right="0"/>
        <w:jc w:val="left"/>
      </w:pPr>
      <w:r>
        <w:rPr>
          <w:spacing w:val="-3"/>
        </w:rPr>
        <w:t>（</w:t>
      </w:r>
      <w:r>
        <w:rPr>
          <w:rFonts w:ascii="Times New Roman" w:hAnsi="Times New Roman" w:cs="Times New Roman" w:eastAsia="Times New Roman" w:hint="default"/>
          <w:spacing w:val="-3"/>
        </w:rPr>
        <w:t>1</w:t>
      </w:r>
      <w:r>
        <w:rPr>
          <w:spacing w:val="-3"/>
        </w:rPr>
        <w:t>）资产负债表日的各类金融资产的账面价值如下：</w:t>
      </w:r>
      <w:r>
        <w:rPr/>
      </w:r>
    </w:p>
    <w:p>
      <w:pPr>
        <w:spacing w:line="240" w:lineRule="auto" w:before="10"/>
        <w:rPr>
          <w:rFonts w:ascii="宋体" w:hAnsi="宋体" w:cs="宋体" w:eastAsia="宋体" w:hint="default"/>
          <w:sz w:val="29"/>
          <w:szCs w:val="29"/>
        </w:rPr>
      </w:pPr>
    </w:p>
    <w:tbl>
      <w:tblPr>
        <w:tblW w:w="0" w:type="auto"/>
        <w:jc w:val="left"/>
        <w:tblInd w:w="517" w:type="dxa"/>
        <w:tblLayout w:type="fixed"/>
        <w:tblCellMar>
          <w:top w:w="0" w:type="dxa"/>
          <w:left w:w="0" w:type="dxa"/>
          <w:bottom w:w="0" w:type="dxa"/>
          <w:right w:w="0" w:type="dxa"/>
        </w:tblCellMar>
        <w:tblLook w:val="01E0"/>
      </w:tblPr>
      <w:tblGrid>
        <w:gridCol w:w="1718"/>
        <w:gridCol w:w="2287"/>
        <w:gridCol w:w="859"/>
        <w:gridCol w:w="1394"/>
        <w:gridCol w:w="1342"/>
        <w:gridCol w:w="1308"/>
      </w:tblGrid>
      <w:tr>
        <w:trPr>
          <w:trHeight w:val="283" w:hRule="exact"/>
        </w:trPr>
        <w:tc>
          <w:tcPr>
            <w:tcW w:w="1718" w:type="dxa"/>
            <w:tcBorders>
              <w:top w:val="nil" w:sz="6" w:space="0" w:color="auto"/>
              <w:left w:val="nil" w:sz="6" w:space="0" w:color="auto"/>
              <w:bottom w:val="nil" w:sz="6" w:space="0" w:color="auto"/>
              <w:right w:val="nil" w:sz="6" w:space="0" w:color="auto"/>
            </w:tcBorders>
          </w:tcPr>
          <w:p>
            <w:pPr/>
          </w:p>
        </w:tc>
        <w:tc>
          <w:tcPr>
            <w:tcW w:w="228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149" w:lineRule="exact"/>
              <w:ind w:left="429" w:right="0"/>
              <w:jc w:val="left"/>
              <w:rPr>
                <w:rFonts w:ascii="宋体" w:hAnsi="宋体" w:cs="宋体" w:eastAsia="宋体" w:hint="default"/>
                <w:sz w:val="15"/>
                <w:szCs w:val="15"/>
              </w:rPr>
            </w:pPr>
            <w:r>
              <w:rPr>
                <w:rFonts w:ascii="宋体" w:hAnsi="宋体" w:cs="宋体" w:eastAsia="宋体" w:hint="default"/>
                <w:b/>
                <w:bCs/>
                <w:spacing w:val="4"/>
                <w:sz w:val="15"/>
                <w:szCs w:val="15"/>
              </w:rPr>
              <w:t>期末</w:t>
            </w:r>
            <w:r>
              <w:rPr>
                <w:rFonts w:ascii="宋体" w:hAnsi="宋体" w:cs="宋体" w:eastAsia="宋体" w:hint="default"/>
                <w:sz w:val="15"/>
                <w:szCs w:val="15"/>
              </w:rPr>
            </w:r>
          </w:p>
        </w:tc>
        <w:tc>
          <w:tcPr>
            <w:tcW w:w="13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r>
      <w:tr>
        <w:trPr>
          <w:trHeight w:val="31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42"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2287" w:type="dxa"/>
            <w:vMerge w:val="restart"/>
            <w:tcBorders>
              <w:top w:val="nil" w:sz="6" w:space="0" w:color="auto"/>
              <w:left w:val="nil" w:sz="6" w:space="0" w:color="auto"/>
              <w:right w:val="nil" w:sz="6" w:space="0" w:color="auto"/>
            </w:tcBorders>
          </w:tcPr>
          <w:p>
            <w:pPr>
              <w:pStyle w:val="TableParagraph"/>
              <w:spacing w:line="240" w:lineRule="auto" w:before="111"/>
              <w:ind w:left="218" w:right="0"/>
              <w:jc w:val="center"/>
              <w:rPr>
                <w:rFonts w:ascii="宋体" w:hAnsi="宋体" w:cs="宋体" w:eastAsia="宋体" w:hint="default"/>
                <w:sz w:val="15"/>
                <w:szCs w:val="15"/>
              </w:rPr>
            </w:pPr>
            <w:r>
              <w:rPr>
                <w:rFonts w:ascii="宋体" w:hAnsi="宋体" w:cs="宋体" w:eastAsia="宋体" w:hint="default"/>
                <w:b/>
                <w:bCs/>
                <w:sz w:val="15"/>
                <w:szCs w:val="15"/>
              </w:rPr>
              <w:t>以公允价值计量且其变动计入</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8" w:right="0"/>
              <w:jc w:val="center"/>
              <w:rPr>
                <w:rFonts w:ascii="宋体" w:hAnsi="宋体" w:cs="宋体" w:eastAsia="宋体" w:hint="default"/>
                <w:sz w:val="15"/>
                <w:szCs w:val="15"/>
              </w:rPr>
            </w:pPr>
            <w:r>
              <w:rPr>
                <w:rFonts w:ascii="宋体" w:hAnsi="宋体" w:cs="宋体" w:eastAsia="宋体" w:hint="default"/>
                <w:b/>
                <w:bCs/>
                <w:sz w:val="15"/>
                <w:szCs w:val="15"/>
              </w:rPr>
              <w:t>当期损益的金融资产</w:t>
            </w:r>
            <w:r>
              <w:rPr>
                <w:rFonts w:ascii="宋体" w:hAnsi="宋体" w:cs="宋体" w:eastAsia="宋体" w:hint="default"/>
                <w:sz w:val="15"/>
                <w:szCs w:val="15"/>
              </w:rPr>
            </w:r>
          </w:p>
        </w:tc>
        <w:tc>
          <w:tcPr>
            <w:tcW w:w="859" w:type="dxa"/>
            <w:vMerge w:val="restart"/>
            <w:tcBorders>
              <w:top w:val="nil" w:sz="6" w:space="0" w:color="auto"/>
              <w:left w:val="nil" w:sz="6" w:space="0" w:color="auto"/>
              <w:right w:val="nil" w:sz="6" w:space="0" w:color="auto"/>
            </w:tcBorders>
          </w:tcPr>
          <w:p>
            <w:pPr>
              <w:pStyle w:val="TableParagraph"/>
              <w:spacing w:line="240" w:lineRule="auto" w:before="111"/>
              <w:ind w:left="55" w:right="0" w:firstLine="76"/>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b/>
                <w:bCs/>
                <w:sz w:val="15"/>
                <w:szCs w:val="15"/>
              </w:rPr>
              <w:t>到期投资</w:t>
            </w:r>
            <w:r>
              <w:rPr>
                <w:rFonts w:ascii="宋体" w:hAnsi="宋体" w:cs="宋体" w:eastAsia="宋体" w:hint="default"/>
                <w:sz w:val="15"/>
                <w:szCs w:val="15"/>
              </w:rPr>
            </w:r>
          </w:p>
        </w:tc>
        <w:tc>
          <w:tcPr>
            <w:tcW w:w="1394" w:type="dxa"/>
            <w:vMerge w:val="restart"/>
            <w:tcBorders>
              <w:top w:val="nil" w:sz="6" w:space="0" w:color="auto"/>
              <w:left w:val="nil" w:sz="6" w:space="0" w:color="auto"/>
              <w:right w:val="nil" w:sz="6" w:space="0" w:color="auto"/>
            </w:tcBorders>
          </w:tcPr>
          <w:p>
            <w:pPr>
              <w:pStyle w:val="TableParagraph"/>
              <w:spacing w:line="240" w:lineRule="auto" w:before="111"/>
              <w:ind w:right="230"/>
              <w:jc w:val="center"/>
              <w:rPr>
                <w:rFonts w:ascii="宋体" w:hAnsi="宋体" w:cs="宋体" w:eastAsia="宋体" w:hint="default"/>
                <w:sz w:val="15"/>
                <w:szCs w:val="15"/>
              </w:rPr>
            </w:pPr>
            <w:r>
              <w:rPr>
                <w:rFonts w:ascii="宋体" w:hAnsi="宋体" w:cs="宋体" w:eastAsia="宋体" w:hint="default"/>
                <w:b/>
                <w:bCs/>
                <w:spacing w:val="4"/>
                <w:sz w:val="15"/>
                <w:szCs w:val="15"/>
              </w:rPr>
              <w:t>贷款</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0"/>
              <w:jc w:val="center"/>
              <w:rPr>
                <w:rFonts w:ascii="宋体" w:hAnsi="宋体" w:cs="宋体" w:eastAsia="宋体" w:hint="default"/>
                <w:sz w:val="15"/>
                <w:szCs w:val="15"/>
              </w:rPr>
            </w:pPr>
            <w:r>
              <w:rPr>
                <w:rFonts w:ascii="宋体" w:hAnsi="宋体" w:cs="宋体" w:eastAsia="宋体" w:hint="default"/>
                <w:b/>
                <w:bCs/>
                <w:sz w:val="15"/>
                <w:szCs w:val="15"/>
              </w:rPr>
              <w:t>和应收款项</w:t>
            </w:r>
            <w:r>
              <w:rPr>
                <w:rFonts w:ascii="宋体" w:hAnsi="宋体" w:cs="宋体" w:eastAsia="宋体" w:hint="default"/>
                <w:sz w:val="15"/>
                <w:szCs w:val="15"/>
              </w:rPr>
            </w:r>
          </w:p>
        </w:tc>
        <w:tc>
          <w:tcPr>
            <w:tcW w:w="1342" w:type="dxa"/>
            <w:vMerge w:val="restart"/>
            <w:tcBorders>
              <w:top w:val="nil" w:sz="6" w:space="0" w:color="auto"/>
              <w:left w:val="nil" w:sz="6" w:space="0" w:color="auto"/>
              <w:right w:val="nil" w:sz="6" w:space="0" w:color="auto"/>
            </w:tcBorders>
          </w:tcPr>
          <w:p>
            <w:pPr>
              <w:pStyle w:val="TableParagraph"/>
              <w:spacing w:line="240" w:lineRule="auto" w:before="111"/>
              <w:ind w:left="273" w:right="0"/>
              <w:jc w:val="left"/>
              <w:rPr>
                <w:rFonts w:ascii="宋体" w:hAnsi="宋体" w:cs="宋体" w:eastAsia="宋体" w:hint="default"/>
                <w:sz w:val="15"/>
                <w:szCs w:val="15"/>
              </w:rPr>
            </w:pPr>
            <w:r>
              <w:rPr>
                <w:rFonts w:ascii="宋体" w:hAnsi="宋体" w:cs="宋体" w:eastAsia="宋体" w:hint="default"/>
                <w:b/>
                <w:bCs/>
                <w:sz w:val="15"/>
                <w:szCs w:val="15"/>
              </w:rPr>
              <w:t>可供出售</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b/>
                <w:bCs/>
                <w:sz w:val="15"/>
                <w:szCs w:val="15"/>
              </w:rPr>
              <w:t>金融资产</w:t>
            </w:r>
            <w:r>
              <w:rPr>
                <w:rFonts w:ascii="宋体" w:hAnsi="宋体" w:cs="宋体" w:eastAsia="宋体" w:hint="default"/>
                <w:sz w:val="15"/>
                <w:szCs w:val="15"/>
              </w:rPr>
            </w:r>
          </w:p>
        </w:tc>
        <w:tc>
          <w:tcPr>
            <w:tcW w:w="1308" w:type="dxa"/>
            <w:tcBorders>
              <w:top w:val="nil" w:sz="6" w:space="0" w:color="auto"/>
              <w:left w:val="nil" w:sz="6" w:space="0" w:color="auto"/>
              <w:bottom w:val="nil" w:sz="6" w:space="0" w:color="auto"/>
              <w:right w:val="nil" w:sz="6" w:space="0" w:color="auto"/>
            </w:tcBorders>
          </w:tcPr>
          <w:p>
            <w:pPr/>
          </w:p>
        </w:tc>
      </w:tr>
      <w:tr>
        <w:trPr>
          <w:trHeight w:val="485" w:hRule="exact"/>
        </w:trPr>
        <w:tc>
          <w:tcPr>
            <w:tcW w:w="1718" w:type="dxa"/>
            <w:tcBorders>
              <w:top w:val="nil" w:sz="6" w:space="0" w:color="auto"/>
              <w:left w:val="nil" w:sz="6" w:space="0" w:color="auto"/>
              <w:bottom w:val="single" w:sz="4" w:space="0" w:color="000000"/>
              <w:right w:val="nil" w:sz="6" w:space="0" w:color="auto"/>
            </w:tcBorders>
          </w:tcPr>
          <w:p>
            <w:pPr/>
          </w:p>
        </w:tc>
        <w:tc>
          <w:tcPr>
            <w:tcW w:w="2287" w:type="dxa"/>
            <w:vMerge/>
            <w:tcBorders>
              <w:left w:val="nil" w:sz="6" w:space="0" w:color="auto"/>
              <w:bottom w:val="single" w:sz="4" w:space="0" w:color="000000"/>
              <w:right w:val="nil" w:sz="6" w:space="0" w:color="auto"/>
            </w:tcBorders>
          </w:tcPr>
          <w:p>
            <w:pPr/>
          </w:p>
        </w:tc>
        <w:tc>
          <w:tcPr>
            <w:tcW w:w="859" w:type="dxa"/>
            <w:vMerge/>
            <w:tcBorders>
              <w:left w:val="nil" w:sz="6" w:space="0" w:color="auto"/>
              <w:bottom w:val="single" w:sz="4" w:space="0" w:color="000000"/>
              <w:right w:val="nil" w:sz="6" w:space="0" w:color="auto"/>
            </w:tcBorders>
          </w:tcPr>
          <w:p>
            <w:pPr/>
          </w:p>
        </w:tc>
        <w:tc>
          <w:tcPr>
            <w:tcW w:w="1394" w:type="dxa"/>
            <w:vMerge/>
            <w:tcBorders>
              <w:left w:val="nil" w:sz="6" w:space="0" w:color="auto"/>
              <w:bottom w:val="single" w:sz="4" w:space="0" w:color="000000"/>
              <w:right w:val="nil" w:sz="6" w:space="0" w:color="auto"/>
            </w:tcBorders>
          </w:tcPr>
          <w:p>
            <w:pPr/>
          </w:p>
        </w:tc>
        <w:tc>
          <w:tcPr>
            <w:tcW w:w="1342" w:type="dxa"/>
            <w:vMerge/>
            <w:tcBorders>
              <w:left w:val="nil" w:sz="6" w:space="0" w:color="auto"/>
              <w:bottom w:val="single" w:sz="4" w:space="0" w:color="000000"/>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185" w:lineRule="exact"/>
              <w:ind w:right="62"/>
              <w:jc w:val="center"/>
              <w:rPr>
                <w:rFonts w:ascii="宋体" w:hAnsi="宋体" w:cs="宋体" w:eastAsia="宋体" w:hint="default"/>
                <w:sz w:val="15"/>
                <w:szCs w:val="15"/>
              </w:rPr>
            </w:pPr>
            <w:r>
              <w:rPr>
                <w:rFonts w:ascii="宋体" w:hAnsi="宋体" w:cs="宋体" w:eastAsia="宋体" w:hint="default"/>
                <w:b/>
                <w:bCs/>
                <w:spacing w:val="4"/>
                <w:sz w:val="15"/>
                <w:szCs w:val="15"/>
              </w:rPr>
              <w:t>合计</w:t>
            </w:r>
            <w:r>
              <w:rPr>
                <w:rFonts w:ascii="宋体" w:hAnsi="宋体" w:cs="宋体" w:eastAsia="宋体" w:hint="default"/>
                <w:sz w:val="15"/>
                <w:szCs w:val="15"/>
              </w:rPr>
            </w:r>
          </w:p>
        </w:tc>
      </w:tr>
      <w:tr>
        <w:trPr>
          <w:trHeight w:val="500" w:hRule="exact"/>
        </w:trPr>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2287" w:type="dxa"/>
            <w:tcBorders>
              <w:top w:val="single" w:sz="4" w:space="0" w:color="000000"/>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75"/>
              <w:jc w:val="right"/>
              <w:rPr>
                <w:rFonts w:ascii="Times New Roman" w:hAnsi="Times New Roman" w:cs="Times New Roman" w:eastAsia="Times New Roman" w:hint="default"/>
                <w:sz w:val="15"/>
                <w:szCs w:val="15"/>
              </w:rPr>
            </w:pPr>
            <w:r>
              <w:rPr>
                <w:rFonts w:ascii="Times New Roman"/>
                <w:w w:val="95"/>
                <w:sz w:val="15"/>
              </w:rPr>
              <w:t>316,170,312.69</w:t>
            </w:r>
            <w:r>
              <w:rPr>
                <w:rFonts w:ascii="Times New Roman"/>
                <w:sz w:val="15"/>
              </w:rPr>
            </w:r>
          </w:p>
        </w:tc>
        <w:tc>
          <w:tcPr>
            <w:tcW w:w="1342" w:type="dxa"/>
            <w:tcBorders>
              <w:top w:val="single" w:sz="4" w:space="0" w:color="000000"/>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w w:val="95"/>
                <w:sz w:val="15"/>
              </w:rPr>
              <w:t>316,170,312.69</w:t>
            </w:r>
            <w:r>
              <w:rPr>
                <w:rFonts w:ascii="Times New Roman"/>
                <w:sz w:val="15"/>
              </w:rPr>
            </w:r>
          </w:p>
        </w:tc>
      </w:tr>
      <w:tr>
        <w:trPr>
          <w:trHeight w:val="43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83"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228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71"/>
              <w:jc w:val="right"/>
              <w:rPr>
                <w:rFonts w:ascii="Times New Roman" w:hAnsi="Times New Roman" w:cs="Times New Roman" w:eastAsia="Times New Roman" w:hint="default"/>
                <w:sz w:val="15"/>
                <w:szCs w:val="15"/>
              </w:rPr>
            </w:pPr>
            <w:r>
              <w:rPr>
                <w:rFonts w:ascii="Times New Roman"/>
                <w:w w:val="95"/>
                <w:sz w:val="15"/>
              </w:rPr>
              <w:t>1,964,488.04</w:t>
            </w:r>
            <w:r>
              <w:rPr>
                <w:rFonts w:ascii="Times New Roman"/>
                <w:sz w:val="15"/>
              </w:rPr>
            </w:r>
          </w:p>
        </w:tc>
        <w:tc>
          <w:tcPr>
            <w:tcW w:w="13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w w:val="95"/>
                <w:sz w:val="15"/>
              </w:rPr>
              <w:t>1,964,488.04</w:t>
            </w:r>
            <w:r>
              <w:rPr>
                <w:rFonts w:ascii="Times New Roman"/>
                <w:sz w:val="15"/>
              </w:rPr>
            </w:r>
          </w:p>
        </w:tc>
      </w:tr>
      <w:tr>
        <w:trPr>
          <w:trHeight w:val="442"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28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5"/>
              <w:jc w:val="right"/>
              <w:rPr>
                <w:rFonts w:ascii="Times New Roman" w:hAnsi="Times New Roman" w:cs="Times New Roman" w:eastAsia="Times New Roman" w:hint="default"/>
                <w:sz w:val="15"/>
                <w:szCs w:val="15"/>
              </w:rPr>
            </w:pPr>
            <w:r>
              <w:rPr>
                <w:rFonts w:ascii="Times New Roman"/>
                <w:w w:val="95"/>
                <w:sz w:val="15"/>
              </w:rPr>
              <w:t>106,812,607.61</w:t>
            </w:r>
            <w:r>
              <w:rPr>
                <w:rFonts w:ascii="Times New Roman"/>
                <w:sz w:val="15"/>
              </w:rPr>
            </w:r>
          </w:p>
        </w:tc>
        <w:tc>
          <w:tcPr>
            <w:tcW w:w="13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w w:val="95"/>
                <w:sz w:val="15"/>
              </w:rPr>
              <w:t>106,812,607.61</w:t>
            </w:r>
            <w:r>
              <w:rPr>
                <w:rFonts w:ascii="Times New Roman"/>
                <w:sz w:val="15"/>
              </w:rPr>
            </w:r>
          </w:p>
        </w:tc>
      </w:tr>
      <w:tr>
        <w:trPr>
          <w:trHeight w:val="43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228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1"/>
              <w:jc w:val="right"/>
              <w:rPr>
                <w:rFonts w:ascii="Times New Roman" w:hAnsi="Times New Roman" w:cs="Times New Roman" w:eastAsia="Times New Roman" w:hint="default"/>
                <w:sz w:val="15"/>
                <w:szCs w:val="15"/>
              </w:rPr>
            </w:pPr>
            <w:r>
              <w:rPr>
                <w:rFonts w:ascii="Times New Roman"/>
                <w:sz w:val="15"/>
              </w:rPr>
              <w:t>12,193,218.50</w:t>
            </w:r>
          </w:p>
        </w:tc>
        <w:tc>
          <w:tcPr>
            <w:tcW w:w="13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sz w:val="15"/>
              </w:rPr>
              <w:t>12,193,218.50</w:t>
            </w:r>
          </w:p>
        </w:tc>
      </w:tr>
      <w:tr>
        <w:trPr>
          <w:trHeight w:val="43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83"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228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71"/>
              <w:jc w:val="right"/>
              <w:rPr>
                <w:rFonts w:ascii="Times New Roman" w:hAnsi="Times New Roman" w:cs="Times New Roman" w:eastAsia="Times New Roman" w:hint="default"/>
                <w:sz w:val="15"/>
                <w:szCs w:val="15"/>
              </w:rPr>
            </w:pPr>
            <w:r>
              <w:rPr>
                <w:rFonts w:ascii="Times New Roman"/>
                <w:w w:val="95"/>
                <w:sz w:val="15"/>
              </w:rPr>
              <w:t>7,860,000.00</w:t>
            </w:r>
            <w:r>
              <w:rPr>
                <w:rFonts w:ascii="Times New Roman"/>
                <w:sz w:val="15"/>
              </w:rPr>
            </w:r>
          </w:p>
        </w:tc>
        <w:tc>
          <w:tcPr>
            <w:tcW w:w="13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51"/>
              <w:jc w:val="right"/>
              <w:rPr>
                <w:rFonts w:ascii="Times New Roman" w:hAnsi="Times New Roman" w:cs="Times New Roman" w:eastAsia="Times New Roman" w:hint="default"/>
                <w:sz w:val="15"/>
                <w:szCs w:val="15"/>
              </w:rPr>
            </w:pPr>
            <w:r>
              <w:rPr>
                <w:rFonts w:ascii="Times New Roman"/>
                <w:w w:val="95"/>
                <w:sz w:val="15"/>
              </w:rPr>
              <w:t>7,860,000.00</w:t>
            </w:r>
            <w:r>
              <w:rPr>
                <w:rFonts w:ascii="Times New Roman"/>
                <w:sz w:val="15"/>
              </w:rPr>
            </w:r>
          </w:p>
        </w:tc>
      </w:tr>
      <w:tr>
        <w:trPr>
          <w:trHeight w:val="29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39"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2287"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4"/>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445,000,626.84</w:t>
            </w:r>
            <w:r>
              <w:rPr>
                <w:rFonts w:ascii="Times New Roman"/>
                <w:w w:val="95"/>
                <w:sz w:val="15"/>
              </w:rPr>
            </w:r>
            <w:r>
              <w:rPr>
                <w:rFonts w:ascii="Times New Roman"/>
                <w:sz w:val="15"/>
              </w:rPr>
            </w:r>
          </w:p>
        </w:tc>
        <w:tc>
          <w:tcPr>
            <w:tcW w:w="1342"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54"/>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445,000,626.84</w:t>
            </w:r>
            <w:r>
              <w:rPr>
                <w:rFonts w:ascii="Times New Roman"/>
                <w:w w:val="95"/>
                <w:sz w:val="15"/>
              </w:rPr>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512" w:right="0"/>
        <w:jc w:val="left"/>
      </w:pPr>
      <w:r>
        <w:rPr/>
        <w:t>接上表：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517" w:type="dxa"/>
        <w:tblLayout w:type="fixed"/>
        <w:tblCellMar>
          <w:top w:w="0" w:type="dxa"/>
          <w:left w:w="0" w:type="dxa"/>
          <w:bottom w:w="0" w:type="dxa"/>
          <w:right w:w="0" w:type="dxa"/>
        </w:tblCellMar>
        <w:tblLook w:val="01E0"/>
      </w:tblPr>
      <w:tblGrid>
        <w:gridCol w:w="1822"/>
        <w:gridCol w:w="2525"/>
        <w:gridCol w:w="994"/>
        <w:gridCol w:w="1296"/>
        <w:gridCol w:w="1126"/>
        <w:gridCol w:w="1147"/>
      </w:tblGrid>
      <w:tr>
        <w:trPr>
          <w:trHeight w:val="286" w:hRule="exact"/>
        </w:trPr>
        <w:tc>
          <w:tcPr>
            <w:tcW w:w="182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49" w:lineRule="exact"/>
              <w:ind w:right="-108"/>
              <w:jc w:val="right"/>
              <w:rPr>
                <w:rFonts w:ascii="宋体" w:hAnsi="宋体" w:cs="宋体" w:eastAsia="宋体" w:hint="default"/>
                <w:sz w:val="15"/>
                <w:szCs w:val="15"/>
              </w:rPr>
            </w:pPr>
            <w:r>
              <w:rPr>
                <w:rFonts w:ascii="宋体" w:hAnsi="宋体" w:cs="宋体" w:eastAsia="宋体" w:hint="default"/>
                <w:b/>
                <w:bCs/>
                <w:spacing w:val="4"/>
                <w:w w:val="98"/>
                <w:sz w:val="15"/>
                <w:szCs w:val="15"/>
              </w:rPr>
              <w:t>期</w:t>
            </w:r>
            <w:r>
              <w:rPr>
                <w:rFonts w:ascii="宋体" w:hAnsi="宋体" w:cs="宋体" w:eastAsia="宋体" w:hint="default"/>
                <w:sz w:val="15"/>
                <w:szCs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149" w:lineRule="exact"/>
              <w:ind w:left="107" w:right="0"/>
              <w:jc w:val="left"/>
              <w:rPr>
                <w:rFonts w:ascii="宋体" w:hAnsi="宋体" w:cs="宋体" w:eastAsia="宋体" w:hint="default"/>
                <w:sz w:val="15"/>
                <w:szCs w:val="15"/>
              </w:rPr>
            </w:pPr>
            <w:r>
              <w:rPr>
                <w:rFonts w:ascii="宋体" w:hAnsi="宋体" w:cs="宋体" w:eastAsia="宋体" w:hint="default"/>
                <w:b/>
                <w:bCs/>
                <w:spacing w:val="4"/>
                <w:w w:val="98"/>
                <w:sz w:val="15"/>
                <w:szCs w:val="15"/>
              </w:rPr>
              <w:t>初</w:t>
            </w:r>
            <w:r>
              <w:rPr>
                <w:rFonts w:ascii="宋体" w:hAnsi="宋体" w:cs="宋体" w:eastAsia="宋体" w:hint="default"/>
                <w:sz w:val="15"/>
                <w:szCs w:val="15"/>
              </w:rPr>
            </w:r>
          </w:p>
        </w:tc>
        <w:tc>
          <w:tcPr>
            <w:tcW w:w="1126"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322"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42"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2525" w:type="dxa"/>
            <w:vMerge w:val="restart"/>
            <w:tcBorders>
              <w:top w:val="nil" w:sz="6" w:space="0" w:color="auto"/>
              <w:left w:val="nil" w:sz="6" w:space="0" w:color="auto"/>
              <w:right w:val="nil" w:sz="6" w:space="0" w:color="auto"/>
            </w:tcBorders>
          </w:tcPr>
          <w:p>
            <w:pPr>
              <w:pStyle w:val="TableParagraph"/>
              <w:spacing w:line="240" w:lineRule="auto" w:before="108"/>
              <w:ind w:left="187" w:right="0"/>
              <w:jc w:val="center"/>
              <w:rPr>
                <w:rFonts w:ascii="宋体" w:hAnsi="宋体" w:cs="宋体" w:eastAsia="宋体" w:hint="default"/>
                <w:sz w:val="15"/>
                <w:szCs w:val="15"/>
              </w:rPr>
            </w:pPr>
            <w:r>
              <w:rPr>
                <w:rFonts w:ascii="宋体" w:hAnsi="宋体" w:cs="宋体" w:eastAsia="宋体" w:hint="default"/>
                <w:b/>
                <w:bCs/>
                <w:sz w:val="15"/>
                <w:szCs w:val="15"/>
              </w:rPr>
              <w:t>以公允价值计量且其变动计入</w:t>
            </w:r>
            <w:r>
              <w:rPr>
                <w:rFonts w:ascii="宋体" w:hAnsi="宋体" w:cs="宋体" w:eastAsia="宋体" w:hint="default"/>
                <w:sz w:val="15"/>
                <w:szCs w:val="15"/>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7" w:right="0"/>
              <w:jc w:val="center"/>
              <w:rPr>
                <w:rFonts w:ascii="宋体" w:hAnsi="宋体" w:cs="宋体" w:eastAsia="宋体" w:hint="default"/>
                <w:sz w:val="15"/>
                <w:szCs w:val="15"/>
              </w:rPr>
            </w:pPr>
            <w:r>
              <w:rPr>
                <w:rFonts w:ascii="宋体" w:hAnsi="宋体" w:cs="宋体" w:eastAsia="宋体" w:hint="default"/>
                <w:b/>
                <w:bCs/>
                <w:sz w:val="15"/>
                <w:szCs w:val="15"/>
              </w:rPr>
              <w:t>当期损益的金融资产</w:t>
            </w:r>
            <w:r>
              <w:rPr>
                <w:rFonts w:ascii="宋体" w:hAnsi="宋体" w:cs="宋体" w:eastAsia="宋体" w:hint="default"/>
                <w:sz w:val="15"/>
                <w:szCs w:val="15"/>
              </w:rPr>
            </w:r>
          </w:p>
        </w:tc>
        <w:tc>
          <w:tcPr>
            <w:tcW w:w="994" w:type="dxa"/>
            <w:vMerge w:val="restart"/>
            <w:tcBorders>
              <w:top w:val="nil" w:sz="6" w:space="0" w:color="auto"/>
              <w:left w:val="nil" w:sz="6" w:space="0" w:color="auto"/>
              <w:right w:val="nil" w:sz="6" w:space="0" w:color="auto"/>
            </w:tcBorders>
          </w:tcPr>
          <w:p>
            <w:pPr>
              <w:pStyle w:val="TableParagraph"/>
              <w:spacing w:line="240" w:lineRule="auto" w:before="108"/>
              <w:ind w:left="189" w:right="0" w:firstLine="76"/>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sz w:val="15"/>
                <w:szCs w:val="15"/>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b/>
                <w:bCs/>
                <w:sz w:val="15"/>
                <w:szCs w:val="15"/>
              </w:rPr>
              <w:t>到期投资</w:t>
            </w:r>
            <w:r>
              <w:rPr>
                <w:rFonts w:ascii="宋体" w:hAnsi="宋体" w:cs="宋体" w:eastAsia="宋体" w:hint="default"/>
                <w:sz w:val="15"/>
                <w:szCs w:val="15"/>
              </w:rPr>
            </w:r>
          </w:p>
        </w:tc>
        <w:tc>
          <w:tcPr>
            <w:tcW w:w="1296" w:type="dxa"/>
            <w:vMerge w:val="restart"/>
            <w:tcBorders>
              <w:top w:val="nil" w:sz="6" w:space="0" w:color="auto"/>
              <w:left w:val="nil" w:sz="6" w:space="0" w:color="auto"/>
              <w:right w:val="nil" w:sz="6" w:space="0" w:color="auto"/>
            </w:tcBorders>
          </w:tcPr>
          <w:p>
            <w:pPr>
              <w:pStyle w:val="TableParagraph"/>
              <w:spacing w:line="240" w:lineRule="auto" w:before="108"/>
              <w:ind w:right="132"/>
              <w:jc w:val="center"/>
              <w:rPr>
                <w:rFonts w:ascii="宋体" w:hAnsi="宋体" w:cs="宋体" w:eastAsia="宋体" w:hint="default"/>
                <w:sz w:val="15"/>
                <w:szCs w:val="15"/>
              </w:rPr>
            </w:pPr>
            <w:r>
              <w:rPr>
                <w:rFonts w:ascii="宋体" w:hAnsi="宋体" w:cs="宋体" w:eastAsia="宋体" w:hint="default"/>
                <w:b/>
                <w:bCs/>
                <w:spacing w:val="4"/>
                <w:sz w:val="15"/>
                <w:szCs w:val="15"/>
              </w:rPr>
              <w:t>贷款</w:t>
            </w:r>
            <w:r>
              <w:rPr>
                <w:rFonts w:ascii="宋体" w:hAnsi="宋体" w:cs="宋体" w:eastAsia="宋体" w:hint="default"/>
                <w:sz w:val="15"/>
                <w:szCs w:val="15"/>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2"/>
              <w:jc w:val="center"/>
              <w:rPr>
                <w:rFonts w:ascii="宋体" w:hAnsi="宋体" w:cs="宋体" w:eastAsia="宋体" w:hint="default"/>
                <w:sz w:val="15"/>
                <w:szCs w:val="15"/>
              </w:rPr>
            </w:pPr>
            <w:r>
              <w:rPr>
                <w:rFonts w:ascii="宋体" w:hAnsi="宋体" w:cs="宋体" w:eastAsia="宋体" w:hint="default"/>
                <w:b/>
                <w:bCs/>
                <w:sz w:val="15"/>
                <w:szCs w:val="15"/>
              </w:rPr>
              <w:t>和应收款项</w:t>
            </w:r>
            <w:r>
              <w:rPr>
                <w:rFonts w:ascii="宋体" w:hAnsi="宋体" w:cs="宋体" w:eastAsia="宋体" w:hint="default"/>
                <w:sz w:val="15"/>
                <w:szCs w:val="15"/>
              </w:rPr>
            </w:r>
          </w:p>
        </w:tc>
        <w:tc>
          <w:tcPr>
            <w:tcW w:w="1126" w:type="dxa"/>
            <w:vMerge w:val="restart"/>
            <w:tcBorders>
              <w:top w:val="nil" w:sz="6" w:space="0" w:color="auto"/>
              <w:left w:val="nil" w:sz="6" w:space="0" w:color="auto"/>
              <w:right w:val="nil" w:sz="6" w:space="0" w:color="auto"/>
            </w:tcBorders>
          </w:tcPr>
          <w:p>
            <w:pPr>
              <w:pStyle w:val="TableParagraph"/>
              <w:spacing w:line="240" w:lineRule="auto" w:before="108"/>
              <w:ind w:left="160" w:right="0"/>
              <w:jc w:val="left"/>
              <w:rPr>
                <w:rFonts w:ascii="宋体" w:hAnsi="宋体" w:cs="宋体" w:eastAsia="宋体" w:hint="default"/>
                <w:sz w:val="15"/>
                <w:szCs w:val="15"/>
              </w:rPr>
            </w:pPr>
            <w:r>
              <w:rPr>
                <w:rFonts w:ascii="宋体" w:hAnsi="宋体" w:cs="宋体" w:eastAsia="宋体" w:hint="default"/>
                <w:b/>
                <w:bCs/>
                <w:sz w:val="15"/>
                <w:szCs w:val="15"/>
              </w:rPr>
              <w:t>可供出售</w:t>
            </w:r>
            <w:r>
              <w:rPr>
                <w:rFonts w:ascii="宋体" w:hAnsi="宋体" w:cs="宋体" w:eastAsia="宋体" w:hint="default"/>
                <w:sz w:val="15"/>
                <w:szCs w:val="15"/>
              </w:rPr>
            </w: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b/>
                <w:bCs/>
                <w:sz w:val="15"/>
                <w:szCs w:val="15"/>
              </w:rPr>
              <w:t>金融资产</w:t>
            </w:r>
            <w:r>
              <w:rPr>
                <w:rFonts w:ascii="宋体" w:hAnsi="宋体" w:cs="宋体" w:eastAsia="宋体" w:hint="default"/>
                <w:sz w:val="15"/>
                <w:szCs w:val="15"/>
              </w:rPr>
            </w:r>
          </w:p>
        </w:tc>
        <w:tc>
          <w:tcPr>
            <w:tcW w:w="1147" w:type="dxa"/>
            <w:tcBorders>
              <w:top w:val="nil" w:sz="6" w:space="0" w:color="auto"/>
              <w:left w:val="nil" w:sz="6" w:space="0" w:color="auto"/>
              <w:bottom w:val="nil" w:sz="6" w:space="0" w:color="auto"/>
              <w:right w:val="nil" w:sz="6" w:space="0" w:color="auto"/>
            </w:tcBorders>
          </w:tcPr>
          <w:p>
            <w:pPr/>
          </w:p>
        </w:tc>
      </w:tr>
      <w:tr>
        <w:trPr>
          <w:trHeight w:val="481" w:hRule="exact"/>
        </w:trPr>
        <w:tc>
          <w:tcPr>
            <w:tcW w:w="1822" w:type="dxa"/>
            <w:tcBorders>
              <w:top w:val="nil" w:sz="6" w:space="0" w:color="auto"/>
              <w:left w:val="nil" w:sz="6" w:space="0" w:color="auto"/>
              <w:bottom w:val="single" w:sz="4" w:space="0" w:color="000000"/>
              <w:right w:val="nil" w:sz="6" w:space="0" w:color="auto"/>
            </w:tcBorders>
          </w:tcPr>
          <w:p>
            <w:pPr/>
          </w:p>
        </w:tc>
        <w:tc>
          <w:tcPr>
            <w:tcW w:w="2525" w:type="dxa"/>
            <w:vMerge/>
            <w:tcBorders>
              <w:left w:val="nil" w:sz="6" w:space="0" w:color="auto"/>
              <w:bottom w:val="single" w:sz="4" w:space="0" w:color="000000"/>
              <w:right w:val="nil" w:sz="6" w:space="0" w:color="auto"/>
            </w:tcBorders>
          </w:tcPr>
          <w:p>
            <w:pPr/>
          </w:p>
        </w:tc>
        <w:tc>
          <w:tcPr>
            <w:tcW w:w="994" w:type="dxa"/>
            <w:vMerge/>
            <w:tcBorders>
              <w:left w:val="nil" w:sz="6" w:space="0" w:color="auto"/>
              <w:bottom w:val="single" w:sz="4" w:space="0" w:color="000000"/>
              <w:right w:val="nil" w:sz="6" w:space="0" w:color="auto"/>
            </w:tcBorders>
          </w:tcPr>
          <w:p>
            <w:pPr/>
          </w:p>
        </w:tc>
        <w:tc>
          <w:tcPr>
            <w:tcW w:w="1296" w:type="dxa"/>
            <w:vMerge/>
            <w:tcBorders>
              <w:left w:val="nil" w:sz="6" w:space="0" w:color="auto"/>
              <w:bottom w:val="single" w:sz="4" w:space="0" w:color="000000"/>
              <w:right w:val="nil" w:sz="6" w:space="0" w:color="auto"/>
            </w:tcBorders>
          </w:tcPr>
          <w:p>
            <w:pPr/>
          </w:p>
        </w:tc>
        <w:tc>
          <w:tcPr>
            <w:tcW w:w="1126" w:type="dxa"/>
            <w:vMerge/>
            <w:tcBorders>
              <w:left w:val="nil" w:sz="6" w:space="0" w:color="auto"/>
              <w:bottom w:val="single" w:sz="4" w:space="0" w:color="000000"/>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Style w:val="TableParagraph"/>
              <w:spacing w:line="185" w:lineRule="exact"/>
              <w:ind w:left="364" w:right="0"/>
              <w:jc w:val="left"/>
              <w:rPr>
                <w:rFonts w:ascii="宋体" w:hAnsi="宋体" w:cs="宋体" w:eastAsia="宋体" w:hint="default"/>
                <w:sz w:val="15"/>
                <w:szCs w:val="15"/>
              </w:rPr>
            </w:pPr>
            <w:r>
              <w:rPr>
                <w:rFonts w:ascii="宋体" w:hAnsi="宋体" w:cs="宋体" w:eastAsia="宋体" w:hint="default"/>
                <w:b/>
                <w:bCs/>
                <w:spacing w:val="4"/>
                <w:sz w:val="15"/>
                <w:szCs w:val="15"/>
              </w:rPr>
              <w:t>合计</w:t>
            </w:r>
            <w:r>
              <w:rPr>
                <w:rFonts w:ascii="宋体" w:hAnsi="宋体" w:cs="宋体" w:eastAsia="宋体" w:hint="default"/>
                <w:sz w:val="15"/>
                <w:szCs w:val="15"/>
              </w:rPr>
            </w:r>
          </w:p>
        </w:tc>
      </w:tr>
      <w:tr>
        <w:trPr>
          <w:trHeight w:val="360" w:hRule="exact"/>
        </w:trPr>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2525" w:type="dxa"/>
            <w:tcBorders>
              <w:top w:val="single" w:sz="4" w:space="0" w:color="000000"/>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9" w:right="0"/>
              <w:jc w:val="left"/>
              <w:rPr>
                <w:rFonts w:ascii="Times New Roman" w:hAnsi="Times New Roman" w:cs="Times New Roman" w:eastAsia="Times New Roman" w:hint="default"/>
                <w:sz w:val="15"/>
                <w:szCs w:val="15"/>
              </w:rPr>
            </w:pPr>
            <w:r>
              <w:rPr>
                <w:rFonts w:ascii="Times New Roman"/>
                <w:sz w:val="15"/>
              </w:rPr>
              <w:t>114,774,838.34</w:t>
            </w:r>
          </w:p>
        </w:tc>
        <w:tc>
          <w:tcPr>
            <w:tcW w:w="1126" w:type="dxa"/>
            <w:tcBorders>
              <w:top w:val="single" w:sz="4" w:space="0" w:color="000000"/>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44" w:right="0"/>
              <w:jc w:val="left"/>
              <w:rPr>
                <w:rFonts w:ascii="Times New Roman" w:hAnsi="Times New Roman" w:cs="Times New Roman" w:eastAsia="Times New Roman" w:hint="default"/>
                <w:sz w:val="15"/>
                <w:szCs w:val="15"/>
              </w:rPr>
            </w:pPr>
            <w:r>
              <w:rPr>
                <w:rFonts w:ascii="Times New Roman"/>
                <w:sz w:val="15"/>
              </w:rPr>
              <w:t>114,774,838.34</w:t>
            </w:r>
          </w:p>
        </w:tc>
      </w:tr>
    </w:tbl>
    <w:p>
      <w:pPr>
        <w:spacing w:after="0" w:line="240" w:lineRule="auto"/>
        <w:jc w:val="left"/>
        <w:rPr>
          <w:rFonts w:ascii="Times New Roman" w:hAnsi="Times New Roman" w:cs="Times New Roman" w:eastAsia="Times New Roman" w:hint="default"/>
          <w:sz w:val="15"/>
          <w:szCs w:val="15"/>
        </w:rPr>
        <w:sectPr>
          <w:pgSz w:w="11910" w:h="16840"/>
          <w:pgMar w:header="91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517" w:type="dxa"/>
        <w:tblLayout w:type="fixed"/>
        <w:tblCellMar>
          <w:top w:w="0" w:type="dxa"/>
          <w:left w:w="0" w:type="dxa"/>
          <w:bottom w:w="0" w:type="dxa"/>
          <w:right w:w="0" w:type="dxa"/>
        </w:tblCellMar>
        <w:tblLook w:val="01E0"/>
      </w:tblPr>
      <w:tblGrid>
        <w:gridCol w:w="1822"/>
        <w:gridCol w:w="2525"/>
        <w:gridCol w:w="994"/>
        <w:gridCol w:w="1298"/>
        <w:gridCol w:w="1123"/>
        <w:gridCol w:w="1147"/>
      </w:tblGrid>
      <w:tr>
        <w:trPr>
          <w:trHeight w:val="286" w:hRule="exact"/>
        </w:trPr>
        <w:tc>
          <w:tcPr>
            <w:tcW w:w="1822"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49" w:lineRule="exact"/>
              <w:ind w:right="-108"/>
              <w:jc w:val="right"/>
              <w:rPr>
                <w:rFonts w:ascii="宋体" w:hAnsi="宋体" w:cs="宋体" w:eastAsia="宋体" w:hint="default"/>
                <w:sz w:val="15"/>
                <w:szCs w:val="15"/>
              </w:rPr>
            </w:pPr>
            <w:r>
              <w:rPr>
                <w:rFonts w:ascii="宋体" w:hAnsi="宋体" w:cs="宋体" w:eastAsia="宋体" w:hint="default"/>
                <w:b/>
                <w:bCs/>
                <w:spacing w:val="4"/>
                <w:w w:val="98"/>
                <w:sz w:val="15"/>
                <w:szCs w:val="15"/>
              </w:rPr>
              <w:t>期</w:t>
            </w:r>
            <w:r>
              <w:rPr>
                <w:rFonts w:ascii="宋体" w:hAnsi="宋体" w:cs="宋体" w:eastAsia="宋体" w:hint="default"/>
                <w:sz w:val="15"/>
                <w:szCs w:val="15"/>
              </w:rPr>
            </w:r>
          </w:p>
        </w:tc>
        <w:tc>
          <w:tcPr>
            <w:tcW w:w="1298" w:type="dxa"/>
            <w:tcBorders>
              <w:top w:val="nil" w:sz="6" w:space="0" w:color="auto"/>
              <w:left w:val="nil" w:sz="6" w:space="0" w:color="auto"/>
              <w:bottom w:val="nil" w:sz="6" w:space="0" w:color="auto"/>
              <w:right w:val="nil" w:sz="6" w:space="0" w:color="auto"/>
            </w:tcBorders>
          </w:tcPr>
          <w:p>
            <w:pPr>
              <w:pStyle w:val="TableParagraph"/>
              <w:spacing w:line="149" w:lineRule="exact"/>
              <w:ind w:left="107" w:right="0"/>
              <w:jc w:val="left"/>
              <w:rPr>
                <w:rFonts w:ascii="宋体" w:hAnsi="宋体" w:cs="宋体" w:eastAsia="宋体" w:hint="default"/>
                <w:sz w:val="15"/>
                <w:szCs w:val="15"/>
              </w:rPr>
            </w:pPr>
            <w:r>
              <w:rPr>
                <w:rFonts w:ascii="宋体" w:hAnsi="宋体" w:cs="宋体" w:eastAsia="宋体" w:hint="default"/>
                <w:b/>
                <w:bCs/>
                <w:spacing w:val="4"/>
                <w:w w:val="98"/>
                <w:sz w:val="15"/>
                <w:szCs w:val="15"/>
              </w:rPr>
              <w:t>初</w:t>
            </w:r>
            <w:r>
              <w:rPr>
                <w:rFonts w:ascii="宋体" w:hAnsi="宋体" w:cs="宋体" w:eastAsia="宋体" w:hint="default"/>
                <w:sz w:val="15"/>
                <w:szCs w:val="15"/>
              </w:rPr>
            </w:r>
          </w:p>
        </w:tc>
        <w:tc>
          <w:tcPr>
            <w:tcW w:w="1123"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319"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42"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2525" w:type="dxa"/>
            <w:vMerge w:val="restart"/>
            <w:tcBorders>
              <w:top w:val="nil" w:sz="6" w:space="0" w:color="auto"/>
              <w:left w:val="nil" w:sz="6" w:space="0" w:color="auto"/>
              <w:right w:val="nil" w:sz="6" w:space="0" w:color="auto"/>
            </w:tcBorders>
          </w:tcPr>
          <w:p>
            <w:pPr>
              <w:pStyle w:val="TableParagraph"/>
              <w:spacing w:line="240" w:lineRule="auto" w:before="108"/>
              <w:ind w:left="187" w:right="0"/>
              <w:jc w:val="center"/>
              <w:rPr>
                <w:rFonts w:ascii="宋体" w:hAnsi="宋体" w:cs="宋体" w:eastAsia="宋体" w:hint="default"/>
                <w:sz w:val="15"/>
                <w:szCs w:val="15"/>
              </w:rPr>
            </w:pPr>
            <w:r>
              <w:rPr>
                <w:rFonts w:ascii="宋体" w:hAnsi="宋体" w:cs="宋体" w:eastAsia="宋体" w:hint="default"/>
                <w:b/>
                <w:bCs/>
                <w:sz w:val="15"/>
                <w:szCs w:val="15"/>
              </w:rPr>
              <w:t>以公允价值计量且其变动计入</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7" w:right="0"/>
              <w:jc w:val="center"/>
              <w:rPr>
                <w:rFonts w:ascii="宋体" w:hAnsi="宋体" w:cs="宋体" w:eastAsia="宋体" w:hint="default"/>
                <w:sz w:val="15"/>
                <w:szCs w:val="15"/>
              </w:rPr>
            </w:pPr>
            <w:r>
              <w:rPr>
                <w:rFonts w:ascii="宋体" w:hAnsi="宋体" w:cs="宋体" w:eastAsia="宋体" w:hint="default"/>
                <w:b/>
                <w:bCs/>
                <w:sz w:val="15"/>
                <w:szCs w:val="15"/>
              </w:rPr>
              <w:t>当期损益的金融资产</w:t>
            </w:r>
            <w:r>
              <w:rPr>
                <w:rFonts w:ascii="宋体" w:hAnsi="宋体" w:cs="宋体" w:eastAsia="宋体" w:hint="default"/>
                <w:sz w:val="15"/>
                <w:szCs w:val="15"/>
              </w:rPr>
            </w:r>
          </w:p>
        </w:tc>
        <w:tc>
          <w:tcPr>
            <w:tcW w:w="994" w:type="dxa"/>
            <w:vMerge w:val="restart"/>
            <w:tcBorders>
              <w:top w:val="nil" w:sz="6" w:space="0" w:color="auto"/>
              <w:left w:val="nil" w:sz="6" w:space="0" w:color="auto"/>
              <w:right w:val="nil" w:sz="6" w:space="0" w:color="auto"/>
            </w:tcBorders>
          </w:tcPr>
          <w:p>
            <w:pPr>
              <w:pStyle w:val="TableParagraph"/>
              <w:spacing w:line="240" w:lineRule="auto" w:before="108"/>
              <w:ind w:left="189" w:right="0" w:firstLine="76"/>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b/>
                <w:bCs/>
                <w:sz w:val="15"/>
                <w:szCs w:val="15"/>
              </w:rPr>
              <w:t>到期投资</w:t>
            </w:r>
            <w:r>
              <w:rPr>
                <w:rFonts w:ascii="宋体" w:hAnsi="宋体" w:cs="宋体" w:eastAsia="宋体" w:hint="default"/>
                <w:sz w:val="15"/>
                <w:szCs w:val="15"/>
              </w:rPr>
            </w:r>
          </w:p>
        </w:tc>
        <w:tc>
          <w:tcPr>
            <w:tcW w:w="1298" w:type="dxa"/>
            <w:vMerge w:val="restart"/>
            <w:tcBorders>
              <w:top w:val="nil" w:sz="6" w:space="0" w:color="auto"/>
              <w:left w:val="nil" w:sz="6" w:space="0" w:color="auto"/>
              <w:right w:val="nil" w:sz="6" w:space="0" w:color="auto"/>
            </w:tcBorders>
          </w:tcPr>
          <w:p>
            <w:pPr>
              <w:pStyle w:val="TableParagraph"/>
              <w:spacing w:line="240" w:lineRule="auto" w:before="108"/>
              <w:ind w:right="134"/>
              <w:jc w:val="center"/>
              <w:rPr>
                <w:rFonts w:ascii="宋体" w:hAnsi="宋体" w:cs="宋体" w:eastAsia="宋体" w:hint="default"/>
                <w:sz w:val="15"/>
                <w:szCs w:val="15"/>
              </w:rPr>
            </w:pPr>
            <w:r>
              <w:rPr>
                <w:rFonts w:ascii="宋体" w:hAnsi="宋体" w:cs="宋体" w:eastAsia="宋体" w:hint="default"/>
                <w:b/>
                <w:bCs/>
                <w:spacing w:val="4"/>
                <w:sz w:val="15"/>
                <w:szCs w:val="15"/>
              </w:rPr>
              <w:t>贷款</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4"/>
              <w:jc w:val="center"/>
              <w:rPr>
                <w:rFonts w:ascii="宋体" w:hAnsi="宋体" w:cs="宋体" w:eastAsia="宋体" w:hint="default"/>
                <w:sz w:val="15"/>
                <w:szCs w:val="15"/>
              </w:rPr>
            </w:pPr>
            <w:r>
              <w:rPr>
                <w:rFonts w:ascii="宋体" w:hAnsi="宋体" w:cs="宋体" w:eastAsia="宋体" w:hint="default"/>
                <w:b/>
                <w:bCs/>
                <w:sz w:val="15"/>
                <w:szCs w:val="15"/>
              </w:rPr>
              <w:t>和应收款项</w:t>
            </w:r>
            <w:r>
              <w:rPr>
                <w:rFonts w:ascii="宋体" w:hAnsi="宋体" w:cs="宋体" w:eastAsia="宋体" w:hint="default"/>
                <w:sz w:val="15"/>
                <w:szCs w:val="15"/>
              </w:rPr>
            </w:r>
          </w:p>
        </w:tc>
        <w:tc>
          <w:tcPr>
            <w:tcW w:w="1123" w:type="dxa"/>
            <w:vMerge w:val="restart"/>
            <w:tcBorders>
              <w:top w:val="nil" w:sz="6" w:space="0" w:color="auto"/>
              <w:left w:val="nil" w:sz="6" w:space="0" w:color="auto"/>
              <w:right w:val="nil" w:sz="6" w:space="0" w:color="auto"/>
            </w:tcBorders>
          </w:tcPr>
          <w:p>
            <w:pPr>
              <w:pStyle w:val="TableParagraph"/>
              <w:spacing w:line="240" w:lineRule="auto" w:before="108"/>
              <w:ind w:left="158" w:right="0"/>
              <w:jc w:val="left"/>
              <w:rPr>
                <w:rFonts w:ascii="宋体" w:hAnsi="宋体" w:cs="宋体" w:eastAsia="宋体" w:hint="default"/>
                <w:sz w:val="15"/>
                <w:szCs w:val="15"/>
              </w:rPr>
            </w:pPr>
            <w:r>
              <w:rPr>
                <w:rFonts w:ascii="宋体" w:hAnsi="宋体" w:cs="宋体" w:eastAsia="宋体" w:hint="default"/>
                <w:b/>
                <w:bCs/>
                <w:sz w:val="15"/>
                <w:szCs w:val="15"/>
              </w:rPr>
              <w:t>可供出售</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b/>
                <w:bCs/>
                <w:sz w:val="15"/>
                <w:szCs w:val="15"/>
              </w:rPr>
              <w:t>金融资产</w:t>
            </w:r>
            <w:r>
              <w:rPr>
                <w:rFonts w:ascii="宋体" w:hAnsi="宋体" w:cs="宋体" w:eastAsia="宋体" w:hint="default"/>
                <w:sz w:val="15"/>
                <w:szCs w:val="15"/>
              </w:rPr>
            </w:r>
          </w:p>
        </w:tc>
        <w:tc>
          <w:tcPr>
            <w:tcW w:w="1147" w:type="dxa"/>
            <w:tcBorders>
              <w:top w:val="nil" w:sz="6" w:space="0" w:color="auto"/>
              <w:left w:val="nil" w:sz="6" w:space="0" w:color="auto"/>
              <w:bottom w:val="nil" w:sz="6" w:space="0" w:color="auto"/>
              <w:right w:val="nil" w:sz="6" w:space="0" w:color="auto"/>
            </w:tcBorders>
          </w:tcPr>
          <w:p>
            <w:pPr/>
          </w:p>
        </w:tc>
      </w:tr>
      <w:tr>
        <w:trPr>
          <w:trHeight w:val="483" w:hRule="exact"/>
        </w:trPr>
        <w:tc>
          <w:tcPr>
            <w:tcW w:w="1822" w:type="dxa"/>
            <w:tcBorders>
              <w:top w:val="nil" w:sz="6" w:space="0" w:color="auto"/>
              <w:left w:val="nil" w:sz="6" w:space="0" w:color="auto"/>
              <w:bottom w:val="single" w:sz="4" w:space="0" w:color="000000"/>
              <w:right w:val="nil" w:sz="6" w:space="0" w:color="auto"/>
            </w:tcBorders>
          </w:tcPr>
          <w:p>
            <w:pPr/>
          </w:p>
        </w:tc>
        <w:tc>
          <w:tcPr>
            <w:tcW w:w="2525" w:type="dxa"/>
            <w:vMerge/>
            <w:tcBorders>
              <w:left w:val="nil" w:sz="6" w:space="0" w:color="auto"/>
              <w:bottom w:val="single" w:sz="4" w:space="0" w:color="000000"/>
              <w:right w:val="nil" w:sz="6" w:space="0" w:color="auto"/>
            </w:tcBorders>
          </w:tcPr>
          <w:p>
            <w:pPr/>
          </w:p>
        </w:tc>
        <w:tc>
          <w:tcPr>
            <w:tcW w:w="994" w:type="dxa"/>
            <w:vMerge/>
            <w:tcBorders>
              <w:left w:val="nil" w:sz="6" w:space="0" w:color="auto"/>
              <w:bottom w:val="single" w:sz="4" w:space="0" w:color="000000"/>
              <w:right w:val="nil" w:sz="6" w:space="0" w:color="auto"/>
            </w:tcBorders>
          </w:tcPr>
          <w:p>
            <w:pPr/>
          </w:p>
        </w:tc>
        <w:tc>
          <w:tcPr>
            <w:tcW w:w="1298" w:type="dxa"/>
            <w:vMerge/>
            <w:tcBorders>
              <w:left w:val="nil" w:sz="6" w:space="0" w:color="auto"/>
              <w:bottom w:val="single" w:sz="4" w:space="0" w:color="000000"/>
              <w:right w:val="nil" w:sz="6" w:space="0" w:color="auto"/>
            </w:tcBorders>
          </w:tcPr>
          <w:p>
            <w:pPr/>
          </w:p>
        </w:tc>
        <w:tc>
          <w:tcPr>
            <w:tcW w:w="1123" w:type="dxa"/>
            <w:vMerge/>
            <w:tcBorders>
              <w:left w:val="nil" w:sz="6" w:space="0" w:color="auto"/>
              <w:bottom w:val="single" w:sz="4" w:space="0" w:color="000000"/>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Style w:val="TableParagraph"/>
              <w:spacing w:line="183" w:lineRule="exact"/>
              <w:ind w:left="364" w:right="0"/>
              <w:jc w:val="left"/>
              <w:rPr>
                <w:rFonts w:ascii="宋体" w:hAnsi="宋体" w:cs="宋体" w:eastAsia="宋体" w:hint="default"/>
                <w:sz w:val="15"/>
                <w:szCs w:val="15"/>
              </w:rPr>
            </w:pPr>
            <w:r>
              <w:rPr>
                <w:rFonts w:ascii="宋体" w:hAnsi="宋体" w:cs="宋体" w:eastAsia="宋体" w:hint="default"/>
                <w:b/>
                <w:bCs/>
                <w:spacing w:val="4"/>
                <w:sz w:val="15"/>
                <w:szCs w:val="15"/>
              </w:rPr>
              <w:t>合计</w:t>
            </w:r>
            <w:r>
              <w:rPr>
                <w:rFonts w:ascii="宋体" w:hAnsi="宋体" w:cs="宋体" w:eastAsia="宋体" w:hint="default"/>
                <w:sz w:val="15"/>
                <w:szCs w:val="15"/>
              </w:rPr>
            </w:r>
          </w:p>
        </w:tc>
      </w:tr>
      <w:tr>
        <w:trPr>
          <w:trHeight w:val="500" w:hRule="exact"/>
        </w:trPr>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2525" w:type="dxa"/>
            <w:tcBorders>
              <w:top w:val="single" w:sz="4" w:space="0" w:color="000000"/>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56"/>
              <w:jc w:val="right"/>
              <w:rPr>
                <w:rFonts w:ascii="Times New Roman" w:hAnsi="Times New Roman" w:cs="Times New Roman" w:eastAsia="Times New Roman" w:hint="default"/>
                <w:sz w:val="15"/>
                <w:szCs w:val="15"/>
              </w:rPr>
            </w:pPr>
            <w:r>
              <w:rPr>
                <w:rFonts w:ascii="Times New Roman"/>
                <w:sz w:val="15"/>
              </w:rPr>
              <w:t>750,000.00</w:t>
            </w:r>
          </w:p>
        </w:tc>
        <w:tc>
          <w:tcPr>
            <w:tcW w:w="1123" w:type="dxa"/>
            <w:tcBorders>
              <w:top w:val="single" w:sz="4" w:space="0" w:color="000000"/>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0"/>
              <w:jc w:val="right"/>
              <w:rPr>
                <w:rFonts w:ascii="Times New Roman" w:hAnsi="Times New Roman" w:cs="Times New Roman" w:eastAsia="Times New Roman" w:hint="default"/>
                <w:sz w:val="15"/>
                <w:szCs w:val="15"/>
              </w:rPr>
            </w:pPr>
            <w:r>
              <w:rPr>
                <w:rFonts w:ascii="Times New Roman"/>
                <w:sz w:val="15"/>
              </w:rPr>
              <w:t>750,000.00</w:t>
            </w:r>
          </w:p>
        </w:tc>
      </w:tr>
      <w:tr>
        <w:trPr>
          <w:trHeight w:val="439"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8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52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56"/>
              <w:jc w:val="right"/>
              <w:rPr>
                <w:rFonts w:ascii="Times New Roman" w:hAnsi="Times New Roman" w:cs="Times New Roman" w:eastAsia="Times New Roman" w:hint="default"/>
                <w:sz w:val="15"/>
                <w:szCs w:val="15"/>
              </w:rPr>
            </w:pPr>
            <w:r>
              <w:rPr>
                <w:rFonts w:ascii="Times New Roman"/>
                <w:sz w:val="15"/>
              </w:rPr>
              <w:t>77,331,812.34</w:t>
            </w:r>
          </w:p>
        </w:tc>
        <w:tc>
          <w:tcPr>
            <w:tcW w:w="1123"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0"/>
              <w:jc w:val="right"/>
              <w:rPr>
                <w:rFonts w:ascii="Times New Roman" w:hAnsi="Times New Roman" w:cs="Times New Roman" w:eastAsia="Times New Roman" w:hint="default"/>
                <w:sz w:val="15"/>
                <w:szCs w:val="15"/>
              </w:rPr>
            </w:pPr>
            <w:r>
              <w:rPr>
                <w:rFonts w:ascii="Times New Roman"/>
                <w:sz w:val="15"/>
              </w:rPr>
              <w:t>77,331,812.34</w:t>
            </w:r>
          </w:p>
        </w:tc>
      </w:tr>
      <w:tr>
        <w:trPr>
          <w:trHeight w:val="442"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252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1"/>
              <w:jc w:val="right"/>
              <w:rPr>
                <w:rFonts w:ascii="Times New Roman" w:hAnsi="Times New Roman" w:cs="Times New Roman" w:eastAsia="Times New Roman" w:hint="default"/>
                <w:sz w:val="15"/>
                <w:szCs w:val="15"/>
              </w:rPr>
            </w:pPr>
            <w:r>
              <w:rPr>
                <w:rFonts w:ascii="Times New Roman"/>
                <w:w w:val="95"/>
                <w:sz w:val="15"/>
              </w:rPr>
              <w:t>8,600,652.00</w:t>
            </w:r>
            <w:r>
              <w:rPr>
                <w:rFonts w:ascii="Times New Roman"/>
                <w:sz w:val="15"/>
              </w:rPr>
            </w:r>
          </w:p>
        </w:tc>
        <w:tc>
          <w:tcPr>
            <w:tcW w:w="1123"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5"/>
              <w:jc w:val="right"/>
              <w:rPr>
                <w:rFonts w:ascii="Times New Roman" w:hAnsi="Times New Roman" w:cs="Times New Roman" w:eastAsia="Times New Roman" w:hint="default"/>
                <w:sz w:val="15"/>
                <w:szCs w:val="15"/>
              </w:rPr>
            </w:pPr>
            <w:r>
              <w:rPr>
                <w:rFonts w:ascii="Times New Roman"/>
                <w:w w:val="95"/>
                <w:sz w:val="15"/>
              </w:rPr>
              <w:t>8,600,652.00</w:t>
            </w:r>
            <w:r>
              <w:rPr>
                <w:rFonts w:ascii="Times New Roman"/>
                <w:sz w:val="15"/>
              </w:rPr>
            </w:r>
          </w:p>
        </w:tc>
      </w:tr>
      <w:tr>
        <w:trPr>
          <w:trHeight w:val="299"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40"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2525"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3"/>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201,457,302.68</w:t>
            </w:r>
            <w:r>
              <w:rPr>
                <w:rFonts w:ascii="Times New Roman"/>
                <w:w w:val="95"/>
                <w:sz w:val="15"/>
              </w:rPr>
            </w:r>
            <w:r>
              <w:rPr>
                <w:rFonts w:ascii="Times New Roman"/>
                <w:sz w:val="15"/>
              </w:rPr>
            </w:r>
          </w:p>
        </w:tc>
        <w:tc>
          <w:tcPr>
            <w:tcW w:w="1123"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7"/>
              <w:jc w:val="right"/>
              <w:rPr>
                <w:rFonts w:ascii="Times New Roman" w:hAnsi="Times New Roman" w:cs="Times New Roman" w:eastAsia="Times New Roman" w:hint="default"/>
                <w:sz w:val="15"/>
                <w:szCs w:val="15"/>
              </w:rPr>
            </w:pPr>
            <w:r>
              <w:rPr>
                <w:rFonts w:ascii="Times New Roman"/>
                <w:w w:val="99"/>
                <w:sz w:val="15"/>
              </w:rPr>
            </w:r>
            <w:r>
              <w:rPr>
                <w:rFonts w:ascii="Times New Roman"/>
                <w:w w:val="95"/>
                <w:sz w:val="15"/>
                <w:u w:val="thick" w:color="000000"/>
              </w:rPr>
              <w:t>201,457,302.68</w:t>
            </w:r>
            <w:r>
              <w:rPr>
                <w:rFonts w:ascii="Times New Roman"/>
                <w:w w:val="95"/>
                <w:sz w:val="15"/>
              </w:rPr>
            </w:r>
            <w:r>
              <w:rPr>
                <w:rFonts w:ascii="Times New Roman"/>
                <w:sz w:val="15"/>
              </w:rPr>
            </w:r>
          </w:p>
        </w:tc>
      </w:tr>
    </w:tbl>
    <w:p>
      <w:pPr>
        <w:spacing w:line="240" w:lineRule="auto" w:before="11"/>
        <w:rPr>
          <w:rFonts w:ascii="宋体" w:hAnsi="宋体" w:cs="宋体" w:eastAsia="宋体" w:hint="default"/>
          <w:sz w:val="29"/>
          <w:szCs w:val="29"/>
        </w:rPr>
      </w:pPr>
    </w:p>
    <w:p>
      <w:pPr>
        <w:pStyle w:val="BodyText"/>
        <w:spacing w:line="240" w:lineRule="auto" w:before="46"/>
        <w:ind w:left="512" w:right="0"/>
        <w:jc w:val="left"/>
      </w:pPr>
      <w:r>
        <w:rPr>
          <w:spacing w:val="-3"/>
        </w:rPr>
        <w:t>（</w:t>
      </w:r>
      <w:r>
        <w:rPr>
          <w:rFonts w:ascii="Times New Roman" w:hAnsi="Times New Roman" w:cs="Times New Roman" w:eastAsia="Times New Roman" w:hint="default"/>
          <w:spacing w:val="-3"/>
        </w:rPr>
        <w:t>2</w:t>
      </w:r>
      <w:r>
        <w:rPr>
          <w:spacing w:val="-3"/>
        </w:rPr>
        <w:t>）资产负债表日的各类金融负债的账面价值如下：</w:t>
      </w:r>
      <w:r>
        <w:rPr/>
      </w:r>
    </w:p>
    <w:p>
      <w:pPr>
        <w:spacing w:line="240" w:lineRule="auto" w:before="13"/>
        <w:rPr>
          <w:rFonts w:ascii="宋体" w:hAnsi="宋体" w:cs="宋体" w:eastAsia="宋体" w:hint="default"/>
          <w:sz w:val="27"/>
          <w:szCs w:val="27"/>
        </w:rPr>
      </w:pPr>
    </w:p>
    <w:tbl>
      <w:tblPr>
        <w:tblW w:w="0" w:type="auto"/>
        <w:jc w:val="left"/>
        <w:tblInd w:w="517" w:type="dxa"/>
        <w:tblLayout w:type="fixed"/>
        <w:tblCellMar>
          <w:top w:w="0" w:type="dxa"/>
          <w:left w:w="0" w:type="dxa"/>
          <w:bottom w:w="0" w:type="dxa"/>
          <w:right w:w="0" w:type="dxa"/>
        </w:tblCellMar>
        <w:tblLook w:val="01E0"/>
      </w:tblPr>
      <w:tblGrid>
        <w:gridCol w:w="2203"/>
        <w:gridCol w:w="3005"/>
        <w:gridCol w:w="1879"/>
        <w:gridCol w:w="1822"/>
      </w:tblGrid>
      <w:tr>
        <w:trPr>
          <w:trHeight w:val="290" w:hRule="exact"/>
        </w:trPr>
        <w:tc>
          <w:tcPr>
            <w:tcW w:w="2203" w:type="dxa"/>
            <w:tcBorders>
              <w:top w:val="nil" w:sz="6" w:space="0" w:color="auto"/>
              <w:left w:val="nil" w:sz="6" w:space="0" w:color="auto"/>
              <w:bottom w:val="nil" w:sz="6" w:space="0" w:color="auto"/>
              <w:right w:val="nil" w:sz="6" w:space="0" w:color="auto"/>
            </w:tcBorders>
          </w:tcPr>
          <w:p>
            <w:pPr/>
          </w:p>
        </w:tc>
        <w:tc>
          <w:tcPr>
            <w:tcW w:w="3005"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182"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1822" w:type="dxa"/>
            <w:tcBorders>
              <w:top w:val="nil" w:sz="6" w:space="0" w:color="auto"/>
              <w:left w:val="nil" w:sz="6" w:space="0" w:color="auto"/>
              <w:bottom w:val="nil" w:sz="6" w:space="0" w:color="auto"/>
              <w:right w:val="nil" w:sz="6" w:space="0" w:color="auto"/>
            </w:tcBorders>
          </w:tcPr>
          <w:p>
            <w:pPr/>
          </w:p>
        </w:tc>
      </w:tr>
      <w:tr>
        <w:trPr>
          <w:trHeight w:val="310"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34"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005" w:type="dxa"/>
            <w:vMerge w:val="restart"/>
            <w:tcBorders>
              <w:top w:val="nil" w:sz="6" w:space="0" w:color="auto"/>
              <w:left w:val="nil" w:sz="6" w:space="0" w:color="auto"/>
              <w:right w:val="nil" w:sz="6" w:space="0" w:color="auto"/>
            </w:tcBorders>
          </w:tcPr>
          <w:p>
            <w:pPr>
              <w:pStyle w:val="TableParagraph"/>
              <w:spacing w:line="367" w:lineRule="auto" w:before="97"/>
              <w:ind w:left="739" w:right="271" w:hanging="360"/>
              <w:jc w:val="left"/>
              <w:rPr>
                <w:rFonts w:ascii="宋体" w:hAnsi="宋体" w:cs="宋体" w:eastAsia="宋体" w:hint="default"/>
                <w:sz w:val="18"/>
                <w:szCs w:val="18"/>
              </w:rPr>
            </w:pPr>
            <w:r>
              <w:rPr>
                <w:rFonts w:ascii="宋体" w:hAnsi="宋体" w:cs="宋体" w:eastAsia="宋体" w:hint="default"/>
                <w:b/>
                <w:bCs/>
                <w:spacing w:val="-2"/>
                <w:sz w:val="18"/>
                <w:szCs w:val="18"/>
              </w:rPr>
              <w:t>以公允价值计量且其变动计入</w:t>
            </w:r>
            <w:r>
              <w:rPr>
                <w:rFonts w:ascii="宋体" w:hAnsi="宋体" w:cs="宋体" w:eastAsia="宋体" w:hint="default"/>
                <w:b/>
                <w:bCs/>
                <w:spacing w:val="-63"/>
                <w:sz w:val="18"/>
                <w:szCs w:val="18"/>
              </w:rPr>
              <w:t> </w:t>
            </w:r>
            <w:r>
              <w:rPr>
                <w:rFonts w:ascii="宋体" w:hAnsi="宋体" w:cs="宋体" w:eastAsia="宋体" w:hint="default"/>
                <w:b/>
                <w:bCs/>
                <w:spacing w:val="-63"/>
                <w:sz w:val="18"/>
                <w:szCs w:val="18"/>
              </w:rPr>
            </w:r>
            <w:r>
              <w:rPr>
                <w:rFonts w:ascii="宋体" w:hAnsi="宋体" w:cs="宋体" w:eastAsia="宋体" w:hint="default"/>
                <w:b/>
                <w:bCs/>
                <w:sz w:val="18"/>
                <w:szCs w:val="18"/>
              </w:rPr>
              <w:t>当期损益的金融负债</w:t>
            </w:r>
            <w:r>
              <w:rPr>
                <w:rFonts w:ascii="宋体" w:hAnsi="宋体" w:cs="宋体" w:eastAsia="宋体" w:hint="default"/>
                <w:sz w:val="18"/>
                <w:szCs w:val="18"/>
              </w:rPr>
            </w:r>
          </w:p>
        </w:tc>
        <w:tc>
          <w:tcPr>
            <w:tcW w:w="1879"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
        </w:tc>
      </w:tr>
      <w:tr>
        <w:trPr>
          <w:trHeight w:val="474" w:hRule="exact"/>
        </w:trPr>
        <w:tc>
          <w:tcPr>
            <w:tcW w:w="2203" w:type="dxa"/>
            <w:tcBorders>
              <w:top w:val="nil" w:sz="6" w:space="0" w:color="auto"/>
              <w:left w:val="nil" w:sz="6" w:space="0" w:color="auto"/>
              <w:bottom w:val="single" w:sz="4" w:space="0" w:color="000000"/>
              <w:right w:val="nil" w:sz="6" w:space="0" w:color="auto"/>
            </w:tcBorders>
          </w:tcPr>
          <w:p>
            <w:pPr/>
          </w:p>
        </w:tc>
        <w:tc>
          <w:tcPr>
            <w:tcW w:w="3005" w:type="dxa"/>
            <w:vMerge/>
            <w:tcBorders>
              <w:left w:val="nil" w:sz="6" w:space="0" w:color="auto"/>
              <w:bottom w:val="single" w:sz="4" w:space="0" w:color="000000"/>
              <w:right w:val="nil" w:sz="6" w:space="0" w:color="auto"/>
            </w:tcBorders>
          </w:tcPr>
          <w:p>
            <w:pPr/>
          </w:p>
        </w:tc>
        <w:tc>
          <w:tcPr>
            <w:tcW w:w="1879" w:type="dxa"/>
            <w:tcBorders>
              <w:top w:val="nil" w:sz="6" w:space="0" w:color="auto"/>
              <w:left w:val="nil" w:sz="6" w:space="0" w:color="auto"/>
              <w:bottom w:val="single" w:sz="4" w:space="0" w:color="000000"/>
              <w:right w:val="nil" w:sz="6" w:space="0" w:color="auto"/>
            </w:tcBorders>
          </w:tcPr>
          <w:p>
            <w:pPr>
              <w:pStyle w:val="TableParagraph"/>
              <w:spacing w:line="201"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822" w:type="dxa"/>
            <w:tcBorders>
              <w:top w:val="nil" w:sz="6" w:space="0" w:color="auto"/>
              <w:left w:val="nil" w:sz="6" w:space="0" w:color="auto"/>
              <w:bottom w:val="single" w:sz="4" w:space="0" w:color="000000"/>
              <w:right w:val="nil" w:sz="6" w:space="0" w:color="auto"/>
            </w:tcBorders>
          </w:tcPr>
          <w:p>
            <w:pPr>
              <w:pStyle w:val="TableParagraph"/>
              <w:spacing w:line="201"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4" w:hRule="exact"/>
        </w:trPr>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6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05" w:type="dxa"/>
            <w:tcBorders>
              <w:top w:val="single" w:sz="4" w:space="0" w:color="000000"/>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45"/>
              <w:jc w:val="right"/>
              <w:rPr>
                <w:rFonts w:ascii="Times New Roman" w:hAnsi="Times New Roman" w:cs="Times New Roman" w:eastAsia="Times New Roman" w:hint="default"/>
                <w:sz w:val="18"/>
                <w:szCs w:val="18"/>
              </w:rPr>
            </w:pPr>
            <w:r>
              <w:rPr>
                <w:rFonts w:ascii="Times New Roman"/>
                <w:spacing w:val="-1"/>
                <w:sz w:val="18"/>
              </w:rPr>
              <w:t>70,000,000.00</w:t>
            </w: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3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6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005"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5"/>
              <w:jc w:val="right"/>
              <w:rPr>
                <w:rFonts w:ascii="Times New Roman" w:hAnsi="Times New Roman" w:cs="Times New Roman" w:eastAsia="Times New Roman" w:hint="default"/>
                <w:sz w:val="18"/>
                <w:szCs w:val="18"/>
              </w:rPr>
            </w:pPr>
            <w:r>
              <w:rPr>
                <w:rFonts w:ascii="Times New Roman"/>
                <w:spacing w:val="-1"/>
                <w:sz w:val="18"/>
              </w:rPr>
              <w:t>13,158,636.00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3"/>
              <w:jc w:val="right"/>
              <w:rPr>
                <w:rFonts w:ascii="Times New Roman" w:hAnsi="Times New Roman" w:cs="Times New Roman" w:eastAsia="Times New Roman" w:hint="default"/>
                <w:sz w:val="18"/>
                <w:szCs w:val="18"/>
              </w:rPr>
            </w:pPr>
            <w:r>
              <w:rPr>
                <w:rFonts w:ascii="Times New Roman"/>
                <w:spacing w:val="-1"/>
                <w:sz w:val="18"/>
              </w:rPr>
              <w:t>13,158,636.00</w:t>
            </w:r>
          </w:p>
        </w:tc>
      </w:tr>
      <w:tr>
        <w:trPr>
          <w:trHeight w:val="442"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05"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5"/>
              <w:jc w:val="right"/>
              <w:rPr>
                <w:rFonts w:ascii="Times New Roman" w:hAnsi="Times New Roman" w:cs="Times New Roman" w:eastAsia="Times New Roman" w:hint="default"/>
                <w:sz w:val="18"/>
                <w:szCs w:val="18"/>
              </w:rPr>
            </w:pPr>
            <w:r>
              <w:rPr>
                <w:rFonts w:ascii="Times New Roman"/>
                <w:spacing w:val="-1"/>
                <w:sz w:val="18"/>
              </w:rPr>
              <w:t>37,898,597.33</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3"/>
              <w:jc w:val="right"/>
              <w:rPr>
                <w:rFonts w:ascii="Times New Roman" w:hAnsi="Times New Roman" w:cs="Times New Roman" w:eastAsia="Times New Roman" w:hint="default"/>
                <w:sz w:val="18"/>
                <w:szCs w:val="18"/>
              </w:rPr>
            </w:pPr>
            <w:r>
              <w:rPr>
                <w:rFonts w:ascii="Times New Roman"/>
                <w:spacing w:val="-1"/>
                <w:sz w:val="18"/>
              </w:rPr>
              <w:t>37,898,597.33</w:t>
            </w:r>
          </w:p>
        </w:tc>
      </w:tr>
      <w:tr>
        <w:trPr>
          <w:trHeight w:val="43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67" w:right="0"/>
              <w:jc w:val="left"/>
              <w:rPr>
                <w:rFonts w:ascii="宋体" w:hAnsi="宋体" w:cs="宋体" w:eastAsia="宋体" w:hint="default"/>
                <w:sz w:val="18"/>
                <w:szCs w:val="18"/>
              </w:rPr>
            </w:pPr>
            <w:r>
              <w:rPr>
                <w:rFonts w:ascii="宋体" w:hAnsi="宋体" w:cs="宋体" w:eastAsia="宋体" w:hint="default"/>
                <w:spacing w:val="-3"/>
                <w:sz w:val="18"/>
                <w:szCs w:val="18"/>
              </w:rPr>
              <w:t>其他应付款</w:t>
            </w:r>
            <w:r>
              <w:rPr>
                <w:rFonts w:ascii="宋体" w:hAnsi="宋体" w:cs="宋体" w:eastAsia="宋体" w:hint="default"/>
                <w:sz w:val="18"/>
                <w:szCs w:val="18"/>
              </w:rPr>
            </w:r>
          </w:p>
        </w:tc>
        <w:tc>
          <w:tcPr>
            <w:tcW w:w="3005"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5"/>
              <w:jc w:val="right"/>
              <w:rPr>
                <w:rFonts w:ascii="Times New Roman" w:hAnsi="Times New Roman" w:cs="Times New Roman" w:eastAsia="Times New Roman" w:hint="default"/>
                <w:sz w:val="18"/>
                <w:szCs w:val="18"/>
              </w:rPr>
            </w:pPr>
            <w:r>
              <w:rPr>
                <w:rFonts w:ascii="Times New Roman"/>
                <w:spacing w:val="-1"/>
                <w:sz w:val="18"/>
              </w:rPr>
              <w:t>8,783,455.42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3"/>
              <w:jc w:val="right"/>
              <w:rPr>
                <w:rFonts w:ascii="Times New Roman" w:hAnsi="Times New Roman" w:cs="Times New Roman" w:eastAsia="Times New Roman" w:hint="default"/>
                <w:sz w:val="18"/>
                <w:szCs w:val="18"/>
              </w:rPr>
            </w:pPr>
            <w:r>
              <w:rPr>
                <w:rFonts w:ascii="Times New Roman"/>
                <w:spacing w:val="-1"/>
                <w:sz w:val="18"/>
              </w:rPr>
              <w:t>8,783,455.42</w:t>
            </w:r>
          </w:p>
        </w:tc>
      </w:tr>
      <w:tr>
        <w:trPr>
          <w:trHeight w:val="315"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9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005"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5"/>
              <w:jc w:val="right"/>
              <w:rPr>
                <w:rFonts w:ascii="Times New Roman" w:hAnsi="Times New Roman" w:cs="Times New Roman" w:eastAsia="Times New Roman" w:hint="default"/>
                <w:sz w:val="18"/>
                <w:szCs w:val="18"/>
              </w:rPr>
            </w:pPr>
            <w:r>
              <w:rPr>
                <w:rFonts w:ascii="Times New Roman"/>
                <w:w w:val="101"/>
                <w:sz w:val="18"/>
              </w:rPr>
            </w:r>
            <w:r>
              <w:rPr>
                <w:rFonts w:ascii="Times New Roman"/>
                <w:spacing w:val="-1"/>
                <w:sz w:val="18"/>
                <w:u w:val="thick" w:color="000000"/>
              </w:rPr>
              <w:t>129,840,688.75</w:t>
            </w:r>
            <w:r>
              <w:rPr>
                <w:rFonts w:ascii="Times New Roman"/>
                <w:spacing w:val="-1"/>
                <w:sz w:val="18"/>
              </w:rPr>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3"/>
              <w:jc w:val="right"/>
              <w:rPr>
                <w:rFonts w:ascii="Times New Roman" w:hAnsi="Times New Roman" w:cs="Times New Roman" w:eastAsia="Times New Roman" w:hint="default"/>
                <w:sz w:val="18"/>
                <w:szCs w:val="18"/>
              </w:rPr>
            </w:pPr>
            <w:r>
              <w:rPr>
                <w:rFonts w:ascii="Times New Roman"/>
                <w:w w:val="101"/>
                <w:sz w:val="18"/>
              </w:rPr>
            </w:r>
            <w:r>
              <w:rPr>
                <w:rFonts w:ascii="Times New Roman"/>
                <w:spacing w:val="-1"/>
                <w:sz w:val="18"/>
                <w:u w:val="thick" w:color="000000"/>
              </w:rPr>
              <w:t>129,840,688.75</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6"/>
        <w:ind w:left="512" w:right="0"/>
        <w:jc w:val="left"/>
      </w:pPr>
      <w:r>
        <w:rPr/>
        <w:t>接上表：</w:t>
      </w:r>
    </w:p>
    <w:p>
      <w:pPr>
        <w:spacing w:line="240" w:lineRule="auto" w:before="0"/>
        <w:rPr>
          <w:rFonts w:ascii="宋体" w:hAnsi="宋体" w:cs="宋体" w:eastAsia="宋体" w:hint="default"/>
          <w:sz w:val="29"/>
          <w:szCs w:val="29"/>
        </w:rPr>
      </w:pPr>
    </w:p>
    <w:tbl>
      <w:tblPr>
        <w:tblW w:w="0" w:type="auto"/>
        <w:jc w:val="left"/>
        <w:tblInd w:w="517" w:type="dxa"/>
        <w:tblLayout w:type="fixed"/>
        <w:tblCellMar>
          <w:top w:w="0" w:type="dxa"/>
          <w:left w:w="0" w:type="dxa"/>
          <w:bottom w:w="0" w:type="dxa"/>
          <w:right w:w="0" w:type="dxa"/>
        </w:tblCellMar>
        <w:tblLook w:val="01E0"/>
      </w:tblPr>
      <w:tblGrid>
        <w:gridCol w:w="2213"/>
        <w:gridCol w:w="2806"/>
        <w:gridCol w:w="1963"/>
        <w:gridCol w:w="1927"/>
      </w:tblGrid>
      <w:tr>
        <w:trPr>
          <w:trHeight w:val="290" w:hRule="exact"/>
        </w:trPr>
        <w:tc>
          <w:tcPr>
            <w:tcW w:w="2213" w:type="dxa"/>
            <w:tcBorders>
              <w:top w:val="nil" w:sz="6" w:space="0" w:color="auto"/>
              <w:left w:val="nil" w:sz="6" w:space="0" w:color="auto"/>
              <w:bottom w:val="nil" w:sz="6" w:space="0" w:color="auto"/>
              <w:right w:val="nil" w:sz="6" w:space="0" w:color="auto"/>
            </w:tcBorders>
          </w:tcPr>
          <w:p>
            <w:pPr/>
          </w:p>
        </w:tc>
        <w:tc>
          <w:tcPr>
            <w:tcW w:w="28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182" w:lineRule="exact"/>
              <w:ind w:left="535" w:right="0"/>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1927" w:type="dxa"/>
            <w:tcBorders>
              <w:top w:val="nil" w:sz="6" w:space="0" w:color="auto"/>
              <w:left w:val="nil" w:sz="6" w:space="0" w:color="auto"/>
              <w:bottom w:val="nil" w:sz="6" w:space="0" w:color="auto"/>
              <w:right w:val="nil" w:sz="6" w:space="0" w:color="auto"/>
            </w:tcBorders>
          </w:tcPr>
          <w:p>
            <w:pPr/>
          </w:p>
        </w:tc>
      </w:tr>
      <w:tr>
        <w:trPr>
          <w:trHeight w:val="310"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34"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806" w:type="dxa"/>
            <w:vMerge w:val="restart"/>
            <w:tcBorders>
              <w:top w:val="nil" w:sz="6" w:space="0" w:color="auto"/>
              <w:left w:val="nil" w:sz="6" w:space="0" w:color="auto"/>
              <w:right w:val="nil" w:sz="6" w:space="0" w:color="auto"/>
            </w:tcBorders>
          </w:tcPr>
          <w:p>
            <w:pPr>
              <w:pStyle w:val="TableParagraph"/>
              <w:spacing w:line="372" w:lineRule="auto" w:before="93"/>
              <w:ind w:left="571" w:right="240" w:hanging="183"/>
              <w:jc w:val="left"/>
              <w:rPr>
                <w:rFonts w:ascii="宋体" w:hAnsi="宋体" w:cs="宋体" w:eastAsia="宋体" w:hint="default"/>
                <w:sz w:val="18"/>
                <w:szCs w:val="18"/>
              </w:rPr>
            </w:pPr>
            <w:r>
              <w:rPr>
                <w:rFonts w:ascii="宋体" w:hAnsi="宋体" w:cs="宋体" w:eastAsia="宋体" w:hint="default"/>
                <w:b/>
                <w:bCs/>
                <w:spacing w:val="-2"/>
                <w:sz w:val="18"/>
                <w:szCs w:val="18"/>
              </w:rPr>
              <w:t>以公允价值计量且其变动计</w:t>
            </w:r>
            <w:r>
              <w:rPr>
                <w:rFonts w:ascii="宋体" w:hAnsi="宋体" w:cs="宋体" w:eastAsia="宋体" w:hint="default"/>
                <w:b/>
                <w:bCs/>
                <w:spacing w:val="-63"/>
                <w:sz w:val="18"/>
                <w:szCs w:val="18"/>
              </w:rPr>
              <w:t> </w:t>
            </w:r>
            <w:r>
              <w:rPr>
                <w:rFonts w:ascii="宋体" w:hAnsi="宋体" w:cs="宋体" w:eastAsia="宋体" w:hint="default"/>
                <w:b/>
                <w:bCs/>
                <w:spacing w:val="-63"/>
                <w:sz w:val="18"/>
                <w:szCs w:val="18"/>
              </w:rPr>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963"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r>
      <w:tr>
        <w:trPr>
          <w:trHeight w:val="474" w:hRule="exact"/>
        </w:trPr>
        <w:tc>
          <w:tcPr>
            <w:tcW w:w="2213" w:type="dxa"/>
            <w:tcBorders>
              <w:top w:val="nil" w:sz="6" w:space="0" w:color="auto"/>
              <w:left w:val="nil" w:sz="6" w:space="0" w:color="auto"/>
              <w:bottom w:val="single" w:sz="4" w:space="0" w:color="000000"/>
              <w:right w:val="nil" w:sz="6" w:space="0" w:color="auto"/>
            </w:tcBorders>
          </w:tcPr>
          <w:p>
            <w:pPr/>
          </w:p>
        </w:tc>
        <w:tc>
          <w:tcPr>
            <w:tcW w:w="2806" w:type="dxa"/>
            <w:vMerge/>
            <w:tcBorders>
              <w:left w:val="nil" w:sz="6" w:space="0" w:color="auto"/>
              <w:bottom w:val="single" w:sz="4" w:space="0" w:color="000000"/>
              <w:right w:val="nil" w:sz="6" w:space="0" w:color="auto"/>
            </w:tcBorders>
          </w:tcPr>
          <w:p>
            <w:pPr/>
          </w:p>
        </w:tc>
        <w:tc>
          <w:tcPr>
            <w:tcW w:w="1963" w:type="dxa"/>
            <w:tcBorders>
              <w:top w:val="nil" w:sz="6" w:space="0" w:color="auto"/>
              <w:left w:val="nil" w:sz="6" w:space="0" w:color="auto"/>
              <w:bottom w:val="single" w:sz="4" w:space="0" w:color="000000"/>
              <w:right w:val="nil" w:sz="6" w:space="0" w:color="auto"/>
            </w:tcBorders>
          </w:tcPr>
          <w:p>
            <w:pPr>
              <w:pStyle w:val="TableParagraph"/>
              <w:spacing w:line="201"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927" w:type="dxa"/>
            <w:tcBorders>
              <w:top w:val="nil" w:sz="6" w:space="0" w:color="auto"/>
              <w:left w:val="nil" w:sz="6" w:space="0" w:color="auto"/>
              <w:bottom w:val="single" w:sz="4" w:space="0" w:color="000000"/>
              <w:right w:val="nil" w:sz="6" w:space="0" w:color="auto"/>
            </w:tcBorders>
          </w:tcPr>
          <w:p>
            <w:pPr>
              <w:pStyle w:val="TableParagraph"/>
              <w:spacing w:line="201" w:lineRule="exact"/>
              <w:ind w:right="18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1" w:hRule="exact"/>
        </w:trPr>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6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06" w:type="dxa"/>
            <w:tcBorders>
              <w:top w:val="single" w:sz="4" w:space="0" w:color="000000"/>
              <w:left w:val="nil" w:sz="6" w:space="0" w:color="auto"/>
              <w:bottom w:val="nil" w:sz="6" w:space="0" w:color="auto"/>
              <w:right w:val="nil" w:sz="6" w:space="0" w:color="auto"/>
            </w:tcBorders>
          </w:tcPr>
          <w:p>
            <w:pPr/>
          </w:p>
        </w:tc>
        <w:tc>
          <w:tcPr>
            <w:tcW w:w="196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539"/>
              <w:jc w:val="right"/>
              <w:rPr>
                <w:rFonts w:ascii="Times New Roman" w:hAnsi="Times New Roman" w:cs="Times New Roman" w:eastAsia="Times New Roman" w:hint="default"/>
                <w:sz w:val="18"/>
                <w:szCs w:val="18"/>
              </w:rPr>
            </w:pPr>
            <w:r>
              <w:rPr>
                <w:rFonts w:ascii="Times New Roman"/>
                <w:spacing w:val="-1"/>
                <w:sz w:val="18"/>
              </w:rPr>
              <w:t>38,900,000.00</w:t>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343"/>
              <w:jc w:val="right"/>
              <w:rPr>
                <w:rFonts w:ascii="Times New Roman" w:hAnsi="Times New Roman" w:cs="Times New Roman" w:eastAsia="Times New Roman" w:hint="default"/>
                <w:sz w:val="18"/>
                <w:szCs w:val="18"/>
              </w:rPr>
            </w:pPr>
            <w:r>
              <w:rPr>
                <w:rFonts w:ascii="Times New Roman"/>
                <w:spacing w:val="-1"/>
                <w:sz w:val="18"/>
              </w:rPr>
              <w:t>38,900,000.00</w:t>
            </w:r>
          </w:p>
        </w:tc>
      </w:tr>
      <w:tr>
        <w:trPr>
          <w:trHeight w:val="439"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6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42"/>
              <w:jc w:val="right"/>
              <w:rPr>
                <w:rFonts w:ascii="Times New Roman" w:hAnsi="Times New Roman" w:cs="Times New Roman" w:eastAsia="Times New Roman" w:hint="default"/>
                <w:sz w:val="18"/>
                <w:szCs w:val="18"/>
              </w:rPr>
            </w:pPr>
            <w:r>
              <w:rPr>
                <w:rFonts w:ascii="Times New Roman"/>
                <w:spacing w:val="-1"/>
                <w:sz w:val="18"/>
              </w:rPr>
              <w:t>1,300,950.00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8"/>
              <w:jc w:val="right"/>
              <w:rPr>
                <w:rFonts w:ascii="Times New Roman" w:hAnsi="Times New Roman" w:cs="Times New Roman" w:eastAsia="Times New Roman" w:hint="default"/>
                <w:sz w:val="18"/>
                <w:szCs w:val="18"/>
              </w:rPr>
            </w:pPr>
            <w:r>
              <w:rPr>
                <w:rFonts w:ascii="Times New Roman"/>
                <w:spacing w:val="-1"/>
                <w:sz w:val="18"/>
              </w:rPr>
              <w:t>1,300,950.00</w:t>
            </w:r>
          </w:p>
        </w:tc>
      </w:tr>
      <w:tr>
        <w:trPr>
          <w:trHeight w:val="439"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43"/>
              <w:jc w:val="right"/>
              <w:rPr>
                <w:rFonts w:ascii="Times New Roman" w:hAnsi="Times New Roman" w:cs="Times New Roman" w:eastAsia="Times New Roman" w:hint="default"/>
                <w:sz w:val="18"/>
                <w:szCs w:val="18"/>
              </w:rPr>
            </w:pPr>
            <w:r>
              <w:rPr>
                <w:rFonts w:ascii="Times New Roman"/>
                <w:spacing w:val="-2"/>
                <w:sz w:val="18"/>
              </w:rPr>
              <w:t>29,389,113.45</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8"/>
              <w:jc w:val="right"/>
              <w:rPr>
                <w:rFonts w:ascii="Times New Roman" w:hAnsi="Times New Roman" w:cs="Times New Roman" w:eastAsia="Times New Roman" w:hint="default"/>
                <w:sz w:val="18"/>
                <w:szCs w:val="18"/>
              </w:rPr>
            </w:pPr>
            <w:r>
              <w:rPr>
                <w:rFonts w:ascii="Times New Roman"/>
                <w:spacing w:val="-2"/>
                <w:sz w:val="18"/>
              </w:rPr>
              <w:t>29,389,113.45</w:t>
            </w:r>
          </w:p>
        </w:tc>
      </w:tr>
      <w:tr>
        <w:trPr>
          <w:trHeight w:val="442"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67" w:right="0"/>
              <w:jc w:val="left"/>
              <w:rPr>
                <w:rFonts w:ascii="宋体" w:hAnsi="宋体" w:cs="宋体" w:eastAsia="宋体" w:hint="default"/>
                <w:sz w:val="18"/>
                <w:szCs w:val="18"/>
              </w:rPr>
            </w:pPr>
            <w:r>
              <w:rPr>
                <w:rFonts w:ascii="宋体" w:hAnsi="宋体" w:cs="宋体" w:eastAsia="宋体" w:hint="default"/>
                <w:spacing w:val="-3"/>
                <w:sz w:val="18"/>
                <w:szCs w:val="18"/>
              </w:rPr>
              <w:t>其他应付款</w:t>
            </w:r>
            <w:r>
              <w:rPr>
                <w:rFonts w:ascii="宋体" w:hAnsi="宋体" w:cs="宋体" w:eastAsia="宋体" w:hint="default"/>
                <w:sz w:val="18"/>
                <w:szCs w:val="18"/>
              </w:rPr>
            </w:r>
          </w:p>
        </w:tc>
        <w:tc>
          <w:tcPr>
            <w:tcW w:w="28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43"/>
              <w:jc w:val="right"/>
              <w:rPr>
                <w:rFonts w:ascii="Times New Roman" w:hAnsi="Times New Roman" w:cs="Times New Roman" w:eastAsia="Times New Roman" w:hint="default"/>
                <w:sz w:val="18"/>
                <w:szCs w:val="18"/>
              </w:rPr>
            </w:pPr>
            <w:r>
              <w:rPr>
                <w:rFonts w:ascii="Times New Roman"/>
                <w:spacing w:val="-1"/>
                <w:sz w:val="18"/>
              </w:rPr>
              <w:t>4,286,844.69</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8"/>
              <w:jc w:val="right"/>
              <w:rPr>
                <w:rFonts w:ascii="Times New Roman" w:hAnsi="Times New Roman" w:cs="Times New Roman" w:eastAsia="Times New Roman" w:hint="default"/>
                <w:sz w:val="18"/>
                <w:szCs w:val="18"/>
              </w:rPr>
            </w:pPr>
            <w:r>
              <w:rPr>
                <w:rFonts w:ascii="Times New Roman"/>
                <w:spacing w:val="-1"/>
                <w:sz w:val="18"/>
              </w:rPr>
              <w:t>4,286,844.69</w:t>
            </w:r>
          </w:p>
        </w:tc>
      </w:tr>
      <w:tr>
        <w:trPr>
          <w:trHeight w:val="317"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98"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8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37"/>
              <w:jc w:val="right"/>
              <w:rPr>
                <w:rFonts w:ascii="Times New Roman" w:hAnsi="Times New Roman" w:cs="Times New Roman" w:eastAsia="Times New Roman" w:hint="default"/>
                <w:sz w:val="18"/>
                <w:szCs w:val="18"/>
              </w:rPr>
            </w:pPr>
            <w:r>
              <w:rPr>
                <w:rFonts w:ascii="Times New Roman"/>
                <w:w w:val="101"/>
                <w:sz w:val="18"/>
              </w:rPr>
            </w:r>
            <w:r>
              <w:rPr>
                <w:rFonts w:ascii="Times New Roman"/>
                <w:spacing w:val="-1"/>
                <w:sz w:val="18"/>
                <w:u w:val="thick" w:color="000000"/>
              </w:rPr>
              <w:t>73,876,908.14</w:t>
            </w:r>
            <w:r>
              <w:rPr>
                <w:rFonts w:ascii="Times New Roman"/>
                <w:spacing w:val="-1"/>
                <w:sz w:val="18"/>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3"/>
              <w:jc w:val="right"/>
              <w:rPr>
                <w:rFonts w:ascii="Times New Roman" w:hAnsi="Times New Roman" w:cs="Times New Roman" w:eastAsia="Times New Roman" w:hint="default"/>
                <w:sz w:val="18"/>
                <w:szCs w:val="18"/>
              </w:rPr>
            </w:pPr>
            <w:r>
              <w:rPr>
                <w:rFonts w:ascii="Times New Roman"/>
                <w:w w:val="101"/>
                <w:sz w:val="18"/>
              </w:rPr>
            </w:r>
            <w:r>
              <w:rPr>
                <w:rFonts w:ascii="Times New Roman"/>
                <w:spacing w:val="-1"/>
                <w:sz w:val="18"/>
                <w:u w:val="thick" w:color="000000"/>
              </w:rPr>
              <w:t>73,876,908.14</w:t>
            </w:r>
            <w:r>
              <w:rPr>
                <w:rFonts w:ascii="Times New Roman"/>
                <w:spacing w:val="-1"/>
                <w:sz w:val="18"/>
              </w:rPr>
            </w:r>
          </w:p>
        </w:tc>
      </w:tr>
    </w:tbl>
    <w:p>
      <w:pPr>
        <w:spacing w:line="240" w:lineRule="auto" w:before="0"/>
        <w:rPr>
          <w:rFonts w:ascii="宋体" w:hAnsi="宋体" w:cs="宋体" w:eastAsia="宋体" w:hint="default"/>
          <w:sz w:val="11"/>
          <w:szCs w:val="11"/>
        </w:rPr>
      </w:pPr>
    </w:p>
    <w:p>
      <w:pPr>
        <w:pStyle w:val="BodyText"/>
        <w:spacing w:line="240" w:lineRule="auto" w:before="46"/>
        <w:ind w:left="575" w:right="0"/>
        <w:jc w:val="left"/>
        <w:rPr>
          <w:rFonts w:ascii="宋体" w:hAnsi="宋体" w:cs="宋体" w:eastAsia="宋体" w:hint="default"/>
        </w:rPr>
      </w:pPr>
      <w:r>
        <w:rPr>
          <w:rFonts w:ascii="宋体" w:hAnsi="宋体" w:cs="宋体" w:eastAsia="宋体" w:hint="default"/>
          <w:spacing w:val="-3"/>
        </w:rPr>
        <w:t>2</w:t>
      </w:r>
      <w:r>
        <w:rPr>
          <w:spacing w:val="-3"/>
        </w:rPr>
        <w:t>、与金融工具相关的主要风险</w:t>
      </w:r>
      <w:r>
        <w:rPr>
          <w:rFonts w:ascii="宋体" w:hAnsi="宋体" w:cs="宋体" w:eastAsia="宋体" w:hint="default"/>
        </w:rPr>
        <w:t> </w:t>
      </w:r>
    </w:p>
    <w:p>
      <w:pPr>
        <w:pStyle w:val="BodyText"/>
        <w:spacing w:line="440" w:lineRule="atLeast" w:before="1"/>
        <w:ind w:left="575" w:right="0"/>
        <w:jc w:val="left"/>
      </w:pPr>
      <w:r>
        <w:rPr>
          <w:spacing w:val="-3"/>
        </w:rPr>
        <w:t>（</w:t>
      </w:r>
      <w:r>
        <w:rPr>
          <w:rFonts w:ascii="宋体" w:hAnsi="宋体" w:cs="宋体" w:eastAsia="宋体" w:hint="default"/>
          <w:spacing w:val="-3"/>
        </w:rPr>
        <w:t>1</w:t>
      </w:r>
      <w:r>
        <w:rPr>
          <w:spacing w:val="-3"/>
        </w:rPr>
        <w:t>）信用风险</w:t>
      </w:r>
      <w:r>
        <w:rPr>
          <w:spacing w:val="-69"/>
        </w:rPr>
        <w:t> </w:t>
      </w:r>
      <w:r>
        <w:rPr>
          <w:rFonts w:ascii="宋体" w:hAnsi="宋体" w:cs="宋体" w:eastAsia="宋体" w:hint="default"/>
          <w:spacing w:val="-69"/>
        </w:rPr>
      </w:r>
      <w:r>
        <w:rPr>
          <w:spacing w:val="-2"/>
        </w:rPr>
        <w:t>本公司的金融资产主要为货币资金、应收票据、应收账款、其他应收款。信用风险主要来源于客户等未能如期偿付的</w:t>
      </w:r>
    </w:p>
    <w:p>
      <w:pPr>
        <w:pStyle w:val="BodyText"/>
        <w:spacing w:line="240" w:lineRule="auto" w:before="86"/>
        <w:ind w:right="0"/>
        <w:jc w:val="left"/>
        <w:rPr>
          <w:rFonts w:ascii="宋体" w:hAnsi="宋体" w:cs="宋体" w:eastAsia="宋体" w:hint="default"/>
        </w:rPr>
      </w:pPr>
      <w:r>
        <w:rPr>
          <w:spacing w:val="-3"/>
        </w:rPr>
        <w:t>应收款项，最大的风险敞口等于这些金融工具的账面金额。</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24" w:lineRule="auto"/>
        <w:ind w:right="0" w:firstLine="422"/>
        <w:jc w:val="left"/>
        <w:rPr>
          <w:rFonts w:ascii="宋体" w:hAnsi="宋体" w:cs="宋体" w:eastAsia="宋体" w:hint="default"/>
        </w:rPr>
      </w:pPr>
      <w:r>
        <w:rPr>
          <w:spacing w:val="-2"/>
        </w:rPr>
        <w:t>本公司的货币资金主要为银行存款、保证金性质的其他货币资金，主要存放于在国内商业银行；应收票据主要为银行</w:t>
      </w:r>
      <w:r>
        <w:rPr>
          <w:w w:val="101"/>
        </w:rPr>
        <w:t> </w:t>
      </w:r>
      <w:r>
        <w:rPr>
          <w:spacing w:val="-3"/>
        </w:rPr>
        <w:t>承兑汇票。本公司管理层认为上述金融资产不存在重大的信用风险。</w:t>
      </w:r>
      <w:r>
        <w:rPr>
          <w:rFonts w:ascii="宋体" w:hAnsi="宋体" w:cs="宋体" w:eastAsia="宋体" w:hint="default"/>
        </w:rPr>
        <w:t> </w:t>
      </w:r>
    </w:p>
    <w:p>
      <w:pPr>
        <w:spacing w:after="0" w:line="324" w:lineRule="auto"/>
        <w:jc w:val="left"/>
        <w:rPr>
          <w:rFonts w:ascii="宋体" w:hAnsi="宋体" w:cs="宋体" w:eastAsia="宋体" w:hint="default"/>
        </w:rPr>
        <w:sectPr>
          <w:pgSz w:w="11910" w:h="16840"/>
          <w:pgMar w:header="914" w:footer="1027" w:top="1100" w:bottom="1220" w:left="980" w:right="980"/>
        </w:sectPr>
      </w:pPr>
    </w:p>
    <w:p>
      <w:pPr>
        <w:spacing w:line="240" w:lineRule="auto" w:before="2"/>
        <w:rPr>
          <w:rFonts w:ascii="宋体" w:hAnsi="宋体" w:cs="宋体" w:eastAsia="宋体" w:hint="default"/>
          <w:sz w:val="23"/>
          <w:szCs w:val="23"/>
        </w:rPr>
      </w:pPr>
    </w:p>
    <w:p>
      <w:pPr>
        <w:pStyle w:val="BodyText"/>
        <w:spacing w:line="328" w:lineRule="auto" w:before="46"/>
        <w:ind w:right="0" w:firstLine="422"/>
        <w:jc w:val="left"/>
        <w:rPr>
          <w:rFonts w:ascii="宋体" w:hAnsi="宋体" w:cs="宋体" w:eastAsia="宋体" w:hint="default"/>
        </w:rPr>
      </w:pPr>
      <w:r>
        <w:rPr>
          <w:spacing w:val="-4"/>
        </w:rPr>
        <w:t>本公司的应收账款主要为应收客户项目款，相应主要客户系信用良好的第三方。公司建立了较为完善的跟踪收款制度，</w:t>
      </w:r>
      <w:r>
        <w:rPr>
          <w:w w:val="101"/>
        </w:rPr>
        <w:t> </w:t>
      </w:r>
      <w:r>
        <w:rPr>
          <w:spacing w:val="-4"/>
        </w:rPr>
        <w:t>以确保应收账款不面临重大坏账风险。同时，公司制订了较为谨慎的应收账款坏账准备计提政策，已在财务报表中合理计提</w:t>
      </w:r>
      <w:r>
        <w:rPr>
          <w:spacing w:val="43"/>
        </w:rPr>
        <w:t> </w:t>
      </w:r>
      <w:r>
        <w:rPr>
          <w:spacing w:val="43"/>
        </w:rPr>
      </w:r>
      <w:r>
        <w:rPr>
          <w:spacing w:val="-3"/>
        </w:rPr>
        <w:t>了减值准备。综上所述，本公司管理层认为，申报期内应收账款不存在由于客户违约带来的重大信用风险。</w:t>
      </w:r>
      <w:r>
        <w:rPr>
          <w:rFonts w:ascii="宋体" w:hAnsi="宋体" w:cs="宋体" w:eastAsia="宋体" w:hint="default"/>
        </w:rPr>
        <w:t> </w:t>
      </w:r>
    </w:p>
    <w:p>
      <w:pPr>
        <w:pStyle w:val="BodyText"/>
        <w:spacing w:line="326" w:lineRule="auto" w:before="139"/>
        <w:ind w:right="204" w:firstLine="422"/>
        <w:jc w:val="both"/>
        <w:rPr>
          <w:rFonts w:ascii="宋体" w:hAnsi="宋体" w:cs="宋体" w:eastAsia="宋体" w:hint="default"/>
        </w:rPr>
      </w:pPr>
      <w:r>
        <w:rPr>
          <w:spacing w:val="-2"/>
        </w:rPr>
        <w:t>本公司的其他应收款，主要为投标保证金及履约保证金，其中投标保证金可在项目招投标结束之后予以退回，履约保</w:t>
      </w:r>
      <w:r>
        <w:rPr>
          <w:w w:val="101"/>
        </w:rPr>
        <w:t> </w:t>
      </w:r>
      <w:r>
        <w:rPr>
          <w:spacing w:val="-4"/>
        </w:rPr>
        <w:t>证金为所属项目客户为保障双方履行合同中约定的责任和义务予以收取的保证金款项，一般在项目完工后予以收回，上述情</w:t>
      </w:r>
      <w:r>
        <w:rPr>
          <w:spacing w:val="39"/>
        </w:rPr>
        <w:t> </w:t>
      </w:r>
      <w:r>
        <w:rPr>
          <w:spacing w:val="39"/>
        </w:rPr>
      </w:r>
      <w:r>
        <w:rPr>
          <w:spacing w:val="-4"/>
        </w:rPr>
        <w:t>况为防范其他应收款不发生坏账风险提供了合理保证，同时公司根据坏账准备计提政策，已在财务报表中谨慎的计提了相应</w:t>
      </w:r>
      <w:r>
        <w:rPr>
          <w:spacing w:val="42"/>
        </w:rPr>
        <w:t> </w:t>
      </w:r>
      <w:r>
        <w:rPr>
          <w:spacing w:val="42"/>
        </w:rPr>
      </w:r>
      <w:r>
        <w:rPr>
          <w:spacing w:val="-5"/>
        </w:rPr>
        <w:t>坏账准备，另根据报告期内保证金回收等历史信息，不存在大额坏账情况。综上所述，公司管理层认为，申报期内其他应收</w:t>
      </w:r>
      <w:r>
        <w:rPr>
          <w:spacing w:val="4"/>
        </w:rPr>
        <w:t> </w:t>
      </w:r>
      <w:r>
        <w:rPr>
          <w:spacing w:val="4"/>
        </w:rPr>
      </w:r>
      <w:r>
        <w:rPr>
          <w:spacing w:val="-3"/>
        </w:rPr>
        <w:t>款不存在重大信用风险。</w:t>
      </w:r>
      <w:r>
        <w:rPr>
          <w:rFonts w:ascii="宋体" w:hAnsi="宋体" w:cs="宋体" w:eastAsia="宋体" w:hint="default"/>
        </w:rPr>
        <w:t> </w:t>
      </w:r>
    </w:p>
    <w:p>
      <w:pPr>
        <w:pStyle w:val="BodyText"/>
        <w:spacing w:line="240" w:lineRule="auto" w:before="141"/>
        <w:ind w:left="575" w:right="0"/>
        <w:jc w:val="left"/>
        <w:rPr>
          <w:rFonts w:ascii="宋体" w:hAnsi="宋体" w:cs="宋体" w:eastAsia="宋体" w:hint="default"/>
        </w:rPr>
      </w:pPr>
      <w:r>
        <w:rPr>
          <w:spacing w:val="-3"/>
        </w:rPr>
        <w:t>（</w:t>
      </w:r>
      <w:r>
        <w:rPr>
          <w:rFonts w:ascii="宋体" w:hAnsi="宋体" w:cs="宋体" w:eastAsia="宋体" w:hint="default"/>
          <w:spacing w:val="-3"/>
        </w:rPr>
        <w:t>2</w:t>
      </w:r>
      <w:r>
        <w:rPr>
          <w:spacing w:val="-3"/>
        </w:rPr>
        <w:t>）流动风险</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28" w:lineRule="auto"/>
        <w:ind w:right="206" w:firstLine="422"/>
        <w:jc w:val="both"/>
        <w:rPr>
          <w:rFonts w:ascii="宋体" w:hAnsi="宋体" w:cs="宋体" w:eastAsia="宋体" w:hint="default"/>
        </w:rPr>
      </w:pPr>
      <w:r>
        <w:rPr>
          <w:spacing w:val="-2"/>
        </w:rPr>
        <w:t>流动风险，是指企业在履行与金融负债有关的义务时遇到资金短缺的风险。本公司的政策是确保拥有充足的资金以偿</w:t>
      </w:r>
      <w:r>
        <w:rPr>
          <w:w w:val="101"/>
        </w:rPr>
        <w:t> </w:t>
      </w:r>
      <w:r>
        <w:rPr>
          <w:spacing w:val="-5"/>
        </w:rPr>
        <w:t>还到期债务。流动性风险由本公司的财务部门集中控制。财务部门通过监控现金余额以及对未来</w:t>
      </w:r>
      <w:r>
        <w:rPr>
          <w:spacing w:val="65"/>
        </w:rPr>
        <w:t> </w:t>
      </w:r>
      <w:r>
        <w:rPr>
          <w:rFonts w:ascii="宋体" w:hAnsi="宋体" w:cs="宋体" w:eastAsia="宋体" w:hint="default"/>
          <w:spacing w:val="65"/>
        </w:rPr>
      </w:r>
      <w:r>
        <w:rPr>
          <w:rFonts w:ascii="宋体" w:hAnsi="宋体" w:cs="宋体" w:eastAsia="宋体" w:hint="default"/>
          <w:spacing w:val="-3"/>
        </w:rPr>
        <w:t>12</w:t>
      </w:r>
      <w:r>
        <w:rPr>
          <w:rFonts w:ascii="宋体" w:hAnsi="宋体" w:cs="宋体" w:eastAsia="宋体" w:hint="default"/>
          <w:spacing w:val="65"/>
        </w:rPr>
        <w:t> </w:t>
      </w:r>
      <w:r>
        <w:rPr>
          <w:spacing w:val="-3"/>
        </w:rPr>
        <w:t>个月现金流量的滚动预</w:t>
      </w:r>
      <w:r>
        <w:rPr>
          <w:spacing w:val="-71"/>
        </w:rPr>
        <w:t> </w:t>
      </w:r>
      <w:r>
        <w:rPr>
          <w:spacing w:val="-71"/>
        </w:rPr>
      </w:r>
      <w:r>
        <w:rPr>
          <w:spacing w:val="-3"/>
        </w:rPr>
        <w:t>测，确保公司在所有合理预测的情况下拥有充足的资金偿还债务。</w:t>
      </w:r>
      <w:r>
        <w:rPr>
          <w:rFonts w:ascii="宋体" w:hAnsi="宋体" w:cs="宋体" w:eastAsia="宋体" w:hint="default"/>
        </w:rPr>
        <w:t> </w:t>
      </w:r>
    </w:p>
    <w:p>
      <w:pPr>
        <w:pStyle w:val="BodyText"/>
        <w:spacing w:line="240" w:lineRule="auto" w:before="134"/>
        <w:ind w:left="575" w:right="0"/>
        <w:jc w:val="left"/>
        <w:rPr>
          <w:rFonts w:ascii="宋体" w:hAnsi="宋体" w:cs="宋体" w:eastAsia="宋体" w:hint="default"/>
        </w:rPr>
      </w:pPr>
      <w:r>
        <w:rPr>
          <w:spacing w:val="-3"/>
        </w:rPr>
        <w:t>（</w:t>
      </w:r>
      <w:r>
        <w:rPr>
          <w:rFonts w:ascii="宋体" w:hAnsi="宋体" w:cs="宋体" w:eastAsia="宋体" w:hint="default"/>
          <w:spacing w:val="-3"/>
        </w:rPr>
        <w:t>3</w:t>
      </w:r>
      <w:r>
        <w:rPr>
          <w:spacing w:val="-3"/>
        </w:rPr>
        <w:t>）市场风险</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28" w:lineRule="auto"/>
        <w:ind w:right="0" w:firstLine="422"/>
        <w:jc w:val="left"/>
        <w:rPr>
          <w:rFonts w:ascii="宋体" w:hAnsi="宋体" w:cs="宋体" w:eastAsia="宋体" w:hint="default"/>
        </w:rPr>
      </w:pPr>
      <w:r>
        <w:rPr>
          <w:spacing w:val="-4"/>
        </w:rPr>
        <w:t>市场风险，是指金融工具的公允价值或未来现金流量因市场价格变动而发生波动的风险。市场风险主要包括利率风险、</w:t>
      </w:r>
      <w:r>
        <w:rPr>
          <w:w w:val="101"/>
        </w:rPr>
        <w:t> </w:t>
      </w:r>
      <w:r>
        <w:rPr>
          <w:spacing w:val="-3"/>
        </w:rPr>
        <w:t>外汇风险等。</w:t>
      </w:r>
      <w:r>
        <w:rPr>
          <w:rFonts w:ascii="宋体" w:hAnsi="宋体" w:cs="宋体" w:eastAsia="宋体" w:hint="default"/>
        </w:rPr>
        <w:t> </w:t>
      </w:r>
    </w:p>
    <w:p>
      <w:pPr>
        <w:pStyle w:val="BodyText"/>
        <w:spacing w:line="240" w:lineRule="auto" w:before="139"/>
        <w:ind w:left="575" w:right="0"/>
        <w:jc w:val="left"/>
        <w:rPr>
          <w:rFonts w:ascii="宋体" w:hAnsi="宋体" w:cs="宋体" w:eastAsia="宋体" w:hint="default"/>
        </w:rPr>
      </w:pPr>
      <w:r>
        <w:rPr>
          <w:rFonts w:ascii="宋体" w:hAnsi="宋体" w:cs="宋体" w:eastAsia="宋体" w:hint="default"/>
          <w:spacing w:val="-3"/>
        </w:rPr>
        <w:t>1</w:t>
      </w:r>
      <w:r>
        <w:rPr>
          <w:spacing w:val="-3"/>
        </w:rPr>
        <w:t>）利率风险</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28" w:lineRule="auto"/>
        <w:ind w:right="0" w:firstLine="422"/>
        <w:jc w:val="left"/>
        <w:rPr>
          <w:rFonts w:ascii="宋体" w:hAnsi="宋体" w:cs="宋体" w:eastAsia="宋体" w:hint="default"/>
        </w:rPr>
      </w:pPr>
      <w:r>
        <w:rPr>
          <w:spacing w:val="-2"/>
        </w:rPr>
        <w:t>利率风险，是指金融工具的公允价值或未来现金流量因市场利率变动而发生波动的风险。本公司借款的借款合同对借</w:t>
      </w:r>
      <w:r>
        <w:rPr>
          <w:w w:val="101"/>
        </w:rPr>
        <w:t> </w:t>
      </w:r>
      <w:r>
        <w:rPr>
          <w:spacing w:val="-3"/>
        </w:rPr>
        <w:t>款利率均进行了明确约定，故本公司金融负债不存在市场利率变动的重大风险。</w:t>
      </w:r>
      <w:r>
        <w:rPr>
          <w:rFonts w:ascii="宋体" w:hAnsi="宋体" w:cs="宋体" w:eastAsia="宋体" w:hint="default"/>
        </w:rPr>
        <w:t> </w:t>
      </w:r>
    </w:p>
    <w:p>
      <w:pPr>
        <w:pStyle w:val="BodyText"/>
        <w:spacing w:line="240" w:lineRule="auto" w:before="139"/>
        <w:ind w:left="575" w:right="0"/>
        <w:jc w:val="left"/>
        <w:rPr>
          <w:rFonts w:ascii="宋体" w:hAnsi="宋体" w:cs="宋体" w:eastAsia="宋体" w:hint="default"/>
        </w:rPr>
      </w:pPr>
      <w:r>
        <w:rPr>
          <w:rFonts w:ascii="宋体" w:hAnsi="宋体" w:cs="宋体" w:eastAsia="宋体" w:hint="default"/>
          <w:spacing w:val="-3"/>
        </w:rPr>
        <w:t>2</w:t>
      </w:r>
      <w:r>
        <w:rPr>
          <w:spacing w:val="-3"/>
        </w:rPr>
        <w:t>）外汇风险</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24" w:lineRule="auto"/>
        <w:ind w:right="0" w:firstLine="422"/>
        <w:jc w:val="left"/>
        <w:rPr>
          <w:rFonts w:ascii="宋体" w:hAnsi="宋体" w:cs="宋体" w:eastAsia="宋体" w:hint="default"/>
        </w:rPr>
      </w:pPr>
      <w:r>
        <w:rPr>
          <w:spacing w:val="-2"/>
        </w:rPr>
        <w:t>外汇风险，是指金融工具的公允价值或未来现金流量因外汇汇率变动而发生波动的风险。本公司无出口销售收入，不</w:t>
      </w:r>
      <w:r>
        <w:rPr>
          <w:w w:val="101"/>
        </w:rPr>
        <w:t> </w:t>
      </w:r>
      <w:r>
        <w:rPr>
          <w:spacing w:val="-3"/>
        </w:rPr>
        <w:t>存在金融工具的公允价值或未来现金流量因外汇汇率变动而发生波动的重大风险。</w:t>
      </w:r>
      <w:r>
        <w:rPr>
          <w:rFonts w:ascii="宋体" w:hAnsi="宋体" w:cs="宋体" w:eastAsia="宋体" w:hint="default"/>
        </w:rPr>
        <w:t> </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十一、公允价值的披露" w:id="329"/>
      <w:bookmarkEnd w:id="329"/>
      <w:r>
        <w:rPr>
          <w:b w:val="0"/>
          <w:bCs w:val="0"/>
        </w:rPr>
      </w:r>
      <w:r>
        <w:rPr/>
        <w:t>十一、公允价值的披露</w:t>
      </w:r>
      <w:r>
        <w:rPr>
          <w:b w:val="0"/>
          <w:bCs w:val="0"/>
        </w:rPr>
      </w:r>
    </w:p>
    <w:p>
      <w:pPr>
        <w:pStyle w:val="BodyText"/>
        <w:spacing w:line="430" w:lineRule="atLeast" w:before="166"/>
        <w:ind w:left="512" w:right="0"/>
        <w:jc w:val="left"/>
      </w:pPr>
      <w:r>
        <w:rPr>
          <w:spacing w:val="-3"/>
        </w:rPr>
        <w:t>公允价值，是指市场参与者在计量日发生的有序交易中，出售一项资产所能收到或转移一项债务所需支付的价格。</w:t>
      </w:r>
      <w:r>
        <w:rPr>
          <w:spacing w:val="49"/>
        </w:rPr>
        <w:t> </w:t>
      </w:r>
      <w:r>
        <w:rPr>
          <w:rFonts w:ascii="宋体" w:hAnsi="宋体" w:cs="宋体" w:eastAsia="宋体" w:hint="default"/>
          <w:spacing w:val="49"/>
        </w:rPr>
      </w:r>
      <w:r>
        <w:rPr>
          <w:spacing w:val="-4"/>
        </w:rPr>
        <w:t>本公司报告期内财务报表中的金融资产与金融负债，均不以公允价值计量，以下方法和假设用于估计公允价值：货币资</w:t>
      </w:r>
    </w:p>
    <w:p>
      <w:pPr>
        <w:pStyle w:val="BodyText"/>
        <w:spacing w:line="240" w:lineRule="auto" w:before="86"/>
        <w:ind w:right="0"/>
        <w:jc w:val="left"/>
        <w:rPr>
          <w:rFonts w:ascii="宋体" w:hAnsi="宋体" w:cs="宋体" w:eastAsia="宋体" w:hint="default"/>
        </w:rPr>
      </w:pPr>
      <w:r>
        <w:rPr>
          <w:w w:val="101"/>
        </w:rPr>
        <w:t>金</w:t>
      </w:r>
      <w:r>
        <w:rPr>
          <w:spacing w:val="-25"/>
          <w:w w:val="101"/>
        </w:rPr>
        <w:t>、</w:t>
      </w:r>
      <w:r>
        <w:rPr>
          <w:spacing w:val="-5"/>
          <w:w w:val="101"/>
        </w:rPr>
        <w:t>应</w:t>
      </w:r>
      <w:r>
        <w:rPr>
          <w:w w:val="101"/>
        </w:rPr>
        <w:t>收</w:t>
      </w:r>
      <w:r>
        <w:rPr>
          <w:spacing w:val="-5"/>
          <w:w w:val="101"/>
        </w:rPr>
        <w:t>票</w:t>
      </w:r>
      <w:r>
        <w:rPr>
          <w:w w:val="101"/>
        </w:rPr>
        <w:t>据</w:t>
      </w:r>
      <w:r>
        <w:rPr>
          <w:spacing w:val="-25"/>
          <w:w w:val="101"/>
        </w:rPr>
        <w:t>、</w:t>
      </w:r>
      <w:r>
        <w:rPr>
          <w:spacing w:val="-5"/>
          <w:w w:val="101"/>
        </w:rPr>
        <w:t>应</w:t>
      </w:r>
      <w:r>
        <w:rPr>
          <w:w w:val="101"/>
        </w:rPr>
        <w:t>收</w:t>
      </w:r>
      <w:r>
        <w:rPr>
          <w:spacing w:val="-5"/>
          <w:w w:val="101"/>
        </w:rPr>
        <w:t>账款</w:t>
      </w:r>
      <w:r>
        <w:rPr>
          <w:spacing w:val="-20"/>
          <w:w w:val="101"/>
        </w:rPr>
        <w:t>、</w:t>
      </w:r>
      <w:r>
        <w:rPr>
          <w:spacing w:val="-5"/>
          <w:w w:val="101"/>
        </w:rPr>
        <w:t>其</w:t>
      </w:r>
      <w:r>
        <w:rPr>
          <w:w w:val="101"/>
        </w:rPr>
        <w:t>他</w:t>
      </w:r>
      <w:r>
        <w:rPr>
          <w:spacing w:val="-5"/>
          <w:w w:val="101"/>
        </w:rPr>
        <w:t>应</w:t>
      </w:r>
      <w:r>
        <w:rPr>
          <w:w w:val="101"/>
        </w:rPr>
        <w:t>收</w:t>
      </w:r>
      <w:r>
        <w:rPr>
          <w:spacing w:val="-5"/>
          <w:w w:val="101"/>
        </w:rPr>
        <w:t>款</w:t>
      </w:r>
      <w:r>
        <w:rPr>
          <w:spacing w:val="-25"/>
          <w:w w:val="101"/>
        </w:rPr>
        <w:t>、</w:t>
      </w:r>
      <w:r>
        <w:rPr>
          <w:w w:val="101"/>
        </w:rPr>
        <w:t>应</w:t>
      </w:r>
      <w:r>
        <w:rPr>
          <w:spacing w:val="-5"/>
          <w:w w:val="101"/>
        </w:rPr>
        <w:t>付</w:t>
      </w:r>
      <w:r>
        <w:rPr>
          <w:w w:val="101"/>
        </w:rPr>
        <w:t>票</w:t>
      </w:r>
      <w:r>
        <w:rPr>
          <w:spacing w:val="-5"/>
          <w:w w:val="101"/>
        </w:rPr>
        <w:t>据</w:t>
      </w:r>
      <w:r>
        <w:rPr>
          <w:spacing w:val="-25"/>
          <w:w w:val="101"/>
        </w:rPr>
        <w:t>、</w:t>
      </w:r>
      <w:r>
        <w:rPr>
          <w:w w:val="101"/>
        </w:rPr>
        <w:t>应</w:t>
      </w:r>
      <w:r>
        <w:rPr>
          <w:spacing w:val="-5"/>
          <w:w w:val="101"/>
        </w:rPr>
        <w:t>付</w:t>
      </w:r>
      <w:r>
        <w:rPr>
          <w:w w:val="101"/>
        </w:rPr>
        <w:t>账</w:t>
      </w:r>
      <w:r>
        <w:rPr>
          <w:spacing w:val="-5"/>
          <w:w w:val="101"/>
        </w:rPr>
        <w:t>款</w:t>
      </w:r>
      <w:r>
        <w:rPr>
          <w:spacing w:val="-25"/>
          <w:w w:val="101"/>
        </w:rPr>
        <w:t>、</w:t>
      </w:r>
      <w:r>
        <w:rPr>
          <w:w w:val="101"/>
        </w:rPr>
        <w:t>其</w:t>
      </w:r>
      <w:r>
        <w:rPr>
          <w:spacing w:val="-5"/>
          <w:w w:val="101"/>
        </w:rPr>
        <w:t>他</w:t>
      </w:r>
      <w:r>
        <w:rPr>
          <w:w w:val="101"/>
        </w:rPr>
        <w:t>应</w:t>
      </w:r>
      <w:r>
        <w:rPr>
          <w:spacing w:val="-5"/>
          <w:w w:val="101"/>
        </w:rPr>
        <w:t>付</w:t>
      </w:r>
      <w:r>
        <w:rPr>
          <w:w w:val="101"/>
        </w:rPr>
        <w:t>款</w:t>
      </w:r>
      <w:r>
        <w:rPr>
          <w:spacing w:val="-5"/>
          <w:w w:val="101"/>
        </w:rPr>
        <w:t>等</w:t>
      </w:r>
      <w:r>
        <w:rPr>
          <w:spacing w:val="-25"/>
          <w:w w:val="101"/>
        </w:rPr>
        <w:t>，</w:t>
      </w:r>
      <w:r>
        <w:rPr>
          <w:w w:val="101"/>
        </w:rPr>
        <w:t>因</w:t>
      </w:r>
      <w:r>
        <w:rPr>
          <w:spacing w:val="-5"/>
          <w:w w:val="101"/>
        </w:rPr>
        <w:t>剩</w:t>
      </w:r>
      <w:r>
        <w:rPr>
          <w:w w:val="101"/>
        </w:rPr>
        <w:t>余</w:t>
      </w:r>
      <w:r>
        <w:rPr>
          <w:spacing w:val="-5"/>
          <w:w w:val="101"/>
        </w:rPr>
        <w:t>期</w:t>
      </w:r>
      <w:r>
        <w:rPr>
          <w:w w:val="101"/>
        </w:rPr>
        <w:t>限</w:t>
      </w:r>
      <w:r>
        <w:rPr>
          <w:spacing w:val="-5"/>
          <w:w w:val="101"/>
        </w:rPr>
        <w:t>不长</w:t>
      </w:r>
      <w:r>
        <w:rPr>
          <w:spacing w:val="-20"/>
          <w:w w:val="101"/>
        </w:rPr>
        <w:t>，</w:t>
      </w:r>
      <w:r>
        <w:rPr>
          <w:spacing w:val="-5"/>
          <w:w w:val="101"/>
        </w:rPr>
        <w:t>公</w:t>
      </w:r>
      <w:r>
        <w:rPr>
          <w:w w:val="101"/>
        </w:rPr>
        <w:t>允</w:t>
      </w:r>
      <w:r>
        <w:rPr>
          <w:spacing w:val="-5"/>
          <w:w w:val="101"/>
        </w:rPr>
        <w:t>价</w:t>
      </w:r>
      <w:r>
        <w:rPr>
          <w:w w:val="101"/>
        </w:rPr>
        <w:t>值</w:t>
      </w:r>
      <w:r>
        <w:rPr>
          <w:spacing w:val="-5"/>
          <w:w w:val="101"/>
        </w:rPr>
        <w:t>与</w:t>
      </w:r>
      <w:r>
        <w:rPr>
          <w:w w:val="101"/>
        </w:rPr>
        <w:t>账</w:t>
      </w:r>
      <w:r>
        <w:rPr>
          <w:spacing w:val="-5"/>
          <w:w w:val="101"/>
        </w:rPr>
        <w:t>面</w:t>
      </w:r>
      <w:r>
        <w:rPr>
          <w:w w:val="101"/>
        </w:rPr>
        <w:t>价</w:t>
      </w:r>
      <w:r>
        <w:rPr>
          <w:spacing w:val="-5"/>
          <w:w w:val="101"/>
        </w:rPr>
        <w:t>值</w:t>
      </w:r>
      <w:r>
        <w:rPr>
          <w:w w:val="101"/>
        </w:rPr>
        <w:t>相等</w:t>
      </w:r>
      <w:r>
        <w:rPr>
          <w:spacing w:val="-98"/>
          <w:w w:val="101"/>
        </w:rPr>
        <w:t>。</w:t>
      </w:r>
      <w:r>
        <w:rPr>
          <w:rFonts w:ascii="宋体" w:hAnsi="宋体" w:cs="宋体" w:eastAsia="宋体" w:hint="default"/>
          <w:w w:val="101"/>
        </w:rPr>
        <w:t> </w:t>
      </w:r>
      <w:r>
        <w:rPr>
          <w:rFonts w:ascii="宋体" w:hAnsi="宋体" w:cs="宋体" w:eastAsia="宋体" w:hint="default"/>
        </w:rPr>
      </w:r>
    </w:p>
    <w:p>
      <w:pPr>
        <w:spacing w:line="240" w:lineRule="auto" w:before="10"/>
        <w:rPr>
          <w:rFonts w:ascii="宋体" w:hAnsi="宋体" w:cs="宋体" w:eastAsia="宋体" w:hint="default"/>
          <w:sz w:val="25"/>
          <w:szCs w:val="25"/>
        </w:rPr>
      </w:pPr>
    </w:p>
    <w:p>
      <w:pPr>
        <w:pStyle w:val="Heading2"/>
        <w:spacing w:line="240" w:lineRule="auto"/>
        <w:ind w:right="0"/>
        <w:jc w:val="left"/>
        <w:rPr>
          <w:b w:val="0"/>
          <w:bCs w:val="0"/>
        </w:rPr>
      </w:pPr>
      <w:bookmarkStart w:name="十二、关联方及关联交易" w:id="330"/>
      <w:bookmarkEnd w:id="330"/>
      <w:r>
        <w:rPr>
          <w:b w:val="0"/>
          <w:bCs w:val="0"/>
        </w:rPr>
      </w:r>
      <w:r>
        <w:rPr/>
        <w:t>十二、关联方及关联交易</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rFonts w:ascii="宋体" w:hAnsi="宋体" w:cs="宋体" w:eastAsia="宋体" w:hint="default"/>
          <w:b w:val="0"/>
          <w:bCs w:val="0"/>
          <w:sz w:val="18"/>
          <w:szCs w:val="18"/>
        </w:rPr>
      </w:pPr>
      <w:bookmarkStart w:name="1、本企业的母公司情况" w:id="331"/>
      <w:bookmarkEnd w:id="331"/>
      <w:r>
        <w:rPr>
          <w:b w:val="0"/>
          <w:bCs w:val="0"/>
        </w:rPr>
      </w:r>
      <w:r>
        <w:rPr>
          <w:rFonts w:ascii="Times New Roman" w:hAnsi="Times New Roman" w:cs="Times New Roman" w:eastAsia="Times New Roman" w:hint="default"/>
        </w:rPr>
        <w:t>1</w:t>
      </w:r>
      <w:r>
        <w:rPr/>
        <w:t>、本企业的母公司情况</w:t>
      </w:r>
      <w:r>
        <w:rPr>
          <w:rFonts w:ascii="宋体" w:hAnsi="宋体" w:cs="宋体" w:eastAsia="宋体" w:hint="default"/>
          <w:w w:val="100"/>
          <w:sz w:val="18"/>
          <w:szCs w:val="18"/>
        </w:rPr>
        <w:t> </w:t>
      </w:r>
      <w:r>
        <w:rPr>
          <w:rFonts w:ascii="宋体" w:hAnsi="宋体" w:cs="宋体" w:eastAsia="宋体" w:hint="default"/>
          <w:b w:val="0"/>
          <w:bCs w:val="0"/>
          <w:w w:val="100"/>
          <w:sz w:val="18"/>
          <w:szCs w:val="18"/>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spacing w:val="-3"/>
        </w:rPr>
        <w:t>本企业最终控制方是公司共同实际控制人费耀平、李杰、李建华、刘星沙、刘应龙。</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本企业的子公司情况" w:id="332"/>
      <w:bookmarkEnd w:id="33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w w:val="101"/>
        </w:rPr>
        <w:t>本</w:t>
      </w:r>
      <w:r>
        <w:rPr>
          <w:spacing w:val="-5"/>
          <w:w w:val="101"/>
        </w:rPr>
        <w:t>企</w:t>
      </w:r>
      <w:r>
        <w:rPr>
          <w:w w:val="101"/>
        </w:rPr>
        <w:t>业</w:t>
      </w:r>
      <w:r>
        <w:rPr>
          <w:spacing w:val="-5"/>
          <w:w w:val="101"/>
        </w:rPr>
        <w:t>子</w:t>
      </w:r>
      <w:r>
        <w:rPr>
          <w:w w:val="101"/>
        </w:rPr>
        <w:t>公</w:t>
      </w:r>
      <w:r>
        <w:rPr>
          <w:spacing w:val="-5"/>
          <w:w w:val="101"/>
        </w:rPr>
        <w:t>司</w:t>
      </w:r>
      <w:r>
        <w:rPr>
          <w:w w:val="101"/>
        </w:rPr>
        <w:t>的</w:t>
      </w:r>
      <w:r>
        <w:rPr>
          <w:spacing w:val="-5"/>
          <w:w w:val="101"/>
        </w:rPr>
        <w:t>情</w:t>
      </w:r>
      <w:r>
        <w:rPr>
          <w:w w:val="101"/>
        </w:rPr>
        <w:t>况</w:t>
      </w:r>
      <w:r>
        <w:rPr>
          <w:spacing w:val="-5"/>
          <w:w w:val="101"/>
        </w:rPr>
        <w:t>详</w:t>
      </w:r>
      <w:r>
        <w:rPr>
          <w:w w:val="101"/>
        </w:rPr>
        <w:t>见</w:t>
      </w:r>
      <w:r>
        <w:rPr>
          <w:spacing w:val="-5"/>
          <w:w w:val="101"/>
        </w:rPr>
        <w:t>附</w:t>
      </w:r>
      <w:r>
        <w:rPr>
          <w:w w:val="101"/>
        </w:rPr>
        <w:t>注</w:t>
      </w:r>
      <w:r>
        <w:rPr>
          <w:spacing w:val="-5"/>
          <w:w w:val="101"/>
        </w:rPr>
        <w:t>本</w:t>
      </w:r>
      <w:r>
        <w:rPr>
          <w:spacing w:val="-1"/>
          <w:w w:val="101"/>
        </w:rPr>
        <w:t>节</w:t>
      </w:r>
      <w:r>
        <w:rPr>
          <w:rFonts w:ascii="宋体" w:hAnsi="宋体" w:cs="宋体" w:eastAsia="宋体" w:hint="default"/>
          <w:spacing w:val="-5"/>
          <w:w w:val="101"/>
        </w:rPr>
        <w:t>“</w:t>
      </w:r>
      <w:r>
        <w:rPr>
          <w:w w:val="101"/>
        </w:rPr>
        <w:t>九</w:t>
      </w:r>
      <w:r>
        <w:rPr>
          <w:spacing w:val="-5"/>
          <w:w w:val="101"/>
        </w:rPr>
        <w:t>、</w:t>
      </w:r>
      <w:r>
        <w:rPr>
          <w:w w:val="101"/>
        </w:rPr>
        <w:t>在</w:t>
      </w:r>
      <w:r>
        <w:rPr>
          <w:spacing w:val="-5"/>
          <w:w w:val="101"/>
        </w:rPr>
        <w:t>其</w:t>
      </w:r>
      <w:r>
        <w:rPr>
          <w:w w:val="101"/>
        </w:rPr>
        <w:t>他</w:t>
      </w:r>
      <w:r>
        <w:rPr>
          <w:spacing w:val="-5"/>
          <w:w w:val="101"/>
        </w:rPr>
        <w:t>主</w:t>
      </w:r>
      <w:r>
        <w:rPr>
          <w:w w:val="101"/>
        </w:rPr>
        <w:t>体</w:t>
      </w:r>
      <w:r>
        <w:rPr>
          <w:spacing w:val="-5"/>
          <w:w w:val="101"/>
        </w:rPr>
        <w:t>中</w:t>
      </w:r>
      <w:r>
        <w:rPr>
          <w:w w:val="101"/>
        </w:rPr>
        <w:t>的</w:t>
      </w:r>
      <w:r>
        <w:rPr>
          <w:spacing w:val="-5"/>
          <w:w w:val="101"/>
        </w:rPr>
        <w:t>权益</w:t>
      </w:r>
      <w:r>
        <w:rPr>
          <w:rFonts w:ascii="宋体" w:hAnsi="宋体" w:cs="宋体" w:eastAsia="宋体" w:hint="default"/>
          <w:w w:val="101"/>
        </w:rPr>
        <w:t>”</w:t>
      </w:r>
      <w:r>
        <w:rPr>
          <w:spacing w:val="-6"/>
          <w:w w:val="101"/>
        </w:rPr>
        <w:t>之</w:t>
      </w:r>
      <w:r>
        <w:rPr>
          <w:rFonts w:ascii="宋体" w:hAnsi="宋体" w:cs="宋体" w:eastAsia="宋体" w:hint="default"/>
          <w:spacing w:val="-92"/>
          <w:w w:val="101"/>
        </w:rPr>
        <w:t>“</w:t>
      </w:r>
      <w:r>
        <w:rPr>
          <w:w w:val="101"/>
        </w:rPr>
        <w:t>（</w:t>
      </w:r>
      <w:r>
        <w:rPr>
          <w:rFonts w:ascii="Times New Roman" w:hAnsi="Times New Roman" w:cs="Times New Roman" w:eastAsia="Times New Roman" w:hint="default"/>
          <w:spacing w:val="-5"/>
          <w:w w:val="101"/>
        </w:rPr>
        <w:t>1</w:t>
      </w:r>
      <w:r>
        <w:rPr>
          <w:w w:val="101"/>
        </w:rPr>
        <w:t>）</w:t>
      </w:r>
      <w:r>
        <w:rPr>
          <w:spacing w:val="-5"/>
          <w:w w:val="101"/>
        </w:rPr>
        <w:t>企</w:t>
      </w:r>
      <w:r>
        <w:rPr>
          <w:w w:val="101"/>
        </w:rPr>
        <w:t>业</w:t>
      </w:r>
      <w:r>
        <w:rPr>
          <w:spacing w:val="-5"/>
          <w:w w:val="101"/>
        </w:rPr>
        <w:t>集</w:t>
      </w:r>
      <w:r>
        <w:rPr>
          <w:w w:val="101"/>
        </w:rPr>
        <w:t>团</w:t>
      </w:r>
      <w:r>
        <w:rPr>
          <w:spacing w:val="-5"/>
          <w:w w:val="101"/>
        </w:rPr>
        <w:t>的</w:t>
      </w:r>
      <w:r>
        <w:rPr>
          <w:w w:val="101"/>
        </w:rPr>
        <w:t>构成</w:t>
      </w:r>
      <w:r>
        <w:rPr>
          <w:rFonts w:ascii="宋体" w:hAnsi="宋体" w:cs="宋体" w:eastAsia="宋体" w:hint="default"/>
          <w:spacing w:val="-97"/>
          <w:w w:val="101"/>
        </w:rPr>
        <w:t>”</w:t>
      </w:r>
      <w:r>
        <w:rPr>
          <w:w w:val="101"/>
        </w:rPr>
        <w:t>。</w:t>
      </w:r>
      <w:r>
        <w:rPr/>
      </w:r>
    </w:p>
    <w:p>
      <w:pPr>
        <w:spacing w:after="0" w:line="240" w:lineRule="auto"/>
        <w:jc w:val="left"/>
        <w:sectPr>
          <w:pgSz w:w="11910" w:h="16840"/>
          <w:pgMar w:header="914" w:footer="1027" w:top="1100" w:bottom="1220" w:left="980" w:right="920"/>
        </w:sectPr>
      </w:pPr>
    </w:p>
    <w:p>
      <w:pPr>
        <w:spacing w:line="240" w:lineRule="auto" w:before="13"/>
        <w:rPr>
          <w:rFonts w:ascii="宋体" w:hAnsi="宋体" w:cs="宋体" w:eastAsia="宋体" w:hint="default"/>
          <w:sz w:val="21"/>
          <w:szCs w:val="21"/>
        </w:rPr>
      </w:pPr>
    </w:p>
    <w:p>
      <w:pPr>
        <w:pStyle w:val="Heading4"/>
        <w:spacing w:line="240" w:lineRule="auto" w:before="36"/>
        <w:ind w:right="6663"/>
        <w:jc w:val="left"/>
        <w:rPr>
          <w:b w:val="0"/>
          <w:bCs w:val="0"/>
        </w:rPr>
      </w:pPr>
      <w:bookmarkStart w:name="3、本企业合营和联营企业情况" w:id="333"/>
      <w:bookmarkEnd w:id="33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spacing w:val="-3"/>
        </w:rPr>
        <w:t>本企业重要的合营或联营企业详见附注。</w:t>
      </w:r>
    </w:p>
    <w:p>
      <w:pPr>
        <w:spacing w:line="240" w:lineRule="auto" w:before="0"/>
        <w:rPr>
          <w:rFonts w:ascii="宋体" w:hAnsi="宋体" w:cs="宋体" w:eastAsia="宋体" w:hint="default"/>
          <w:sz w:val="18"/>
          <w:szCs w:val="18"/>
        </w:rPr>
      </w:pPr>
    </w:p>
    <w:p>
      <w:pPr>
        <w:pStyle w:val="Heading4"/>
        <w:spacing w:line="240" w:lineRule="auto" w:before="118"/>
        <w:ind w:right="6663"/>
        <w:jc w:val="left"/>
        <w:rPr>
          <w:b w:val="0"/>
          <w:bCs w:val="0"/>
        </w:rPr>
      </w:pPr>
      <w:bookmarkStart w:name="4、其他关联方情况" w:id="334"/>
      <w:bookmarkEnd w:id="33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363"/>
        <w:gridCol w:w="5203"/>
      </w:tblGrid>
      <w:tr>
        <w:trPr>
          <w:trHeight w:val="408" w:hRule="exact"/>
        </w:trPr>
        <w:tc>
          <w:tcPr>
            <w:tcW w:w="4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r>
              <w:rPr>
                <w:rFonts w:ascii="宋体" w:hAnsi="宋体" w:cs="宋体" w:eastAsia="宋体" w:hint="default"/>
                <w:sz w:val="18"/>
                <w:szCs w:val="18"/>
              </w:rPr>
            </w:r>
          </w:p>
        </w:tc>
        <w:tc>
          <w:tcPr>
            <w:tcW w:w="5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r>
              <w:rPr>
                <w:rFonts w:ascii="宋体" w:hAnsi="宋体" w:cs="宋体" w:eastAsia="宋体" w:hint="default"/>
                <w:sz w:val="18"/>
                <w:szCs w:val="18"/>
              </w:rPr>
            </w:r>
          </w:p>
        </w:tc>
      </w:tr>
      <w:tr>
        <w:trPr>
          <w:trHeight w:val="413" w:hRule="exact"/>
        </w:trPr>
        <w:tc>
          <w:tcPr>
            <w:tcW w:w="43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中南大学</w:t>
            </w:r>
          </w:p>
        </w:tc>
        <w:tc>
          <w:tcPr>
            <w:tcW w:w="52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21"/>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以上股东中南大学资产经营管理有限公司的母公司</w:t>
            </w:r>
            <w:r>
              <w:rPr>
                <w:rFonts w:ascii="宋体" w:hAnsi="宋体" w:cs="宋体" w:eastAsia="宋体" w:hint="default"/>
                <w:sz w:val="18"/>
                <w:szCs w:val="18"/>
              </w:rPr>
            </w:r>
          </w:p>
        </w:tc>
      </w:tr>
    </w:tbl>
    <w:p>
      <w:pPr>
        <w:spacing w:line="240" w:lineRule="auto" w:before="7"/>
        <w:rPr>
          <w:rFonts w:ascii="宋体" w:hAnsi="宋体" w:cs="宋体" w:eastAsia="宋体" w:hint="default"/>
          <w:b/>
          <w:bCs/>
          <w:sz w:val="19"/>
          <w:szCs w:val="19"/>
        </w:rPr>
      </w:pPr>
    </w:p>
    <w:p>
      <w:pPr>
        <w:pStyle w:val="Heading4"/>
        <w:spacing w:line="240" w:lineRule="auto" w:before="36"/>
        <w:ind w:right="6663"/>
        <w:jc w:val="left"/>
        <w:rPr>
          <w:b w:val="0"/>
          <w:bCs w:val="0"/>
        </w:rPr>
      </w:pPr>
      <w:bookmarkStart w:name="5、关联交易情况" w:id="335"/>
      <w:bookmarkEnd w:id="33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购销商品、提供和接受劳务的关联交易" w:id="336"/>
      <w:bookmarkEnd w:id="33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right="666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11"/>
        <w:ind w:left="0" w:right="186"/>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4"/>
        <w:gridCol w:w="1704"/>
        <w:gridCol w:w="1709"/>
        <w:gridCol w:w="1709"/>
      </w:tblGrid>
      <w:tr>
        <w:trPr>
          <w:trHeight w:val="413"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pacing w:val="-4"/>
                <w:sz w:val="18"/>
                <w:szCs w:val="18"/>
              </w:rPr>
              <w:t>关联方</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68" w:right="0"/>
              <w:jc w:val="left"/>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03" w:right="0"/>
              <w:jc w:val="left"/>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154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7" w:right="0"/>
              <w:jc w:val="left"/>
              <w:rPr>
                <w:rFonts w:ascii="Times New Roman" w:hAnsi="Times New Roman" w:cs="Times New Roman" w:eastAsia="Times New Roman" w:hint="default"/>
                <w:sz w:val="18"/>
                <w:szCs w:val="18"/>
              </w:rPr>
            </w:pPr>
            <w:r>
              <w:rPr>
                <w:rFonts w:ascii="Times New Roman"/>
                <w:sz w:val="18"/>
              </w:rPr>
              <w:t>326,508.00</w:t>
            </w:r>
          </w:p>
        </w:tc>
      </w:tr>
    </w:tbl>
    <w:p>
      <w:pPr>
        <w:pStyle w:val="BodyText"/>
        <w:spacing w:line="240" w:lineRule="auto" w:before="58"/>
        <w:ind w:right="666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11"/>
        <w:ind w:left="0" w:right="186"/>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5"/>
        <w:gridCol w:w="2261"/>
        <w:gridCol w:w="2261"/>
        <w:gridCol w:w="2650"/>
      </w:tblGrid>
      <w:tr>
        <w:trPr>
          <w:trHeight w:val="413" w:hRule="exact"/>
        </w:trPr>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pacing w:val="-4"/>
                <w:sz w:val="18"/>
                <w:szCs w:val="18"/>
              </w:rPr>
              <w:t>关联方</w:t>
            </w:r>
            <w:r>
              <w:rPr>
                <w:rFonts w:ascii="宋体" w:hAnsi="宋体" w:cs="宋体" w:eastAsia="宋体" w:hint="default"/>
                <w:sz w:val="18"/>
                <w:szCs w:val="18"/>
              </w:rPr>
            </w:r>
          </w:p>
        </w:tc>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676" w:right="0"/>
              <w:jc w:val="left"/>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868" w:right="0"/>
              <w:jc w:val="left"/>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23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60"/>
              <w:jc w:val="center"/>
              <w:rPr>
                <w:rFonts w:ascii="宋体" w:hAnsi="宋体" w:cs="宋体" w:eastAsia="宋体" w:hint="default"/>
                <w:sz w:val="18"/>
                <w:szCs w:val="18"/>
              </w:rPr>
            </w:pPr>
            <w:r>
              <w:rPr>
                <w:rFonts w:ascii="宋体" w:hAnsi="宋体" w:cs="宋体" w:eastAsia="宋体" w:hint="default"/>
                <w:spacing w:val="-3"/>
                <w:sz w:val="18"/>
                <w:szCs w:val="18"/>
              </w:rPr>
              <w:t>系统集成、信息技术服务</w:t>
            </w:r>
            <w:r>
              <w:rPr>
                <w:rFonts w:ascii="宋体" w:hAnsi="宋体" w:cs="宋体" w:eastAsia="宋体" w:hint="default"/>
                <w:sz w:val="18"/>
                <w:szCs w:val="18"/>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04" w:right="0"/>
              <w:jc w:val="left"/>
              <w:rPr>
                <w:rFonts w:ascii="Times New Roman" w:hAnsi="Times New Roman" w:cs="Times New Roman" w:eastAsia="Times New Roman" w:hint="default"/>
                <w:sz w:val="18"/>
                <w:szCs w:val="18"/>
              </w:rPr>
            </w:pPr>
            <w:r>
              <w:rPr>
                <w:rFonts w:ascii="Times New Roman"/>
                <w:sz w:val="18"/>
              </w:rPr>
              <w:t>1,495,889.37</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02" w:right="0"/>
              <w:jc w:val="left"/>
              <w:rPr>
                <w:rFonts w:ascii="Times New Roman" w:hAnsi="Times New Roman" w:cs="Times New Roman" w:eastAsia="Times New Roman" w:hint="default"/>
                <w:sz w:val="18"/>
                <w:szCs w:val="18"/>
              </w:rPr>
            </w:pPr>
            <w:r>
              <w:rPr>
                <w:rFonts w:ascii="Times New Roman"/>
                <w:sz w:val="18"/>
              </w:rPr>
              <w:t>19,504,451.82</w:t>
            </w:r>
          </w:p>
        </w:tc>
      </w:tr>
    </w:tbl>
    <w:p>
      <w:pPr>
        <w:pStyle w:val="BodyText"/>
        <w:spacing w:line="362" w:lineRule="auto" w:before="58"/>
        <w:ind w:left="512" w:right="0" w:hanging="361"/>
        <w:jc w:val="left"/>
      </w:pPr>
      <w:r>
        <w:rPr>
          <w:spacing w:val="-3"/>
        </w:rPr>
        <w:t>购销商品、提供和接受劳务的关联交易说明</w:t>
      </w:r>
      <w:r>
        <w:rPr>
          <w:spacing w:val="-38"/>
        </w:rPr>
        <w:t> </w:t>
      </w:r>
      <w:r>
        <w:rPr>
          <w:spacing w:val="-38"/>
        </w:rPr>
      </w:r>
      <w:r>
        <w:rPr>
          <w:spacing w:val="-4"/>
        </w:rPr>
        <w:t>中南大学为公司股东中南大学资产经营有限公司的股东，持有中南大学资产经营有限公司</w:t>
      </w:r>
      <w:r>
        <w:rPr>
          <w:rFonts w:ascii="宋体" w:hAnsi="宋体" w:cs="宋体" w:eastAsia="宋体" w:hint="default"/>
          <w:spacing w:val="-4"/>
        </w:rPr>
        <w:t>100%</w:t>
      </w:r>
      <w:r>
        <w:rPr>
          <w:spacing w:val="-4"/>
        </w:rPr>
        <w:t>的股权。中南大学资产经</w:t>
      </w:r>
    </w:p>
    <w:p>
      <w:pPr>
        <w:pStyle w:val="BodyText"/>
        <w:spacing w:line="328" w:lineRule="auto"/>
        <w:ind w:left="512" w:right="0" w:hanging="361"/>
        <w:jc w:val="left"/>
      </w:pPr>
      <w:r>
        <w:rPr>
          <w:spacing w:val="-3"/>
        </w:rPr>
        <w:t>营有限公司持有本公司</w:t>
      </w:r>
      <w:r>
        <w:rPr>
          <w:rFonts w:ascii="宋体" w:hAnsi="宋体" w:cs="宋体" w:eastAsia="宋体" w:hint="default"/>
          <w:spacing w:val="-3"/>
        </w:rPr>
        <w:t>697.91</w:t>
      </w:r>
      <w:r>
        <w:rPr>
          <w:spacing w:val="-3"/>
        </w:rPr>
        <w:t>万股股权，占公司股本的</w:t>
      </w:r>
      <w:r>
        <w:rPr>
          <w:rFonts w:ascii="宋体" w:hAnsi="宋体" w:cs="宋体" w:eastAsia="宋体" w:hint="default"/>
          <w:spacing w:val="-3"/>
        </w:rPr>
        <w:t>7.51%</w:t>
      </w:r>
      <w:r>
        <w:rPr>
          <w:spacing w:val="-3"/>
        </w:rPr>
        <w:t>。因此，中南大学与本公司构成关联关系。</w:t>
      </w:r>
      <w:r>
        <w:rPr>
          <w:spacing w:val="56"/>
        </w:rPr>
        <w:t> </w:t>
      </w:r>
      <w:r>
        <w:rPr>
          <w:rFonts w:ascii="宋体" w:hAnsi="宋体" w:cs="宋体" w:eastAsia="宋体" w:hint="default"/>
          <w:spacing w:val="56"/>
        </w:rPr>
      </w:r>
      <w:r>
        <w:rPr>
          <w:spacing w:val="-4"/>
        </w:rPr>
        <w:t>中南大学向公司采购信息技术服务、系统集成等，主要是基于公司雄厚的软件研发实力与丰富的行业经验，以及良好的</w:t>
      </w:r>
    </w:p>
    <w:p>
      <w:pPr>
        <w:pStyle w:val="BodyText"/>
        <w:spacing w:line="328" w:lineRule="auto" w:before="19"/>
        <w:ind w:left="512" w:right="0" w:hanging="361"/>
        <w:jc w:val="left"/>
      </w:pPr>
      <w:r>
        <w:rPr>
          <w:spacing w:val="-3"/>
        </w:rPr>
        <w:t>服务信誉，公司在业内具有较高的影响力。</w:t>
      </w:r>
      <w:r>
        <w:rPr>
          <w:spacing w:val="-38"/>
        </w:rPr>
        <w:t> </w:t>
      </w:r>
      <w:r>
        <w:rPr>
          <w:rFonts w:ascii="宋体" w:hAnsi="宋体" w:cs="宋体" w:eastAsia="宋体" w:hint="default"/>
          <w:spacing w:val="-38"/>
        </w:rPr>
      </w:r>
      <w:r>
        <w:rPr>
          <w:spacing w:val="-4"/>
        </w:rPr>
        <w:t>公司所有的招投标项目均按照公司制订的《投标报价管理办法》进行报价，公司与中南大学的大额交易均按照有关规定</w:t>
      </w:r>
    </w:p>
    <w:p>
      <w:pPr>
        <w:pStyle w:val="BodyText"/>
        <w:spacing w:line="324" w:lineRule="auto" w:before="19"/>
        <w:ind w:left="512" w:right="0" w:hanging="361"/>
        <w:jc w:val="left"/>
      </w:pPr>
      <w:r>
        <w:rPr>
          <w:spacing w:val="-3"/>
        </w:rPr>
        <w:t>履行了招投标程序。</w:t>
      </w:r>
      <w:r>
        <w:rPr>
          <w:spacing w:val="-67"/>
        </w:rPr>
        <w:t> </w:t>
      </w:r>
      <w:r>
        <w:rPr>
          <w:rFonts w:ascii="宋体" w:hAnsi="宋体" w:cs="宋体" w:eastAsia="宋体" w:hint="default"/>
          <w:spacing w:val="-67"/>
        </w:rPr>
      </w:r>
      <w:r>
        <w:rPr>
          <w:spacing w:val="-3"/>
        </w:rPr>
        <w:t>公司为中南大学提供信息技术服务及系统集成等，是公司应客户实际需求提供专业服务的市场化经济行为，价格公允，</w:t>
      </w:r>
      <w:r>
        <w:rPr/>
      </w:r>
    </w:p>
    <w:p>
      <w:pPr>
        <w:pStyle w:val="BodyText"/>
        <w:spacing w:line="240" w:lineRule="auto" w:before="23"/>
        <w:ind w:right="0"/>
        <w:jc w:val="left"/>
        <w:rPr>
          <w:rFonts w:ascii="宋体" w:hAnsi="宋体" w:cs="宋体" w:eastAsia="宋体" w:hint="default"/>
        </w:rPr>
      </w:pPr>
      <w:r>
        <w:rPr>
          <w:spacing w:val="-3"/>
        </w:rPr>
        <w:t>不存在利用关联交易转移利润及其他损害公司利益或股东权益的情形。</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6663"/>
        <w:jc w:val="left"/>
        <w:rPr>
          <w:b w:val="0"/>
          <w:bCs w:val="0"/>
        </w:rPr>
      </w:pPr>
      <w:bookmarkStart w:name="（2）关联担保情况" w:id="337"/>
      <w:bookmarkEnd w:id="337"/>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6663"/>
        <w:jc w:val="left"/>
      </w:pPr>
      <w:r>
        <w:rPr>
          <w:spacing w:val="-3"/>
        </w:rPr>
        <w:t>本公司作为被担保方</w:t>
      </w:r>
      <w:r>
        <w:rPr/>
      </w:r>
    </w:p>
    <w:p>
      <w:pPr>
        <w:pStyle w:val="BodyText"/>
        <w:spacing w:line="240" w:lineRule="auto" w:before="129"/>
        <w:ind w:left="0" w:right="18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30"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79"/>
              <w:jc w:val="right"/>
              <w:rPr>
                <w:rFonts w:ascii="宋体" w:hAnsi="宋体" w:cs="宋体" w:eastAsia="宋体" w:hint="default"/>
                <w:sz w:val="18"/>
                <w:szCs w:val="18"/>
              </w:rPr>
            </w:pPr>
            <w:r>
              <w:rPr>
                <w:rFonts w:ascii="宋体" w:hAnsi="宋体" w:cs="宋体" w:eastAsia="宋体" w:hint="default"/>
                <w:spacing w:val="-4"/>
                <w:sz w:val="18"/>
                <w:szCs w:val="18"/>
              </w:rPr>
              <w:t>担保方</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担保起始日</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担保到期日</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863" w:right="141" w:hanging="720"/>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毕</w:t>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679"/>
              <w:jc w:val="right"/>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40,000,000.00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13" w:hRule="exact"/>
        </w:trPr>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679"/>
              <w:jc w:val="right"/>
              <w:rPr>
                <w:rFonts w:ascii="宋体" w:hAnsi="宋体" w:cs="宋体" w:eastAsia="宋体" w:hint="default"/>
                <w:sz w:val="18"/>
                <w:szCs w:val="18"/>
              </w:rPr>
            </w:pPr>
            <w:r>
              <w:rPr>
                <w:rFonts w:ascii="宋体" w:hAnsi="宋体" w:cs="宋体" w:eastAsia="宋体" w:hint="default"/>
                <w:spacing w:val="-4"/>
                <w:sz w:val="18"/>
                <w:szCs w:val="18"/>
              </w:rPr>
              <w:t>费耀平</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60,000,000.00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8"/>
        <w:ind w:right="6663"/>
        <w:jc w:val="left"/>
      </w:pPr>
      <w:r>
        <w:rPr/>
        <w:t>关联担保情况说明</w:t>
      </w:r>
    </w:p>
    <w:p>
      <w:pPr>
        <w:spacing w:after="0" w:line="240" w:lineRule="auto"/>
        <w:jc w:val="left"/>
        <w:sectPr>
          <w:pgSz w:w="11910" w:h="16840"/>
          <w:pgMar w:header="914" w:footer="1027" w:top="1100" w:bottom="1220" w:left="980" w:right="940"/>
        </w:sectPr>
      </w:pPr>
    </w:p>
    <w:p>
      <w:pPr>
        <w:spacing w:line="240" w:lineRule="auto" w:before="2"/>
        <w:rPr>
          <w:rFonts w:ascii="宋体" w:hAnsi="宋体" w:cs="宋体" w:eastAsia="宋体" w:hint="default"/>
          <w:sz w:val="23"/>
          <w:szCs w:val="23"/>
        </w:rPr>
      </w:pPr>
    </w:p>
    <w:p>
      <w:pPr>
        <w:pStyle w:val="BodyText"/>
        <w:spacing w:line="309" w:lineRule="auto" w:before="46"/>
        <w:ind w:left="153" w:right="185" w:firstLine="359"/>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22</w:t>
      </w:r>
      <w:r>
        <w:rPr>
          <w:spacing w:val="-4"/>
        </w:rPr>
        <w:t>日，本公司董事长费耀平向交通银行股份有限公司湖南省分行出具了编号为</w:t>
      </w:r>
      <w:r>
        <w:rPr>
          <w:rFonts w:ascii="宋体" w:hAnsi="宋体" w:cs="宋体" w:eastAsia="宋体" w:hint="default"/>
          <w:spacing w:val="-4"/>
        </w:rPr>
        <w:t>“</w:t>
      </w:r>
      <w:r>
        <w:rPr>
          <w:rFonts w:ascii="Times New Roman" w:hAnsi="Times New Roman" w:cs="Times New Roman" w:eastAsia="Times New Roman" w:hint="default"/>
          <w:spacing w:val="-4"/>
        </w:rPr>
        <w:t>4312802015AM00000100</w:t>
      </w:r>
      <w:r>
        <w:rPr>
          <w:rFonts w:ascii="宋体" w:hAnsi="宋体" w:cs="宋体" w:eastAsia="宋体" w:hint="default"/>
          <w:spacing w:val="-4"/>
        </w:rPr>
        <w:t>”</w:t>
      </w:r>
      <w:r>
        <w:rPr>
          <w:rFonts w:ascii="宋体" w:hAnsi="宋体" w:cs="宋体" w:eastAsia="宋体" w:hint="default"/>
          <w:spacing w:val="5"/>
        </w:rPr>
        <w:t> </w:t>
      </w:r>
      <w:r>
        <w:rPr/>
        <w:t>最</w:t>
      </w:r>
      <w:r>
        <w:rPr>
          <w:w w:val="101"/>
        </w:rPr>
        <w:t> </w:t>
      </w:r>
      <w:r>
        <w:rPr>
          <w:spacing w:val="-3"/>
        </w:rPr>
        <w:t>高额保证合同，为该行向本公司提供的最高额度为</w:t>
      </w:r>
      <w:r>
        <w:rPr>
          <w:rFonts w:ascii="Times New Roman" w:hAnsi="Times New Roman" w:cs="Times New Roman" w:eastAsia="Times New Roman" w:hint="default"/>
          <w:spacing w:val="-3"/>
        </w:rPr>
        <w:t>4,000</w:t>
      </w:r>
      <w:r>
        <w:rPr>
          <w:spacing w:val="-3"/>
        </w:rPr>
        <w:t>万元人民币的授信提供连带责任保证，授信期间为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22</w:t>
      </w:r>
      <w:r>
        <w:rPr>
          <w:spacing w:val="-3"/>
        </w:rPr>
        <w:t>日至</w:t>
      </w:r>
      <w:r>
        <w:rPr>
          <w:spacing w:val="4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w:t>
      </w:r>
    </w:p>
    <w:p>
      <w:pPr>
        <w:pStyle w:val="BodyText"/>
        <w:spacing w:line="307" w:lineRule="auto" w:before="134"/>
        <w:ind w:left="153" w:right="0" w:firstLine="359"/>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9</w:t>
      </w:r>
      <w:r>
        <w:rPr>
          <w:spacing w:val="-5"/>
        </w:rPr>
        <w:t>日，本公司董事长费耀平向上海浦东发展银行股份有限公司长沙分行出具了编号为</w:t>
      </w:r>
      <w:r>
        <w:rPr>
          <w:rFonts w:ascii="宋体" w:hAnsi="宋体" w:cs="宋体" w:eastAsia="宋体" w:hint="default"/>
          <w:spacing w:val="-5"/>
        </w:rPr>
        <w:t>“</w:t>
      </w:r>
      <w:r>
        <w:rPr>
          <w:rFonts w:ascii="Times New Roman" w:hAnsi="Times New Roman" w:cs="Times New Roman" w:eastAsia="Times New Roman" w:hint="default"/>
          <w:spacing w:val="-5"/>
        </w:rPr>
        <w:t>ZB6610201700000025</w:t>
      </w:r>
      <w:r>
        <w:rPr>
          <w:rFonts w:ascii="宋体" w:hAnsi="宋体" w:cs="宋体" w:eastAsia="宋体" w:hint="default"/>
          <w:spacing w:val="-5"/>
        </w:rPr>
        <w:t>”</w:t>
      </w:r>
      <w:r>
        <w:rPr>
          <w:rFonts w:ascii="宋体" w:hAnsi="宋体" w:cs="宋体" w:eastAsia="宋体" w:hint="default"/>
          <w:w w:val="101"/>
        </w:rPr>
        <w:t> </w:t>
      </w:r>
      <w:r>
        <w:rPr>
          <w:spacing w:val="-3"/>
        </w:rPr>
        <w:t>最高额保证合同，为该行向本公司提供的最高额度为</w:t>
      </w:r>
      <w:r>
        <w:rPr>
          <w:rFonts w:ascii="Times New Roman" w:hAnsi="Times New Roman" w:cs="Times New Roman" w:eastAsia="Times New Roman" w:hint="default"/>
          <w:spacing w:val="-3"/>
        </w:rPr>
        <w:t>6,000</w:t>
      </w:r>
      <w:r>
        <w:rPr>
          <w:spacing w:val="-3"/>
        </w:rPr>
        <w:t>万元人民币的授信提供连带责任保证，授信期间为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9</w:t>
      </w:r>
      <w:r>
        <w:rPr>
          <w:spacing w:val="-3"/>
        </w:rPr>
        <w:t>日</w:t>
      </w:r>
      <w:r>
        <w:rPr>
          <w:spacing w:val="49"/>
        </w:rPr>
        <w:t> </w:t>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w:t>
      </w:r>
    </w:p>
    <w:p>
      <w:pPr>
        <w:pStyle w:val="BodyText"/>
        <w:spacing w:line="328" w:lineRule="auto" w:before="136"/>
        <w:ind w:left="153" w:right="0" w:firstLine="360"/>
        <w:jc w:val="left"/>
      </w:pPr>
      <w:r>
        <w:rPr>
          <w:spacing w:val="-4"/>
        </w:rPr>
        <w:t>上述担保均为公司法定代表人、董事长费耀平先生为公司向银行申请授信或贷款提供个人信用担保，所有担保均为无偿</w:t>
      </w:r>
      <w:r>
        <w:rPr>
          <w:w w:val="101"/>
        </w:rPr>
        <w:t> </w:t>
      </w:r>
      <w:r>
        <w:rPr>
          <w:spacing w:val="-3"/>
        </w:rPr>
        <w:t>担保，不存在损害公司及其他股东利益的情况，也不存在违反相关法律法规的情形。</w:t>
      </w:r>
    </w:p>
    <w:p>
      <w:pPr>
        <w:spacing w:line="240" w:lineRule="auto" w:before="9"/>
        <w:rPr>
          <w:rFonts w:ascii="宋体" w:hAnsi="宋体" w:cs="宋体" w:eastAsia="宋体" w:hint="default"/>
          <w:sz w:val="22"/>
          <w:szCs w:val="22"/>
        </w:rPr>
      </w:pPr>
    </w:p>
    <w:p>
      <w:pPr>
        <w:pStyle w:val="Heading4"/>
        <w:spacing w:line="240" w:lineRule="auto"/>
        <w:ind w:right="6663"/>
        <w:jc w:val="left"/>
        <w:rPr>
          <w:b w:val="0"/>
          <w:bCs w:val="0"/>
        </w:rPr>
      </w:pPr>
      <w:bookmarkStart w:name="（3）关键管理人员报酬" w:id="338"/>
      <w:bookmarkEnd w:id="33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0" w:right="18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2,523,048.10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2,044,070.00</w:t>
            </w:r>
          </w:p>
        </w:tc>
      </w:tr>
    </w:tbl>
    <w:p>
      <w:pPr>
        <w:spacing w:line="240" w:lineRule="auto" w:before="7"/>
        <w:rPr>
          <w:rFonts w:ascii="宋体" w:hAnsi="宋体" w:cs="宋体" w:eastAsia="宋体" w:hint="default"/>
          <w:sz w:val="19"/>
          <w:szCs w:val="19"/>
        </w:rPr>
      </w:pPr>
    </w:p>
    <w:p>
      <w:pPr>
        <w:pStyle w:val="Heading4"/>
        <w:spacing w:line="240" w:lineRule="auto" w:before="36"/>
        <w:ind w:right="6663"/>
        <w:jc w:val="left"/>
        <w:rPr>
          <w:b w:val="0"/>
          <w:bCs w:val="0"/>
        </w:rPr>
      </w:pPr>
      <w:bookmarkStart w:name="6、关联方应收应付款项" w:id="339"/>
      <w:bookmarkEnd w:id="33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6663"/>
        <w:jc w:val="left"/>
        <w:rPr>
          <w:b w:val="0"/>
          <w:bCs w:val="0"/>
        </w:rPr>
      </w:pPr>
      <w:bookmarkStart w:name="（1）应收项目" w:id="340"/>
      <w:bookmarkEnd w:id="34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8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8" w:hRule="exact"/>
        </w:trPr>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pacing w:val="-4"/>
                <w:sz w:val="18"/>
                <w:szCs w:val="18"/>
              </w:rPr>
              <w:t>关联方</w:t>
            </w:r>
            <w:r>
              <w:rPr>
                <w:rFonts w:ascii="宋体" w:hAnsi="宋体" w:cs="宋体" w:eastAsia="宋体" w:hint="default"/>
                <w:sz w:val="18"/>
                <w:szCs w:val="18"/>
              </w:rPr>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1594" w:type="dxa"/>
            <w:vMerge/>
            <w:tcBorders>
              <w:left w:val="single" w:sz="4" w:space="0" w:color="000000"/>
              <w:bottom w:val="single" w:sz="4" w:space="0" w:color="000000"/>
              <w:right w:val="single" w:sz="4" w:space="0" w:color="000000"/>
            </w:tcBorders>
            <w:shd w:val="clear" w:color="auto" w:fill="D4D4D4"/>
          </w:tcPr>
          <w:p>
            <w:pPr/>
          </w:p>
        </w:tc>
        <w:tc>
          <w:tcPr>
            <w:tcW w:w="1598"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3"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429,000.00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298,162.50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14,908.13</w:t>
            </w: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宋体" w:hAnsi="宋体" w:cs="宋体" w:eastAsia="宋体" w:hint="default"/>
                <w:sz w:val="18"/>
                <w:szCs w:val="18"/>
              </w:rPr>
            </w:r>
          </w:p>
        </w:tc>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837,840.00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167,568.00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837,840.00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83,784.00</w:t>
            </w:r>
          </w:p>
        </w:tc>
      </w:tr>
    </w:tbl>
    <w:p>
      <w:pPr>
        <w:spacing w:line="240" w:lineRule="auto" w:before="5"/>
        <w:rPr>
          <w:rFonts w:ascii="宋体" w:hAnsi="宋体" w:cs="宋体" w:eastAsia="宋体" w:hint="default"/>
          <w:sz w:val="18"/>
          <w:szCs w:val="18"/>
        </w:rPr>
      </w:pPr>
    </w:p>
    <w:p>
      <w:pPr>
        <w:pStyle w:val="Heading2"/>
        <w:spacing w:line="240" w:lineRule="auto" w:before="26"/>
        <w:ind w:right="6663"/>
        <w:jc w:val="left"/>
        <w:rPr>
          <w:b w:val="0"/>
          <w:bCs w:val="0"/>
        </w:rPr>
      </w:pPr>
      <w:bookmarkStart w:name="十三、股份支付" w:id="341"/>
      <w:bookmarkEnd w:id="341"/>
      <w:r>
        <w:rPr>
          <w:b w:val="0"/>
          <w:bCs w:val="0"/>
        </w:rPr>
      </w:r>
      <w:r>
        <w:rPr/>
        <w:t>十三、股份支付</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6663"/>
        <w:jc w:val="left"/>
        <w:rPr>
          <w:b w:val="0"/>
          <w:bCs w:val="0"/>
        </w:rPr>
      </w:pPr>
      <w:bookmarkStart w:name="1、股份支付总体情况" w:id="342"/>
      <w:bookmarkEnd w:id="34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6663"/>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6663"/>
        <w:jc w:val="left"/>
        <w:rPr>
          <w:b w:val="0"/>
          <w:bCs w:val="0"/>
        </w:rPr>
      </w:pPr>
      <w:bookmarkStart w:name="2、以权益结算的股份支付情况" w:id="343"/>
      <w:bookmarkEnd w:id="34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6663"/>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6663"/>
        <w:jc w:val="left"/>
        <w:rPr>
          <w:b w:val="0"/>
          <w:bCs w:val="0"/>
        </w:rPr>
      </w:pPr>
      <w:bookmarkStart w:name="3、以现金结算的股份支付情况" w:id="344"/>
      <w:bookmarkEnd w:id="34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6663"/>
        <w:jc w:val="left"/>
      </w:pPr>
      <w:r>
        <w:rPr/>
        <w:t>□ </w:t>
      </w:r>
      <w:r>
        <w:rPr>
          <w:spacing w:val="-3"/>
        </w:rPr>
        <w:t>适用 </w:t>
      </w:r>
      <w:r>
        <w:rPr/>
        <w:t>√</w:t>
      </w:r>
      <w:r>
        <w:rPr>
          <w:spacing w:val="13"/>
        </w:rPr>
        <w:t> </w:t>
      </w:r>
      <w:r>
        <w:rPr/>
        <w:t>不适用</w:t>
      </w:r>
    </w:p>
    <w:p>
      <w:pPr>
        <w:spacing w:after="0" w:line="240" w:lineRule="auto"/>
        <w:jc w:val="left"/>
        <w:sectPr>
          <w:pgSz w:w="11910" w:h="16840"/>
          <w:pgMar w:header="914" w:footer="1027" w:top="1100" w:bottom="1220" w:left="980" w:right="94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bookmarkStart w:name="十四、承诺及或有事项" w:id="345"/>
      <w:bookmarkEnd w:id="345"/>
      <w:r>
        <w:rPr>
          <w:b w:val="0"/>
          <w:bCs w:val="0"/>
        </w:rPr>
      </w:r>
      <w:r>
        <w:rPr/>
        <w:t>十四、承诺及或有事项</w:t>
      </w:r>
      <w:r>
        <w:rPr>
          <w:b w:val="0"/>
          <w:bCs w:val="0"/>
        </w:rPr>
      </w:r>
    </w:p>
    <w:p>
      <w:pPr>
        <w:spacing w:line="240" w:lineRule="auto" w:before="8"/>
        <w:rPr>
          <w:rFonts w:ascii="宋体" w:hAnsi="宋体" w:cs="宋体" w:eastAsia="宋体" w:hint="default"/>
          <w:b/>
          <w:bCs/>
          <w:sz w:val="25"/>
          <w:szCs w:val="25"/>
        </w:rPr>
      </w:pPr>
    </w:p>
    <w:p>
      <w:pPr>
        <w:pStyle w:val="Heading4"/>
        <w:spacing w:line="240" w:lineRule="auto"/>
        <w:ind w:right="0"/>
        <w:jc w:val="left"/>
        <w:rPr>
          <w:b w:val="0"/>
          <w:bCs w:val="0"/>
        </w:rPr>
      </w:pPr>
      <w:bookmarkStart w:name="1、重要承诺事项" w:id="346"/>
      <w:bookmarkEnd w:id="34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5"/>
        <w:rPr>
          <w:rFonts w:ascii="宋体" w:hAnsi="宋体" w:cs="宋体" w:eastAsia="宋体" w:hint="default"/>
          <w:b/>
          <w:bCs/>
          <w:sz w:val="27"/>
          <w:szCs w:val="27"/>
        </w:rPr>
      </w:pPr>
    </w:p>
    <w:p>
      <w:pPr>
        <w:pStyle w:val="BodyText"/>
        <w:spacing w:line="367" w:lineRule="auto"/>
        <w:ind w:right="5459"/>
        <w:jc w:val="left"/>
        <w:rPr>
          <w:rFonts w:ascii="宋体" w:hAnsi="宋体" w:cs="宋体" w:eastAsia="宋体" w:hint="default"/>
        </w:rPr>
      </w:pPr>
      <w:r>
        <w:rPr>
          <w:spacing w:val="-3"/>
        </w:rPr>
        <w:t>资产负债表日存在的重要承诺</w:t>
      </w:r>
      <w:r>
        <w:rPr>
          <w:spacing w:val="-55"/>
        </w:rPr>
        <w:t> </w:t>
      </w:r>
      <w:r>
        <w:rPr>
          <w:spacing w:val="-55"/>
        </w:rPr>
      </w:r>
      <w:r>
        <w:rPr>
          <w:spacing w:val="-3"/>
        </w:rPr>
        <w:t>截至资产负债表日，本公司无需要披露的承诺及事项。</w:t>
      </w:r>
      <w:r>
        <w:rPr>
          <w:rFonts w:ascii="宋体" w:hAnsi="宋体" w:cs="宋体" w:eastAsia="宋体" w:hint="default"/>
        </w:rPr>
        <w:t> </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或有事项" w:id="347"/>
      <w:bookmarkEnd w:id="34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资产负债表日存在的重要或有事项" w:id="348"/>
      <w:bookmarkEnd w:id="34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截至资产负债表日，本公司无需要披露的或有事项。</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2）公司没有需要披露的重要或有事项，也应予以说明" w:id="349"/>
      <w:bookmarkEnd w:id="34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spacing w:val="-3"/>
        </w:rPr>
        <w:t>公司不存在需要披露的重要或有事项。</w:t>
      </w:r>
      <w:r>
        <w:rPr/>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350"/>
      <w:bookmarkEnd w:id="350"/>
      <w:r>
        <w:rPr>
          <w:b w:val="0"/>
          <w:bCs w:val="0"/>
        </w:rPr>
      </w:r>
      <w:r>
        <w:rPr/>
        <w:t>十五、资产负债表日后事项</w:t>
      </w:r>
      <w:r>
        <w:rPr>
          <w:b w:val="0"/>
          <w:bCs w:val="0"/>
        </w:rPr>
      </w:r>
    </w:p>
    <w:p>
      <w:pPr>
        <w:spacing w:line="240" w:lineRule="auto" w:before="8"/>
        <w:rPr>
          <w:rFonts w:ascii="宋体" w:hAnsi="宋体" w:cs="宋体" w:eastAsia="宋体" w:hint="default"/>
          <w:b/>
          <w:bCs/>
          <w:sz w:val="25"/>
          <w:szCs w:val="25"/>
        </w:rPr>
      </w:pPr>
    </w:p>
    <w:p>
      <w:pPr>
        <w:pStyle w:val="Heading4"/>
        <w:spacing w:line="240" w:lineRule="auto"/>
        <w:ind w:right="0"/>
        <w:jc w:val="left"/>
        <w:rPr>
          <w:b w:val="0"/>
          <w:bCs w:val="0"/>
        </w:rPr>
      </w:pPr>
      <w:bookmarkStart w:name="利润分配情况" w:id="351"/>
      <w:bookmarkEnd w:id="351"/>
      <w:r>
        <w:rPr>
          <w:b w:val="0"/>
          <w:bCs w:val="0"/>
        </w:rPr>
      </w:r>
      <w:r>
        <w:rPr/>
        <w:t>利润分配情况</w:t>
      </w:r>
      <w:r>
        <w:rPr>
          <w:b w:val="0"/>
          <w:bCs w:val="0"/>
        </w:rPr>
      </w:r>
    </w:p>
    <w:p>
      <w:pPr>
        <w:spacing w:line="240" w:lineRule="auto" w:before="6"/>
        <w:rPr>
          <w:rFonts w:ascii="宋体" w:hAnsi="宋体" w:cs="宋体" w:eastAsia="宋体" w:hint="default"/>
          <w:b/>
          <w:bCs/>
          <w:sz w:val="25"/>
          <w:szCs w:val="25"/>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2"/>
        <w:gridCol w:w="4584"/>
      </w:tblGrid>
      <w:tr>
        <w:trPr>
          <w:trHeight w:val="4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r>
              <w:rPr>
                <w:rFonts w:ascii="宋体" w:hAnsi="宋体" w:cs="宋体" w:eastAsia="宋体" w:hint="default"/>
                <w:sz w:val="18"/>
                <w:szCs w:val="18"/>
              </w:rPr>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9,294,599.90</w:t>
            </w:r>
          </w:p>
        </w:tc>
      </w:tr>
      <w:tr>
        <w:trPr>
          <w:trHeight w:val="408"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r>
              <w:rPr>
                <w:rFonts w:ascii="宋体" w:hAnsi="宋体" w:cs="宋体" w:eastAsia="宋体" w:hint="default"/>
                <w:sz w:val="18"/>
                <w:szCs w:val="18"/>
              </w:rPr>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9,294,599.90</w:t>
            </w:r>
          </w:p>
        </w:tc>
      </w:tr>
    </w:tbl>
    <w:p>
      <w:pPr>
        <w:spacing w:line="240" w:lineRule="auto" w:before="5"/>
        <w:rPr>
          <w:rFonts w:ascii="宋体" w:hAnsi="宋体" w:cs="宋体" w:eastAsia="宋体" w:hint="default"/>
          <w:sz w:val="18"/>
          <w:szCs w:val="18"/>
        </w:rPr>
      </w:pPr>
    </w:p>
    <w:p>
      <w:pPr>
        <w:pStyle w:val="Heading2"/>
        <w:spacing w:line="240" w:lineRule="auto" w:before="26"/>
        <w:ind w:right="0"/>
        <w:jc w:val="left"/>
        <w:rPr>
          <w:b w:val="0"/>
          <w:bCs w:val="0"/>
        </w:rPr>
      </w:pPr>
      <w:bookmarkStart w:name="十六、其他重要事项" w:id="352"/>
      <w:bookmarkEnd w:id="352"/>
      <w:r>
        <w:rPr>
          <w:b w:val="0"/>
          <w:bCs w:val="0"/>
        </w:rPr>
      </w:r>
      <w:r>
        <w:rPr/>
        <w:t>十六、其他重要事项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bookmarkStart w:name="无" w:id="353"/>
      <w:bookmarkEnd w:id="353"/>
      <w:r>
        <w:rPr/>
      </w:r>
      <w:r>
        <w:rPr>
          <w:w w:val="101"/>
        </w:rPr>
        <w:t>无</w:t>
      </w:r>
      <w:r>
        <w:rPr/>
      </w:r>
    </w:p>
    <w:p>
      <w:pPr>
        <w:spacing w:line="240" w:lineRule="auto" w:before="6"/>
        <w:rPr>
          <w:rFonts w:ascii="宋体" w:hAnsi="宋体" w:cs="宋体" w:eastAsia="宋体" w:hint="default"/>
          <w:sz w:val="25"/>
          <w:szCs w:val="25"/>
        </w:rPr>
      </w:pPr>
    </w:p>
    <w:p>
      <w:pPr>
        <w:pStyle w:val="Heading2"/>
        <w:spacing w:line="240" w:lineRule="auto"/>
        <w:ind w:right="0"/>
        <w:jc w:val="left"/>
        <w:rPr>
          <w:b w:val="0"/>
          <w:bCs w:val="0"/>
        </w:rPr>
      </w:pPr>
      <w:bookmarkStart w:name="十七、母公司财务报表主要项目注释" w:id="354"/>
      <w:bookmarkEnd w:id="354"/>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5"/>
          <w:szCs w:val="25"/>
        </w:rPr>
      </w:pPr>
    </w:p>
    <w:p>
      <w:pPr>
        <w:pStyle w:val="Heading4"/>
        <w:spacing w:line="240" w:lineRule="auto"/>
        <w:ind w:right="0"/>
        <w:jc w:val="left"/>
        <w:rPr>
          <w:b w:val="0"/>
          <w:bCs w:val="0"/>
        </w:rPr>
      </w:pPr>
      <w:bookmarkStart w:name="1、应收账款" w:id="355"/>
      <w:bookmarkEnd w:id="35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6"/>
        <w:rPr>
          <w:rFonts w:ascii="宋体" w:hAnsi="宋体" w:cs="宋体" w:eastAsia="宋体" w:hint="default"/>
          <w:b/>
          <w:bCs/>
          <w:sz w:val="25"/>
          <w:szCs w:val="25"/>
        </w:rPr>
      </w:pPr>
    </w:p>
    <w:p>
      <w:pPr>
        <w:pStyle w:val="Heading4"/>
        <w:spacing w:line="240" w:lineRule="auto"/>
        <w:ind w:right="0"/>
        <w:jc w:val="left"/>
        <w:rPr>
          <w:b w:val="0"/>
          <w:bCs w:val="0"/>
        </w:rPr>
      </w:pPr>
      <w:bookmarkStart w:name="（1）应收账款分类披露" w:id="356"/>
      <w:bookmarkEnd w:id="35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946"/>
        <w:gridCol w:w="581"/>
        <w:gridCol w:w="869"/>
        <w:gridCol w:w="658"/>
        <w:gridCol w:w="854"/>
        <w:gridCol w:w="874"/>
        <w:gridCol w:w="701"/>
        <w:gridCol w:w="835"/>
        <w:gridCol w:w="686"/>
        <w:gridCol w:w="931"/>
      </w:tblGrid>
      <w:tr>
        <w:trPr>
          <w:trHeight w:val="408" w:hRule="exact"/>
        </w:trPr>
        <w:tc>
          <w:tcPr>
            <w:tcW w:w="163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0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1632" w:type="dxa"/>
            <w:vMerge/>
            <w:tcBorders>
              <w:left w:val="single" w:sz="4" w:space="0" w:color="000000"/>
              <w:right w:val="single" w:sz="4" w:space="0" w:color="000000"/>
            </w:tcBorders>
            <w:shd w:val="clear" w:color="auto" w:fill="D4D4D4"/>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328" w:lineRule="auto"/>
              <w:ind w:left="335" w:right="151" w:hanging="183"/>
              <w:jc w:val="left"/>
              <w:rPr>
                <w:rFonts w:ascii="宋体" w:hAnsi="宋体" w:cs="宋体" w:eastAsia="宋体" w:hint="default"/>
                <w:sz w:val="18"/>
                <w:szCs w:val="18"/>
              </w:rPr>
            </w:pPr>
            <w:r>
              <w:rPr>
                <w:rFonts w:ascii="宋体" w:hAnsi="宋体" w:cs="宋体" w:eastAsia="宋体" w:hint="default"/>
                <w:spacing w:val="-4"/>
                <w:sz w:val="18"/>
                <w:szCs w:val="18"/>
              </w:rPr>
              <w:t>账面价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c>
          <w:tcPr>
            <w:tcW w:w="157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328" w:lineRule="auto"/>
              <w:ind w:left="369" w:right="194" w:hanging="183"/>
              <w:jc w:val="left"/>
              <w:rPr>
                <w:rFonts w:ascii="宋体" w:hAnsi="宋体" w:cs="宋体" w:eastAsia="宋体" w:hint="default"/>
                <w:sz w:val="18"/>
                <w:szCs w:val="18"/>
              </w:rPr>
            </w:pPr>
            <w:r>
              <w:rPr>
                <w:rFonts w:ascii="宋体" w:hAnsi="宋体" w:cs="宋体" w:eastAsia="宋体" w:hint="default"/>
                <w:spacing w:val="-4"/>
                <w:sz w:val="18"/>
                <w:szCs w:val="18"/>
              </w:rPr>
              <w:t>账面价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r>
      <w:tr>
        <w:trPr>
          <w:trHeight w:val="730" w:hRule="exact"/>
        </w:trPr>
        <w:tc>
          <w:tcPr>
            <w:tcW w:w="1632" w:type="dxa"/>
            <w:vMerge/>
            <w:tcBorders>
              <w:left w:val="single" w:sz="4" w:space="0" w:color="000000"/>
              <w:bottom w:val="single" w:sz="4" w:space="0" w:color="000000"/>
              <w:right w:val="single" w:sz="4" w:space="0" w:color="000000"/>
            </w:tcBorders>
            <w:shd w:val="clear" w:color="auto" w:fill="D4D4D4"/>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39" w:right="143"/>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854" w:type="dxa"/>
            <w:vMerge/>
            <w:tcBorders>
              <w:left w:val="single" w:sz="4" w:space="0" w:color="000000"/>
              <w:bottom w:val="single" w:sz="4" w:space="0" w:color="000000"/>
              <w:right w:val="single" w:sz="4" w:space="0" w:color="000000"/>
            </w:tcBorders>
            <w:shd w:val="clear" w:color="auto" w:fill="D4D4D4"/>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58" w:right="151"/>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734" w:hRule="exact"/>
        </w:trPr>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77"/>
              <w:ind w:left="105" w:right="256"/>
              <w:jc w:val="left"/>
              <w:rPr>
                <w:rFonts w:ascii="宋体" w:hAnsi="宋体" w:cs="宋体" w:eastAsia="宋体" w:hint="default"/>
                <w:sz w:val="18"/>
                <w:szCs w:val="18"/>
              </w:rPr>
            </w:pPr>
            <w:r>
              <w:rPr>
                <w:rFonts w:ascii="宋体" w:hAnsi="宋体" w:cs="宋体" w:eastAsia="宋体" w:hint="default"/>
                <w:spacing w:val="-3"/>
                <w:sz w:val="18"/>
                <w:szCs w:val="18"/>
              </w:rPr>
              <w:t>按信用风险特征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组合计提坏账准</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116,871,6</w:t>
            </w:r>
          </w:p>
          <w:p>
            <w:pPr>
              <w:pStyle w:val="TableParagraph"/>
              <w:spacing w:line="240" w:lineRule="auto" w:before="114"/>
              <w:ind w:left="427" w:right="0"/>
              <w:jc w:val="left"/>
              <w:rPr>
                <w:rFonts w:ascii="Times New Roman" w:hAnsi="Times New Roman" w:cs="Times New Roman" w:eastAsia="Times New Roman" w:hint="default"/>
                <w:sz w:val="18"/>
                <w:szCs w:val="18"/>
              </w:rPr>
            </w:pPr>
            <w:r>
              <w:rPr>
                <w:rFonts w:ascii="Times New Roman"/>
                <w:sz w:val="18"/>
              </w:rPr>
              <w:t>80.80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4"/>
              <w:ind w:left="134" w:right="0"/>
              <w:jc w:val="lef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10,467,6</w:t>
            </w:r>
          </w:p>
          <w:p>
            <w:pPr>
              <w:pStyle w:val="TableParagraph"/>
              <w:spacing w:line="240" w:lineRule="auto" w:before="114"/>
              <w:ind w:left="355" w:right="0"/>
              <w:jc w:val="left"/>
              <w:rPr>
                <w:rFonts w:ascii="Times New Roman" w:hAnsi="Times New Roman" w:cs="Times New Roman" w:eastAsia="Times New Roman" w:hint="default"/>
                <w:sz w:val="18"/>
                <w:szCs w:val="18"/>
              </w:rPr>
            </w:pPr>
            <w:r>
              <w:rPr>
                <w:rFonts w:ascii="Times New Roman"/>
                <w:sz w:val="18"/>
              </w:rPr>
              <w:t>10.10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center"/>
              <w:rPr>
                <w:rFonts w:ascii="Times New Roman" w:hAnsi="Times New Roman" w:cs="Times New Roman" w:eastAsia="Times New Roman" w:hint="default"/>
                <w:sz w:val="18"/>
                <w:szCs w:val="18"/>
              </w:rPr>
            </w:pPr>
            <w:r>
              <w:rPr>
                <w:rFonts w:ascii="Times New Roman"/>
                <w:sz w:val="18"/>
              </w:rPr>
              <w:t>8.96</w:t>
            </w:r>
          </w:p>
          <w:p>
            <w:pPr>
              <w:pStyle w:val="TableParagraph"/>
              <w:spacing w:line="240" w:lineRule="auto" w:before="114"/>
              <w:ind w:left="291"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 w:right="0"/>
              <w:jc w:val="center"/>
              <w:rPr>
                <w:rFonts w:ascii="Times New Roman" w:hAnsi="Times New Roman" w:cs="Times New Roman" w:eastAsia="Times New Roman" w:hint="default"/>
                <w:sz w:val="18"/>
                <w:szCs w:val="18"/>
              </w:rPr>
            </w:pPr>
            <w:r>
              <w:rPr>
                <w:rFonts w:ascii="Times New Roman"/>
                <w:sz w:val="18"/>
              </w:rPr>
              <w:t>106,404,</w:t>
            </w:r>
          </w:p>
          <w:p>
            <w:pPr>
              <w:pStyle w:val="TableParagraph"/>
              <w:spacing w:line="240" w:lineRule="auto" w:before="114"/>
              <w:ind w:left="153" w:right="0"/>
              <w:jc w:val="center"/>
              <w:rPr>
                <w:rFonts w:ascii="Times New Roman" w:hAnsi="Times New Roman" w:cs="Times New Roman" w:eastAsia="Times New Roman" w:hint="default"/>
                <w:sz w:val="18"/>
                <w:szCs w:val="18"/>
              </w:rPr>
            </w:pPr>
            <w:r>
              <w:rPr>
                <w:rFonts w:ascii="Times New Roman"/>
                <w:sz w:val="18"/>
              </w:rPr>
              <w:t>070.70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84,561,7</w:t>
            </w:r>
          </w:p>
          <w:p>
            <w:pPr>
              <w:pStyle w:val="TableParagraph"/>
              <w:spacing w:line="240" w:lineRule="auto" w:before="114"/>
              <w:ind w:left="359" w:right="0"/>
              <w:jc w:val="left"/>
              <w:rPr>
                <w:rFonts w:ascii="Times New Roman" w:hAnsi="Times New Roman" w:cs="Times New Roman" w:eastAsia="Times New Roman" w:hint="default"/>
                <w:sz w:val="18"/>
                <w:szCs w:val="18"/>
              </w:rPr>
            </w:pPr>
            <w:r>
              <w:rPr>
                <w:rFonts w:ascii="Times New Roman"/>
                <w:sz w:val="18"/>
              </w:rPr>
              <w:t>69.63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4"/>
              <w:ind w:left="252" w:right="0"/>
              <w:jc w:val="center"/>
              <w:rPr>
                <w:rFonts w:ascii="Times New Roman" w:hAnsi="Times New Roman" w:cs="Times New Roman" w:eastAsia="Times New Roman" w:hint="default"/>
                <w:sz w:val="18"/>
                <w:szCs w:val="18"/>
              </w:rPr>
            </w:pPr>
            <w:r>
              <w:rPr>
                <w:rFonts w:ascii="Times New Roman"/>
                <w:sz w:val="18"/>
              </w:rPr>
              <w:t>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center"/>
              <w:rPr>
                <w:rFonts w:ascii="Times New Roman" w:hAnsi="Times New Roman" w:cs="Times New Roman" w:eastAsia="Times New Roman" w:hint="default"/>
                <w:sz w:val="18"/>
                <w:szCs w:val="18"/>
              </w:rPr>
            </w:pPr>
            <w:r>
              <w:rPr>
                <w:rFonts w:ascii="Times New Roman"/>
                <w:sz w:val="18"/>
              </w:rPr>
              <w:t>7,854,0</w:t>
            </w:r>
          </w:p>
          <w:p>
            <w:pPr>
              <w:pStyle w:val="TableParagraph"/>
              <w:spacing w:line="240" w:lineRule="auto" w:before="114"/>
              <w:ind w:left="225" w:right="0"/>
              <w:jc w:val="center"/>
              <w:rPr>
                <w:rFonts w:ascii="Times New Roman" w:hAnsi="Times New Roman" w:cs="Times New Roman" w:eastAsia="Times New Roman" w:hint="default"/>
                <w:sz w:val="18"/>
                <w:szCs w:val="18"/>
              </w:rPr>
            </w:pPr>
            <w:r>
              <w:rPr>
                <w:rFonts w:ascii="Times New Roman"/>
                <w:sz w:val="18"/>
              </w:rPr>
              <w:t>54.90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76,707,7</w:t>
            </w:r>
          </w:p>
          <w:p>
            <w:pPr>
              <w:pStyle w:val="TableParagraph"/>
              <w:spacing w:line="240" w:lineRule="auto" w:before="114"/>
              <w:ind w:left="412" w:right="0"/>
              <w:jc w:val="left"/>
              <w:rPr>
                <w:rFonts w:ascii="Times New Roman" w:hAnsi="Times New Roman" w:cs="Times New Roman" w:eastAsia="Times New Roman" w:hint="default"/>
                <w:sz w:val="18"/>
                <w:szCs w:val="18"/>
              </w:rPr>
            </w:pPr>
            <w:r>
              <w:rPr>
                <w:rFonts w:ascii="Times New Roman"/>
                <w:sz w:val="18"/>
              </w:rPr>
              <w:t>14.73</w:t>
            </w:r>
          </w:p>
        </w:tc>
      </w:tr>
    </w:tbl>
    <w:p>
      <w:pPr>
        <w:spacing w:after="0" w:line="240" w:lineRule="auto"/>
        <w:jc w:val="left"/>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632"/>
        <w:gridCol w:w="946"/>
        <w:gridCol w:w="581"/>
        <w:gridCol w:w="869"/>
        <w:gridCol w:w="658"/>
        <w:gridCol w:w="854"/>
        <w:gridCol w:w="874"/>
        <w:gridCol w:w="701"/>
        <w:gridCol w:w="835"/>
        <w:gridCol w:w="686"/>
        <w:gridCol w:w="931"/>
      </w:tblGrid>
      <w:tr>
        <w:trPr>
          <w:trHeight w:val="370" w:hRule="exact"/>
        </w:trPr>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94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116,871,6</w:t>
            </w:r>
          </w:p>
          <w:p>
            <w:pPr>
              <w:pStyle w:val="TableParagraph"/>
              <w:spacing w:line="240" w:lineRule="auto" w:before="119"/>
              <w:ind w:left="427" w:right="0"/>
              <w:jc w:val="left"/>
              <w:rPr>
                <w:rFonts w:ascii="Times New Roman" w:hAnsi="Times New Roman" w:cs="Times New Roman" w:eastAsia="Times New Roman" w:hint="default"/>
                <w:sz w:val="18"/>
                <w:szCs w:val="18"/>
              </w:rPr>
            </w:pPr>
            <w:r>
              <w:rPr>
                <w:rFonts w:ascii="Times New Roman"/>
                <w:sz w:val="18"/>
              </w:rPr>
              <w:t>80.80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9"/>
              <w:ind w:left="134" w:right="0"/>
              <w:jc w:val="lef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10,467,6</w:t>
            </w:r>
          </w:p>
          <w:p>
            <w:pPr>
              <w:pStyle w:val="TableParagraph"/>
              <w:spacing w:line="240" w:lineRule="auto" w:before="119"/>
              <w:ind w:left="355" w:right="0"/>
              <w:jc w:val="left"/>
              <w:rPr>
                <w:rFonts w:ascii="Times New Roman" w:hAnsi="Times New Roman" w:cs="Times New Roman" w:eastAsia="Times New Roman" w:hint="default"/>
                <w:sz w:val="18"/>
                <w:szCs w:val="18"/>
              </w:rPr>
            </w:pPr>
            <w:r>
              <w:rPr>
                <w:rFonts w:ascii="Times New Roman"/>
                <w:sz w:val="18"/>
              </w:rPr>
              <w:t>10.10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center"/>
              <w:rPr>
                <w:rFonts w:ascii="Times New Roman" w:hAnsi="Times New Roman" w:cs="Times New Roman" w:eastAsia="Times New Roman" w:hint="default"/>
                <w:sz w:val="18"/>
                <w:szCs w:val="18"/>
              </w:rPr>
            </w:pPr>
            <w:r>
              <w:rPr>
                <w:rFonts w:ascii="Times New Roman"/>
                <w:sz w:val="18"/>
              </w:rPr>
              <w:t>8.96</w:t>
            </w:r>
          </w:p>
          <w:p>
            <w:pPr>
              <w:pStyle w:val="TableParagraph"/>
              <w:spacing w:line="240" w:lineRule="auto" w:before="119"/>
              <w:ind w:left="291"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 w:right="0"/>
              <w:jc w:val="center"/>
              <w:rPr>
                <w:rFonts w:ascii="Times New Roman" w:hAnsi="Times New Roman" w:cs="Times New Roman" w:eastAsia="Times New Roman" w:hint="default"/>
                <w:sz w:val="18"/>
                <w:szCs w:val="18"/>
              </w:rPr>
            </w:pPr>
            <w:r>
              <w:rPr>
                <w:rFonts w:ascii="Times New Roman"/>
                <w:sz w:val="18"/>
              </w:rPr>
              <w:t>106,404,</w:t>
            </w:r>
          </w:p>
          <w:p>
            <w:pPr>
              <w:pStyle w:val="TableParagraph"/>
              <w:spacing w:line="240" w:lineRule="auto" w:before="119"/>
              <w:ind w:left="153" w:right="0"/>
              <w:jc w:val="center"/>
              <w:rPr>
                <w:rFonts w:ascii="Times New Roman" w:hAnsi="Times New Roman" w:cs="Times New Roman" w:eastAsia="Times New Roman" w:hint="default"/>
                <w:sz w:val="18"/>
                <w:szCs w:val="18"/>
              </w:rPr>
            </w:pPr>
            <w:r>
              <w:rPr>
                <w:rFonts w:ascii="Times New Roman"/>
                <w:sz w:val="18"/>
              </w:rPr>
              <w:t>070.70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84,561,7</w:t>
            </w:r>
          </w:p>
          <w:p>
            <w:pPr>
              <w:pStyle w:val="TableParagraph"/>
              <w:spacing w:line="240" w:lineRule="auto" w:before="119"/>
              <w:ind w:left="359" w:right="0"/>
              <w:jc w:val="left"/>
              <w:rPr>
                <w:rFonts w:ascii="Times New Roman" w:hAnsi="Times New Roman" w:cs="Times New Roman" w:eastAsia="Times New Roman" w:hint="default"/>
                <w:sz w:val="18"/>
                <w:szCs w:val="18"/>
              </w:rPr>
            </w:pPr>
            <w:r>
              <w:rPr>
                <w:rFonts w:ascii="Times New Roman"/>
                <w:sz w:val="18"/>
              </w:rPr>
              <w:t>69.63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9"/>
              <w:ind w:left="252" w:right="0"/>
              <w:jc w:val="center"/>
              <w:rPr>
                <w:rFonts w:ascii="Times New Roman" w:hAnsi="Times New Roman" w:cs="Times New Roman" w:eastAsia="Times New Roman" w:hint="default"/>
                <w:sz w:val="18"/>
                <w:szCs w:val="18"/>
              </w:rPr>
            </w:pPr>
            <w:r>
              <w:rPr>
                <w:rFonts w:ascii="Times New Roman"/>
                <w:sz w:val="18"/>
              </w:rPr>
              <w:t>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center"/>
              <w:rPr>
                <w:rFonts w:ascii="Times New Roman" w:hAnsi="Times New Roman" w:cs="Times New Roman" w:eastAsia="Times New Roman" w:hint="default"/>
                <w:sz w:val="18"/>
                <w:szCs w:val="18"/>
              </w:rPr>
            </w:pPr>
            <w:r>
              <w:rPr>
                <w:rFonts w:ascii="Times New Roman"/>
                <w:sz w:val="18"/>
              </w:rPr>
              <w:t>7,854,0</w:t>
            </w:r>
          </w:p>
          <w:p>
            <w:pPr>
              <w:pStyle w:val="TableParagraph"/>
              <w:spacing w:line="240" w:lineRule="auto" w:before="119"/>
              <w:ind w:left="225" w:right="0"/>
              <w:jc w:val="center"/>
              <w:rPr>
                <w:rFonts w:ascii="Times New Roman" w:hAnsi="Times New Roman" w:cs="Times New Roman" w:eastAsia="Times New Roman" w:hint="default"/>
                <w:sz w:val="18"/>
                <w:szCs w:val="18"/>
              </w:rPr>
            </w:pPr>
            <w:r>
              <w:rPr>
                <w:rFonts w:ascii="Times New Roman"/>
                <w:sz w:val="18"/>
              </w:rPr>
              <w:t>54.90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76,707,7</w:t>
            </w:r>
          </w:p>
          <w:p>
            <w:pPr>
              <w:pStyle w:val="TableParagraph"/>
              <w:spacing w:line="240" w:lineRule="auto" w:before="119"/>
              <w:ind w:left="412" w:right="0"/>
              <w:jc w:val="left"/>
              <w:rPr>
                <w:rFonts w:ascii="Times New Roman" w:hAnsi="Times New Roman" w:cs="Times New Roman" w:eastAsia="Times New Roman" w:hint="default"/>
                <w:sz w:val="18"/>
                <w:szCs w:val="18"/>
              </w:rPr>
            </w:pPr>
            <w:r>
              <w:rPr>
                <w:rFonts w:ascii="Times New Roman"/>
                <w:sz w:val="18"/>
              </w:rPr>
              <w:t>14.73</w:t>
            </w:r>
          </w:p>
        </w:tc>
      </w:tr>
    </w:tbl>
    <w:p>
      <w:pPr>
        <w:pStyle w:val="BodyText"/>
        <w:spacing w:line="240" w:lineRule="auto" w:before="58"/>
        <w:ind w:right="0"/>
        <w:jc w:val="left"/>
      </w:pPr>
      <w:r>
        <w:rPr>
          <w:spacing w:val="-3"/>
        </w:rPr>
        <w:t>期末单项金额重大并单项计提坏账准备的应收账款：</w:t>
      </w:r>
      <w:r>
        <w:rPr/>
      </w:r>
    </w:p>
    <w:p>
      <w:pPr>
        <w:pStyle w:val="BodyText"/>
        <w:spacing w:line="240" w:lineRule="auto" w:before="124"/>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14" w:footer="1027" w:top="1100" w:bottom="1220" w:left="980" w:right="980"/>
        </w:sectPr>
      </w:pPr>
    </w:p>
    <w:p>
      <w:pPr>
        <w:pStyle w:val="BodyText"/>
        <w:spacing w:line="240" w:lineRule="auto" w:before="129"/>
        <w:ind w:right="0"/>
        <w:jc w:val="left"/>
      </w:pPr>
      <w:r>
        <w:rPr>
          <w:spacing w:val="-3"/>
        </w:rPr>
        <w:t>组合中，按账龄分析法计提坏账准备的应收账款：</w:t>
      </w:r>
    </w:p>
    <w:p>
      <w:pPr>
        <w:pStyle w:val="BodyText"/>
        <w:spacing w:line="240" w:lineRule="auto" w:before="124"/>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2"/>
        <w:ind w:right="0"/>
        <w:jc w:val="left"/>
      </w:pPr>
      <w:r>
        <w:rPr/>
        <w:t>单位：</w:t>
      </w:r>
      <w:r>
        <w:rPr>
          <w:spacing w:val="5"/>
        </w:rPr>
        <w:t> </w:t>
      </w:r>
      <w:r>
        <w:rPr/>
        <w:t>元</w:t>
      </w:r>
    </w:p>
    <w:p>
      <w:pPr>
        <w:spacing w:after="0" w:line="240" w:lineRule="auto"/>
        <w:jc w:val="left"/>
        <w:sectPr>
          <w:type w:val="continuous"/>
          <w:pgSz w:w="11910" w:h="16840"/>
          <w:pgMar w:top="1100" w:bottom="1220" w:left="980" w:right="980"/>
          <w:cols w:num="2" w:equalWidth="0">
            <w:col w:w="4119" w:space="4708"/>
            <w:col w:w="1123"/>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413" w:hRule="exact"/>
        </w:trPr>
        <w:tc>
          <w:tcPr>
            <w:tcW w:w="24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0" w:hRule="exact"/>
        </w:trPr>
        <w:tc>
          <w:tcPr>
            <w:tcW w:w="2491" w:type="dxa"/>
            <w:vMerge/>
            <w:tcBorders>
              <w:left w:val="single" w:sz="4" w:space="0" w:color="000000"/>
              <w:bottom w:val="single" w:sz="4" w:space="0" w:color="000000"/>
              <w:right w:val="single" w:sz="4" w:space="0" w:color="000000"/>
            </w:tcBorders>
            <w:shd w:val="clear" w:color="auto" w:fill="D4D4D4"/>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0"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83,647,093.80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4,182,354.69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83,647,093.80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4,182,354.69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21,049,826.31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2,104,982.63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7,465,660.99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1,493,132.20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3,841,523.94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1,920,761.97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505,985.76</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404,788.61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361,590.00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361,590.00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2"/>
                <w:sz w:val="18"/>
              </w:rPr>
              <w:t>116,871,680.80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10,467,610.10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72" w:lineRule="auto" w:before="58"/>
        <w:ind w:right="5459"/>
        <w:jc w:val="left"/>
      </w:pPr>
      <w:r>
        <w:rPr>
          <w:spacing w:val="-3"/>
        </w:rPr>
        <w:t>确定该组合依据的说明：</w:t>
      </w:r>
      <w:r>
        <w:rPr>
          <w:spacing w:val="-61"/>
        </w:rPr>
        <w:t> </w:t>
      </w:r>
      <w:r>
        <w:rPr>
          <w:spacing w:val="-61"/>
        </w:rPr>
      </w:r>
      <w:r>
        <w:rPr>
          <w:spacing w:val="-3"/>
        </w:rPr>
        <w:t>组合中，采用余额百分比法计提坏账准备的应收账款：</w:t>
      </w:r>
    </w:p>
    <w:p>
      <w:pPr>
        <w:pStyle w:val="BodyText"/>
        <w:spacing w:line="240" w:lineRule="auto" w:before="25"/>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本期计提、收回或转回的坏账准备情况" w:id="357"/>
      <w:bookmarkEnd w:id="35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34"/>
        </w:rPr>
        <w:t> </w:t>
      </w:r>
      <w:r>
        <w:rPr>
          <w:rFonts w:ascii="Times New Roman" w:hAnsi="Times New Roman" w:cs="Times New Roman" w:eastAsia="Times New Roman" w:hint="default"/>
        </w:rPr>
        <w:t>3,761,770.21</w:t>
      </w:r>
      <w:r>
        <w:rPr>
          <w:rFonts w:ascii="Times New Roman" w:hAnsi="Times New Roman" w:cs="Times New Roman" w:eastAsia="Times New Roman" w:hint="default"/>
          <w:spacing w:val="11"/>
        </w:rPr>
        <w:t> </w:t>
      </w:r>
      <w:r>
        <w:rPr>
          <w:spacing w:val="-3"/>
        </w:rPr>
        <w:t>元；本期收回或转回坏账准备金额</w:t>
      </w:r>
      <w:r>
        <w:rPr>
          <w:spacing w:val="-3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spacing w:val="-5"/>
        </w:rPr>
        <w:t>元。</w:t>
      </w:r>
      <w:r>
        <w:rPr/>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本期实际核销的应收账款情况" w:id="358"/>
      <w:bookmarkEnd w:id="35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2"/>
        <w:gridCol w:w="4584"/>
      </w:tblGrid>
      <w:tr>
        <w:trPr>
          <w:trHeight w:val="408"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18" w:hRule="exact"/>
        </w:trPr>
        <w:tc>
          <w:tcPr>
            <w:tcW w:w="49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r>
              <w:rPr>
                <w:rFonts w:ascii="宋体" w:hAnsi="宋体" w:cs="宋体" w:eastAsia="宋体" w:hint="default"/>
                <w:sz w:val="18"/>
                <w:szCs w:val="18"/>
              </w:rPr>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1,148,215.00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应收账款情况" w:id="359"/>
      <w:bookmarkEnd w:id="35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2"/>
        </w:rPr>
        <w:t>期末应收账款余额前五名合计</w:t>
      </w:r>
      <w:r>
        <w:rPr>
          <w:rFonts w:ascii="Times New Roman" w:hAnsi="Times New Roman" w:cs="Times New Roman" w:eastAsia="Times New Roman" w:hint="default"/>
          <w:spacing w:val="-2"/>
        </w:rPr>
        <w:t>16,234,382.89</w:t>
      </w:r>
      <w:r>
        <w:rPr>
          <w:spacing w:val="-2"/>
        </w:rPr>
        <w:t>元，占应收账款余额的比例为</w:t>
      </w:r>
      <w:r>
        <w:rPr>
          <w:rFonts w:ascii="Times New Roman" w:hAnsi="Times New Roman" w:cs="Times New Roman" w:eastAsia="Times New Roman" w:hint="default"/>
          <w:spacing w:val="-2"/>
        </w:rPr>
        <w:t>13.89</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2"/>
        </w:rPr>
        <w:t>%</w:t>
      </w:r>
      <w:r>
        <w:rPr>
          <w:spacing w:val="-2"/>
        </w:rPr>
        <w:t>，坏账准备期末余额</w:t>
      </w:r>
      <w:r>
        <w:rPr>
          <w:rFonts w:ascii="Times New Roman" w:hAnsi="Times New Roman" w:cs="Times New Roman" w:eastAsia="Times New Roman" w:hint="default"/>
          <w:spacing w:val="-2"/>
        </w:rPr>
        <w:t>1,447,819.14</w:t>
      </w:r>
      <w:r>
        <w:rPr>
          <w:spacing w:val="-2"/>
        </w:rPr>
        <w:t>元。</w:t>
      </w:r>
    </w:p>
    <w:p>
      <w:pPr>
        <w:spacing w:line="240" w:lineRule="auto" w:before="9"/>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w w:val="101"/>
        </w:rPr>
        <w:t> </w:t>
      </w:r>
      <w:r>
        <w:rPr>
          <w:rFonts w:ascii="宋体"/>
        </w:rPr>
      </w:r>
    </w:p>
    <w:p>
      <w:pPr>
        <w:spacing w:after="0" w:line="240" w:lineRule="auto"/>
        <w:jc w:val="left"/>
        <w:rPr>
          <w:rFonts w:ascii="宋体" w:hAnsi="宋体" w:cs="宋体" w:eastAsia="宋体" w:hint="default"/>
        </w:rPr>
        <w:sectPr>
          <w:type w:val="continuous"/>
          <w:pgSz w:w="11910" w:h="16840"/>
          <w:pgMar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5）因金融资产转移而终止确认的应收账款" w:id="360"/>
      <w:bookmarkEnd w:id="36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期末无因金融资产转移而终止确认的应收账款。</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6）转移应收账款且继续涉入形成的资产、负债金额" w:id="361"/>
      <w:bookmarkEnd w:id="36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期末无因转移应收账款而继续涉入形成的资产、负债。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2、其他应收款" w:id="362"/>
      <w:bookmarkEnd w:id="36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其他应收款分类披露" w:id="363"/>
      <w:bookmarkEnd w:id="36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2"/>
        <w:gridCol w:w="970"/>
        <w:gridCol w:w="557"/>
        <w:gridCol w:w="941"/>
        <w:gridCol w:w="586"/>
        <w:gridCol w:w="854"/>
        <w:gridCol w:w="989"/>
        <w:gridCol w:w="562"/>
        <w:gridCol w:w="926"/>
        <w:gridCol w:w="619"/>
        <w:gridCol w:w="931"/>
      </w:tblGrid>
      <w:tr>
        <w:trPr>
          <w:trHeight w:val="403" w:hRule="exact"/>
        </w:trPr>
        <w:tc>
          <w:tcPr>
            <w:tcW w:w="163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0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1632" w:type="dxa"/>
            <w:vMerge/>
            <w:tcBorders>
              <w:left w:val="single" w:sz="4" w:space="0" w:color="000000"/>
              <w:right w:val="single" w:sz="4" w:space="0" w:color="000000"/>
            </w:tcBorders>
            <w:shd w:val="clear" w:color="auto" w:fill="D4D4D4"/>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328" w:lineRule="auto"/>
              <w:ind w:left="335" w:right="151" w:hanging="183"/>
              <w:jc w:val="left"/>
              <w:rPr>
                <w:rFonts w:ascii="宋体" w:hAnsi="宋体" w:cs="宋体" w:eastAsia="宋体" w:hint="default"/>
                <w:sz w:val="18"/>
                <w:szCs w:val="18"/>
              </w:rPr>
            </w:pPr>
            <w:r>
              <w:rPr>
                <w:rFonts w:ascii="宋体" w:hAnsi="宋体" w:cs="宋体" w:eastAsia="宋体" w:hint="default"/>
                <w:spacing w:val="-4"/>
                <w:sz w:val="18"/>
                <w:szCs w:val="18"/>
              </w:rPr>
              <w:t>账面价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20"/>
                <w:szCs w:val="20"/>
              </w:rPr>
            </w:pPr>
          </w:p>
          <w:p>
            <w:pPr>
              <w:pStyle w:val="TableParagraph"/>
              <w:spacing w:line="328" w:lineRule="auto"/>
              <w:ind w:left="369" w:right="194" w:hanging="183"/>
              <w:jc w:val="left"/>
              <w:rPr>
                <w:rFonts w:ascii="宋体" w:hAnsi="宋体" w:cs="宋体" w:eastAsia="宋体" w:hint="default"/>
                <w:sz w:val="18"/>
                <w:szCs w:val="18"/>
              </w:rPr>
            </w:pPr>
            <w:r>
              <w:rPr>
                <w:rFonts w:ascii="宋体" w:hAnsi="宋体" w:cs="宋体" w:eastAsia="宋体" w:hint="default"/>
                <w:spacing w:val="-4"/>
                <w:sz w:val="18"/>
                <w:szCs w:val="18"/>
              </w:rPr>
              <w:t>账面价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w:t>
            </w:r>
          </w:p>
        </w:tc>
      </w:tr>
      <w:tr>
        <w:trPr>
          <w:trHeight w:val="730" w:hRule="exact"/>
        </w:trPr>
        <w:tc>
          <w:tcPr>
            <w:tcW w:w="1632" w:type="dxa"/>
            <w:vMerge/>
            <w:tcBorders>
              <w:left w:val="single" w:sz="4" w:space="0" w:color="000000"/>
              <w:bottom w:val="single" w:sz="4" w:space="0" w:color="000000"/>
              <w:right w:val="single" w:sz="4" w:space="0" w:color="000000"/>
            </w:tcBorders>
            <w:shd w:val="clear" w:color="auto" w:fill="D4D4D4"/>
          </w:tcPr>
          <w:p>
            <w:pPr/>
          </w:p>
        </w:tc>
        <w:tc>
          <w:tcPr>
            <w:tcW w:w="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87" w:right="175"/>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8"/>
                <w:sz w:val="18"/>
                <w:szCs w:val="18"/>
              </w:rPr>
              <w:t> </w:t>
            </w:r>
            <w:r>
              <w:rPr>
                <w:rFonts w:ascii="宋体" w:hAnsi="宋体" w:cs="宋体" w:eastAsia="宋体" w:hint="default"/>
                <w:sz w:val="18"/>
                <w:szCs w:val="18"/>
              </w:rPr>
              <w:t>例</w:t>
            </w:r>
          </w:p>
        </w:tc>
        <w:tc>
          <w:tcPr>
            <w:tcW w:w="9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5" w:right="103"/>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854" w:type="dxa"/>
            <w:vMerge/>
            <w:tcBorders>
              <w:left w:val="single" w:sz="4" w:space="0" w:color="000000"/>
              <w:bottom w:val="single" w:sz="4" w:space="0" w:color="000000"/>
              <w:right w:val="single" w:sz="4" w:space="0" w:color="000000"/>
            </w:tcBorders>
            <w:shd w:val="clear" w:color="auto" w:fill="D4D4D4"/>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82" w:right="185"/>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88"/>
                <w:sz w:val="18"/>
                <w:szCs w:val="18"/>
              </w:rPr>
              <w:t> </w:t>
            </w:r>
            <w:r>
              <w:rPr>
                <w:rFonts w:ascii="宋体" w:hAnsi="宋体" w:cs="宋体" w:eastAsia="宋体" w:hint="default"/>
                <w:sz w:val="18"/>
                <w:szCs w:val="18"/>
              </w:rPr>
              <w:t>例</w:t>
            </w:r>
          </w:p>
        </w:tc>
        <w:tc>
          <w:tcPr>
            <w:tcW w:w="9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20" w:right="122"/>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56" w:hRule="exact"/>
        </w:trPr>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5" w:right="256"/>
              <w:jc w:val="both"/>
              <w:rPr>
                <w:rFonts w:ascii="宋体" w:hAnsi="宋体" w:cs="宋体" w:eastAsia="宋体" w:hint="default"/>
                <w:sz w:val="18"/>
                <w:szCs w:val="18"/>
              </w:rPr>
            </w:pPr>
            <w:r>
              <w:rPr>
                <w:rFonts w:ascii="宋体" w:hAnsi="宋体" w:cs="宋体" w:eastAsia="宋体" w:hint="default"/>
                <w:spacing w:val="-3"/>
                <w:sz w:val="18"/>
                <w:szCs w:val="18"/>
              </w:rPr>
              <w:t>按信用风险特征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组合计提坏账准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备的其他应收款</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16,018,52</w:t>
            </w:r>
          </w:p>
          <w:p>
            <w:pPr>
              <w:pStyle w:val="TableParagraph"/>
              <w:spacing w:line="240" w:lineRule="auto" w:before="114"/>
              <w:ind w:left="537" w:right="0"/>
              <w:jc w:val="left"/>
              <w:rPr>
                <w:rFonts w:ascii="Times New Roman" w:hAnsi="Times New Roman" w:cs="Times New Roman" w:eastAsia="Times New Roman" w:hint="default"/>
                <w:sz w:val="18"/>
                <w:szCs w:val="18"/>
              </w:rPr>
            </w:pPr>
            <w:r>
              <w:rPr>
                <w:rFonts w:ascii="Times New Roman"/>
                <w:sz w:val="18"/>
              </w:rPr>
              <w:t>4.12</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4"/>
              <w:ind w:left="115" w:right="0"/>
              <w:jc w:val="left"/>
              <w:rPr>
                <w:rFonts w:ascii="Times New Roman" w:hAnsi="Times New Roman" w:cs="Times New Roman" w:eastAsia="Times New Roman" w:hint="default"/>
                <w:sz w:val="18"/>
                <w:szCs w:val="18"/>
              </w:rPr>
            </w:pPr>
            <w:r>
              <w:rPr>
                <w:rFonts w:ascii="Times New Roman"/>
                <w:sz w:val="18"/>
              </w:rPr>
              <w:t>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2,128,707</w:t>
            </w:r>
          </w:p>
          <w:p>
            <w:pPr>
              <w:pStyle w:val="TableParagraph"/>
              <w:spacing w:line="240" w:lineRule="auto" w:before="114"/>
              <w:ind w:left="604" w:right="0"/>
              <w:jc w:val="left"/>
              <w:rPr>
                <w:rFonts w:ascii="Times New Roman" w:hAnsi="Times New Roman" w:cs="Times New Roman" w:eastAsia="Times New Roman" w:hint="default"/>
                <w:sz w:val="18"/>
                <w:szCs w:val="18"/>
              </w:rPr>
            </w:pPr>
            <w:r>
              <w:rPr>
                <w:rFonts w:ascii="Times New Roman"/>
                <w:sz w:val="18"/>
              </w:rPr>
              <w:t>.51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14"/>
              <w:ind w:left="230" w:right="0"/>
              <w:jc w:val="left"/>
              <w:rPr>
                <w:rFonts w:ascii="Times New Roman" w:hAnsi="Times New Roman" w:cs="Times New Roman" w:eastAsia="Times New Roman" w:hint="default"/>
                <w:sz w:val="18"/>
                <w:szCs w:val="18"/>
              </w:rPr>
            </w:pPr>
            <w:r>
              <w:rPr>
                <w:rFonts w:ascii="Times New Roman"/>
                <w:sz w:val="18"/>
              </w:rPr>
              <w:t>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13,889,8</w:t>
            </w:r>
          </w:p>
          <w:p>
            <w:pPr>
              <w:pStyle w:val="TableParagraph"/>
              <w:spacing w:line="240" w:lineRule="auto" w:before="114"/>
              <w:ind w:left="340" w:right="0"/>
              <w:jc w:val="left"/>
              <w:rPr>
                <w:rFonts w:ascii="Times New Roman" w:hAnsi="Times New Roman" w:cs="Times New Roman" w:eastAsia="Times New Roman" w:hint="default"/>
                <w:sz w:val="18"/>
                <w:szCs w:val="18"/>
              </w:rPr>
            </w:pPr>
            <w:r>
              <w:rPr>
                <w:rFonts w:ascii="Times New Roman"/>
                <w:sz w:val="18"/>
              </w:rPr>
              <w:t>16.61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11,487,25</w:t>
            </w:r>
          </w:p>
          <w:p>
            <w:pPr>
              <w:pStyle w:val="TableParagraph"/>
              <w:spacing w:line="240" w:lineRule="auto" w:before="114"/>
              <w:ind w:left="561" w:right="0"/>
              <w:jc w:val="left"/>
              <w:rPr>
                <w:rFonts w:ascii="Times New Roman" w:hAnsi="Times New Roman" w:cs="Times New Roman" w:eastAsia="Times New Roman" w:hint="default"/>
                <w:sz w:val="18"/>
                <w:szCs w:val="18"/>
              </w:rPr>
            </w:pPr>
            <w:r>
              <w:rPr>
                <w:rFonts w:ascii="Times New Roman"/>
                <w:sz w:val="18"/>
              </w:rPr>
              <w:t>4.73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4"/>
              <w:ind w:left="115" w:right="0"/>
              <w:jc w:val="left"/>
              <w:rPr>
                <w:rFonts w:ascii="Times New Roman" w:hAnsi="Times New Roman" w:cs="Times New Roman" w:eastAsia="Times New Roman" w:hint="default"/>
                <w:sz w:val="18"/>
                <w:szCs w:val="18"/>
              </w:rPr>
            </w:pPr>
            <w:r>
              <w:rPr>
                <w:rFonts w:ascii="Times New Roman"/>
                <w:sz w:val="18"/>
              </w:rPr>
              <w:t>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1,343,52</w:t>
            </w:r>
          </w:p>
          <w:p>
            <w:pPr>
              <w:pStyle w:val="TableParagraph"/>
              <w:spacing w:line="240" w:lineRule="auto" w:before="114"/>
              <w:ind w:left="499" w:right="0"/>
              <w:jc w:val="left"/>
              <w:rPr>
                <w:rFonts w:ascii="Times New Roman" w:hAnsi="Times New Roman" w:cs="Times New Roman" w:eastAsia="Times New Roman" w:hint="default"/>
                <w:sz w:val="18"/>
                <w:szCs w:val="18"/>
              </w:rPr>
            </w:pPr>
            <w:r>
              <w:rPr>
                <w:rFonts w:ascii="Times New Roman"/>
                <w:sz w:val="18"/>
              </w:rPr>
              <w:t>6.32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11.70</w:t>
            </w:r>
          </w:p>
          <w:p>
            <w:pPr>
              <w:pStyle w:val="TableParagraph"/>
              <w:spacing w:line="240" w:lineRule="auto" w:before="114"/>
              <w:ind w:left="35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10,143,7</w:t>
            </w:r>
          </w:p>
          <w:p>
            <w:pPr>
              <w:pStyle w:val="TableParagraph"/>
              <w:spacing w:line="240" w:lineRule="auto" w:before="114"/>
              <w:ind w:left="412" w:right="0"/>
              <w:jc w:val="left"/>
              <w:rPr>
                <w:rFonts w:ascii="Times New Roman" w:hAnsi="Times New Roman" w:cs="Times New Roman" w:eastAsia="Times New Roman" w:hint="default"/>
                <w:sz w:val="18"/>
                <w:szCs w:val="18"/>
              </w:rPr>
            </w:pPr>
            <w:r>
              <w:rPr>
                <w:rFonts w:ascii="Times New Roman"/>
                <w:sz w:val="18"/>
              </w:rPr>
              <w:t>28.41</w:t>
            </w:r>
          </w:p>
        </w:tc>
      </w:tr>
      <w:tr>
        <w:trPr>
          <w:trHeight w:val="730" w:hRule="exact"/>
        </w:trPr>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16,018,52</w:t>
            </w:r>
          </w:p>
          <w:p>
            <w:pPr>
              <w:pStyle w:val="TableParagraph"/>
              <w:spacing w:line="240" w:lineRule="auto" w:before="114"/>
              <w:ind w:left="537" w:right="0"/>
              <w:jc w:val="left"/>
              <w:rPr>
                <w:rFonts w:ascii="Times New Roman" w:hAnsi="Times New Roman" w:cs="Times New Roman" w:eastAsia="Times New Roman" w:hint="default"/>
                <w:sz w:val="18"/>
                <w:szCs w:val="18"/>
              </w:rPr>
            </w:pPr>
            <w:r>
              <w:rPr>
                <w:rFonts w:ascii="Times New Roman"/>
                <w:sz w:val="18"/>
              </w:rPr>
              <w:t>4.12</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4"/>
              <w:ind w:left="115" w:right="0"/>
              <w:jc w:val="left"/>
              <w:rPr>
                <w:rFonts w:ascii="Times New Roman" w:hAnsi="Times New Roman" w:cs="Times New Roman" w:eastAsia="Times New Roman" w:hint="default"/>
                <w:sz w:val="18"/>
                <w:szCs w:val="18"/>
              </w:rPr>
            </w:pPr>
            <w:r>
              <w:rPr>
                <w:rFonts w:ascii="Times New Roman"/>
                <w:sz w:val="18"/>
              </w:rPr>
              <w:t>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2,128,707</w:t>
            </w:r>
          </w:p>
          <w:p>
            <w:pPr>
              <w:pStyle w:val="TableParagraph"/>
              <w:spacing w:line="240" w:lineRule="auto" w:before="114"/>
              <w:ind w:left="604" w:right="0"/>
              <w:jc w:val="left"/>
              <w:rPr>
                <w:rFonts w:ascii="Times New Roman" w:hAnsi="Times New Roman" w:cs="Times New Roman" w:eastAsia="Times New Roman" w:hint="default"/>
                <w:sz w:val="18"/>
                <w:szCs w:val="18"/>
              </w:rPr>
            </w:pPr>
            <w:r>
              <w:rPr>
                <w:rFonts w:ascii="Times New Roman"/>
                <w:sz w:val="18"/>
              </w:rPr>
              <w:t>.51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14"/>
              <w:ind w:left="230" w:right="0"/>
              <w:jc w:val="left"/>
              <w:rPr>
                <w:rFonts w:ascii="Times New Roman" w:hAnsi="Times New Roman" w:cs="Times New Roman" w:eastAsia="Times New Roman" w:hint="default"/>
                <w:sz w:val="18"/>
                <w:szCs w:val="18"/>
              </w:rPr>
            </w:pPr>
            <w:r>
              <w:rPr>
                <w:rFonts w:ascii="Times New Roman"/>
                <w:sz w:val="18"/>
              </w:rPr>
              <w:t>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13,889,8</w:t>
            </w:r>
          </w:p>
          <w:p>
            <w:pPr>
              <w:pStyle w:val="TableParagraph"/>
              <w:spacing w:line="240" w:lineRule="auto" w:before="114"/>
              <w:ind w:left="340" w:right="0"/>
              <w:jc w:val="left"/>
              <w:rPr>
                <w:rFonts w:ascii="Times New Roman" w:hAnsi="Times New Roman" w:cs="Times New Roman" w:eastAsia="Times New Roman" w:hint="default"/>
                <w:sz w:val="18"/>
                <w:szCs w:val="18"/>
              </w:rPr>
            </w:pPr>
            <w:r>
              <w:rPr>
                <w:rFonts w:ascii="Times New Roman"/>
                <w:sz w:val="18"/>
              </w:rPr>
              <w:t>16.61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3" w:right="0"/>
              <w:jc w:val="left"/>
              <w:rPr>
                <w:rFonts w:ascii="Times New Roman" w:hAnsi="Times New Roman" w:cs="Times New Roman" w:eastAsia="Times New Roman" w:hint="default"/>
                <w:sz w:val="18"/>
                <w:szCs w:val="18"/>
              </w:rPr>
            </w:pPr>
            <w:r>
              <w:rPr>
                <w:rFonts w:ascii="Times New Roman"/>
                <w:sz w:val="18"/>
              </w:rPr>
              <w:t>11,487,25</w:t>
            </w:r>
          </w:p>
          <w:p>
            <w:pPr>
              <w:pStyle w:val="TableParagraph"/>
              <w:spacing w:line="240" w:lineRule="auto" w:before="114"/>
              <w:ind w:left="561" w:right="0"/>
              <w:jc w:val="left"/>
              <w:rPr>
                <w:rFonts w:ascii="Times New Roman" w:hAnsi="Times New Roman" w:cs="Times New Roman" w:eastAsia="Times New Roman" w:hint="default"/>
                <w:sz w:val="18"/>
                <w:szCs w:val="18"/>
              </w:rPr>
            </w:pPr>
            <w:r>
              <w:rPr>
                <w:rFonts w:ascii="Times New Roman"/>
                <w:sz w:val="18"/>
              </w:rPr>
              <w:t>4.73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14"/>
              <w:ind w:left="115" w:right="0"/>
              <w:jc w:val="left"/>
              <w:rPr>
                <w:rFonts w:ascii="Times New Roman" w:hAnsi="Times New Roman" w:cs="Times New Roman" w:eastAsia="Times New Roman" w:hint="default"/>
                <w:sz w:val="18"/>
                <w:szCs w:val="18"/>
              </w:rPr>
            </w:pPr>
            <w:r>
              <w:rPr>
                <w:rFonts w:ascii="Times New Roman"/>
                <w:sz w:val="18"/>
              </w:rPr>
              <w:t>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1,343,52</w:t>
            </w:r>
          </w:p>
          <w:p>
            <w:pPr>
              <w:pStyle w:val="TableParagraph"/>
              <w:spacing w:line="240" w:lineRule="auto" w:before="114"/>
              <w:ind w:left="499" w:right="0"/>
              <w:jc w:val="left"/>
              <w:rPr>
                <w:rFonts w:ascii="Times New Roman" w:hAnsi="Times New Roman" w:cs="Times New Roman" w:eastAsia="Times New Roman" w:hint="default"/>
                <w:sz w:val="18"/>
                <w:szCs w:val="18"/>
              </w:rPr>
            </w:pPr>
            <w:r>
              <w:rPr>
                <w:rFonts w:ascii="Times New Roman"/>
                <w:sz w:val="18"/>
              </w:rPr>
              <w:t>6.32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11.70</w:t>
            </w:r>
          </w:p>
          <w:p>
            <w:pPr>
              <w:pStyle w:val="TableParagraph"/>
              <w:spacing w:line="240" w:lineRule="auto" w:before="114"/>
              <w:ind w:left="35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10,143,7</w:t>
            </w:r>
          </w:p>
          <w:p>
            <w:pPr>
              <w:pStyle w:val="TableParagraph"/>
              <w:spacing w:line="240" w:lineRule="auto" w:before="114"/>
              <w:ind w:left="412" w:right="0"/>
              <w:jc w:val="left"/>
              <w:rPr>
                <w:rFonts w:ascii="Times New Roman" w:hAnsi="Times New Roman" w:cs="Times New Roman" w:eastAsia="Times New Roman" w:hint="default"/>
                <w:sz w:val="18"/>
                <w:szCs w:val="18"/>
              </w:rPr>
            </w:pPr>
            <w:r>
              <w:rPr>
                <w:rFonts w:ascii="Times New Roman"/>
                <w:sz w:val="18"/>
              </w:rPr>
              <w:t>28.41</w:t>
            </w:r>
          </w:p>
        </w:tc>
      </w:tr>
    </w:tbl>
    <w:p>
      <w:pPr>
        <w:pStyle w:val="BodyText"/>
        <w:spacing w:line="240" w:lineRule="auto" w:before="58"/>
        <w:ind w:right="0"/>
        <w:jc w:val="left"/>
      </w:pPr>
      <w:r>
        <w:rPr>
          <w:spacing w:val="-3"/>
        </w:rPr>
        <w:t>期末单项金额重大并单项计提坏账准备的其他应收款：</w:t>
      </w:r>
    </w:p>
    <w:p>
      <w:pPr>
        <w:spacing w:after="0" w:line="240" w:lineRule="auto"/>
        <w:jc w:val="left"/>
        <w:sectPr>
          <w:pgSz w:w="11910" w:h="16840"/>
          <w:pgMar w:header="914" w:footer="1027" w:top="1100" w:bottom="1220" w:left="980" w:right="980"/>
        </w:sectPr>
      </w:pPr>
    </w:p>
    <w:p>
      <w:pPr>
        <w:pStyle w:val="BodyText"/>
        <w:spacing w:line="367" w:lineRule="auto" w:before="129"/>
        <w:ind w:right="0" w:hanging="1"/>
        <w:jc w:val="left"/>
      </w:pPr>
      <w:r>
        <w:rPr/>
        <w:t>□ </w:t>
      </w:r>
      <w:r>
        <w:rPr>
          <w:spacing w:val="-3"/>
        </w:rPr>
        <w:t>适用 </w:t>
      </w:r>
      <w:r>
        <w:rPr/>
        <w:t>√ 不适用</w:t>
      </w:r>
      <w:r>
        <w:rPr>
          <w:spacing w:val="-77"/>
        </w:rPr>
        <w:t> </w:t>
      </w:r>
      <w:r>
        <w:rPr>
          <w:spacing w:val="-77"/>
        </w:rPr>
      </w:r>
      <w:r>
        <w:rPr>
          <w:spacing w:val="-3"/>
        </w:rPr>
        <w:t>组合中，按账龄分析法计提坏账准备的其他应收款：</w:t>
      </w:r>
      <w:r>
        <w:rPr/>
      </w:r>
    </w:p>
    <w:p>
      <w:pPr>
        <w:pStyle w:val="BodyText"/>
        <w:spacing w:line="240" w:lineRule="auto" w:before="29"/>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980" w:right="980"/>
          <w:cols w:num="2" w:equalWidth="0">
            <w:col w:w="4292" w:space="4536"/>
            <w:col w:w="112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408" w:hRule="exact"/>
        </w:trPr>
        <w:tc>
          <w:tcPr>
            <w:tcW w:w="24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2491" w:type="dxa"/>
            <w:vMerge/>
            <w:tcBorders>
              <w:left w:val="single" w:sz="4" w:space="0" w:color="000000"/>
              <w:bottom w:val="single" w:sz="4" w:space="0" w:color="000000"/>
              <w:right w:val="single" w:sz="4" w:space="0" w:color="000000"/>
            </w:tcBorders>
            <w:shd w:val="clear" w:color="auto" w:fill="D4D4D4"/>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696" w:right="0"/>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宋体" w:hAnsi="宋体" w:cs="宋体" w:eastAsia="宋体" w:hint="default"/>
                <w:sz w:val="18"/>
                <w:szCs w:val="18"/>
              </w:rPr>
            </w:r>
          </w:p>
        </w:tc>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11,895,412.14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594,770.61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11,895,412.14</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594,770.61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1,206,947.41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120,694.74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1,878,653.01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375,730.60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3"/>
                <w:sz w:val="18"/>
              </w:rPr>
              <w:t>1,037,511.56</w:t>
            </w:r>
            <w:r>
              <w:rPr>
                <w:rFonts w:ascii="Times New Roman"/>
                <w:sz w:val="18"/>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3"/>
                <w:sz w:val="18"/>
              </w:rPr>
              <w:t>1,037,511.56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8" w:hRule="exact"/>
        </w:trPr>
        <w:tc>
          <w:tcPr>
            <w:tcW w:w="2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16,018,524.12</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2,128,707.51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8"/>
        <w:ind w:right="0"/>
        <w:jc w:val="left"/>
      </w:pPr>
      <w:r>
        <w:rPr>
          <w:spacing w:val="-3"/>
        </w:rPr>
        <w:t>组合中，采用余额百分比法计提坏账准备的其他应收款：</w:t>
      </w:r>
      <w:r>
        <w:rPr/>
      </w:r>
    </w:p>
    <w:p>
      <w:pPr>
        <w:pStyle w:val="BodyText"/>
        <w:spacing w:line="240" w:lineRule="auto" w:before="129"/>
        <w:ind w:right="0"/>
        <w:jc w:val="left"/>
      </w:pPr>
      <w:r>
        <w:rPr/>
        <w:t>□ </w:t>
      </w:r>
      <w:r>
        <w:rPr>
          <w:spacing w:val="-3"/>
        </w:rPr>
        <w:t>适用 </w:t>
      </w:r>
      <w:r>
        <w:rPr/>
        <w:t>√</w:t>
      </w:r>
      <w:r>
        <w:rPr>
          <w:spacing w:val="13"/>
        </w:rPr>
        <w:t> </w:t>
      </w:r>
      <w:r>
        <w:rPr/>
        <w:t>不适用</w:t>
      </w:r>
    </w:p>
    <w:p>
      <w:pPr>
        <w:spacing w:after="0" w:line="240" w:lineRule="auto"/>
        <w:jc w:val="left"/>
        <w:sectPr>
          <w:type w:val="continuous"/>
          <w:pgSz w:w="11910" w:h="16840"/>
          <w:pgMar w:top="1100" w:bottom="1220" w:left="980" w:right="980"/>
        </w:sectPr>
      </w:pPr>
    </w:p>
    <w:p>
      <w:pPr>
        <w:spacing w:line="240" w:lineRule="auto" w:before="7"/>
        <w:rPr>
          <w:rFonts w:ascii="宋体" w:hAnsi="宋体" w:cs="宋体" w:eastAsia="宋体" w:hint="default"/>
          <w:sz w:val="23"/>
          <w:szCs w:val="23"/>
        </w:rPr>
      </w:pPr>
    </w:p>
    <w:p>
      <w:pPr>
        <w:pStyle w:val="BodyText"/>
        <w:spacing w:line="240" w:lineRule="auto" w:before="46"/>
        <w:ind w:right="0"/>
        <w:jc w:val="left"/>
      </w:pPr>
      <w:r>
        <w:rPr>
          <w:spacing w:val="-3"/>
        </w:rPr>
        <w:t>组合中，采用其他方法计提坏账准备的其他应收款：</w:t>
      </w:r>
      <w:r>
        <w:rPr/>
      </w:r>
    </w:p>
    <w:p>
      <w:pPr>
        <w:pStyle w:val="BodyText"/>
        <w:spacing w:line="240" w:lineRule="auto" w:before="124"/>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本期计提、收回或转回的坏账准备情况" w:id="364"/>
      <w:bookmarkEnd w:id="36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本期计提坏账准备金额</w:t>
      </w:r>
      <w:r>
        <w:rPr>
          <w:spacing w:val="-33"/>
        </w:rPr>
        <w:t> </w:t>
      </w:r>
      <w:r>
        <w:rPr>
          <w:rFonts w:ascii="Times New Roman" w:hAnsi="Times New Roman" w:cs="Times New Roman" w:eastAsia="Times New Roman" w:hint="default"/>
        </w:rPr>
        <w:t>785,181.19</w:t>
      </w:r>
      <w:r>
        <w:rPr>
          <w:rFonts w:ascii="Times New Roman" w:hAnsi="Times New Roman" w:cs="Times New Roman" w:eastAsia="Times New Roman" w:hint="default"/>
          <w:spacing w:val="12"/>
        </w:rPr>
        <w:t> </w:t>
      </w:r>
      <w:r>
        <w:rPr>
          <w:spacing w:val="-3"/>
        </w:rPr>
        <w:t>元；本期收回或转回坏账准备金额</w:t>
      </w:r>
      <w:r>
        <w:rPr>
          <w:spacing w:val="-34"/>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本期实际核销的其他应收款情况" w:id="365"/>
      <w:bookmarkEnd w:id="36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本公司本期无实际核销的其他应收款。</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4）其他应收款按款项性质分类情况" w:id="366"/>
      <w:bookmarkEnd w:id="36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410" w:hRule="exact"/>
        </w:trPr>
        <w:tc>
          <w:tcPr>
            <w:tcW w:w="3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3" w:hRule="exact"/>
        </w:trPr>
        <w:tc>
          <w:tcPr>
            <w:tcW w:w="33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8,819,134.38</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7,126,030.00</w:t>
            </w:r>
          </w:p>
        </w:tc>
      </w:tr>
      <w:tr>
        <w:trPr>
          <w:trHeight w:val="408" w:hRule="exact"/>
        </w:trPr>
        <w:tc>
          <w:tcPr>
            <w:tcW w:w="33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其他往来及备用金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4,103,151.60</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4,361,224.73</w:t>
            </w:r>
          </w:p>
        </w:tc>
      </w:tr>
      <w:tr>
        <w:trPr>
          <w:trHeight w:val="413" w:hRule="exact"/>
        </w:trPr>
        <w:tc>
          <w:tcPr>
            <w:tcW w:w="33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增值税软件退税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3,096,238.14</w:t>
            </w:r>
          </w:p>
        </w:tc>
        <w:tc>
          <w:tcPr>
            <w:tcW w:w="3096"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16,018,524.12</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2"/>
                <w:sz w:val="18"/>
              </w:rPr>
              <w:t>11,487,254.73</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5）按欠款方归集的期末余额前五名的其他应收款情况" w:id="367"/>
      <w:bookmarkEnd w:id="36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14"/>
        <w:gridCol w:w="1277"/>
        <w:gridCol w:w="1450"/>
        <w:gridCol w:w="2122"/>
        <w:gridCol w:w="1651"/>
        <w:gridCol w:w="1258"/>
      </w:tblGrid>
      <w:tr>
        <w:trPr>
          <w:trHeight w:val="1054" w:hRule="exact"/>
        </w:trPr>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spacing w:val="-3"/>
                <w:sz w:val="18"/>
                <w:szCs w:val="18"/>
              </w:rPr>
              <w:t>款项的性质</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92" w:right="189"/>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比例</w:t>
            </w:r>
          </w:p>
        </w:tc>
        <w:tc>
          <w:tcPr>
            <w:tcW w:w="1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6"/>
                <w:szCs w:val="16"/>
              </w:rPr>
            </w:pPr>
          </w:p>
          <w:p>
            <w:pPr>
              <w:pStyle w:val="TableParagraph"/>
              <w:spacing w:line="328" w:lineRule="auto"/>
              <w:ind w:left="355" w:right="175" w:hanging="183"/>
              <w:jc w:val="left"/>
              <w:rPr>
                <w:rFonts w:ascii="宋体" w:hAnsi="宋体" w:cs="宋体" w:eastAsia="宋体" w:hint="default"/>
                <w:sz w:val="18"/>
                <w:szCs w:val="18"/>
              </w:rPr>
            </w:pPr>
            <w:r>
              <w:rPr>
                <w:rFonts w:ascii="宋体" w:hAnsi="宋体" w:cs="宋体" w:eastAsia="宋体" w:hint="default"/>
                <w:spacing w:val="-3"/>
                <w:sz w:val="18"/>
                <w:szCs w:val="18"/>
              </w:rPr>
              <w:t>坏账准备期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末余额</w:t>
            </w:r>
            <w:r>
              <w:rPr>
                <w:rFonts w:ascii="宋体" w:hAnsi="宋体" w:cs="宋体" w:eastAsia="宋体" w:hint="default"/>
                <w:sz w:val="18"/>
                <w:szCs w:val="18"/>
              </w:rPr>
            </w:r>
          </w:p>
        </w:tc>
      </w:tr>
      <w:tr>
        <w:trPr>
          <w:trHeight w:val="732" w:hRule="exact"/>
        </w:trPr>
        <w:tc>
          <w:tcPr>
            <w:tcW w:w="18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61"/>
              <w:ind w:left="633" w:right="175" w:hanging="452"/>
              <w:jc w:val="left"/>
              <w:rPr>
                <w:rFonts w:ascii="宋体" w:hAnsi="宋体" w:cs="宋体" w:eastAsia="宋体" w:hint="default"/>
                <w:sz w:val="18"/>
                <w:szCs w:val="18"/>
              </w:rPr>
            </w:pPr>
            <w:r>
              <w:rPr>
                <w:rFonts w:ascii="宋体" w:hAnsi="宋体" w:cs="宋体" w:eastAsia="宋体" w:hint="default"/>
                <w:spacing w:val="-2"/>
                <w:sz w:val="18"/>
                <w:szCs w:val="18"/>
              </w:rPr>
              <w:t>长沙市高新区国家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税务局</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软件退税</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3,096,238.14</w:t>
            </w:r>
          </w:p>
        </w:tc>
        <w:tc>
          <w:tcPr>
            <w:tcW w:w="2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19.33%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154,811.91</w:t>
            </w:r>
          </w:p>
        </w:tc>
      </w:tr>
      <w:tr>
        <w:trPr>
          <w:trHeight w:val="1373" w:hRule="exact"/>
        </w:trPr>
        <w:tc>
          <w:tcPr>
            <w:tcW w:w="18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44"/>
              <w:ind w:left="364" w:right="175" w:hanging="183"/>
              <w:jc w:val="left"/>
              <w:rPr>
                <w:rFonts w:ascii="宋体" w:hAnsi="宋体" w:cs="宋体" w:eastAsia="宋体" w:hint="default"/>
                <w:sz w:val="18"/>
                <w:szCs w:val="18"/>
              </w:rPr>
            </w:pPr>
            <w:r>
              <w:rPr>
                <w:rFonts w:ascii="宋体" w:hAnsi="宋体" w:cs="宋体" w:eastAsia="宋体" w:hint="default"/>
                <w:spacing w:val="-2"/>
                <w:sz w:val="18"/>
                <w:szCs w:val="18"/>
              </w:rPr>
              <w:t>北京科创鑫源信息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往来款</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1,429,064.60</w:t>
            </w:r>
          </w:p>
        </w:tc>
        <w:tc>
          <w:tcPr>
            <w:tcW w:w="2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501,643.71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312" w:lineRule="auto" w:before="67"/>
              <w:ind w:left="100"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283,614.71</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元，</w:t>
            </w:r>
            <w:r>
              <w:rPr>
                <w:rFonts w:ascii="Times New Roman" w:hAnsi="Times New Roman" w:cs="Times New Roman" w:eastAsia="Times New Roman" w:hint="default"/>
                <w:spacing w:val="-14"/>
                <w:sz w:val="18"/>
                <w:szCs w:val="18"/>
              </w:rPr>
              <w:t>2-3</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632,785.51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11,020.67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8.92%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191,021.43</w:t>
            </w:r>
          </w:p>
        </w:tc>
      </w:tr>
      <w:tr>
        <w:trPr>
          <w:trHeight w:val="413" w:hRule="exact"/>
        </w:trPr>
        <w:tc>
          <w:tcPr>
            <w:tcW w:w="18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中南大学</w:t>
            </w: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837,840.00</w:t>
            </w:r>
          </w:p>
        </w:tc>
        <w:tc>
          <w:tcPr>
            <w:tcW w:w="2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5.23%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167,568.00</w:t>
            </w:r>
          </w:p>
        </w:tc>
      </w:tr>
      <w:tr>
        <w:trPr>
          <w:trHeight w:val="730" w:hRule="exact"/>
        </w:trPr>
        <w:tc>
          <w:tcPr>
            <w:tcW w:w="18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364" w:right="175" w:hanging="183"/>
              <w:jc w:val="left"/>
              <w:rPr>
                <w:rFonts w:ascii="宋体" w:hAnsi="宋体" w:cs="宋体" w:eastAsia="宋体" w:hint="default"/>
                <w:sz w:val="18"/>
                <w:szCs w:val="18"/>
              </w:rPr>
            </w:pPr>
            <w:r>
              <w:rPr>
                <w:rFonts w:ascii="宋体" w:hAnsi="宋体" w:cs="宋体" w:eastAsia="宋体" w:hint="default"/>
                <w:spacing w:val="-2"/>
                <w:sz w:val="18"/>
                <w:szCs w:val="18"/>
              </w:rPr>
              <w:t>湖南科创信息系统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集成有限公司</w:t>
            </w: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往来款</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817,247.27</w:t>
            </w:r>
          </w:p>
        </w:tc>
        <w:tc>
          <w:tcPr>
            <w:tcW w:w="2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40,862.36</w:t>
            </w:r>
          </w:p>
        </w:tc>
      </w:tr>
      <w:tr>
        <w:trPr>
          <w:trHeight w:val="734" w:hRule="exact"/>
        </w:trPr>
        <w:tc>
          <w:tcPr>
            <w:tcW w:w="18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33" w:lineRule="auto" w:before="58"/>
              <w:ind w:left="542" w:right="175" w:hanging="360"/>
              <w:jc w:val="left"/>
              <w:rPr>
                <w:rFonts w:ascii="宋体" w:hAnsi="宋体" w:cs="宋体" w:eastAsia="宋体" w:hint="default"/>
                <w:sz w:val="18"/>
                <w:szCs w:val="18"/>
              </w:rPr>
            </w:pPr>
            <w:r>
              <w:rPr>
                <w:rFonts w:ascii="宋体" w:hAnsi="宋体" w:cs="宋体" w:eastAsia="宋体" w:hint="default"/>
                <w:spacing w:val="-2"/>
                <w:sz w:val="18"/>
                <w:szCs w:val="18"/>
              </w:rPr>
              <w:t>岳阳市政府采购管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理办公室</w:t>
            </w: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保证金</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724,409.60</w:t>
            </w:r>
          </w:p>
        </w:tc>
        <w:tc>
          <w:tcPr>
            <w:tcW w:w="21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2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640,673.60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83,736.00 </w:t>
            </w:r>
            <w:r>
              <w:rPr>
                <w:rFonts w:ascii="宋体" w:hAnsi="宋体" w:cs="宋体" w:eastAsia="宋体" w:hint="default"/>
                <w:sz w:val="18"/>
                <w:szCs w:val="18"/>
              </w:rPr>
              <w:t>元</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40,407.28</w:t>
            </w:r>
          </w:p>
        </w:tc>
      </w:tr>
      <w:tr>
        <w:trPr>
          <w:trHeight w:val="413" w:hRule="exact"/>
        </w:trPr>
        <w:tc>
          <w:tcPr>
            <w:tcW w:w="1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6,904,799.61</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43.10%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594,670.98</w:t>
            </w:r>
          </w:p>
        </w:tc>
      </w:tr>
    </w:tbl>
    <w:p>
      <w:pPr>
        <w:spacing w:after="0" w:line="240" w:lineRule="auto"/>
        <w:jc w:val="center"/>
        <w:rPr>
          <w:rFonts w:ascii="Times New Roman" w:hAnsi="Times New Roman" w:cs="Times New Roman" w:eastAsia="Times New Roman" w:hint="default"/>
          <w:sz w:val="18"/>
          <w:szCs w:val="18"/>
        </w:rPr>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6）涉及政府补助的应收款项" w:id="368"/>
      <w:bookmarkEnd w:id="36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6"/>
        <w:gridCol w:w="1776"/>
        <w:gridCol w:w="1536"/>
        <w:gridCol w:w="1037"/>
        <w:gridCol w:w="3197"/>
      </w:tblGrid>
      <w:tr>
        <w:trPr>
          <w:trHeight w:val="410" w:hRule="exact"/>
        </w:trPr>
        <w:tc>
          <w:tcPr>
            <w:tcW w:w="2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31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pacing w:val="-3"/>
                <w:sz w:val="18"/>
                <w:szCs w:val="18"/>
              </w:rPr>
              <w:t>预计收取的时间、金额及依据</w:t>
            </w:r>
            <w:r>
              <w:rPr>
                <w:rFonts w:ascii="宋体" w:hAnsi="宋体" w:cs="宋体" w:eastAsia="宋体" w:hint="default"/>
                <w:sz w:val="18"/>
                <w:szCs w:val="18"/>
              </w:rPr>
            </w:r>
          </w:p>
        </w:tc>
      </w:tr>
      <w:tr>
        <w:trPr>
          <w:trHeight w:val="1054" w:hRule="exact"/>
        </w:trPr>
        <w:tc>
          <w:tcPr>
            <w:tcW w:w="2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6"/>
                <w:szCs w:val="16"/>
              </w:rPr>
            </w:pPr>
          </w:p>
          <w:p>
            <w:pPr>
              <w:pStyle w:val="TableParagraph"/>
              <w:spacing w:line="328" w:lineRule="auto"/>
              <w:ind w:left="921" w:right="98" w:hanging="812"/>
              <w:jc w:val="left"/>
              <w:rPr>
                <w:rFonts w:ascii="宋体" w:hAnsi="宋体" w:cs="宋体" w:eastAsia="宋体" w:hint="default"/>
                <w:sz w:val="18"/>
                <w:szCs w:val="18"/>
              </w:rPr>
            </w:pPr>
            <w:r>
              <w:rPr>
                <w:rFonts w:ascii="宋体" w:hAnsi="宋体" w:cs="宋体" w:eastAsia="宋体" w:hint="default"/>
                <w:spacing w:val="-2"/>
                <w:sz w:val="18"/>
                <w:szCs w:val="18"/>
              </w:rPr>
              <w:t>长沙市高新区国家税务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局</w:t>
            </w:r>
          </w:p>
        </w:tc>
        <w:tc>
          <w:tcPr>
            <w:tcW w:w="1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pacing w:val="-3"/>
                <w:sz w:val="18"/>
                <w:szCs w:val="18"/>
              </w:rPr>
              <w:t>增值税软件退税</w:t>
            </w:r>
            <w:r>
              <w:rPr>
                <w:rFonts w:ascii="宋体" w:hAnsi="宋体" w:cs="宋体" w:eastAsia="宋体" w:hint="default"/>
                <w:sz w:val="18"/>
                <w:szCs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3,096,238.14</w:t>
            </w:r>
          </w:p>
        </w:tc>
        <w:tc>
          <w:tcPr>
            <w:tcW w:w="1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61"/>
              <w:ind w:left="105" w:right="98"/>
              <w:jc w:val="center"/>
              <w:rPr>
                <w:rFonts w:ascii="宋体" w:hAnsi="宋体" w:cs="宋体" w:eastAsia="宋体" w:hint="default"/>
                <w:sz w:val="18"/>
                <w:szCs w:val="18"/>
              </w:rPr>
            </w:pPr>
            <w:r>
              <w:rPr>
                <w:rFonts w:ascii="宋体" w:hAnsi="宋体" w:cs="宋体" w:eastAsia="宋体" w:hint="default"/>
                <w:spacing w:val="-3"/>
                <w:sz w:val="18"/>
                <w:szCs w:val="18"/>
              </w:rPr>
              <w:t>依据长沙市高新区国家税务局软件产</w:t>
            </w:r>
            <w:r>
              <w:rPr>
                <w:rFonts w:ascii="宋体" w:hAnsi="宋体" w:cs="宋体" w:eastAsia="宋体" w:hint="default"/>
                <w:w w:val="101"/>
                <w:sz w:val="18"/>
                <w:szCs w:val="18"/>
              </w:rPr>
              <w:t> </w:t>
            </w:r>
            <w:r>
              <w:rPr>
                <w:rFonts w:ascii="宋体" w:hAnsi="宋体" w:cs="宋体" w:eastAsia="宋体" w:hint="default"/>
                <w:spacing w:val="-8"/>
                <w:w w:val="101"/>
                <w:sz w:val="18"/>
                <w:szCs w:val="18"/>
              </w:rPr>
              <w:t>品增值税即征即退申请审批表，预计在</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Times New Roman" w:hAnsi="Times New Roman" w:cs="Times New Roman" w:eastAsia="Times New Roman" w:hint="default"/>
                <w:sz w:val="18"/>
                <w:szCs w:val="18"/>
              </w:rPr>
              <w:t>2018 </w:t>
            </w:r>
            <w:r>
              <w:rPr>
                <w:rFonts w:ascii="宋体" w:hAnsi="宋体" w:cs="宋体" w:eastAsia="宋体" w:hint="default"/>
                <w:sz w:val="18"/>
                <w:szCs w:val="18"/>
              </w:rPr>
              <w:t>年收到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3,096,238.14 </w:t>
            </w:r>
            <w:r>
              <w:rPr>
                <w:rFonts w:ascii="宋体" w:hAnsi="宋体" w:cs="宋体" w:eastAsia="宋体" w:hint="default"/>
                <w:sz w:val="18"/>
                <w:szCs w:val="18"/>
              </w:rPr>
              <w:t>元退税</w:t>
            </w:r>
          </w:p>
        </w:tc>
      </w:tr>
      <w:tr>
        <w:trPr>
          <w:trHeight w:val="4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3,096,238.14</w:t>
            </w:r>
          </w:p>
        </w:tc>
        <w:tc>
          <w:tcPr>
            <w:tcW w:w="10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7）因金融资产转移而终止确认的其他应收款" w:id="369"/>
      <w:bookmarkEnd w:id="36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期末无因金融资产转移而终止确认的其他应收款。</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8）转移其他应收款且继续涉入形成的资产、负债金额" w:id="370"/>
      <w:bookmarkEnd w:id="37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spacing w:val="-3"/>
        </w:rPr>
        <w:t>期末无因转移其他应收款而继续涉入形成的资产、负债。</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7"/>
        <w:ind w:right="0"/>
        <w:jc w:val="left"/>
        <w:rPr>
          <w:b w:val="0"/>
          <w:bCs w:val="0"/>
        </w:rPr>
      </w:pPr>
      <w:bookmarkStart w:name="3、长期股权投资" w:id="371"/>
      <w:bookmarkEnd w:id="37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1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13,080,000.00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center"/>
              <w:rPr>
                <w:rFonts w:ascii="Times New Roman" w:hAnsi="Times New Roman" w:cs="Times New Roman" w:eastAsia="Times New Roman" w:hint="default"/>
                <w:sz w:val="18"/>
                <w:szCs w:val="18"/>
              </w:rPr>
            </w:pPr>
            <w:r>
              <w:rPr>
                <w:rFonts w:ascii="Times New Roman"/>
                <w:sz w:val="18"/>
              </w:rPr>
              <w:t>13,080,000.00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3,658,400.00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3,658,400.00</w:t>
            </w:r>
          </w:p>
        </w:tc>
      </w:tr>
      <w:tr>
        <w:trPr>
          <w:trHeight w:val="4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13,080,000.00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center"/>
              <w:rPr>
                <w:rFonts w:ascii="Times New Roman" w:hAnsi="Times New Roman" w:cs="Times New Roman" w:eastAsia="Times New Roman" w:hint="default"/>
                <w:sz w:val="18"/>
                <w:szCs w:val="18"/>
              </w:rPr>
            </w:pPr>
            <w:r>
              <w:rPr>
                <w:rFonts w:ascii="Times New Roman"/>
                <w:sz w:val="18"/>
              </w:rPr>
              <w:t>13,080,000.00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3,658,400.00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3,658,400.00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对子公司投资" w:id="372"/>
      <w:bookmarkEnd w:id="372"/>
      <w:r>
        <w:rPr>
          <w:b w:val="0"/>
          <w:bCs w:val="0"/>
        </w:rPr>
      </w:r>
      <w:r>
        <w:rPr/>
        <w:t>对子公司投资</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5"/>
        <w:gridCol w:w="1219"/>
        <w:gridCol w:w="1454"/>
        <w:gridCol w:w="1325"/>
        <w:gridCol w:w="1387"/>
        <w:gridCol w:w="1349"/>
        <w:gridCol w:w="1267"/>
      </w:tblGrid>
      <w:tr>
        <w:trPr>
          <w:trHeight w:val="730" w:hRule="exact"/>
        </w:trPr>
        <w:tc>
          <w:tcPr>
            <w:tcW w:w="15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被投资单位</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489" w:right="122" w:hanging="360"/>
              <w:jc w:val="left"/>
              <w:rPr>
                <w:rFonts w:ascii="宋体" w:hAnsi="宋体" w:cs="宋体" w:eastAsia="宋体" w:hint="default"/>
                <w:sz w:val="18"/>
                <w:szCs w:val="18"/>
              </w:rPr>
            </w:pPr>
            <w:r>
              <w:rPr>
                <w:rFonts w:ascii="宋体" w:hAnsi="宋体" w:cs="宋体" w:eastAsia="宋体" w:hint="default"/>
                <w:spacing w:val="-2"/>
                <w:sz w:val="18"/>
                <w:szCs w:val="18"/>
              </w:rPr>
              <w:t>本期计提减值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准备</w:t>
            </w:r>
          </w:p>
        </w:tc>
        <w:tc>
          <w:tcPr>
            <w:tcW w:w="12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359" w:right="175" w:hanging="178"/>
              <w:jc w:val="left"/>
              <w:rPr>
                <w:rFonts w:ascii="宋体" w:hAnsi="宋体" w:cs="宋体" w:eastAsia="宋体" w:hint="default"/>
                <w:sz w:val="18"/>
                <w:szCs w:val="18"/>
              </w:rPr>
            </w:pPr>
            <w:r>
              <w:rPr>
                <w:rFonts w:ascii="宋体" w:hAnsi="宋体" w:cs="宋体" w:eastAsia="宋体" w:hint="default"/>
                <w:spacing w:val="-3"/>
                <w:sz w:val="18"/>
                <w:szCs w:val="18"/>
              </w:rPr>
              <w:t>减值准备期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末余额</w:t>
            </w:r>
            <w:r>
              <w:rPr>
                <w:rFonts w:ascii="宋体" w:hAnsi="宋体" w:cs="宋体" w:eastAsia="宋体" w:hint="default"/>
                <w:sz w:val="18"/>
                <w:szCs w:val="18"/>
              </w:rPr>
            </w:r>
          </w:p>
        </w:tc>
      </w:tr>
      <w:tr>
        <w:trPr>
          <w:trHeight w:val="734" w:hRule="exact"/>
        </w:trPr>
        <w:tc>
          <w:tcPr>
            <w:tcW w:w="15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33" w:lineRule="auto" w:before="58"/>
              <w:ind w:left="148" w:right="146"/>
              <w:jc w:val="left"/>
              <w:rPr>
                <w:rFonts w:ascii="宋体" w:hAnsi="宋体" w:cs="宋体" w:eastAsia="宋体" w:hint="default"/>
                <w:sz w:val="18"/>
                <w:szCs w:val="18"/>
              </w:rPr>
            </w:pPr>
            <w:r>
              <w:rPr>
                <w:rFonts w:ascii="宋体" w:hAnsi="宋体" w:cs="宋体" w:eastAsia="宋体" w:hint="default"/>
                <w:spacing w:val="-3"/>
                <w:sz w:val="18"/>
                <w:szCs w:val="18"/>
              </w:rPr>
              <w:t>北京科创鑫源信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息技术有限公司</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1,020,000.00</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1,020,000.00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0.00</w:t>
            </w:r>
          </w:p>
        </w:tc>
      </w:tr>
      <w:tr>
        <w:trPr>
          <w:trHeight w:val="730" w:hRule="exact"/>
        </w:trPr>
        <w:tc>
          <w:tcPr>
            <w:tcW w:w="15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240" w:right="146" w:hanging="92"/>
              <w:jc w:val="left"/>
              <w:rPr>
                <w:rFonts w:ascii="宋体" w:hAnsi="宋体" w:cs="宋体" w:eastAsia="宋体" w:hint="default"/>
                <w:sz w:val="18"/>
                <w:szCs w:val="18"/>
              </w:rPr>
            </w:pPr>
            <w:r>
              <w:rPr>
                <w:rFonts w:ascii="宋体" w:hAnsi="宋体" w:cs="宋体" w:eastAsia="宋体" w:hint="default"/>
                <w:spacing w:val="-3"/>
                <w:sz w:val="18"/>
                <w:szCs w:val="18"/>
              </w:rPr>
              <w:t>湖南威斯理信息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科技有限公司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2,638,400.00</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2,638,400.00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0.00</w:t>
            </w:r>
          </w:p>
        </w:tc>
      </w:tr>
      <w:tr>
        <w:trPr>
          <w:trHeight w:val="734" w:hRule="exact"/>
        </w:trPr>
        <w:tc>
          <w:tcPr>
            <w:tcW w:w="15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33" w:lineRule="auto" w:before="58"/>
              <w:ind w:left="148" w:right="146"/>
              <w:jc w:val="left"/>
              <w:rPr>
                <w:rFonts w:ascii="宋体" w:hAnsi="宋体" w:cs="宋体" w:eastAsia="宋体" w:hint="default"/>
                <w:sz w:val="18"/>
                <w:szCs w:val="18"/>
              </w:rPr>
            </w:pPr>
            <w:r>
              <w:rPr>
                <w:rFonts w:ascii="宋体" w:hAnsi="宋体" w:cs="宋体" w:eastAsia="宋体" w:hint="default"/>
                <w:spacing w:val="-3"/>
                <w:sz w:val="18"/>
                <w:szCs w:val="18"/>
              </w:rPr>
              <w:t>湖南科创信息系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统集成有限公司</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28" w:lineRule="auto" w:before="58"/>
              <w:ind w:left="148" w:right="146"/>
              <w:jc w:val="left"/>
              <w:rPr>
                <w:rFonts w:ascii="宋体" w:hAnsi="宋体" w:cs="宋体" w:eastAsia="宋体" w:hint="default"/>
                <w:sz w:val="18"/>
                <w:szCs w:val="18"/>
              </w:rPr>
            </w:pPr>
            <w:r>
              <w:rPr>
                <w:rFonts w:ascii="宋体" w:hAnsi="宋体" w:cs="宋体" w:eastAsia="宋体" w:hint="default"/>
                <w:spacing w:val="-3"/>
                <w:sz w:val="18"/>
                <w:szCs w:val="18"/>
              </w:rPr>
              <w:t>永兴科创南方技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术服务有限公司</w:t>
            </w:r>
            <w:r>
              <w:rPr>
                <w:rFonts w:ascii="宋体" w:hAnsi="宋体" w:cs="宋体" w:eastAsia="宋体" w:hint="default"/>
                <w:sz w:val="18"/>
                <w:szCs w:val="18"/>
              </w:rPr>
            </w:r>
          </w:p>
        </w:tc>
        <w:tc>
          <w:tcPr>
            <w:tcW w:w="121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12,060,000.00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12,060,000.00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0.00</w:t>
            </w:r>
          </w:p>
        </w:tc>
      </w:tr>
      <w:tr>
        <w:trPr>
          <w:trHeight w:val="413" w:hRule="exact"/>
        </w:trPr>
        <w:tc>
          <w:tcPr>
            <w:tcW w:w="15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3,658,400.00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12,060,000.00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2,638,400.00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8"/>
                <w:szCs w:val="18"/>
              </w:rPr>
            </w:pPr>
            <w:r>
              <w:rPr>
                <w:rFonts w:ascii="Times New Roman"/>
                <w:sz w:val="18"/>
              </w:rPr>
              <w:t>13,080,000.00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4" w:footer="1027" w:top="1100" w:bottom="1220" w:left="980" w:right="980"/>
        </w:sectPr>
      </w:pPr>
    </w:p>
    <w:p>
      <w:pPr>
        <w:spacing w:line="240" w:lineRule="auto" w:before="5"/>
        <w:rPr>
          <w:rFonts w:ascii="宋体" w:hAnsi="宋体" w:cs="宋体" w:eastAsia="宋体" w:hint="default"/>
          <w:sz w:val="22"/>
          <w:szCs w:val="22"/>
        </w:rPr>
      </w:pPr>
    </w:p>
    <w:p>
      <w:pPr>
        <w:pStyle w:val="Heading4"/>
        <w:spacing w:line="240" w:lineRule="auto" w:before="36"/>
        <w:ind w:right="0"/>
        <w:jc w:val="left"/>
        <w:rPr>
          <w:b w:val="0"/>
          <w:bCs w:val="0"/>
        </w:rPr>
      </w:pPr>
      <w:bookmarkStart w:name="4、营业收入和营业成本" w:id="373"/>
      <w:bookmarkEnd w:id="37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10" w:hRule="exact"/>
        </w:trPr>
        <w:tc>
          <w:tcPr>
            <w:tcW w:w="19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0" w:hRule="exact"/>
        </w:trPr>
        <w:tc>
          <w:tcPr>
            <w:tcW w:w="1992" w:type="dxa"/>
            <w:vMerge/>
            <w:tcBorders>
              <w:left w:val="single" w:sz="4" w:space="0" w:color="000000"/>
              <w:bottom w:val="single" w:sz="4" w:space="0" w:color="000000"/>
              <w:right w:val="single" w:sz="4" w:space="0" w:color="000000"/>
            </w:tcBorders>
            <w:shd w:val="clear" w:color="auto" w:fill="D4D4D4"/>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13" w:hRule="exact"/>
        </w:trPr>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298,050,171.52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183,170,523.45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262,434,336.86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157,768,814.36</w:t>
            </w:r>
          </w:p>
        </w:tc>
      </w:tr>
      <w:tr>
        <w:trPr>
          <w:trHeight w:val="408" w:hRule="exact"/>
        </w:trPr>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1,251,063.20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276,898.46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835,410.19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250,357.94</w:t>
            </w:r>
          </w:p>
        </w:tc>
      </w:tr>
      <w:tr>
        <w:trPr>
          <w:trHeight w:val="413" w:hRule="exact"/>
        </w:trPr>
        <w:tc>
          <w:tcPr>
            <w:tcW w:w="1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299,301,234.72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183,447,421.91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263,269,747.05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158,019,172.30</w:t>
            </w:r>
          </w:p>
        </w:tc>
      </w:tr>
    </w:tbl>
    <w:p>
      <w:pPr>
        <w:spacing w:line="240" w:lineRule="auto" w:before="7"/>
        <w:rPr>
          <w:rFonts w:ascii="宋体" w:hAnsi="宋体" w:cs="宋体" w:eastAsia="宋体" w:hint="default"/>
          <w:sz w:val="19"/>
          <w:szCs w:val="19"/>
        </w:rPr>
      </w:pPr>
    </w:p>
    <w:p>
      <w:pPr>
        <w:pStyle w:val="Heading4"/>
        <w:spacing w:line="240" w:lineRule="auto" w:before="36"/>
        <w:ind w:right="0"/>
        <w:jc w:val="left"/>
        <w:rPr>
          <w:b w:val="0"/>
          <w:bCs w:val="0"/>
        </w:rPr>
      </w:pPr>
      <w:bookmarkStart w:name="5、投资收益" w:id="374"/>
      <w:bookmarkEnd w:id="37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6"/>
        <w:ind w:left="0" w:right="145"/>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7"/>
      </w:tblGrid>
      <w:tr>
        <w:trPr>
          <w:trHeight w:val="410"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right="7"/>
              <w:jc w:val="center"/>
              <w:rPr>
                <w:rFonts w:ascii="宋体" w:hAnsi="宋体" w:cs="宋体" w:eastAsia="宋体" w:hint="default"/>
                <w:sz w:val="18"/>
                <w:szCs w:val="18"/>
              </w:rPr>
            </w:pPr>
            <w:r>
              <w:rPr>
                <w:rFonts w:ascii="宋体" w:hAnsi="宋体" w:cs="宋体" w:eastAsia="宋体" w:hint="default"/>
                <w:spacing w:val="-3"/>
                <w:sz w:val="18"/>
                <w:szCs w:val="18"/>
              </w:rPr>
              <w:t>本期发生额</w:t>
            </w:r>
            <w:r>
              <w:rPr>
                <w:rFonts w:ascii="宋体" w:hAnsi="宋体" w:cs="宋体" w:eastAsia="宋体" w:hint="default"/>
                <w:sz w:val="18"/>
                <w:szCs w:val="18"/>
              </w:rPr>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pacing w:val="-3"/>
                <w:sz w:val="18"/>
                <w:szCs w:val="18"/>
              </w:rPr>
              <w:t>上期发生额</w:t>
            </w:r>
            <w:r>
              <w:rPr>
                <w:rFonts w:ascii="宋体" w:hAnsi="宋体" w:cs="宋体" w:eastAsia="宋体" w:hint="default"/>
                <w:sz w:val="18"/>
                <w:szCs w:val="18"/>
              </w:rPr>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-1,494,258.11</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-1,135,528.55</w:t>
            </w:r>
          </w:p>
        </w:tc>
      </w:tr>
      <w:tr>
        <w:trPr>
          <w:trHeight w:val="408" w:hRule="exact"/>
        </w:trPr>
        <w:tc>
          <w:tcPr>
            <w:tcW w:w="3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36,690.41</w:t>
            </w:r>
          </w:p>
        </w:tc>
      </w:tr>
      <w:tr>
        <w:trPr>
          <w:trHeight w:val="4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-1,494,258.11</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-1,098,838.14</w:t>
            </w:r>
          </w:p>
        </w:tc>
      </w:tr>
    </w:tbl>
    <w:p>
      <w:pPr>
        <w:spacing w:line="240" w:lineRule="auto" w:before="5"/>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375"/>
      <w:bookmarkEnd w:id="375"/>
      <w:r>
        <w:rPr>
          <w:b w:val="0"/>
          <w:bCs w:val="0"/>
        </w:rPr>
      </w:r>
      <w:r>
        <w:rPr/>
        <w:t>十八、补充资料</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当期非经常性损益明细表" w:id="376"/>
      <w:bookmarkEnd w:id="37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4"/>
          <w:szCs w:val="24"/>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24"/>
        <w:ind w:left="0" w:right="145"/>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387"/>
        <w:gridCol w:w="2726"/>
        <w:gridCol w:w="2458"/>
      </w:tblGrid>
      <w:tr>
        <w:trPr>
          <w:trHeight w:val="408"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15"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-7,460.00</w:t>
            </w:r>
          </w:p>
        </w:tc>
        <w:tc>
          <w:tcPr>
            <w:tcW w:w="245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32"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61"/>
              <w:ind w:left="105" w:right="131"/>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照国家统一标准定额或定量享受的政府补助除外）</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5,384,753.78</w:t>
            </w:r>
          </w:p>
        </w:tc>
        <w:tc>
          <w:tcPr>
            <w:tcW w:w="245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13"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622,814.64</w:t>
            </w:r>
          </w:p>
        </w:tc>
        <w:tc>
          <w:tcPr>
            <w:tcW w:w="245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8"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891,230.79</w:t>
            </w:r>
          </w:p>
        </w:tc>
        <w:tc>
          <w:tcPr>
            <w:tcW w:w="245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13"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w:t>
            </w:r>
            <w:r>
              <w:rPr>
                <w:rFonts w:ascii="宋体" w:hAnsi="宋体" w:cs="宋体" w:eastAsia="宋体" w:hint="default"/>
                <w:sz w:val="18"/>
                <w:szCs w:val="18"/>
              </w:rPr>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24,874.49</w:t>
            </w:r>
          </w:p>
        </w:tc>
        <w:tc>
          <w:tcPr>
            <w:tcW w:w="245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13"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5,084,003.14</w:t>
            </w:r>
          </w:p>
        </w:tc>
        <w:tc>
          <w:tcPr>
            <w:tcW w:w="24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8"/>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8"/>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宋体" w:hAnsi="宋体" w:cs="宋体" w:eastAsia="宋体" w:hint="default"/>
          <w:w w:val="101"/>
        </w:rPr>
        <w:t>—</w:t>
      </w:r>
      <w:r>
        <w:rPr>
          <w:rFonts w:ascii="宋体" w:hAnsi="宋体" w:cs="宋体" w:eastAsia="宋体"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14" w:lineRule="auto" w:before="67"/>
        <w:ind w:right="0"/>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宋体" w:hAnsi="宋体" w:cs="宋体" w:eastAsia="宋体" w:hint="default"/>
          <w:spacing w:val="-5"/>
        </w:rPr>
        <w:t>——</w:t>
      </w:r>
      <w:r>
        <w:rPr>
          <w:spacing w:val="-5"/>
        </w:rPr>
        <w:t>非经常性损益》中列举的非经常性损益项目界定为经常性损益的项目，应</w:t>
      </w:r>
      <w:r>
        <w:rPr>
          <w:spacing w:val="-37"/>
        </w:rPr>
        <w:t> </w:t>
      </w:r>
      <w:r>
        <w:rPr>
          <w:spacing w:val="-37"/>
        </w:rPr>
      </w:r>
      <w:r>
        <w:rPr>
          <w:spacing w:val="-3"/>
        </w:rPr>
        <w:t>说明原因。</w:t>
      </w:r>
      <w:r>
        <w:rPr/>
      </w:r>
    </w:p>
    <w:p>
      <w:pPr>
        <w:pStyle w:val="BodyText"/>
        <w:spacing w:line="240" w:lineRule="auto" w:before="68"/>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14" w:footer="1027" w:top="1100" w:bottom="1220" w:left="980" w:right="98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净资产收益率及每股收益" w:id="377"/>
      <w:bookmarkEnd w:id="37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077"/>
        <w:gridCol w:w="2664"/>
        <w:gridCol w:w="1915"/>
        <w:gridCol w:w="1910"/>
      </w:tblGrid>
      <w:tr>
        <w:trPr>
          <w:trHeight w:val="408" w:hRule="exact"/>
        </w:trPr>
        <w:tc>
          <w:tcPr>
            <w:tcW w:w="30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报告期利润</w:t>
            </w:r>
            <w:r>
              <w:rPr>
                <w:rFonts w:ascii="宋体" w:hAnsi="宋体" w:cs="宋体" w:eastAsia="宋体" w:hint="default"/>
                <w:sz w:val="18"/>
                <w:szCs w:val="18"/>
              </w:rPr>
            </w:r>
          </w:p>
        </w:tc>
        <w:tc>
          <w:tcPr>
            <w:tcW w:w="26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13" w:hRule="exact"/>
        </w:trPr>
        <w:tc>
          <w:tcPr>
            <w:tcW w:w="3077" w:type="dxa"/>
            <w:vMerge/>
            <w:tcBorders>
              <w:left w:val="single" w:sz="4" w:space="0" w:color="000000"/>
              <w:bottom w:val="single" w:sz="4" w:space="0" w:color="000000"/>
              <w:right w:val="single" w:sz="4" w:space="0" w:color="000000"/>
            </w:tcBorders>
            <w:shd w:val="clear" w:color="auto" w:fill="D4D4D4"/>
          </w:tcPr>
          <w:p>
            <w:pPr/>
          </w:p>
        </w:tc>
        <w:tc>
          <w:tcPr>
            <w:tcW w:w="2664"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12"/>
              <w:jc w:val="right"/>
              <w:rPr>
                <w:rFonts w:ascii="宋体" w:hAnsi="宋体" w:cs="宋体" w:eastAsia="宋体" w:hint="default"/>
                <w:sz w:val="18"/>
                <w:szCs w:val="18"/>
              </w:rPr>
            </w:pPr>
            <w:r>
              <w:rPr>
                <w:rFonts w:ascii="宋体" w:hAnsi="宋体" w:cs="宋体" w:eastAsia="宋体" w:hint="default"/>
                <w:spacing w:val="-9"/>
                <w:sz w:val="18"/>
                <w:szCs w:val="18"/>
              </w:rPr>
              <w:t>基本每股收益（元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7"/>
              <w:jc w:val="right"/>
              <w:rPr>
                <w:rFonts w:ascii="宋体" w:hAnsi="宋体" w:cs="宋体" w:eastAsia="宋体" w:hint="default"/>
                <w:sz w:val="18"/>
                <w:szCs w:val="18"/>
              </w:rPr>
            </w:pPr>
            <w:r>
              <w:rPr>
                <w:rFonts w:ascii="宋体" w:hAnsi="宋体" w:cs="宋体" w:eastAsia="宋体" w:hint="default"/>
                <w:spacing w:val="-9"/>
                <w:sz w:val="18"/>
                <w:szCs w:val="18"/>
              </w:rPr>
              <w:t>稀释每股收益（元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r>
      <w:tr>
        <w:trPr>
          <w:trHeight w:val="413" w:hRule="exact"/>
        </w:trPr>
        <w:tc>
          <w:tcPr>
            <w:tcW w:w="30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21.25%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0.620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9"/>
              <w:jc w:val="right"/>
              <w:rPr>
                <w:rFonts w:ascii="Times New Roman" w:hAnsi="Times New Roman" w:cs="Times New Roman" w:eastAsia="Times New Roman" w:hint="default"/>
                <w:sz w:val="18"/>
                <w:szCs w:val="18"/>
              </w:rPr>
            </w:pPr>
            <w:r>
              <w:rPr>
                <w:rFonts w:ascii="Times New Roman"/>
                <w:spacing w:val="-1"/>
                <w:sz w:val="18"/>
              </w:rPr>
              <w:t>0.620</w:t>
            </w:r>
          </w:p>
        </w:tc>
      </w:tr>
      <w:tr>
        <w:trPr>
          <w:trHeight w:val="730" w:hRule="exact"/>
        </w:trPr>
        <w:tc>
          <w:tcPr>
            <w:tcW w:w="30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8" w:lineRule="auto" w:before="58"/>
              <w:ind w:left="105" w:right="26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通股股东的净利润</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0.55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0.55</w:t>
            </w:r>
          </w:p>
        </w:tc>
      </w:tr>
    </w:tbl>
    <w:p>
      <w:pPr>
        <w:spacing w:line="240" w:lineRule="auto" w:before="7"/>
        <w:rPr>
          <w:rFonts w:ascii="宋体" w:hAnsi="宋体" w:cs="宋体" w:eastAsia="宋体" w:hint="default"/>
          <w:b/>
          <w:bCs/>
          <w:sz w:val="19"/>
          <w:szCs w:val="19"/>
        </w:rPr>
      </w:pPr>
    </w:p>
    <w:p>
      <w:pPr>
        <w:pStyle w:val="Heading4"/>
        <w:spacing w:line="240" w:lineRule="auto" w:before="36"/>
        <w:ind w:right="0"/>
        <w:jc w:val="left"/>
        <w:rPr>
          <w:b w:val="0"/>
          <w:bCs w:val="0"/>
        </w:rPr>
      </w:pPr>
      <w:bookmarkStart w:name="3、境内外会计准则下会计数据差异" w:id="378"/>
      <w:bookmarkEnd w:id="37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
        <w:rPr>
          <w:rFonts w:ascii="宋体" w:hAnsi="宋体" w:cs="宋体" w:eastAsia="宋体" w:hint="default"/>
          <w:b/>
          <w:bCs/>
          <w:sz w:val="25"/>
          <w:szCs w:val="25"/>
        </w:rPr>
      </w:pPr>
    </w:p>
    <w:p>
      <w:pPr>
        <w:pStyle w:val="Heading4"/>
        <w:spacing w:line="240" w:lineRule="auto"/>
        <w:ind w:right="0"/>
        <w:jc w:val="left"/>
        <w:rPr>
          <w:b w:val="0"/>
          <w:bCs w:val="0"/>
        </w:rPr>
      </w:pPr>
      <w:bookmarkStart w:name="（1）同时按照国际会计准则与按中国会计准则披露的财务报告中净利润和净资产差异情况" w:id="379"/>
      <w:bookmarkEnd w:id="37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同时按照境外会计准则与按中国会计准则披露的财务报告中净利润和净资产差异情况" w:id="380"/>
      <w:bookmarkEnd w:id="38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14" w:footer="1027" w:top="1100" w:bottom="122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1"/>
        <w:spacing w:line="240" w:lineRule="auto"/>
        <w:ind w:left="3282" w:right="0"/>
        <w:jc w:val="left"/>
        <w:rPr>
          <w:b w:val="0"/>
          <w:bCs w:val="0"/>
        </w:rPr>
      </w:pPr>
      <w:bookmarkStart w:name="第十二节 备查文件目录" w:id="381"/>
      <w:bookmarkEnd w:id="381"/>
      <w:r>
        <w:rPr>
          <w:b w:val="0"/>
          <w:bCs w:val="0"/>
        </w:rPr>
      </w:r>
      <w:bookmarkStart w:name="_bookmark10" w:id="382"/>
      <w:bookmarkEnd w:id="382"/>
      <w:r>
        <w:rPr>
          <w:b w:val="0"/>
          <w:bCs w:val="0"/>
        </w:rPr>
      </w:r>
      <w:r>
        <w:rPr/>
        <w:t>第十二节 备查文件目录</w:t>
      </w:r>
      <w:r>
        <w:rPr>
          <w:b w:val="0"/>
          <w:bCs w:val="0"/>
        </w:rPr>
      </w:r>
    </w:p>
    <w:p>
      <w:pPr>
        <w:spacing w:line="240" w:lineRule="auto" w:before="7"/>
        <w:rPr>
          <w:rFonts w:ascii="宋体" w:hAnsi="宋体" w:cs="宋体" w:eastAsia="宋体" w:hint="default"/>
          <w:b/>
          <w:bCs/>
          <w:sz w:val="40"/>
          <w:szCs w:val="40"/>
        </w:rPr>
      </w:pPr>
    </w:p>
    <w:p>
      <w:pPr>
        <w:pStyle w:val="Heading5"/>
        <w:spacing w:line="273" w:lineRule="auto"/>
        <w:ind w:right="0"/>
        <w:jc w:val="left"/>
        <w:rPr>
          <w:rFonts w:ascii="宋体" w:hAnsi="宋体" w:cs="宋体" w:eastAsia="宋体" w:hint="default"/>
        </w:rPr>
      </w:pPr>
      <w:r>
        <w:rPr/>
        <w:t>一、载有公司法定代表人、主管会计工作负责人、会计机构负责人签名并盖章的财务报表。</w:t>
      </w:r>
      <w:r>
        <w:rPr>
          <w:rFonts w:ascii="宋体" w:hAnsi="宋体" w:cs="宋体" w:eastAsia="宋体" w:hint="default"/>
          <w:w w:val="100"/>
        </w:rPr>
        <w:t> </w:t>
      </w:r>
      <w:r>
        <w:rPr/>
        <w:t>二、载有会计师事务所盖章，注册会计师签名并盖章的审计报告原件。</w:t>
      </w:r>
      <w:r>
        <w:rPr>
          <w:rFonts w:ascii="宋体" w:hAnsi="宋体" w:cs="宋体" w:eastAsia="宋体" w:hint="default"/>
          <w:w w:val="100"/>
        </w:rPr>
        <w:t> </w:t>
      </w:r>
      <w:r>
        <w:rPr/>
        <w:t>三、报告期内在中国证监会指定网站上公开披露过的所有公司文件的正本及公告的原稿。</w:t>
      </w:r>
      <w:r>
        <w:rPr>
          <w:rFonts w:ascii="宋体" w:hAnsi="宋体" w:cs="宋体" w:eastAsia="宋体" w:hint="default"/>
          <w:w w:val="100"/>
        </w:rPr>
        <w:t> </w:t>
      </w:r>
      <w:r>
        <w:rPr/>
        <w:t>四、其他相关文件。</w:t>
      </w:r>
      <w:r>
        <w:rPr>
          <w:rFonts w:ascii="宋体" w:hAnsi="宋体" w:cs="宋体" w:eastAsia="宋体" w:hint="default"/>
        </w:rPr>
        <w:t> </w:t>
      </w:r>
    </w:p>
    <w:sectPr>
      <w:pgSz w:w="11910" w:h="16840"/>
      <w:pgMar w:header="914" w:footer="1027" w:top="1100" w:bottom="12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93.261353pt;width:6.6pt;height:11.15pt;mso-position-horizontal-relative:page;mso-position-vertical-relative:page;z-index:-65468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58136pt;width:17.7pt;height:11.15pt;mso-position-horizontal-relative:page;mso-position-vertical-relative:page;z-index:-6543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58136pt;width:13.15pt;height:11.15pt;mso-position-horizontal-relative:page;mso-position-vertical-relative:page;z-index:-65466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58136pt;width:13.15pt;height:11.15pt;mso-position-horizontal-relative:page;mso-position-vertical-relative:page;z-index:-65464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pt;margin-top:533.101318pt;width:13.15pt;height:11.15pt;mso-position-horizontal-relative:page;mso-position-vertical-relative:page;z-index:-6545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82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58136pt;width:13.15pt;height:11.15pt;mso-position-horizontal-relative:page;mso-position-vertical-relative:page;z-index:-6544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58136pt;width:13.15pt;height:11.15pt;mso-position-horizontal-relative:page;mso-position-vertical-relative:page;z-index:-65447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79.58136pt;width:15.7pt;height:11.15pt;mso-position-horizontal-relative:page;mso-position-vertical-relative:page;z-index:-65444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58136pt;width:17.7pt;height:11.15pt;mso-position-horizontal-relative:page;mso-position-vertical-relative:page;z-index:-6544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58136pt;width:17.45pt;height:11.15pt;mso-position-horizontal-relative:page;mso-position-vertical-relative:page;z-index:-65440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202484pt;width:213.5pt;height:11.65pt;mso-position-horizontal-relative:page;mso-position-vertical-relative:page;z-index:-654712" type="#_x0000_t202" filled="false" stroked="false">
          <v:textbox inset="0,0,0,0">
            <w:txbxContent>
              <w:p>
                <w:pPr>
                  <w:pStyle w:val="BodyText"/>
                  <w:spacing w:line="216" w:lineRule="exact"/>
                  <w:ind w:left="20" w:right="0"/>
                  <w:jc w:val="left"/>
                </w:pPr>
                <w:r>
                  <w:rPr>
                    <w:spacing w:val="-3"/>
                  </w:rPr>
                  <w:t>湖南科创信息技术股份有限公司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spacing w:val="-3"/>
                  </w:rPr>
                  <w:t>年年度报告全文</w:t>
                </w:r>
                <w:r>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639511pt;width:700.8pt;height:.1pt;mso-position-horizontal-relative:page;mso-position-vertical-relative:page;z-index:-654616" coordorigin="1411,1133" coordsize="14016,2">
          <v:shape style="position:absolute;left:1411;top:1133;width:14016;height:2" coordorigin="1411,1133" coordsize="14016,0" path="m1411,1133l15427,1133e" filled="false" stroked="true" strokeweight=".481pt" strokecolor="#000000">
            <v:path arrowok="t"/>
          </v:shape>
          <w10:wrap type="none"/>
        </v:group>
      </w:pict>
    </w:r>
    <w:r>
      <w:rPr/>
      <w:pict>
        <v:shape style="position:absolute;margin-left:71pt;margin-top:44.682514pt;width:213.5pt;height:11.65pt;mso-position-horizontal-relative:page;mso-position-vertical-relative:page;z-index:-654592" type="#_x0000_t202" filled="false" stroked="false">
          <v:textbox inset="0,0,0,0">
            <w:txbxContent>
              <w:p>
                <w:pPr>
                  <w:pStyle w:val="BodyText"/>
                  <w:spacing w:line="216" w:lineRule="exact"/>
                  <w:ind w:left="20" w:right="0"/>
                  <w:jc w:val="left"/>
                </w:pPr>
                <w:r>
                  <w:rPr>
                    <w:spacing w:val="-3"/>
                  </w:rPr>
                  <w:t>湖南科创信息技术股份有限公司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spacing w:val="-3"/>
                  </w:rPr>
                  <w:t>年年度报告全文</w:t>
                </w:r>
                <w:r>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6.639984pt;width:484.8pt;height:.1pt;mso-position-horizontal-relative:page;mso-position-vertical-relative:page;z-index:-654544" coordorigin="1104,1133" coordsize="9696,2">
          <v:shape style="position:absolute;left:1104;top:1133;width:9696;height:2" coordorigin="1104,1133" coordsize="9696,0" path="m1104,1133l10800,1133e" filled="false" stroked="true" strokeweight=".48pt" strokecolor="#000000">
            <v:path arrowok="t"/>
          </v:shape>
          <w10:wrap type="none"/>
        </v:group>
      </w:pict>
    </w:r>
    <w:r>
      <w:rPr/>
      <w:pict>
        <v:shape style="position:absolute;margin-left:55.639999pt;margin-top:44.682484pt;width:213.5pt;height:11.65pt;mso-position-horizontal-relative:page;mso-position-vertical-relative:page;z-index:-654520" type="#_x0000_t202" filled="false" stroked="false">
          <v:textbox inset="0,0,0,0">
            <w:txbxContent>
              <w:p>
                <w:pPr>
                  <w:pStyle w:val="BodyText"/>
                  <w:spacing w:line="216" w:lineRule="exact"/>
                  <w:ind w:left="20" w:right="0"/>
                  <w:jc w:val="left"/>
                </w:pPr>
                <w:r>
                  <w:rPr>
                    <w:spacing w:val="-3"/>
                  </w:rPr>
                  <w:t>湖南科创信息技术股份有限公司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spacing w:val="-3"/>
                  </w:rPr>
                  <w:t>年年度报告全文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spacing w:before="2"/>
      <w:ind w:left="242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575"/>
      <w:outlineLvl w:val="5"/>
    </w:pPr>
    <w:rPr>
      <w:rFonts w:ascii="宋体" w:hAnsi="宋体" w:eastAsia="宋体"/>
      <w:sz w:val="21"/>
      <w:szCs w:val="21"/>
    </w:rPr>
  </w:style>
  <w:style w:styleId="Heading6" w:type="paragraph">
    <w:name w:val="Heading 6"/>
    <w:basedOn w:val="Normal"/>
    <w:uiPriority w:val="1"/>
    <w:qFormat/>
    <w:pPr>
      <w:spacing w:before="18"/>
      <w:ind w:left="51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hinacreator.com/" TargetMode="External"/><Relationship Id="rId10" Type="http://schemas.openxmlformats.org/officeDocument/2006/relationships/hyperlink" Target="mailto:creator@chinacreator.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Administrator.USER-20160420AZ</dc:creator>
  <dcterms:created xsi:type="dcterms:W3CDTF">2020-05-03T01:28:58Z</dcterms:created>
  <dcterms:modified xsi:type="dcterms:W3CDTF">2020-05-03T01:28:58Z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Acrobat PDFMaker 10.1 Word 版</vt:lpwstr>
  </property>
  <property fmtid="{D5CDD505-2E9C-101B-9397-08002B2CF9AE}" pid="4" name="LastSaved">
    <vt:filetime>2020-05-02T00:00:00Z</vt:filetime>
  </property>
</Properties>
</file>