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755"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drawing>
          <wp:inline distT="0" distB="0" distL="0" distR="0">
            <wp:extent cx="1409531" cy="11144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531" cy="1114425"/>
                    </a:xfrm>
                    <a:prstGeom prst="rect">
                      <a:avLst/>
                    </a:prstGeom>
                  </pic:spPr>
                </pic:pic>
              </a:graphicData>
            </a:graphic>
          </wp:inline>
        </w:drawing>
      </w:r>
      <w:r>
        <w:rPr>
          <w:rFonts w:ascii="Times New Roman" w:hAnsi="Times New Roman" w:cs="Times New Roman" w:eastAsia="Times New Roman" w:hint="default"/>
          <w:position w:val="-34"/>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135" w:right="1112" w:firstLine="0"/>
        <w:jc w:val="center"/>
        <w:rPr>
          <w:rFonts w:ascii="宋体" w:hAnsi="宋体" w:cs="宋体" w:eastAsia="宋体" w:hint="default"/>
          <w:sz w:val="36"/>
          <w:szCs w:val="36"/>
        </w:rPr>
      </w:pPr>
      <w:r>
        <w:rPr>
          <w:rFonts w:ascii="宋体" w:hAnsi="宋体" w:cs="宋体" w:eastAsia="宋体" w:hint="default"/>
          <w:b/>
          <w:bCs/>
          <w:sz w:val="36"/>
          <w:szCs w:val="36"/>
        </w:rPr>
        <w:t>湖南科创信息技术股份有限公司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35" w:right="111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135" w:right="1111" w:firstLine="0"/>
        <w:jc w:val="center"/>
        <w:rPr>
          <w:rFonts w:ascii="Times New Roman" w:hAnsi="Times New Roman" w:cs="Times New Roman" w:eastAsia="Times New Roman" w:hint="default"/>
          <w:sz w:val="22"/>
          <w:szCs w:val="22"/>
        </w:rPr>
      </w:pPr>
      <w:r>
        <w:rPr>
          <w:rFonts w:ascii="Times New Roman"/>
          <w:b/>
          <w:sz w:val="22"/>
        </w:rPr>
        <w:t>2019-011</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135" w:right="111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0" w:firstLine="562"/>
        <w:jc w:val="left"/>
        <w:rPr>
          <w:rFonts w:ascii="宋体" w:hAnsi="宋体" w:cs="宋体" w:eastAsia="宋体" w:hint="default"/>
          <w:sz w:val="28"/>
          <w:szCs w:val="28"/>
        </w:rPr>
      </w:pPr>
      <w:r>
        <w:rPr>
          <w:rFonts w:ascii="宋体" w:hAnsi="宋体" w:cs="宋体" w:eastAsia="宋体" w:hint="default"/>
          <w:b/>
          <w:bCs/>
          <w:w w:val="95"/>
          <w:sz w:val="28"/>
          <w:szCs w:val="28"/>
        </w:rPr>
        <w:t>公司负责人费耀平、主管会计工作负责人金卓钧及会计机构负责人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龙仲声明：保证年度报告中财务报告的真实、准确、完整。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本报告中涉及的未来计划等前瞻性陈述不构成公司对投资者的实质承诺，</w:t>
      </w:r>
      <w:r>
        <w:rPr>
          <w:rFonts w:ascii="宋体" w:hAnsi="宋体" w:cs="宋体" w:eastAsia="宋体" w:hint="default"/>
          <w:spacing w:val="3"/>
          <w:sz w:val="28"/>
          <w:szCs w:val="28"/>
        </w:rPr>
      </w:r>
    </w:p>
    <w:p>
      <w:pPr>
        <w:spacing w:line="410" w:lineRule="auto" w:before="0"/>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投资者及相关人士均应当对此保持足够的风险认识，并且应当理解计划、预测</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与承诺之间的差异。敬请广大投资者谨慎决策，注意投资风险。</w:t>
      </w:r>
      <w:r>
        <w:rPr>
          <w:rFonts w:ascii="宋体" w:hAnsi="宋体" w:cs="宋体" w:eastAsia="宋体" w:hint="default"/>
          <w:sz w:val="28"/>
          <w:szCs w:val="28"/>
        </w:rPr>
      </w:r>
    </w:p>
    <w:p>
      <w:pPr>
        <w:spacing w:line="446" w:lineRule="auto" w:before="159"/>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、市场竞争加剧风险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近年来，在国家政策重点扶持及众多行业利好消息的出台等影响下，智慧</w:t>
      </w:r>
      <w:r>
        <w:rPr>
          <w:rFonts w:ascii="宋体" w:hAnsi="宋体" w:cs="宋体" w:eastAsia="宋体" w:hint="default"/>
          <w:spacing w:val="3"/>
          <w:sz w:val="28"/>
          <w:szCs w:val="28"/>
        </w:rPr>
      </w:r>
    </w:p>
    <w:p>
      <w:pPr>
        <w:spacing w:line="408" w:lineRule="auto" w:before="16"/>
        <w:ind w:left="154" w:right="113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城市、智慧制造吸引了社会各类资本进入，设备制造商、系统集成商乃至其他</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实体服务提供商纷纷进入信息化领域，推动信息化领域的竞争从单纯的技术和</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z w:val="28"/>
          <w:szCs w:val="28"/>
        </w:rPr>
        <w:t>服务竞争，升级为资本和资源整合的综合竞争，行业竞争进一步加剧。</w:t>
      </w:r>
      <w:r>
        <w:rPr>
          <w:rFonts w:ascii="宋体" w:hAnsi="宋体" w:cs="宋体" w:eastAsia="宋体" w:hint="default"/>
          <w:sz w:val="28"/>
          <w:szCs w:val="28"/>
        </w:rPr>
      </w:r>
    </w:p>
    <w:p>
      <w:pPr>
        <w:spacing w:line="400" w:lineRule="auto" w:before="160"/>
        <w:ind w:left="154" w:right="0" w:firstLine="562"/>
        <w:jc w:val="left"/>
        <w:rPr>
          <w:rFonts w:ascii="宋体" w:hAnsi="宋体" w:cs="宋体" w:eastAsia="宋体" w:hint="default"/>
          <w:sz w:val="28"/>
          <w:szCs w:val="28"/>
        </w:rPr>
      </w:pPr>
      <w:r>
        <w:rPr>
          <w:rFonts w:ascii="宋体" w:hAnsi="宋体" w:cs="宋体" w:eastAsia="宋体" w:hint="default"/>
          <w:b/>
          <w:bCs/>
          <w:spacing w:val="2"/>
          <w:sz w:val="28"/>
          <w:szCs w:val="28"/>
        </w:rPr>
        <w:t>针对行业竞争的升级，公司</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平台</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应用</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定制服务</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的业务模式能充分发挥</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资源协同的优势，且随着各板块布局的日趋成熟和融合，协同效应将逐步凸显，</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宋体" w:hAnsi="宋体" w:cs="宋体" w:eastAsia="宋体" w:hint="default"/>
          <w:b/>
          <w:bCs/>
          <w:spacing w:val="3"/>
          <w:sz w:val="28"/>
          <w:szCs w:val="28"/>
        </w:rPr>
        <w:t>从而能有效提升公司核心竞争力。但若公司对行业发展趋势判断失误或应对市</w:t>
      </w:r>
      <w:r>
        <w:rPr>
          <w:rFonts w:ascii="宋体" w:hAnsi="宋体" w:cs="宋体" w:eastAsia="宋体" w:hint="default"/>
          <w:b/>
          <w:bCs/>
          <w:w w:val="99"/>
          <w:sz w:val="28"/>
          <w:szCs w:val="28"/>
        </w:rPr>
        <w:t> </w:t>
      </w:r>
      <w:r>
        <w:rPr>
          <w:rFonts w:ascii="宋体" w:hAnsi="宋体" w:cs="宋体" w:eastAsia="宋体" w:hint="default"/>
          <w:b/>
          <w:bCs/>
          <w:sz w:val="28"/>
          <w:szCs w:val="28"/>
        </w:rPr>
        <w:t>场竞争的措施严重失当，将对公司未来的经营发展产生不利的影响。</w:t>
      </w:r>
      <w:r>
        <w:rPr>
          <w:rFonts w:ascii="宋体" w:hAnsi="宋体" w:cs="宋体" w:eastAsia="宋体" w:hint="default"/>
          <w:sz w:val="28"/>
          <w:szCs w:val="28"/>
        </w:rPr>
      </w:r>
    </w:p>
    <w:p>
      <w:pPr>
        <w:spacing w:before="170"/>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、收入季节性波动风险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8" w:lineRule="auto" w:before="13"/>
        <w:ind w:left="154" w:right="1136"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公司主要客户为政府及机关事业单位，该部分政企客户通常实行预算管理</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及集中采购制度，采购招标及结算具有明显的季节性特征，导致公司较多项目</w:t>
      </w:r>
      <w:r>
        <w:rPr>
          <w:rFonts w:ascii="宋体" w:hAnsi="宋体" w:cs="宋体" w:eastAsia="宋体" w:hint="default"/>
          <w:b/>
          <w:bCs/>
          <w:spacing w:val="31"/>
          <w:w w:val="95"/>
          <w:sz w:val="28"/>
          <w:szCs w:val="28"/>
        </w:rPr>
        <w:t> </w:t>
      </w:r>
      <w:r>
        <w:rPr>
          <w:rFonts w:ascii="宋体" w:hAnsi="宋体" w:cs="宋体" w:eastAsia="宋体" w:hint="default"/>
          <w:b/>
          <w:bCs/>
          <w:spacing w:val="31"/>
          <w:w w:val="95"/>
          <w:sz w:val="28"/>
          <w:szCs w:val="28"/>
        </w:rPr>
      </w:r>
      <w:r>
        <w:rPr>
          <w:rFonts w:ascii="宋体" w:hAnsi="宋体" w:cs="宋体" w:eastAsia="宋体" w:hint="default"/>
          <w:b/>
          <w:bCs/>
          <w:spacing w:val="3"/>
          <w:w w:val="95"/>
          <w:sz w:val="28"/>
          <w:szCs w:val="28"/>
        </w:rPr>
        <w:t>集中在第四季度进行终验。而公司收入主要依据终验报告进行确认，导致公司</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营业收入确认主要集中在第四季度，公司营业收入存在较强季节性波动风险。</w:t>
      </w:r>
      <w:r>
        <w:rPr>
          <w:rFonts w:ascii="宋体" w:hAnsi="宋体" w:cs="宋体" w:eastAsia="宋体" w:hint="default"/>
          <w:sz w:val="28"/>
          <w:szCs w:val="28"/>
        </w:rPr>
      </w:r>
    </w:p>
    <w:p>
      <w:pPr>
        <w:spacing w:line="448" w:lineRule="auto" w:before="161"/>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、募集资金投资项目实施风险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公司募投项目的实施进度和盈利情况将对公司未来的经营业绩产生重要影</w:t>
      </w:r>
      <w:r>
        <w:rPr>
          <w:rFonts w:ascii="宋体" w:hAnsi="宋体" w:cs="宋体" w:eastAsia="宋体" w:hint="default"/>
          <w:spacing w:val="3"/>
          <w:sz w:val="28"/>
          <w:szCs w:val="28"/>
        </w:rPr>
      </w:r>
    </w:p>
    <w:p>
      <w:pPr>
        <w:spacing w:line="408" w:lineRule="auto" w:before="14"/>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响。虽然公司对募投项目的必要性及可行性经过了严密的论证和探讨，也在技</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术研发、人才储备、市场拓展方面进行了详细的规划，但仍存在因不可抗力的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客观因素或政策环境、技术或市场等发生不利变化，导致项目无法按照预计的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进度进行或者未能达到预期收益水平的风险。</w:t>
      </w:r>
      <w:r>
        <w:rPr>
          <w:rFonts w:ascii="宋体" w:hAnsi="宋体" w:cs="宋体" w:eastAsia="宋体" w:hint="default"/>
          <w:sz w:val="28"/>
          <w:szCs w:val="28"/>
        </w:rPr>
      </w:r>
    </w:p>
    <w:p>
      <w:pPr>
        <w:spacing w:line="446" w:lineRule="auto" w:before="161"/>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、机器视觉应用拓展风险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公司在机器视觉领域尤其在浮法玻璃生产检测领域已取得多项专利与核心</w:t>
      </w:r>
      <w:r>
        <w:rPr>
          <w:rFonts w:ascii="宋体" w:hAnsi="宋体" w:cs="宋体" w:eastAsia="宋体" w:hint="default"/>
          <w:spacing w:val="3"/>
          <w:sz w:val="28"/>
          <w:szCs w:val="28"/>
        </w:rPr>
      </w:r>
    </w:p>
    <w:p>
      <w:pPr>
        <w:spacing w:line="410" w:lineRule="auto" w:before="16"/>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技术，但由于浮法玻璃初加工检测市场容量有限，且国内玻璃行业产能过剩，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该领域未来市场空间存在较大不确定性。</w:t>
      </w:r>
      <w:r>
        <w:rPr>
          <w:rFonts w:ascii="宋体" w:hAnsi="宋体" w:cs="宋体" w:eastAsia="宋体" w:hint="default"/>
          <w:sz w:val="28"/>
          <w:szCs w:val="28"/>
        </w:rPr>
      </w:r>
    </w:p>
    <w:p>
      <w:pPr>
        <w:spacing w:line="408" w:lineRule="auto" w:before="158"/>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目前公司正积极向手机屏、平板电脑屏等玻璃深加工领域及其他行业的视</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觉检测领域进行技术研发与应用拓展，但由于相关领域及行业进入时间较短，</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同时，需要投入的资源较多，公司机器视觉应用领域拓展存在一定风险。</w:t>
      </w:r>
      <w:r>
        <w:rPr>
          <w:rFonts w:ascii="宋体" w:hAnsi="宋体" w:cs="宋体" w:eastAsia="宋体" w:hint="default"/>
          <w:sz w:val="28"/>
          <w:szCs w:val="28"/>
        </w:rPr>
      </w:r>
    </w:p>
    <w:p>
      <w:pPr>
        <w:spacing w:line="446" w:lineRule="auto" w:before="161"/>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5</w:t>
      </w:r>
      <w:r>
        <w:rPr>
          <w:rFonts w:ascii="宋体" w:hAnsi="宋体" w:cs="宋体" w:eastAsia="宋体" w:hint="default"/>
          <w:b/>
          <w:bCs/>
          <w:sz w:val="28"/>
          <w:szCs w:val="28"/>
        </w:rPr>
        <w:t>、核心人才流失风险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近年来，公司业绩的增长和核心技术的不断升级离不开公司各类专业人才</w:t>
      </w:r>
      <w:r>
        <w:rPr>
          <w:rFonts w:ascii="宋体" w:hAnsi="宋体" w:cs="宋体" w:eastAsia="宋体" w:hint="default"/>
          <w:spacing w:val="3"/>
          <w:sz w:val="28"/>
          <w:szCs w:val="28"/>
        </w:rPr>
      </w:r>
    </w:p>
    <w:p>
      <w:pPr>
        <w:spacing w:line="408" w:lineRule="auto" w:before="17"/>
        <w:ind w:left="154" w:right="1136"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的贡献。公司历来重视核心人才的培养与储备，通过完善核心技术人员的绩效</w:t>
      </w:r>
      <w:r>
        <w:rPr>
          <w:rFonts w:ascii="宋体" w:hAnsi="宋体" w:cs="宋体" w:eastAsia="宋体" w:hint="default"/>
          <w:b/>
          <w:bCs/>
          <w:spacing w:val="31"/>
          <w:w w:val="95"/>
          <w:sz w:val="28"/>
          <w:szCs w:val="28"/>
        </w:rPr>
        <w:t> </w:t>
      </w:r>
      <w:r>
        <w:rPr>
          <w:rFonts w:ascii="宋体" w:hAnsi="宋体" w:cs="宋体" w:eastAsia="宋体" w:hint="default"/>
          <w:b/>
          <w:bCs/>
          <w:spacing w:val="31"/>
          <w:w w:val="95"/>
          <w:sz w:val="28"/>
          <w:szCs w:val="28"/>
        </w:rPr>
      </w:r>
      <w:r>
        <w:rPr>
          <w:rFonts w:ascii="宋体" w:hAnsi="宋体" w:cs="宋体" w:eastAsia="宋体" w:hint="default"/>
          <w:b/>
          <w:bCs/>
          <w:spacing w:val="3"/>
          <w:w w:val="95"/>
          <w:sz w:val="28"/>
          <w:szCs w:val="28"/>
        </w:rPr>
        <w:t>考核与激励制度、塑造富有凝聚力与向心力的企业文化、设置了灵活的岗位、</w:t>
      </w:r>
      <w:r>
        <w:rPr>
          <w:rFonts w:ascii="宋体" w:hAnsi="宋体" w:cs="宋体" w:eastAsia="宋体" w:hint="default"/>
          <w:spacing w:val="3"/>
          <w:sz w:val="28"/>
          <w:szCs w:val="28"/>
        </w:rPr>
      </w:r>
    </w:p>
    <w:p>
      <w:pPr>
        <w:spacing w:after="0" w:line="408"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08" w:lineRule="auto" w:before="13"/>
        <w:ind w:left="154"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改善办公环境等措施来稳固现有核心技术团队，并不断招募各类高端技术与研</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发人才。但由于公司所处的行业市场竞争不断加剧，行业内对高端专业人才的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需求与日俱增，如果公司未来不能提供更具有竞争力的薪酬及良好的职业发展</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预期，公司仍存在核心技术人员流失的风险。</w:t>
      </w:r>
      <w:r>
        <w:rPr>
          <w:rFonts w:ascii="宋体" w:hAnsi="宋体" w:cs="宋体" w:eastAsia="宋体" w:hint="default"/>
          <w:sz w:val="28"/>
          <w:szCs w:val="28"/>
        </w:rPr>
      </w:r>
    </w:p>
    <w:p>
      <w:pPr>
        <w:spacing w:before="161"/>
        <w:ind w:left="716"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6</w:t>
      </w:r>
      <w:r>
        <w:rPr>
          <w:rFonts w:ascii="宋体" w:hAnsi="宋体" w:cs="宋体" w:eastAsia="宋体" w:hint="default"/>
          <w:b/>
          <w:bCs/>
          <w:sz w:val="28"/>
          <w:szCs w:val="28"/>
        </w:rPr>
        <w:t>、政府机构调整风险</w:t>
      </w:r>
      <w:r>
        <w:rPr>
          <w:rFonts w:ascii="宋体" w:hAnsi="宋体" w:cs="宋体" w:eastAsia="宋体" w:hint="default"/>
          <w:sz w:val="28"/>
          <w:szCs w:val="28"/>
        </w:rPr>
      </w:r>
    </w:p>
    <w:p>
      <w:pPr>
        <w:spacing w:line="240" w:lineRule="auto" w:before="9"/>
        <w:rPr>
          <w:rFonts w:ascii="宋体" w:hAnsi="宋体" w:cs="宋体" w:eastAsia="宋体" w:hint="default"/>
          <w:b/>
          <w:bCs/>
          <w:sz w:val="25"/>
          <w:szCs w:val="25"/>
        </w:rPr>
      </w:pPr>
    </w:p>
    <w:p>
      <w:pPr>
        <w:spacing w:line="398" w:lineRule="auto" w:before="0"/>
        <w:ind w:left="154" w:right="1142" w:firstLine="562"/>
        <w:jc w:val="both"/>
        <w:rPr>
          <w:rFonts w:ascii="宋体" w:hAnsi="宋体" w:cs="宋体" w:eastAsia="宋体" w:hint="default"/>
          <w:sz w:val="28"/>
          <w:szCs w:val="28"/>
        </w:rPr>
      </w:pPr>
      <w:r>
        <w:rPr>
          <w:rFonts w:ascii="宋体" w:hAnsi="宋体" w:cs="宋体" w:eastAsia="宋体" w:hint="default"/>
          <w:b/>
          <w:bCs/>
          <w:sz w:val="28"/>
          <w:szCs w:val="28"/>
        </w:rPr>
        <w:t>随着</w:t>
      </w:r>
      <w:r>
        <w:rPr>
          <w:rFonts w:ascii="宋体" w:hAnsi="宋体" w:cs="宋体" w:eastAsia="宋体" w:hint="default"/>
          <w:b/>
          <w:bCs/>
          <w:spacing w:val="-108"/>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37"/>
          <w:sz w:val="28"/>
          <w:szCs w:val="28"/>
        </w:rPr>
        <w:t> </w:t>
      </w:r>
      <w:r>
        <w:rPr>
          <w:rFonts w:ascii="宋体" w:hAnsi="宋体" w:cs="宋体" w:eastAsia="宋体" w:hint="default"/>
          <w:b/>
          <w:bCs/>
          <w:sz w:val="28"/>
          <w:szCs w:val="28"/>
        </w:rPr>
        <w:t>年党和国家机构改革方案的发布，与公司智慧政务相关的部分政</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府机构正在进行机构调整。政府机构调整延缓了对信息化项目的采购及付款工</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作，对公司部分业务的推广和开展及收入确认、资金回笼造成一定的延误。</w:t>
      </w:r>
      <w:r>
        <w:rPr>
          <w:rFonts w:ascii="宋体" w:hAnsi="宋体" w:cs="宋体" w:eastAsia="宋体" w:hint="default"/>
          <w:sz w:val="28"/>
          <w:szCs w:val="28"/>
        </w:rPr>
      </w:r>
    </w:p>
    <w:p>
      <w:pPr>
        <w:spacing w:line="408" w:lineRule="auto" w:before="171"/>
        <w:ind w:left="154" w:right="1080" w:firstLine="562"/>
        <w:jc w:val="right"/>
        <w:rPr>
          <w:rFonts w:ascii="宋体" w:hAnsi="宋体" w:cs="宋体" w:eastAsia="宋体" w:hint="default"/>
          <w:sz w:val="28"/>
          <w:szCs w:val="28"/>
        </w:rPr>
      </w:pPr>
      <w:r>
        <w:rPr>
          <w:rFonts w:ascii="宋体" w:hAnsi="宋体" w:cs="宋体" w:eastAsia="宋体" w:hint="default"/>
          <w:b/>
          <w:bCs/>
          <w:spacing w:val="3"/>
          <w:w w:val="95"/>
          <w:sz w:val="28"/>
          <w:szCs w:val="28"/>
        </w:rPr>
        <w:t>本轮政府机构调整总体的思路是理顺公共事务管理思路，避免多头共管的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局面，涉及面有限，而公司的智慧政务业务客户群体广泛，公司通过发掘不同</w:t>
      </w:r>
      <w:r>
        <w:rPr>
          <w:rFonts w:ascii="宋体" w:hAnsi="宋体" w:cs="宋体" w:eastAsia="宋体" w:hint="default"/>
          <w:b/>
          <w:bCs/>
          <w:spacing w:val="77"/>
          <w:w w:val="95"/>
          <w:sz w:val="28"/>
          <w:szCs w:val="28"/>
        </w:rPr>
        <w:t> </w:t>
      </w:r>
      <w:r>
        <w:rPr>
          <w:rFonts w:ascii="宋体" w:hAnsi="宋体" w:cs="宋体" w:eastAsia="宋体" w:hint="default"/>
          <w:b/>
          <w:bCs/>
          <w:spacing w:val="77"/>
          <w:w w:val="95"/>
          <w:sz w:val="28"/>
          <w:szCs w:val="28"/>
        </w:rPr>
      </w:r>
      <w:r>
        <w:rPr>
          <w:rFonts w:ascii="宋体" w:hAnsi="宋体" w:cs="宋体" w:eastAsia="宋体" w:hint="default"/>
          <w:b/>
          <w:bCs/>
          <w:w w:val="95"/>
          <w:sz w:val="28"/>
          <w:szCs w:val="28"/>
        </w:rPr>
        <w:t>层级客户、不同机构的个性化需求，力争避免针对机构调整带来的市场波动。</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8"/>
        <w:rPr>
          <w:rFonts w:ascii="宋体" w:hAnsi="宋体" w:cs="宋体" w:eastAsia="宋体" w:hint="default"/>
          <w:b/>
          <w:bCs/>
          <w:sz w:val="39"/>
          <w:szCs w:val="39"/>
        </w:rPr>
      </w:pPr>
    </w:p>
    <w:p>
      <w:pPr>
        <w:spacing w:before="0"/>
        <w:ind w:left="0" w:right="1080" w:firstLine="0"/>
        <w:jc w:val="righ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158,008,198</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4" w:right="0" w:firstLine="0"/>
        <w:jc w:val="both"/>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0.60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before="237"/>
        <w:ind w:left="154" w:right="0" w:firstLine="0"/>
        <w:jc w:val="both"/>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135" w:right="11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146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135" w:right="11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公司、本公司、科创信息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湖南科创信息技术股份有限公司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科创有限</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长沙科创计算机系统集成有限公司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科创集成、子公司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湖南科创信息系统集成有限公司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科创鑫源、子公司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北京科创鑫源信息技术有限公司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永兴科创、子公司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永兴科创南方技术服务有限公司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共同实际控制人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费耀平、李杰、李建华、刘应龙、刘星沙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中南资产</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中南大学资产经营有限公司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中科岳麓</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湖南中科岳麓创业投资有限公司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金信置业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长沙金信置业投资有限公司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工业和信息化部</w:t>
            </w:r>
          </w:p>
        </w:tc>
      </w:tr>
      <w:tr>
        <w:trPr>
          <w:trHeight w:val="317" w:hRule="exact"/>
        </w:trPr>
        <w:tc>
          <w:tcPr>
            <w:tcW w:w="3536" w:type="dxa"/>
            <w:vMerge w:val="restart"/>
            <w:tcBorders>
              <w:top w:val="single" w:sz="4" w:space="0" w:color="000000"/>
              <w:left w:val="single" w:sz="4" w:space="0" w:color="000000"/>
              <w:right w:val="single" w:sz="9" w:space="0" w:color="D2D2D2"/>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自主可控</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shd w:val="clear" w:color="auto" w:fill="C6ECCC"/>
          </w:tcPr>
          <w:p>
            <w:pPr>
              <w:pStyle w:val="TableParagraph"/>
              <w:spacing w:line="316" w:lineRule="auto" w:before="51"/>
              <w:ind w:left="27" w:right="9"/>
              <w:jc w:val="both"/>
              <w:rPr>
                <w:rFonts w:ascii="宋体" w:hAnsi="宋体" w:cs="宋体" w:eastAsia="宋体" w:hint="default"/>
                <w:sz w:val="18"/>
                <w:szCs w:val="18"/>
              </w:rPr>
            </w:pPr>
            <w:r>
              <w:rPr>
                <w:rFonts w:ascii="宋体" w:hAnsi="宋体" w:cs="宋体" w:eastAsia="宋体" w:hint="default"/>
                <w:spacing w:val="-2"/>
                <w:sz w:val="18"/>
                <w:szCs w:val="18"/>
              </w:rPr>
              <w:t>依靠自主研发设计，全面掌握产品核心技术，使信息系统从硬件到软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件的研发、生产、升级和维护全程可控，实现核心技术、各类软件及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关键零部件国产化。</w:t>
            </w:r>
          </w:p>
        </w:tc>
      </w:tr>
      <w:tr>
        <w:trPr>
          <w:trHeight w:val="392" w:hRule="exact"/>
        </w:trPr>
        <w:tc>
          <w:tcPr>
            <w:tcW w:w="3536" w:type="dxa"/>
            <w:vMerge/>
            <w:tcBorders>
              <w:left w:val="single" w:sz="4" w:space="0" w:color="000000"/>
              <w:right w:val="single" w:sz="9" w:space="0" w:color="D2D2D2"/>
            </w:tcBorders>
            <w:shd w:val="clear" w:color="auto" w:fill="C6ECCC"/>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shd w:val="clear" w:color="auto" w:fill="C6ECCC"/>
          </w:tcPr>
          <w:p>
            <w:pPr/>
          </w:p>
        </w:tc>
      </w:tr>
      <w:tr>
        <w:trPr>
          <w:trHeight w:val="317" w:hRule="exact"/>
        </w:trPr>
        <w:tc>
          <w:tcPr>
            <w:tcW w:w="3536" w:type="dxa"/>
            <w:vMerge/>
            <w:tcBorders>
              <w:left w:val="single" w:sz="4" w:space="0" w:color="000000"/>
              <w:bottom w:val="single" w:sz="4" w:space="0" w:color="000000"/>
              <w:right w:val="single" w:sz="9" w:space="0" w:color="D2D2D2"/>
            </w:tcBorders>
            <w:shd w:val="clear" w:color="auto" w:fill="C6ECCC"/>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shd w:val="clear" w:color="auto" w:fill="C6ECCC"/>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科创信息</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300730</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湖南科创信息技术股份有限公司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科创信息</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Hunan Creator Information Technologies CO.,</w:t>
            </w:r>
            <w:r>
              <w:rPr>
                <w:rFonts w:ascii="Times New Roman"/>
                <w:spacing w:val="-23"/>
                <w:sz w:val="18"/>
              </w:rPr>
              <w:t> </w:t>
            </w:r>
            <w:r>
              <w:rPr>
                <w:rFonts w:ascii="Times New Roman"/>
                <w:spacing w:val="-5"/>
                <w:sz w:val="18"/>
              </w:rPr>
              <w:t>LTD.</w:t>
            </w:r>
          </w:p>
        </w:tc>
      </w:tr>
      <w:tr>
        <w:trPr>
          <w:trHeight w:val="401"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Creator</w:t>
            </w:r>
            <w:r>
              <w:rPr>
                <w:rFonts w:ascii="Times New Roman"/>
                <w:spacing w:val="-2"/>
                <w:sz w:val="18"/>
              </w:rPr>
              <w:t> </w:t>
            </w:r>
            <w:r>
              <w:rPr>
                <w:rFonts w:ascii="Times New Roman"/>
                <w:sz w:val="18"/>
              </w:rPr>
              <w:t>Information</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费耀平</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长沙市岳麓区青山路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410205</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长沙市岳麓区青山路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410205</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http://www.chinacreator.com</w:t>
              </w:r>
            </w:hyperlink>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creator@chinacreator.com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1"/>
        <w:gridCol w:w="3179"/>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金卓钧</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张雨虹</w:t>
            </w:r>
          </w:p>
        </w:tc>
      </w:tr>
      <w:tr>
        <w:trPr>
          <w:trHeight w:val="402" w:hRule="exact"/>
        </w:trPr>
        <w:tc>
          <w:tcPr>
            <w:tcW w:w="3178"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长沙市岳麓区青山路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长沙市岳麓区青山路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78"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0731-82068690</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0731-82068690</w:t>
            </w:r>
          </w:p>
        </w:tc>
      </w:tr>
      <w:tr>
        <w:trPr>
          <w:trHeight w:val="402" w:hRule="exact"/>
        </w:trPr>
        <w:tc>
          <w:tcPr>
            <w:tcW w:w="3178"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0731-82068670</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0731-82068670</w:t>
            </w:r>
          </w:p>
        </w:tc>
      </w:tr>
      <w:tr>
        <w:trPr>
          <w:trHeight w:val="402" w:hRule="exact"/>
        </w:trPr>
        <w:tc>
          <w:tcPr>
            <w:tcW w:w="3178"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0">
              <w:r>
                <w:rPr>
                  <w:rFonts w:ascii="Times New Roman"/>
                  <w:sz w:val="18"/>
                </w:rPr>
                <w:t>creator@chinacreator.com</w:t>
              </w:r>
            </w:hyperlink>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creator@chinacreator.com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（巨潮资讯网）</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长沙市岳麓区青山路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74"/>
        <w:gridCol w:w="6895"/>
      </w:tblGrid>
      <w:tr>
        <w:trPr>
          <w:trHeight w:val="402" w:hRule="exact"/>
        </w:trPr>
        <w:tc>
          <w:tcPr>
            <w:tcW w:w="2674"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8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2674"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8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北京市海淀区车公庄西路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号外文文化创意园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p>
        </w:tc>
      </w:tr>
      <w:tr>
        <w:trPr>
          <w:trHeight w:val="402" w:hRule="exact"/>
        </w:trPr>
        <w:tc>
          <w:tcPr>
            <w:tcW w:w="2674"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8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曾春卫、刘智清、冯俭专</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西部证券股份有限公司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陕西省西安市新城区东新街</w:t>
            </w:r>
          </w:p>
          <w:p>
            <w:pPr>
              <w:pStyle w:val="TableParagraph"/>
              <w:spacing w:line="240" w:lineRule="auto" w:before="7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瞿孝龙、张武</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2"/>
        <w:ind w:right="0"/>
        <w:jc w:val="left"/>
      </w:pPr>
      <w:r>
        <w:rPr/>
        <w:t>公司聘请的报告期内履行持续督导职责的财务顾问</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332,604,355.71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307,423,525.28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271,433,199.11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35,111,525.15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44,494,787.97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37,490,815.73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33,190,236.66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39,410,784.83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33,814,877.42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-19,459,067.37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7,462,076.69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-360.77%</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951,656.86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0.540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615,798,563.49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606,433,571.66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358,587,870.25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404,703,052.19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378,886,126.94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177,314,918.89</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19,838,764.59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50,786,080.83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95,411,294.14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166,568,216.15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-9,975,883.89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-865,210.68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14,679,693.13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31,272,926.59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65"/>
              <w:jc w:val="right"/>
              <w:rPr>
                <w:rFonts w:ascii="Times New Roman" w:hAnsi="Times New Roman" w:cs="Times New Roman" w:eastAsia="Times New Roman" w:hint="default"/>
                <w:sz w:val="18"/>
                <w:szCs w:val="18"/>
              </w:rPr>
            </w:pPr>
            <w:r>
              <w:rPr>
                <w:rFonts w:ascii="Times New Roman"/>
                <w:spacing w:val="-1"/>
                <w:sz w:val="18"/>
              </w:rPr>
              <w:t>-9,911,359.92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-1,029,123.63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14,602,926.92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29,527,793.29</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pacing w:val="-1"/>
                <w:sz w:val="18"/>
              </w:rPr>
              <w:t>-78,888,878.09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-21,534,034.30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6,484,291.54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74,479,553.48</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6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-7,460.00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635,810.53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2,382,714.97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5,384,753.78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3,621,590.16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36,690.41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-122,375.57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622,814.64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-1,680.54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339,050.91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891,230.79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616,563.34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24,874.49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-91.09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1,921,288.49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5,084,003.14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3,675,938.31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9"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both"/>
      </w:pPr>
      <w:r>
        <w:rPr/>
        <w:t>软件与信息技术服务业</w:t>
      </w:r>
    </w:p>
    <w:p>
      <w:pPr>
        <w:pStyle w:val="BodyText"/>
        <w:spacing w:line="240" w:lineRule="auto" w:before="116"/>
        <w:ind w:right="0"/>
        <w:jc w:val="both"/>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16" w:lineRule="auto" w:before="102"/>
        <w:ind w:left="511" w:right="0" w:firstLine="3"/>
        <w:jc w:val="left"/>
        <w:rPr>
          <w:rFonts w:ascii="Times New Roman" w:hAnsi="Times New Roman" w:cs="Times New Roman" w:eastAsia="Times New Roman" w:hint="default"/>
        </w:rPr>
      </w:pPr>
      <w:r>
        <w:rPr>
          <w:rFonts w:ascii="宋体" w:hAnsi="宋体" w:cs="宋体" w:eastAsia="宋体" w:hint="default"/>
          <w:b/>
          <w:bCs/>
        </w:rPr>
        <w:t>（一）公司主营业务</w:t>
      </w:r>
      <w:r>
        <w:rPr>
          <w:rFonts w:ascii="宋体" w:hAnsi="宋体" w:cs="宋体" w:eastAsia="宋体" w:hint="default"/>
          <w:b/>
          <w:bCs/>
          <w:w w:val="99"/>
        </w:rPr>
        <w:t> </w:t>
      </w:r>
      <w:r>
        <w:rPr>
          <w:spacing w:val="-2"/>
        </w:rPr>
        <w:t>公司是国内智慧政务及智慧企业领域的信息化综合服务提供商，主要致力于为政企客户提供集软件开发、系统集成、</w:t>
      </w:r>
      <w:r>
        <w:rPr>
          <w:rFonts w:ascii="Times New Roman" w:hAnsi="Times New Roman" w:cs="Times New Roman" w:eastAsia="Times New Roman" w:hint="default"/>
          <w:spacing w:val="-2"/>
        </w:rPr>
        <w:t>IT</w:t>
      </w:r>
    </w:p>
    <w:p>
      <w:pPr>
        <w:pStyle w:val="BodyText"/>
        <w:spacing w:line="316" w:lineRule="auto"/>
        <w:ind w:right="1131"/>
        <w:jc w:val="both"/>
      </w:pPr>
      <w:r>
        <w:rPr>
          <w:spacing w:val="-2"/>
        </w:rPr>
        <w:t>运维等于一体的信息化综合解决方案。公司注重云计算、大数据、人工智能等领域的技术研发及产品创新，经过多年的研发</w:t>
      </w:r>
      <w:r>
        <w:rPr>
          <w:spacing w:val="-66"/>
        </w:rPr>
        <w:t> </w:t>
      </w:r>
      <w:r>
        <w:rPr>
          <w:spacing w:val="-66"/>
        </w:rPr>
      </w:r>
      <w:r>
        <w:rPr>
          <w:spacing w:val="-2"/>
        </w:rPr>
        <w:t>投入，已经形成了基础设施集约化管理、数据资源智能化处理、业务应用敏捷化开发等功能于一体的核心技术体系及支撑平</w:t>
      </w:r>
      <w:r>
        <w:rPr>
          <w:spacing w:val="-66"/>
        </w:rPr>
        <w:t> </w:t>
      </w:r>
      <w:r>
        <w:rPr>
          <w:spacing w:val="-66"/>
        </w:rPr>
      </w:r>
      <w:r>
        <w:rPr>
          <w:spacing w:val="-2"/>
        </w:rPr>
        <w:t>台，并以此为基础，针对政企客户的不同需求，开发了多类智慧政务及智慧企业解决方案。报告期内，公司主营业务未发生</w:t>
      </w:r>
      <w:r>
        <w:rPr>
          <w:spacing w:val="-66"/>
        </w:rPr>
        <w:t> </w:t>
      </w:r>
      <w:r>
        <w:rPr>
          <w:spacing w:val="-66"/>
        </w:rPr>
      </w:r>
      <w:r>
        <w:rPr/>
        <w:t>重大变化。</w:t>
      </w:r>
    </w:p>
    <w:p>
      <w:pPr>
        <w:pStyle w:val="Heading5"/>
        <w:spacing w:line="240" w:lineRule="auto" w:before="19"/>
        <w:ind w:left="515" w:right="0"/>
        <w:jc w:val="left"/>
        <w:rPr>
          <w:b w:val="0"/>
          <w:bCs w:val="0"/>
        </w:rPr>
      </w:pPr>
      <w:r>
        <w:rPr/>
        <w:t>（二）公司主要经营模式</w:t>
      </w:r>
      <w:r>
        <w:rPr>
          <w:b w:val="0"/>
          <w:bCs w:val="0"/>
        </w:rPr>
      </w:r>
    </w:p>
    <w:p>
      <w:pPr>
        <w:pStyle w:val="BodyText"/>
        <w:spacing w:line="300" w:lineRule="auto" w:before="76"/>
        <w:ind w:left="514" w:right="1118" w:firstLine="1"/>
        <w:jc w:val="left"/>
      </w:pPr>
      <w:r>
        <w:rPr>
          <w:rFonts w:ascii="Times New Roman" w:hAnsi="Times New Roman" w:cs="Times New Roman" w:eastAsia="Times New Roman" w:hint="default"/>
          <w:b/>
          <w:bCs/>
        </w:rPr>
        <w:t>1</w:t>
      </w:r>
      <w:r>
        <w:rPr>
          <w:rFonts w:ascii="宋体" w:hAnsi="宋体" w:cs="宋体" w:eastAsia="宋体" w:hint="default"/>
          <w:b/>
          <w:bCs/>
        </w:rPr>
        <w:t>、销售模式</w:t>
      </w:r>
      <w:r>
        <w:rPr>
          <w:rFonts w:ascii="宋体" w:hAnsi="宋体" w:cs="宋体" w:eastAsia="宋体" w:hint="default"/>
          <w:b/>
          <w:bCs/>
          <w:w w:val="99"/>
        </w:rPr>
        <w:t> </w:t>
      </w:r>
      <w:r>
        <w:rPr>
          <w:spacing w:val="-2"/>
        </w:rPr>
        <w:t>公司提供信息化综合解决方案的客户主要为政府机关、事业单位及行业大中型企业，采用直销模式能更好满足上述客户</w:t>
      </w:r>
    </w:p>
    <w:p>
      <w:pPr>
        <w:pStyle w:val="BodyText"/>
        <w:spacing w:line="240" w:lineRule="auto" w:before="31"/>
        <w:ind w:right="0"/>
        <w:jc w:val="both"/>
      </w:pPr>
      <w:r>
        <w:rPr/>
        <w:t>的定制化需求，提供快速响应的客户服务，故而公司销售模式主要以直销模式为主，经销商模式为辅。</w:t>
      </w:r>
    </w:p>
    <w:p>
      <w:pPr>
        <w:pStyle w:val="BodyText"/>
        <w:spacing w:line="300" w:lineRule="auto" w:before="76"/>
        <w:ind w:left="514" w:right="1032" w:firstLine="1"/>
        <w:jc w:val="left"/>
      </w:pPr>
      <w:r>
        <w:rPr>
          <w:rFonts w:ascii="Times New Roman" w:hAnsi="Times New Roman" w:cs="Times New Roman" w:eastAsia="Times New Roman" w:hint="default"/>
          <w:b/>
          <w:bCs/>
        </w:rPr>
        <w:t>2</w:t>
      </w:r>
      <w:r>
        <w:rPr>
          <w:rFonts w:ascii="宋体" w:hAnsi="宋体" w:cs="宋体" w:eastAsia="宋体" w:hint="default"/>
          <w:b/>
          <w:bCs/>
        </w:rPr>
        <w:t>、采购模式</w:t>
      </w:r>
      <w:r>
        <w:rPr>
          <w:rFonts w:ascii="宋体" w:hAnsi="宋体" w:cs="宋体" w:eastAsia="宋体" w:hint="default"/>
          <w:b/>
          <w:bCs/>
          <w:w w:val="99"/>
        </w:rPr>
        <w:t> </w:t>
      </w:r>
      <w:r>
        <w:rPr/>
        <w:t>公司采购模式为：各事业部提出采购申请并提供相关资料，由公司采购部统一负责。公司采购内容主要是以通用软件、</w:t>
      </w:r>
    </w:p>
    <w:p>
      <w:pPr>
        <w:pStyle w:val="BodyText"/>
        <w:spacing w:line="316" w:lineRule="auto" w:before="31"/>
        <w:ind w:left="514" w:right="0" w:hanging="360"/>
        <w:jc w:val="left"/>
      </w:pPr>
      <w:r>
        <w:rPr/>
        <w:t>硬件为主的商业现货采购，另外还有一定量的劳务外包及技术服务采购。 </w:t>
      </w:r>
      <w:r>
        <w:rPr>
          <w:spacing w:val="-2"/>
        </w:rPr>
        <w:t>为对采购过程进行有效的控制，规范对外部供应商的管理，确保采购的产品符合规定的要求，公司制定《采购控制程序</w:t>
      </w:r>
    </w:p>
    <w:p>
      <w:pPr>
        <w:pStyle w:val="BodyText"/>
        <w:spacing w:line="240" w:lineRule="auto" w:before="19"/>
        <w:ind w:right="0"/>
        <w:jc w:val="both"/>
      </w:pPr>
      <w:r>
        <w:rPr/>
        <w:t>文件》用于规范公司的采购管理。</w:t>
      </w:r>
    </w:p>
    <w:p>
      <w:pPr>
        <w:pStyle w:val="BodyText"/>
        <w:spacing w:line="300" w:lineRule="auto" w:before="76"/>
        <w:ind w:left="514" w:right="1118" w:firstLine="1"/>
        <w:jc w:val="left"/>
      </w:pPr>
      <w:r>
        <w:rPr>
          <w:rFonts w:ascii="Times New Roman" w:hAnsi="Times New Roman" w:cs="Times New Roman" w:eastAsia="Times New Roman" w:hint="default"/>
          <w:b/>
          <w:bCs/>
        </w:rPr>
        <w:t>3</w:t>
      </w:r>
      <w:r>
        <w:rPr>
          <w:rFonts w:ascii="宋体" w:hAnsi="宋体" w:cs="宋体" w:eastAsia="宋体" w:hint="default"/>
          <w:b/>
          <w:bCs/>
        </w:rPr>
        <w:t>、生产模式</w:t>
      </w:r>
      <w:r>
        <w:rPr>
          <w:rFonts w:ascii="宋体" w:hAnsi="宋体" w:cs="宋体" w:eastAsia="宋体" w:hint="default"/>
          <w:b/>
          <w:bCs/>
          <w:w w:val="99"/>
        </w:rPr>
        <w:t> </w:t>
      </w:r>
      <w:r>
        <w:rPr>
          <w:spacing w:val="-2"/>
        </w:rPr>
        <w:t>公司主要采用</w:t>
      </w:r>
      <w:r>
        <w:rPr>
          <w:rFonts w:ascii="Times New Roman" w:hAnsi="Times New Roman" w:cs="Times New Roman" w:eastAsia="Times New Roman" w:hint="default"/>
          <w:spacing w:val="-2"/>
        </w:rPr>
        <w:t>“</w:t>
      </w:r>
      <w:r>
        <w:rPr>
          <w:spacing w:val="-2"/>
        </w:rPr>
        <w:t>以销定产</w:t>
      </w:r>
      <w:r>
        <w:rPr>
          <w:rFonts w:ascii="Times New Roman" w:hAnsi="Times New Roman" w:cs="Times New Roman" w:eastAsia="Times New Roman" w:hint="default"/>
          <w:spacing w:val="-2"/>
        </w:rPr>
        <w:t>”</w:t>
      </w:r>
      <w:r>
        <w:rPr>
          <w:spacing w:val="-2"/>
        </w:rPr>
        <w:t>的生产模式。由于客户的需求存在差异性，公司对项目合同的运作分为售前、实施及运维三个</w:t>
      </w:r>
    </w:p>
    <w:p>
      <w:pPr>
        <w:pStyle w:val="BodyText"/>
        <w:spacing w:line="240" w:lineRule="auto" w:before="13"/>
        <w:ind w:right="0"/>
        <w:jc w:val="both"/>
      </w:pPr>
      <w:r>
        <w:rPr/>
        <w:t>阶段。</w:t>
      </w:r>
    </w:p>
    <w:p>
      <w:pPr>
        <w:pStyle w:val="BodyText"/>
        <w:spacing w:line="316" w:lineRule="auto" w:before="76"/>
        <w:ind w:right="1131" w:firstLine="360"/>
        <w:jc w:val="both"/>
      </w:pPr>
      <w:r>
        <w:rPr>
          <w:spacing w:val="-2"/>
        </w:rPr>
        <w:t>公司经营模式主要受产业链上下游发展情况、公司技术与服务能力、主要客户行业政策等因素的影响，报告期内，影响</w:t>
      </w:r>
      <w:r>
        <w:rPr/>
        <w:t> 公司经营模式的关键因素未发生重大变化，预计未来一定期间公司经营模式不会发生重大变化。</w:t>
      </w:r>
    </w:p>
    <w:p>
      <w:pPr>
        <w:pStyle w:val="Heading5"/>
        <w:spacing w:line="300" w:lineRule="auto" w:before="19"/>
        <w:ind w:left="515" w:right="7952"/>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公司所处行业分析</w:t>
      </w:r>
      <w:r>
        <w:rPr>
          <w:w w:val="99"/>
        </w:rPr>
        <w:t> </w:t>
      </w:r>
      <w:r>
        <w:rPr>
          <w:rFonts w:ascii="Times New Roman" w:hAnsi="Times New Roman" w:cs="Times New Roman" w:eastAsia="Times New Roman" w:hint="default"/>
        </w:rPr>
        <w:t>1</w:t>
      </w:r>
      <w:r>
        <w:rPr/>
        <w:t>、行业竞争格局和市场化程度</w:t>
      </w:r>
      <w:r>
        <w:rPr>
          <w:b w:val="0"/>
          <w:bCs w:val="0"/>
        </w:rPr>
      </w:r>
    </w:p>
    <w:p>
      <w:pPr>
        <w:pStyle w:val="BodyText"/>
        <w:spacing w:line="309" w:lineRule="auto" w:before="13"/>
        <w:ind w:right="1131" w:firstLine="360"/>
        <w:jc w:val="both"/>
      </w:pPr>
      <w:r>
        <w:rPr>
          <w:spacing w:val="-2"/>
        </w:rPr>
        <w:t>公司所处行业为</w:t>
      </w:r>
      <w:r>
        <w:rPr>
          <w:rFonts w:ascii="Times New Roman" w:hAnsi="Times New Roman" w:cs="Times New Roman" w:eastAsia="Times New Roman" w:hint="default"/>
          <w:spacing w:val="-2"/>
        </w:rPr>
        <w:t>“</w:t>
      </w:r>
      <w:r>
        <w:rPr>
          <w:spacing w:val="-2"/>
        </w:rPr>
        <w:t>软件和信息技术服务业</w:t>
      </w:r>
      <w:r>
        <w:rPr>
          <w:rFonts w:ascii="Times New Roman" w:hAnsi="Times New Roman" w:cs="Times New Roman" w:eastAsia="Times New Roman" w:hint="default"/>
          <w:spacing w:val="-2"/>
        </w:rPr>
        <w:t>”</w:t>
      </w:r>
      <w:r>
        <w:rPr>
          <w:spacing w:val="-2"/>
        </w:rPr>
        <w:t>。我国软件产业经过多年的培育，已进入快速成长期，产业规模迅速扩大，技</w:t>
      </w:r>
      <w:r>
        <w:rPr/>
        <w:t> </w:t>
      </w:r>
      <w:r>
        <w:rPr>
          <w:spacing w:val="-2"/>
        </w:rPr>
        <w:t>术水平快速提高，骨干企业不断成长，产业向高质量方向发展步伐加快，结构持续调整优化，正成为数字经济发展、智慧社</w:t>
      </w:r>
      <w:r>
        <w:rPr>
          <w:spacing w:val="-66"/>
        </w:rPr>
        <w:t> </w:t>
      </w:r>
      <w:r>
        <w:rPr>
          <w:spacing w:val="-66"/>
        </w:rPr>
      </w:r>
      <w:r>
        <w:rPr/>
        <w:t>会演进的重要驱动力量。</w:t>
      </w:r>
    </w:p>
    <w:p>
      <w:pPr>
        <w:pStyle w:val="BodyText"/>
        <w:spacing w:line="300" w:lineRule="auto" w:before="24"/>
        <w:ind w:right="1131" w:firstLine="360"/>
        <w:jc w:val="both"/>
      </w:pPr>
      <w:r>
        <w:rPr>
          <w:rFonts w:ascii="Times New Roman" w:hAnsi="Times New Roman" w:cs="Times New Roman" w:eastAsia="Times New Roman" w:hint="default"/>
          <w:spacing w:val="-2"/>
        </w:rPr>
        <w:t>2018</w:t>
      </w:r>
      <w:r>
        <w:rPr>
          <w:spacing w:val="-2"/>
        </w:rPr>
        <w:t>年，我国软件和信息技术服务业整体保持稳中向好发展态势，软件业务收入保持较快增长，盈利能力稳步提升，从</w:t>
      </w:r>
      <w:r>
        <w:rPr/>
        <w:t> 业人数和工资总额稳步增加。</w:t>
      </w:r>
    </w:p>
    <w:p>
      <w:pPr>
        <w:pStyle w:val="Heading5"/>
        <w:spacing w:line="240" w:lineRule="auto" w:before="31"/>
        <w:ind w:left="515" w:right="0"/>
        <w:jc w:val="left"/>
        <w:rPr>
          <w:b w:val="0"/>
          <w:bCs w:val="0"/>
        </w:rPr>
      </w:pPr>
      <w:r>
        <w:rPr>
          <w:rFonts w:ascii="Times New Roman" w:hAnsi="Times New Roman" w:cs="Times New Roman" w:eastAsia="Times New Roman" w:hint="default"/>
        </w:rPr>
        <w:t>2</w:t>
      </w:r>
      <w:r>
        <w:rPr/>
        <w:t>、行业的周期性、区域性和季节性特点</w:t>
      </w:r>
      <w:r>
        <w:rPr>
          <w:b w:val="0"/>
          <w:bCs w:val="0"/>
        </w:rPr>
      </w:r>
    </w:p>
    <w:p>
      <w:pPr>
        <w:pStyle w:val="BodyText"/>
        <w:spacing w:line="300" w:lineRule="auto" w:before="63"/>
        <w:ind w:left="514" w:right="0"/>
        <w:jc w:val="left"/>
      </w:pPr>
      <w:r>
        <w:rPr/>
        <w:t>（</w:t>
      </w:r>
      <w:r>
        <w:rPr>
          <w:rFonts w:ascii="Times New Roman" w:hAnsi="Times New Roman" w:cs="Times New Roman" w:eastAsia="Times New Roman" w:hint="default"/>
        </w:rPr>
        <w:t>1</w:t>
      </w:r>
      <w:r>
        <w:rPr/>
        <w:t>）周期性特征 </w:t>
      </w:r>
      <w:r>
        <w:rPr>
          <w:spacing w:val="-2"/>
        </w:rPr>
        <w:t>随着新一代信息技术体系化创新并与应用领域的加速融合，我国信息化建设正向互联网化、移动化、智能化方向加速演</w:t>
      </w:r>
    </w:p>
    <w:p>
      <w:pPr>
        <w:pStyle w:val="BodyText"/>
        <w:spacing w:line="316" w:lineRule="auto" w:before="31"/>
        <w:ind w:right="0"/>
        <w:jc w:val="left"/>
      </w:pPr>
      <w:r>
        <w:rPr>
          <w:spacing w:val="-2"/>
        </w:rPr>
        <w:t>进。公司所处的软件和信息技术服务业作为我国信息化建设的主导力量，受益于一系列国家鼓励与支持政策，具备广阔的市</w:t>
      </w:r>
      <w:r>
        <w:rPr>
          <w:spacing w:val="-66"/>
        </w:rPr>
        <w:t> </w:t>
      </w:r>
      <w:r>
        <w:rPr>
          <w:spacing w:val="-66"/>
        </w:rPr>
      </w:r>
      <w:r>
        <w:rPr/>
        <w:t>场发展空间，具有较强的抗周期性特征。</w:t>
      </w:r>
    </w:p>
    <w:p>
      <w:pPr>
        <w:pStyle w:val="BodyText"/>
        <w:spacing w:line="240" w:lineRule="auto" w:before="19"/>
        <w:ind w:left="514" w:right="0"/>
        <w:jc w:val="left"/>
      </w:pPr>
      <w:r>
        <w:rPr/>
        <w:t>（</w:t>
      </w:r>
      <w:r>
        <w:rPr>
          <w:rFonts w:ascii="Times New Roman" w:hAnsi="Times New Roman" w:cs="Times New Roman" w:eastAsia="Times New Roman" w:hint="default"/>
        </w:rPr>
        <w:t>2</w:t>
      </w:r>
      <w:r>
        <w:rPr/>
        <w:t>）区域性特征</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360"/>
        <w:jc w:val="both"/>
      </w:pPr>
      <w:r>
        <w:rPr>
          <w:spacing w:val="-2"/>
        </w:rPr>
        <w:t>我国信息化建设总体呈现出地区发展不平衡的现状：东部地区发展较好，中部其次，西部地区建设水平最末，但随着国</w:t>
      </w:r>
      <w:r>
        <w:rPr/>
        <w:t> </w:t>
      </w:r>
      <w:r>
        <w:rPr>
          <w:spacing w:val="-2"/>
        </w:rPr>
        <w:t>家大力支持西部地区开发建设，加大了对西部地区的财政转移支付力度，促使西部地区网络基础设施建设和信息通信技术应</w:t>
      </w:r>
      <w:r>
        <w:rPr>
          <w:spacing w:val="-64"/>
        </w:rPr>
        <w:t> </w:t>
      </w:r>
      <w:r>
        <w:rPr>
          <w:spacing w:val="-64"/>
        </w:rPr>
      </w:r>
      <w:r>
        <w:rPr/>
        <w:t>用大幅提升，中西部地区信息化产业发展较快，与东部地区差距正在逐渐缩小。</w:t>
      </w:r>
    </w:p>
    <w:p>
      <w:pPr>
        <w:pStyle w:val="BodyText"/>
        <w:spacing w:line="300" w:lineRule="auto" w:before="19"/>
        <w:ind w:left="514" w:right="0"/>
        <w:jc w:val="left"/>
      </w:pPr>
      <w:r>
        <w:rPr/>
        <w:t>（</w:t>
      </w:r>
      <w:r>
        <w:rPr>
          <w:rFonts w:ascii="Times New Roman" w:hAnsi="Times New Roman" w:cs="Times New Roman" w:eastAsia="Times New Roman" w:hint="default"/>
        </w:rPr>
        <w:t>3</w:t>
      </w:r>
      <w:r>
        <w:rPr/>
        <w:t>）季节性特征 </w:t>
      </w:r>
      <w:r>
        <w:rPr>
          <w:spacing w:val="-2"/>
        </w:rPr>
        <w:t>目前我国智慧政务及智慧企业领域信息化建设仍以政府机关、事业单位及大中型国有企业为主导，该部分政企客户通常</w:t>
      </w:r>
    </w:p>
    <w:p>
      <w:pPr>
        <w:pStyle w:val="BodyText"/>
        <w:spacing w:line="240" w:lineRule="auto" w:before="31"/>
        <w:ind w:right="0"/>
        <w:jc w:val="left"/>
      </w:pPr>
      <w:r>
        <w:rPr/>
        <w:t>实行预算管理及集中采购制度，采购招标及结算具有明显的季节性特征。</w:t>
      </w:r>
    </w:p>
    <w:p>
      <w:pPr>
        <w:pStyle w:val="BodyText"/>
        <w:spacing w:line="300" w:lineRule="auto" w:before="76"/>
        <w:ind w:left="514" w:right="1032" w:firstLine="1"/>
        <w:jc w:val="left"/>
      </w:pPr>
      <w:r>
        <w:rPr>
          <w:rFonts w:ascii="Times New Roman" w:hAnsi="Times New Roman" w:cs="Times New Roman" w:eastAsia="Times New Roman" w:hint="default"/>
          <w:b/>
          <w:bCs/>
        </w:rPr>
        <w:t>3</w:t>
      </w:r>
      <w:r>
        <w:rPr>
          <w:rFonts w:ascii="宋体" w:hAnsi="宋体" w:cs="宋体" w:eastAsia="宋体" w:hint="default"/>
          <w:b/>
          <w:bCs/>
        </w:rPr>
        <w:t>、公司行业竞争地位</w:t>
      </w:r>
      <w:r>
        <w:rPr>
          <w:rFonts w:ascii="宋体" w:hAnsi="宋体" w:cs="宋体" w:eastAsia="宋体" w:hint="default"/>
          <w:b/>
          <w:bCs/>
          <w:w w:val="99"/>
        </w:rPr>
        <w:t> </w:t>
      </w:r>
      <w:r>
        <w:rPr/>
        <w:t>公司凭借雄厚的研发实力与丰富的信息化解决方案实施经验，已在智慧政务及智慧企业领域形成自己独特的竞争优势。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0"/>
        <w:gridCol w:w="6506"/>
      </w:tblGrid>
      <w:tr>
        <w:trPr>
          <w:trHeight w:val="186" w:hRule="exact"/>
        </w:trPr>
        <w:tc>
          <w:tcPr>
            <w:tcW w:w="3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40"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0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，主要系本期在建项目验收转固所致。</w:t>
            </w:r>
          </w:p>
        </w:tc>
      </w:tr>
      <w:tr>
        <w:trPr>
          <w:trHeight w:val="402" w:hRule="exact"/>
        </w:trPr>
        <w:tc>
          <w:tcPr>
            <w:tcW w:w="30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35.23%</w:t>
            </w:r>
            <w:r>
              <w:rPr>
                <w:rFonts w:ascii="宋体" w:hAnsi="宋体" w:cs="宋体" w:eastAsia="宋体" w:hint="default"/>
                <w:sz w:val="18"/>
                <w:szCs w:val="18"/>
              </w:rPr>
              <w:t>，主要系本期支付货款和偿还短期借款增加所致。</w:t>
            </w:r>
          </w:p>
        </w:tc>
      </w:tr>
      <w:tr>
        <w:trPr>
          <w:trHeight w:val="402" w:hRule="exact"/>
        </w:trPr>
        <w:tc>
          <w:tcPr>
            <w:tcW w:w="30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43.13%</w:t>
            </w:r>
            <w:r>
              <w:rPr>
                <w:rFonts w:ascii="宋体" w:hAnsi="宋体" w:cs="宋体" w:eastAsia="宋体" w:hint="default"/>
                <w:sz w:val="18"/>
                <w:szCs w:val="18"/>
              </w:rPr>
              <w:t>，主要系本期销售收入增加所致。</w:t>
            </w:r>
          </w:p>
        </w:tc>
      </w:tr>
      <w:tr>
        <w:trPr>
          <w:trHeight w:val="402" w:hRule="exact"/>
        </w:trPr>
        <w:tc>
          <w:tcPr>
            <w:tcW w:w="30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5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608.71%</w:t>
            </w:r>
            <w:r>
              <w:rPr>
                <w:rFonts w:ascii="宋体" w:hAnsi="宋体" w:cs="宋体" w:eastAsia="宋体" w:hint="default"/>
                <w:sz w:val="18"/>
                <w:szCs w:val="18"/>
              </w:rPr>
              <w:t>，主要系本期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业务形成所致。</w:t>
            </w:r>
          </w:p>
        </w:tc>
      </w:tr>
      <w:tr>
        <w:trPr>
          <w:trHeight w:val="402" w:hRule="exact"/>
        </w:trPr>
        <w:tc>
          <w:tcPr>
            <w:tcW w:w="30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45.04%</w:t>
            </w:r>
            <w:r>
              <w:rPr>
                <w:rFonts w:ascii="宋体" w:hAnsi="宋体" w:cs="宋体" w:eastAsia="宋体" w:hint="default"/>
                <w:sz w:val="18"/>
                <w:szCs w:val="18"/>
              </w:rPr>
              <w:t>，主要系本期计提递延所得税资产增加所致。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357" w:lineRule="auto" w:before="26"/>
        <w:ind w:left="514" w:right="0" w:hanging="360"/>
        <w:jc w:val="left"/>
      </w:pPr>
      <w:r>
        <w:rPr/>
        <w:t>软件与信息技术服务业 </w:t>
      </w:r>
      <w:r>
        <w:rPr>
          <w:spacing w:val="-2"/>
        </w:rPr>
        <w:t>报告期内，公司业务领域仍主要面向智慧政务及智慧企业领域的政企客户。自成立之初，公司便确定了</w:t>
      </w:r>
      <w:r>
        <w:rPr>
          <w:rFonts w:ascii="Times New Roman" w:hAnsi="Times New Roman" w:cs="Times New Roman" w:eastAsia="Times New Roman" w:hint="default"/>
          <w:spacing w:val="-2"/>
        </w:rPr>
        <w:t>“</w:t>
      </w:r>
      <w:r>
        <w:rPr>
          <w:spacing w:val="-2"/>
        </w:rPr>
        <w:t>以人才为根本、</w:t>
      </w:r>
    </w:p>
    <w:p>
      <w:pPr>
        <w:pStyle w:val="BodyText"/>
        <w:spacing w:line="214" w:lineRule="exact"/>
        <w:ind w:right="0"/>
        <w:jc w:val="left"/>
      </w:pPr>
      <w:r>
        <w:rPr/>
        <w:t>以技术为依托、以服务与质量为保障</w:t>
      </w:r>
      <w:r>
        <w:rPr>
          <w:rFonts w:ascii="Times New Roman" w:hAnsi="Times New Roman" w:cs="Times New Roman" w:eastAsia="Times New Roman" w:hint="default"/>
        </w:rPr>
        <w:t>”</w:t>
      </w:r>
      <w:r>
        <w:rPr/>
        <w:t>的发展战略，经过多年的发展，公司的核心竞争力主要体现在以下几方面：</w:t>
      </w:r>
    </w:p>
    <w:p>
      <w:pPr>
        <w:pStyle w:val="BodyText"/>
        <w:spacing w:line="300" w:lineRule="auto" w:before="63"/>
        <w:ind w:left="514" w:right="0" w:firstLine="1"/>
        <w:jc w:val="left"/>
      </w:pPr>
      <w:r>
        <w:rPr>
          <w:rFonts w:ascii="Times New Roman" w:hAnsi="Times New Roman" w:cs="Times New Roman" w:eastAsia="Times New Roman" w:hint="default"/>
          <w:b/>
          <w:bCs/>
        </w:rPr>
        <w:t>1</w:t>
      </w:r>
      <w:r>
        <w:rPr>
          <w:rFonts w:ascii="宋体" w:hAnsi="宋体" w:cs="宋体" w:eastAsia="宋体" w:hint="default"/>
          <w:b/>
          <w:bCs/>
        </w:rPr>
        <w:t>、不断创新的核心技术</w:t>
      </w:r>
      <w:r>
        <w:rPr>
          <w:rFonts w:ascii="宋体" w:hAnsi="宋体" w:cs="宋体" w:eastAsia="宋体" w:hint="default"/>
          <w:b/>
          <w:bCs/>
          <w:w w:val="99"/>
        </w:rPr>
        <w:t> </w:t>
      </w:r>
      <w:r>
        <w:rPr/>
        <w:t>公司一直高度重视技术研发和产品创新，近五年来，每年投入的研发费用均超过销售收入的</w:t>
      </w:r>
      <w:r>
        <w:rPr>
          <w:rFonts w:ascii="Times New Roman" w:hAnsi="Times New Roman" w:cs="Times New Roman" w:eastAsia="Times New Roman" w:hint="default"/>
        </w:rPr>
        <w:t>7%</w:t>
      </w:r>
      <w:r>
        <w:rPr/>
        <w:t>。报告期内，公司将原</w:t>
      </w:r>
    </w:p>
    <w:p>
      <w:pPr>
        <w:pStyle w:val="BodyText"/>
        <w:spacing w:line="316" w:lineRule="auto" w:before="13"/>
        <w:ind w:right="0"/>
        <w:jc w:val="left"/>
      </w:pPr>
      <w:r>
        <w:rPr>
          <w:spacing w:val="-4"/>
        </w:rPr>
        <w:t>有的基础软件研发中心升级为企业级研究院，下设人工智能、智能视觉、大数据、平台软件、智慧政务五大研究所，从制度、</w:t>
      </w:r>
      <w:r>
        <w:rPr>
          <w:spacing w:val="-44"/>
        </w:rPr>
        <w:t> </w:t>
      </w:r>
      <w:r>
        <w:rPr>
          <w:spacing w:val="-44"/>
        </w:rPr>
      </w:r>
      <w:r>
        <w:rPr/>
        <w:t>经费、人员等方面予以保障。</w:t>
      </w:r>
    </w:p>
    <w:p>
      <w:pPr>
        <w:pStyle w:val="BodyText"/>
        <w:spacing w:line="300" w:lineRule="auto" w:before="19"/>
        <w:ind w:right="1129" w:firstLine="360"/>
        <w:jc w:val="both"/>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日，公司共拥有软件著作权</w:t>
      </w:r>
      <w:r>
        <w:rPr>
          <w:rFonts w:ascii="Times New Roman" w:hAnsi="Times New Roman" w:cs="Times New Roman" w:eastAsia="Times New Roman" w:hint="default"/>
        </w:rPr>
        <w:t>331</w:t>
      </w:r>
      <w:r>
        <w:rPr/>
        <w:t>项，拥有软件产品登记证</w:t>
      </w:r>
      <w:r>
        <w:rPr>
          <w:rFonts w:ascii="Times New Roman" w:hAnsi="Times New Roman" w:cs="Times New Roman" w:eastAsia="Times New Roman" w:hint="default"/>
        </w:rPr>
        <w:t>102</w:t>
      </w:r>
      <w:r>
        <w:rPr/>
        <w:t>个，国家发明专利</w:t>
      </w:r>
      <w:r>
        <w:rPr>
          <w:rFonts w:ascii="Times New Roman" w:hAnsi="Times New Roman" w:cs="Times New Roman" w:eastAsia="Times New Roman" w:hint="default"/>
        </w:rPr>
        <w:t>2</w:t>
      </w:r>
      <w:r>
        <w:rPr/>
        <w:t>项，实用新型专利</w:t>
      </w:r>
      <w:r>
        <w:rPr>
          <w:rFonts w:ascii="Times New Roman" w:hAnsi="Times New Roman" w:cs="Times New Roman" w:eastAsia="Times New Roman" w:hint="default"/>
        </w:rPr>
        <w:t>7 </w:t>
      </w:r>
      <w:r>
        <w:rPr>
          <w:spacing w:val="-2"/>
        </w:rPr>
        <w:t>项，注册商标</w:t>
      </w:r>
      <w:r>
        <w:rPr>
          <w:rFonts w:ascii="Times New Roman" w:hAnsi="Times New Roman" w:cs="Times New Roman" w:eastAsia="Times New Roman" w:hint="default"/>
          <w:spacing w:val="-2"/>
        </w:rPr>
        <w:t>3</w:t>
      </w:r>
      <w:r>
        <w:rPr>
          <w:spacing w:val="-2"/>
        </w:rPr>
        <w:t>项。报告期内，公司新增软件著作权</w:t>
      </w:r>
      <w:r>
        <w:rPr>
          <w:rFonts w:ascii="Times New Roman" w:hAnsi="Times New Roman" w:cs="Times New Roman" w:eastAsia="Times New Roman" w:hint="default"/>
          <w:spacing w:val="-2"/>
        </w:rPr>
        <w:t>43</w:t>
      </w:r>
      <w:r>
        <w:rPr>
          <w:spacing w:val="-2"/>
        </w:rPr>
        <w:t>项，新增实用新型专利</w:t>
      </w:r>
      <w:r>
        <w:rPr>
          <w:rFonts w:ascii="Times New Roman" w:hAnsi="Times New Roman" w:cs="Times New Roman" w:eastAsia="Times New Roman" w:hint="default"/>
          <w:spacing w:val="-2"/>
        </w:rPr>
        <w:t>5</w:t>
      </w:r>
      <w:r>
        <w:rPr>
          <w:spacing w:val="-2"/>
        </w:rPr>
        <w:t>项，新增申请发明专利</w:t>
      </w:r>
      <w:r>
        <w:rPr>
          <w:rFonts w:ascii="Times New Roman" w:hAnsi="Times New Roman" w:cs="Times New Roman" w:eastAsia="Times New Roman" w:hint="default"/>
          <w:spacing w:val="-2"/>
        </w:rPr>
        <w:t>12</w:t>
      </w:r>
      <w:r>
        <w:rPr>
          <w:spacing w:val="-2"/>
        </w:rPr>
        <w:t>项（其中</w:t>
      </w:r>
      <w:r>
        <w:rPr>
          <w:rFonts w:ascii="Times New Roman" w:hAnsi="Times New Roman" w:cs="Times New Roman" w:eastAsia="Times New Roman" w:hint="default"/>
          <w:spacing w:val="-2"/>
        </w:rPr>
        <w:t>10</w:t>
      </w:r>
      <w:r>
        <w:rPr>
          <w:spacing w:val="-2"/>
        </w:rPr>
        <w:t>项已进入</w:t>
      </w:r>
      <w:r>
        <w:rPr>
          <w:spacing w:val="-62"/>
        </w:rPr>
        <w:t> </w:t>
      </w:r>
      <w:r>
        <w:rPr>
          <w:spacing w:val="-62"/>
        </w:rPr>
      </w:r>
      <w:r>
        <w:rPr/>
        <w:t>实质审查阶段），新增申请实用新型专利</w:t>
      </w:r>
      <w:r>
        <w:rPr>
          <w:rFonts w:ascii="Times New Roman" w:hAnsi="Times New Roman" w:cs="Times New Roman" w:eastAsia="Times New Roman" w:hint="default"/>
        </w:rPr>
        <w:t>6</w:t>
      </w:r>
      <w:r>
        <w:rPr/>
        <w:t>项（其中</w:t>
      </w:r>
      <w:r>
        <w:rPr>
          <w:rFonts w:ascii="Times New Roman" w:hAnsi="Times New Roman" w:cs="Times New Roman" w:eastAsia="Times New Roman" w:hint="default"/>
        </w:rPr>
        <w:t>3</w:t>
      </w:r>
      <w:r>
        <w:rPr/>
        <w:t>项已获批）。</w:t>
      </w:r>
    </w:p>
    <w:p>
      <w:pPr>
        <w:pStyle w:val="BodyText"/>
        <w:spacing w:line="300" w:lineRule="auto" w:before="13"/>
        <w:ind w:left="514" w:right="0" w:firstLine="1"/>
        <w:jc w:val="left"/>
      </w:pPr>
      <w:r>
        <w:rPr>
          <w:rFonts w:ascii="Times New Roman" w:hAnsi="Times New Roman" w:cs="Times New Roman" w:eastAsia="Times New Roman" w:hint="default"/>
          <w:b/>
          <w:bCs/>
        </w:rPr>
        <w:t>2</w:t>
      </w:r>
      <w:r>
        <w:rPr>
          <w:rFonts w:ascii="宋体" w:hAnsi="宋体" w:cs="宋体" w:eastAsia="宋体" w:hint="default"/>
          <w:b/>
          <w:bCs/>
        </w:rPr>
        <w:t>、独特的经营管理模式</w:t>
      </w:r>
      <w:r>
        <w:rPr>
          <w:rFonts w:ascii="宋体" w:hAnsi="宋体" w:cs="宋体" w:eastAsia="宋体" w:hint="default"/>
          <w:b/>
          <w:bCs/>
          <w:w w:val="99"/>
        </w:rPr>
        <w:t> </w:t>
      </w:r>
      <w:r>
        <w:rPr>
          <w:spacing w:val="-2"/>
        </w:rPr>
        <w:t>公司采用</w:t>
      </w:r>
      <w:r>
        <w:rPr>
          <w:rFonts w:ascii="Times New Roman" w:hAnsi="Times New Roman" w:cs="Times New Roman" w:eastAsia="Times New Roman" w:hint="default"/>
          <w:spacing w:val="-2"/>
        </w:rPr>
        <w:t>“</w:t>
      </w:r>
      <w:r>
        <w:rPr>
          <w:spacing w:val="-2"/>
        </w:rPr>
        <w:t>阿米巴</w:t>
      </w:r>
      <w:r>
        <w:rPr>
          <w:rFonts w:ascii="Times New Roman" w:hAnsi="Times New Roman" w:cs="Times New Roman" w:eastAsia="Times New Roman" w:hint="default"/>
          <w:spacing w:val="-2"/>
        </w:rPr>
        <w:t>”</w:t>
      </w:r>
      <w:r>
        <w:rPr>
          <w:spacing w:val="-2"/>
        </w:rPr>
        <w:t>经营模式：即按照公司业务领域划分经营单位，每个经营单位均具有一定的自主能力。阿米巴经营模</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式保障了公司在统一管理下，实现全员参与经营、自上而下和自下而上的整合，形成了令行禁止的快速执行力和推动力。同</w:t>
      </w:r>
      <w:r>
        <w:rPr>
          <w:spacing w:val="-66"/>
        </w:rPr>
        <w:t> </w:t>
      </w:r>
      <w:r>
        <w:rPr>
          <w:spacing w:val="-66"/>
        </w:rPr>
      </w:r>
      <w:r>
        <w:rPr/>
        <w:t>时，也帮助公司挑选并培养出了一批优秀的中层管理者，提升了公司的整体实力。</w:t>
      </w:r>
    </w:p>
    <w:p>
      <w:pPr>
        <w:pStyle w:val="BodyText"/>
        <w:spacing w:line="300" w:lineRule="auto" w:before="19"/>
        <w:ind w:left="514" w:right="0" w:firstLine="1"/>
        <w:jc w:val="left"/>
      </w:pPr>
      <w:r>
        <w:rPr>
          <w:rFonts w:ascii="Times New Roman" w:hAnsi="Times New Roman" w:cs="Times New Roman" w:eastAsia="Times New Roman" w:hint="default"/>
          <w:b/>
          <w:bCs/>
        </w:rPr>
        <w:t>3</w:t>
      </w:r>
      <w:r>
        <w:rPr>
          <w:rFonts w:ascii="宋体" w:hAnsi="宋体" w:cs="宋体" w:eastAsia="宋体" w:hint="default"/>
          <w:b/>
          <w:bCs/>
        </w:rPr>
        <w:t>、高素质的人才团队</w:t>
      </w:r>
      <w:r>
        <w:rPr>
          <w:rFonts w:ascii="宋体" w:hAnsi="宋体" w:cs="宋体" w:eastAsia="宋体" w:hint="default"/>
          <w:b/>
          <w:bCs/>
          <w:w w:val="99"/>
        </w:rPr>
        <w:t> </w:t>
      </w:r>
      <w:r>
        <w:rPr>
          <w:spacing w:val="-2"/>
        </w:rPr>
        <w:t>公司从成立至今一直注重核心研发团队的建设及各专业人才梯队的培养，目前已经形成了一支结构合理的高素质人才团</w:t>
      </w:r>
    </w:p>
    <w:p>
      <w:pPr>
        <w:pStyle w:val="BodyText"/>
        <w:spacing w:line="240" w:lineRule="auto" w:before="32"/>
        <w:ind w:right="0"/>
        <w:jc w:val="left"/>
      </w:pPr>
      <w:r>
        <w:rPr/>
        <w:t>队。</w:t>
      </w:r>
    </w:p>
    <w:p>
      <w:pPr>
        <w:pStyle w:val="BodyText"/>
        <w:spacing w:line="316" w:lineRule="auto" w:before="76"/>
        <w:ind w:right="0" w:firstLine="360"/>
        <w:jc w:val="left"/>
      </w:pPr>
      <w:r>
        <w:rPr>
          <w:spacing w:val="-2"/>
        </w:rPr>
        <w:t>公司核心研发及管理团队由多名教授、副教授、高工和资深专业人士组成，成员均具备十年以上的业务与管理经验，对</w:t>
      </w:r>
      <w:r>
        <w:rPr/>
        <w:t> 行业技术前沿及发展动态有着清晰的认知，能够及时根据行业发展趋势调整公司研发重心及战略发展布局。</w:t>
      </w:r>
    </w:p>
    <w:p>
      <w:pPr>
        <w:pStyle w:val="BodyText"/>
        <w:spacing w:line="307" w:lineRule="auto" w:before="19"/>
        <w:ind w:right="1132" w:firstLine="360"/>
        <w:jc w:val="both"/>
      </w:pPr>
      <w:r>
        <w:rPr>
          <w:spacing w:val="-2"/>
        </w:rPr>
        <w:t>公司努力营造优良的技术创新环境，通过一系列的制度建设及激励措施，打造人才成长沃土，培养了一大批技术骨干及</w:t>
      </w:r>
      <w:r>
        <w:rPr/>
        <w:t> </w:t>
      </w:r>
      <w:r>
        <w:rPr>
          <w:spacing w:val="-2"/>
        </w:rPr>
        <w:t>优秀科研人才，其中包括多名高级程序员、信息系统分析师、信息系统架构师、信息系统项目管理师、微软</w:t>
      </w:r>
      <w:r>
        <w:rPr>
          <w:rFonts w:ascii="Times New Roman" w:hAnsi="Times New Roman" w:cs="Times New Roman" w:eastAsia="Times New Roman" w:hint="default"/>
          <w:spacing w:val="-2"/>
        </w:rPr>
        <w:t>ORACLE</w:t>
      </w:r>
      <w:r>
        <w:rPr>
          <w:spacing w:val="-2"/>
        </w:rPr>
        <w:t>认证专</w:t>
      </w:r>
      <w:r>
        <w:rPr>
          <w:spacing w:val="-64"/>
        </w:rPr>
        <w:t> </w:t>
      </w:r>
      <w:r>
        <w:rPr/>
        <w:t>家（</w:t>
      </w:r>
      <w:r>
        <w:rPr>
          <w:rFonts w:ascii="Times New Roman" w:hAnsi="Times New Roman" w:cs="Times New Roman" w:eastAsia="Times New Roman" w:hint="default"/>
        </w:rPr>
        <w:t>DBA</w:t>
      </w:r>
      <w:r>
        <w:rPr/>
        <w:t>）、</w:t>
      </w:r>
      <w:r>
        <w:rPr>
          <w:rFonts w:ascii="Times New Roman" w:hAnsi="Times New Roman" w:cs="Times New Roman" w:eastAsia="Times New Roman" w:hint="default"/>
        </w:rPr>
        <w:t>CISCO</w:t>
      </w:r>
      <w:r>
        <w:rPr/>
        <w:t>认证工程师等，完善的人才培养机制及丰富的人才储备既是公司研发实力的基础，也是公司市场竞争</w:t>
      </w:r>
      <w:r>
        <w:rPr>
          <w:spacing w:val="-19"/>
        </w:rPr>
        <w:t> </w:t>
      </w:r>
      <w:r>
        <w:rPr>
          <w:spacing w:val="-19"/>
        </w:rPr>
      </w:r>
      <w:r>
        <w:rPr/>
        <w:t>优势的源泉。</w:t>
      </w:r>
    </w:p>
    <w:p>
      <w:pPr>
        <w:pStyle w:val="BodyText"/>
        <w:spacing w:line="300" w:lineRule="auto" w:before="26"/>
        <w:ind w:left="514" w:right="0" w:firstLine="1"/>
        <w:jc w:val="left"/>
      </w:pPr>
      <w:r>
        <w:rPr>
          <w:rFonts w:ascii="Times New Roman" w:hAnsi="Times New Roman" w:cs="Times New Roman" w:eastAsia="Times New Roman" w:hint="default"/>
          <w:b/>
          <w:bCs/>
        </w:rPr>
        <w:t>4</w:t>
      </w:r>
      <w:r>
        <w:rPr>
          <w:rFonts w:ascii="宋体" w:hAnsi="宋体" w:cs="宋体" w:eastAsia="宋体" w:hint="default"/>
          <w:b/>
          <w:bCs/>
        </w:rPr>
        <w:t>、深厚的行业积累</w:t>
      </w:r>
      <w:r>
        <w:rPr>
          <w:rFonts w:ascii="宋体" w:hAnsi="宋体" w:cs="宋体" w:eastAsia="宋体" w:hint="default"/>
          <w:b/>
          <w:bCs/>
          <w:w w:val="99"/>
        </w:rPr>
        <w:t> </w:t>
      </w:r>
      <w:r>
        <w:rPr>
          <w:spacing w:val="-2"/>
        </w:rPr>
        <w:t>公司长期专注于为政企客户提供信息化综合解决方案，主要服务对象为国内政府机关、事业单位、电信运营商及各类行</w:t>
      </w:r>
    </w:p>
    <w:p>
      <w:pPr>
        <w:pStyle w:val="BodyText"/>
        <w:spacing w:line="316" w:lineRule="auto" w:before="31"/>
        <w:ind w:right="1032"/>
        <w:jc w:val="left"/>
      </w:pPr>
      <w:r>
        <w:rPr/>
        <w:t>业大中型企业等。公司业务已涉及全国二十多个省份，为国家部委、省、市、县等各级单位数千家客户提供了优质的服务， </w:t>
      </w:r>
      <w:r>
        <w:rPr>
          <w:spacing w:val="-2"/>
        </w:rPr>
        <w:t>涉及公安、财税、教育、医疗、电信、玻璃、铁路、建筑、制造等多个行业领域，并与多个行业领域龙头企业建立了长期合</w:t>
      </w:r>
      <w:r>
        <w:rPr>
          <w:spacing w:val="-69"/>
        </w:rPr>
        <w:t> </w:t>
      </w:r>
      <w:r>
        <w:rPr>
          <w:spacing w:val="-69"/>
        </w:rPr>
      </w:r>
      <w:r>
        <w:rPr>
          <w:spacing w:val="-4"/>
        </w:rPr>
        <w:t>作关系。二十余年深厚的行业积累，使公司拥有了丰富的项目实施经验与客户资源，不仅有利于公司客户结构的进一步优化，</w:t>
      </w:r>
      <w:r>
        <w:rPr>
          <w:spacing w:val="-44"/>
        </w:rPr>
        <w:t> </w:t>
      </w:r>
      <w:r>
        <w:rPr>
          <w:spacing w:val="-44"/>
        </w:rPr>
      </w:r>
      <w:r>
        <w:rPr/>
        <w:t>也为公司跨地域跨行业的市场拓展奠定了基础。</w:t>
      </w:r>
    </w:p>
    <w:p>
      <w:pPr>
        <w:pStyle w:val="BodyText"/>
        <w:spacing w:line="300" w:lineRule="auto" w:before="19"/>
        <w:ind w:left="514" w:right="0" w:firstLine="1"/>
        <w:jc w:val="left"/>
      </w:pPr>
      <w:r>
        <w:rPr>
          <w:rFonts w:ascii="Times New Roman" w:hAnsi="Times New Roman" w:cs="Times New Roman" w:eastAsia="Times New Roman" w:hint="default"/>
          <w:b/>
          <w:bCs/>
        </w:rPr>
        <w:t>5</w:t>
      </w:r>
      <w:r>
        <w:rPr>
          <w:rFonts w:ascii="宋体" w:hAnsi="宋体" w:cs="宋体" w:eastAsia="宋体" w:hint="default"/>
          <w:b/>
          <w:bCs/>
        </w:rPr>
        <w:t>、客户至上的特色服务</w:t>
      </w:r>
      <w:r>
        <w:rPr>
          <w:rFonts w:ascii="宋体" w:hAnsi="宋体" w:cs="宋体" w:eastAsia="宋体" w:hint="default"/>
          <w:b/>
          <w:bCs/>
          <w:w w:val="99"/>
        </w:rPr>
        <w:t> </w:t>
      </w:r>
      <w:r>
        <w:rPr>
          <w:spacing w:val="-2"/>
        </w:rPr>
        <w:t>打造有核心竞争力的交付体系和服务体系，为客户提供高品质、可靠的特色服务是科创信息一贯的追求。公司通过与政</w:t>
      </w:r>
    </w:p>
    <w:p>
      <w:pPr>
        <w:pStyle w:val="BodyText"/>
        <w:spacing w:line="316" w:lineRule="auto" w:before="31"/>
        <w:ind w:right="0"/>
        <w:jc w:val="left"/>
      </w:pPr>
      <w:r>
        <w:rPr>
          <w:spacing w:val="-2"/>
        </w:rPr>
        <w:t>企客户多年的长期合作，形成了针对不同客户的服务流程优势。这套流程包括客户的前期需求挖掘和需求分析、中期的项目</w:t>
      </w:r>
      <w:r>
        <w:rPr>
          <w:spacing w:val="-66"/>
        </w:rPr>
        <w:t> </w:t>
      </w:r>
      <w:r>
        <w:rPr>
          <w:spacing w:val="-66"/>
        </w:rPr>
      </w:r>
      <w:r>
        <w:rPr/>
        <w:t>实施和持续改善以及后期的</w:t>
      </w:r>
      <w:r>
        <w:rPr>
          <w:rFonts w:ascii="Times New Roman" w:hAnsi="Times New Roman" w:cs="Times New Roman" w:eastAsia="Times New Roman" w:hint="default"/>
        </w:rPr>
        <w:t>IT</w:t>
      </w:r>
      <w:r>
        <w:rPr/>
        <w:t>运维，将项目流程与服务流程进行无缝对接。</w:t>
      </w:r>
    </w:p>
    <w:p>
      <w:pPr>
        <w:pStyle w:val="BodyText"/>
        <w:spacing w:line="304" w:lineRule="auto"/>
        <w:ind w:right="1032" w:firstLine="360"/>
        <w:jc w:val="left"/>
      </w:pPr>
      <w:r>
        <w:rPr>
          <w:spacing w:val="-2"/>
        </w:rPr>
        <w:t>公司建立了完善的质量管理体系和客户服务流程。公司秉承</w:t>
      </w:r>
      <w:r>
        <w:rPr>
          <w:rFonts w:ascii="Times New Roman" w:hAnsi="Times New Roman" w:cs="Times New Roman" w:eastAsia="Times New Roman" w:hint="default"/>
          <w:spacing w:val="-2"/>
        </w:rPr>
        <w:t>“</w:t>
      </w:r>
      <w:r>
        <w:rPr>
          <w:spacing w:val="-2"/>
        </w:rPr>
        <w:t>同一客户，同一质量问题，服务一次必须解决</w:t>
      </w:r>
      <w:r>
        <w:rPr>
          <w:rFonts w:ascii="Times New Roman" w:hAnsi="Times New Roman" w:cs="Times New Roman" w:eastAsia="Times New Roman" w:hint="default"/>
          <w:spacing w:val="-2"/>
        </w:rPr>
        <w:t>”</w:t>
      </w:r>
      <w:r>
        <w:rPr>
          <w:spacing w:val="-2"/>
        </w:rPr>
        <w:t>的服务质量</w:t>
      </w:r>
      <w:r>
        <w:rPr/>
        <w:t> 目标承诺，为客户提供</w:t>
      </w:r>
      <w:r>
        <w:rPr>
          <w:rFonts w:ascii="Times New Roman" w:hAnsi="Times New Roman" w:cs="Times New Roman" w:eastAsia="Times New Roman" w:hint="default"/>
        </w:rPr>
        <w:t>7*24</w:t>
      </w:r>
      <w:r>
        <w:rPr/>
        <w:t>小时热线咨询和故障响应（含法定节假日），工程师在接到故障报告后</w:t>
      </w:r>
      <w:r>
        <w:rPr>
          <w:rFonts w:ascii="Times New Roman" w:hAnsi="Times New Roman" w:cs="Times New Roman" w:eastAsia="Times New Roman" w:hint="default"/>
        </w:rPr>
        <w:t>2</w:t>
      </w:r>
      <w:r>
        <w:rPr/>
        <w:t>小时内做出响应，现场</w:t>
      </w:r>
      <w:r>
        <w:rPr>
          <w:spacing w:val="-82"/>
        </w:rPr>
        <w:t> </w:t>
      </w:r>
      <w:r>
        <w:rPr>
          <w:spacing w:val="-82"/>
        </w:rPr>
      </w:r>
      <w:r>
        <w:rPr>
          <w:spacing w:val="-2"/>
        </w:rPr>
        <w:t>服务的工程师须在</w:t>
      </w:r>
      <w:r>
        <w:rPr>
          <w:rFonts w:ascii="Times New Roman" w:hAnsi="Times New Roman" w:cs="Times New Roman" w:eastAsia="Times New Roman" w:hint="default"/>
          <w:spacing w:val="-2"/>
        </w:rPr>
        <w:t>12</w:t>
      </w:r>
      <w:r>
        <w:rPr>
          <w:spacing w:val="-2"/>
        </w:rPr>
        <w:t>小时内赶赴现场，一般性故障修复时间不超过</w:t>
      </w:r>
      <w:r>
        <w:rPr>
          <w:rFonts w:ascii="Times New Roman" w:hAnsi="Times New Roman" w:cs="Times New Roman" w:eastAsia="Times New Roman" w:hint="default"/>
          <w:spacing w:val="-2"/>
        </w:rPr>
        <w:t>12</w:t>
      </w:r>
      <w:r>
        <w:rPr>
          <w:spacing w:val="-2"/>
        </w:rPr>
        <w:t>个小时，严重故障修复时间不超过一个工作日，为客户</w:t>
      </w:r>
      <w:r>
        <w:rPr>
          <w:spacing w:val="-62"/>
        </w:rPr>
        <w:t> </w:t>
      </w:r>
      <w:r>
        <w:rPr>
          <w:spacing w:val="-62"/>
        </w:rPr>
      </w:r>
      <w:r>
        <w:rPr/>
        <w:t>提供包括预防性维护、热线电话及邮件技术支持服务、远程诊断、现场支持服务、紧急恢复服务、故障件服务、巡检服务、 例行工作会议服务等多种方式在内的售后服务。</w:t>
      </w:r>
    </w:p>
    <w:p>
      <w:pPr>
        <w:pStyle w:val="BodyText"/>
        <w:spacing w:line="316" w:lineRule="auto" w:before="28"/>
        <w:ind w:right="1130" w:firstLine="360"/>
        <w:jc w:val="both"/>
      </w:pPr>
      <w:r>
        <w:rPr>
          <w:spacing w:val="-2"/>
        </w:rPr>
        <w:t>公司奉行本地化服务原则，在项目所在地设立本地化的服务团队，根据客户需求进行产品改进和技术升级，为客户制定</w:t>
      </w:r>
      <w:r>
        <w:rPr/>
        <w:t> </w:t>
      </w:r>
      <w:r>
        <w:rPr>
          <w:spacing w:val="-2"/>
        </w:rPr>
        <w:t>个性化的支持服务方案，包括专人支持、专设流程、专有管理系统、专有升级渠道、专有技术资料等。客户至上的特色服务</w:t>
      </w:r>
      <w:r>
        <w:rPr>
          <w:spacing w:val="-68"/>
        </w:rPr>
        <w:t> </w:t>
      </w:r>
      <w:r>
        <w:rPr>
          <w:spacing w:val="-68"/>
        </w:rPr>
      </w:r>
      <w:r>
        <w:rPr/>
        <w:t>为公司赢得了客户口碑，获得了越来越多的用户信赖。</w:t>
      </w:r>
    </w:p>
    <w:p>
      <w:pPr>
        <w:pStyle w:val="BodyText"/>
        <w:spacing w:line="300" w:lineRule="auto" w:before="19"/>
        <w:ind w:left="514" w:right="1122" w:firstLine="1"/>
        <w:jc w:val="left"/>
      </w:pPr>
      <w:r>
        <w:rPr>
          <w:rFonts w:ascii="Times New Roman" w:hAnsi="Times New Roman" w:cs="Times New Roman" w:eastAsia="Times New Roman" w:hint="default"/>
          <w:b/>
          <w:bCs/>
        </w:rPr>
        <w:t>6</w:t>
      </w:r>
      <w:r>
        <w:rPr>
          <w:rFonts w:ascii="宋体" w:hAnsi="宋体" w:cs="宋体" w:eastAsia="宋体" w:hint="default"/>
          <w:b/>
          <w:bCs/>
        </w:rPr>
        <w:t>、齐全的资质</w:t>
      </w:r>
      <w:r>
        <w:rPr>
          <w:rFonts w:ascii="宋体" w:hAnsi="宋体" w:cs="宋体" w:eastAsia="宋体" w:hint="default"/>
          <w:b/>
          <w:bCs/>
          <w:w w:val="99"/>
        </w:rPr>
        <w:t> </w:t>
      </w:r>
      <w:r>
        <w:rPr/>
        <w:t>经过多年的研发投入及经验积累，公司目前已拥有了</w:t>
      </w:r>
      <w:r>
        <w:rPr>
          <w:rFonts w:ascii="Times New Roman" w:hAnsi="Times New Roman" w:cs="Times New Roman" w:eastAsia="Times New Roman" w:hint="default"/>
        </w:rPr>
        <w:t>“CMMI5</w:t>
      </w:r>
      <w:r>
        <w:rPr/>
        <w:t>认证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信息系统集成及服务资质（壹级）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声频工程</w:t>
      </w:r>
    </w:p>
    <w:p>
      <w:pPr>
        <w:pStyle w:val="BodyText"/>
        <w:spacing w:line="309" w:lineRule="auto" w:before="13"/>
        <w:ind w:right="1131"/>
        <w:jc w:val="both"/>
      </w:pPr>
      <w:r>
        <w:rPr/>
        <w:t>企业综合技术登记证书（壹级）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建筑智能化工程专业承包证书（壹级）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测绘资质证书乙级</w:t>
      </w:r>
      <w:r>
        <w:rPr>
          <w:rFonts w:ascii="Times New Roman" w:hAnsi="Times New Roman" w:cs="Times New Roman" w:eastAsia="Times New Roman" w:hint="default"/>
        </w:rPr>
        <w:t>”</w:t>
      </w:r>
      <w:r>
        <w:rPr/>
        <w:t>等多项资质。行业后进</w:t>
      </w:r>
      <w:r>
        <w:rPr>
          <w:spacing w:val="-41"/>
        </w:rPr>
        <w:t> </w:t>
      </w:r>
      <w:r>
        <w:rPr>
          <w:spacing w:val="-41"/>
        </w:rPr>
      </w:r>
      <w:r>
        <w:rPr>
          <w:spacing w:val="-2"/>
        </w:rPr>
        <w:t>入者欲取得上述资质，需要较长的经验积累及持续改进周期。上述资质的取得，既是公司承接各类相关业务的先决条件，也</w:t>
      </w:r>
      <w:r>
        <w:rPr>
          <w:spacing w:val="-66"/>
        </w:rPr>
        <w:t> </w:t>
      </w:r>
      <w:r>
        <w:rPr>
          <w:spacing w:val="-66"/>
        </w:rPr>
      </w:r>
      <w:r>
        <w:rPr/>
        <w:t>是公司整体实力的体现。</w:t>
      </w:r>
    </w:p>
    <w:p>
      <w:pPr>
        <w:pStyle w:val="BodyText"/>
        <w:spacing w:line="312" w:lineRule="auto" w:before="24"/>
        <w:ind w:right="0" w:firstLine="361"/>
        <w:jc w:val="left"/>
      </w:pPr>
      <w:r>
        <w:rPr>
          <w:rFonts w:ascii="Times New Roman" w:hAnsi="Times New Roman" w:cs="Times New Roman" w:eastAsia="Times New Roman" w:hint="default"/>
          <w:b/>
          <w:bCs/>
        </w:rPr>
        <w:t>7</w:t>
      </w:r>
      <w:r>
        <w:rPr>
          <w:rFonts w:ascii="宋体" w:hAnsi="宋体" w:cs="宋体" w:eastAsia="宋体" w:hint="default"/>
          <w:b/>
          <w:bCs/>
        </w:rPr>
        <w:t>、良好的品牌形象</w:t>
      </w:r>
      <w:r>
        <w:rPr>
          <w:rFonts w:ascii="宋体" w:hAnsi="宋体" w:cs="宋体" w:eastAsia="宋体" w:hint="default"/>
          <w:b/>
          <w:bCs/>
          <w:w w:val="99"/>
        </w:rPr>
        <w:t> </w:t>
      </w:r>
      <w:r>
        <w:rPr>
          <w:spacing w:val="-2"/>
        </w:rPr>
        <w:t>品牌是决定市场竞争胜负的关键，是企业的无形资产。同湖南省内本土可比公司相较，公司在业务规模、历史项目经验、业</w:t>
      </w:r>
      <w:r>
        <w:rPr>
          <w:spacing w:val="-66"/>
        </w:rPr>
        <w:t> </w:t>
      </w:r>
      <w:r>
        <w:rPr>
          <w:spacing w:val="-66"/>
        </w:rPr>
      </w:r>
      <w:r>
        <w:rPr>
          <w:spacing w:val="-2"/>
        </w:rPr>
        <w:t>务承接能力上具有领先优势。公司通过多次承接省内重大省级项目，并凭借自身深厚的技术实力和优质的客户服务，赢得了</w:t>
      </w:r>
      <w:r>
        <w:rPr>
          <w:spacing w:val="-66"/>
        </w:rPr>
        <w:t> </w:t>
      </w:r>
      <w:r>
        <w:rPr>
          <w:spacing w:val="-66"/>
        </w:rPr>
      </w:r>
      <w:r>
        <w:rPr/>
        <w:t>众多客户的信赖和支持，形成了良好的品牌效应。</w:t>
      </w:r>
    </w:p>
    <w:p>
      <w:pPr>
        <w:spacing w:after="0" w:line="31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_TOC_250008" w:id="22"/>
      <w:bookmarkStart w:name="第四节 经营情况讨论与分析" w:id="23"/>
      <w:r>
        <w:rPr>
          <w:b w:val="0"/>
          <w:bCs w:val="0"/>
        </w:rPr>
      </w:r>
      <w:r>
        <w:rPr/>
        <w:t>第四节</w:t>
      </w:r>
      <w:r>
        <w:rPr>
          <w:spacing w:val="-10"/>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50" w:firstLine="420"/>
        <w:jc w:val="both"/>
      </w:pPr>
      <w:r>
        <w:rPr>
          <w:rFonts w:ascii="Times New Roman" w:hAnsi="Times New Roman" w:cs="Times New Roman" w:eastAsia="Times New Roman" w:hint="default"/>
        </w:rPr>
        <w:t>2018</w:t>
      </w:r>
      <w:r>
        <w:rPr/>
        <w:t>年度，公司传统业务与创新业务齐头并进，以创新为基础，市场需求为导向，通过以智慧政务、智慧企业解决方 案开发和销售为核心的内涵式发展和以产业链合作为代表的外延式发展相结合，不断提高传统业务的盈利率和市场占有率。</w:t>
      </w:r>
    </w:p>
    <w:p>
      <w:pPr>
        <w:pStyle w:val="BodyText"/>
        <w:spacing w:line="240" w:lineRule="auto" w:before="31"/>
        <w:ind w:left="514" w:right="0"/>
        <w:jc w:val="left"/>
        <w:rPr>
          <w:rFonts w:ascii="Times New Roman" w:hAnsi="Times New Roman" w:cs="Times New Roman" w:eastAsia="Times New Roman" w:hint="default"/>
        </w:rPr>
      </w:pPr>
      <w:r>
        <w:rPr/>
        <w:t>报告期内</w:t>
      </w:r>
      <w:r>
        <w:rPr>
          <w:spacing w:val="-85"/>
        </w:rPr>
        <w:t>，</w:t>
      </w:r>
      <w:r>
        <w:rPr/>
        <w:t>公司实现营业收入</w:t>
      </w:r>
      <w:r>
        <w:rPr>
          <w:rFonts w:ascii="Times New Roman" w:hAnsi="Times New Roman" w:cs="Times New Roman" w:eastAsia="Times New Roman" w:hint="default"/>
        </w:rPr>
        <w:t>33,260.44</w:t>
      </w:r>
      <w:r>
        <w:rPr/>
        <w:t>万元</w:t>
      </w:r>
      <w:r>
        <w:rPr>
          <w:spacing w:val="-86"/>
        </w:rPr>
        <w:t>，</w:t>
      </w:r>
      <w:r>
        <w:rPr/>
        <w:t>同比增长</w:t>
      </w:r>
      <w:r>
        <w:rPr>
          <w:rFonts w:ascii="Times New Roman" w:hAnsi="Times New Roman" w:cs="Times New Roman" w:eastAsia="Times New Roman" w:hint="default"/>
        </w:rPr>
        <w:t>8.19</w:t>
      </w:r>
      <w:r>
        <w:rPr>
          <w:rFonts w:ascii="Times New Roman" w:hAnsi="Times New Roman" w:cs="Times New Roman" w:eastAsia="Times New Roman" w:hint="default"/>
          <w:spacing w:val="-1"/>
        </w:rPr>
        <w:t>%</w:t>
      </w:r>
      <w:r>
        <w:rPr>
          <w:spacing w:val="-85"/>
        </w:rPr>
        <w:t>；</w:t>
      </w:r>
      <w:r>
        <w:rPr/>
        <w:t>营业利润</w:t>
      </w:r>
      <w:r>
        <w:rPr>
          <w:rFonts w:ascii="Times New Roman" w:hAnsi="Times New Roman" w:cs="Times New Roman" w:eastAsia="Times New Roman" w:hint="default"/>
        </w:rPr>
        <w:t>3,943.07</w:t>
      </w:r>
      <w:r>
        <w:rPr/>
        <w:t>万元</w:t>
      </w:r>
      <w:r>
        <w:rPr>
          <w:spacing w:val="-85"/>
        </w:rPr>
        <w:t>，</w:t>
      </w:r>
      <w:r>
        <w:rPr/>
        <w:t>同比下降</w:t>
      </w:r>
      <w:r>
        <w:rPr>
          <w:rFonts w:ascii="Times New Roman" w:hAnsi="Times New Roman" w:cs="Times New Roman" w:eastAsia="Times New Roman" w:hint="default"/>
        </w:rPr>
        <w:t>18.85</w:t>
      </w:r>
      <w:r>
        <w:rPr>
          <w:rFonts w:ascii="Times New Roman" w:hAnsi="Times New Roman" w:cs="Times New Roman" w:eastAsia="Times New Roman" w:hint="default"/>
          <w:spacing w:val="-9"/>
        </w:rPr>
        <w:t> </w:t>
      </w:r>
      <w:r>
        <w:rPr>
          <w:rFonts w:ascii="Times New Roman" w:hAnsi="Times New Roman" w:cs="Times New Roman" w:eastAsia="Times New Roman" w:hint="default"/>
        </w:rPr>
        <w:t>%</w:t>
      </w:r>
      <w:r>
        <w:rPr>
          <w:spacing w:val="-85"/>
        </w:rPr>
        <w:t>；</w:t>
      </w:r>
      <w:r>
        <w:rPr/>
        <w:t>利润总额</w:t>
      </w:r>
      <w:r>
        <w:rPr>
          <w:rFonts w:ascii="Times New Roman" w:hAnsi="Times New Roman" w:cs="Times New Roman" w:eastAsia="Times New Roman" w:hint="default"/>
        </w:rPr>
        <w:t>3,980.83</w:t>
      </w:r>
    </w:p>
    <w:p>
      <w:pPr>
        <w:spacing w:line="309" w:lineRule="auto" w:before="63"/>
        <w:ind w:left="515" w:right="3973" w:hanging="362"/>
        <w:jc w:val="left"/>
        <w:rPr>
          <w:rFonts w:ascii="宋体" w:hAnsi="宋体" w:cs="宋体" w:eastAsia="宋体" w:hint="default"/>
          <w:sz w:val="18"/>
          <w:szCs w:val="18"/>
        </w:rPr>
      </w:pPr>
      <w:r>
        <w:rPr>
          <w:rFonts w:ascii="宋体" w:hAnsi="宋体" w:cs="宋体" w:eastAsia="宋体" w:hint="default"/>
          <w:sz w:val="18"/>
          <w:szCs w:val="18"/>
        </w:rPr>
        <w:t>万元，同比下降</w:t>
      </w:r>
      <w:r>
        <w:rPr>
          <w:rFonts w:ascii="Times New Roman" w:hAnsi="Times New Roman" w:cs="Times New Roman" w:eastAsia="Times New Roman" w:hint="default"/>
          <w:sz w:val="18"/>
          <w:szCs w:val="18"/>
        </w:rPr>
        <w:t>23.86%</w:t>
      </w:r>
      <w:r>
        <w:rPr>
          <w:rFonts w:ascii="宋体" w:hAnsi="宋体" w:cs="宋体" w:eastAsia="宋体" w:hint="default"/>
          <w:sz w:val="18"/>
          <w:szCs w:val="18"/>
        </w:rPr>
        <w:t>；归属于上市公司股东净利润</w:t>
      </w:r>
      <w:r>
        <w:rPr>
          <w:rFonts w:ascii="Times New Roman" w:hAnsi="Times New Roman" w:cs="Times New Roman" w:eastAsia="Times New Roman" w:hint="default"/>
          <w:sz w:val="18"/>
          <w:szCs w:val="18"/>
        </w:rPr>
        <w:t>3,511.15</w:t>
      </w:r>
      <w:r>
        <w:rPr>
          <w:rFonts w:ascii="宋体" w:hAnsi="宋体" w:cs="宋体" w:eastAsia="宋体" w:hint="default"/>
          <w:sz w:val="18"/>
          <w:szCs w:val="18"/>
        </w:rPr>
        <w:t>万元，同比下降</w:t>
      </w:r>
      <w:r>
        <w:rPr>
          <w:rFonts w:ascii="Times New Roman" w:hAnsi="Times New Roman" w:cs="Times New Roman" w:eastAsia="Times New Roman" w:hint="default"/>
          <w:sz w:val="18"/>
          <w:szCs w:val="18"/>
        </w:rPr>
        <w:t>21.09%</w:t>
      </w:r>
      <w:r>
        <w:rPr>
          <w:rFonts w:ascii="宋体" w:hAnsi="宋体" w:cs="宋体" w:eastAsia="宋体" w:hint="default"/>
          <w:sz w:val="18"/>
          <w:szCs w:val="18"/>
        </w:rPr>
        <w:t>。 </w:t>
      </w:r>
      <w:r>
        <w:rPr>
          <w:rFonts w:ascii="宋体" w:hAnsi="宋体" w:cs="宋体" w:eastAsia="宋体" w:hint="default"/>
          <w:b/>
          <w:bCs/>
          <w:sz w:val="18"/>
          <w:szCs w:val="18"/>
        </w:rPr>
        <w:t>报告期内，公司重点工作回顾：</w:t>
      </w:r>
      <w:r>
        <w:rPr>
          <w:rFonts w:ascii="宋体" w:hAnsi="宋体" w:cs="宋体" w:eastAsia="宋体" w:hint="default"/>
          <w:b/>
          <w:bCs/>
          <w:w w:val="99"/>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、优势引领智慧政务发展，区域市场始终主导并呈良好发展态势</w:t>
      </w:r>
      <w:r>
        <w:rPr>
          <w:rFonts w:ascii="宋体" w:hAnsi="宋体" w:cs="宋体" w:eastAsia="宋体" w:hint="default"/>
          <w:sz w:val="18"/>
          <w:szCs w:val="18"/>
        </w:rPr>
      </w:r>
    </w:p>
    <w:p>
      <w:pPr>
        <w:pStyle w:val="BodyText"/>
        <w:spacing w:line="300" w:lineRule="auto" w:before="5"/>
        <w:ind w:right="1185" w:firstLine="420"/>
        <w:jc w:val="both"/>
      </w:pPr>
      <w:r>
        <w:rPr/>
        <w:t>报告期内，</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网格化</w:t>
      </w:r>
      <w:r>
        <w:rPr>
          <w:rFonts w:ascii="Times New Roman" w:hAnsi="Times New Roman" w:cs="Times New Roman" w:eastAsia="Times New Roman" w:hint="default"/>
        </w:rPr>
        <w:t>+</w:t>
      </w:r>
      <w:r>
        <w:rPr/>
        <w:t>社会治理</w:t>
      </w:r>
      <w:r>
        <w:rPr>
          <w:rFonts w:ascii="Times New Roman" w:hAnsi="Times New Roman" w:cs="Times New Roman" w:eastAsia="Times New Roman" w:hint="default"/>
        </w:rPr>
        <w:t>”</w:t>
      </w:r>
      <w:r>
        <w:rPr/>
        <w:t>两大智慧政务核心业务占据区域市场主导地位，在区域市场的份 额不断扩大。</w:t>
      </w:r>
    </w:p>
    <w:p>
      <w:pPr>
        <w:pStyle w:val="BodyText"/>
        <w:spacing w:line="300" w:lineRule="auto" w:before="31"/>
        <w:ind w:right="1039" w:firstLine="420"/>
        <w:jc w:val="both"/>
      </w:pPr>
      <w:r>
        <w:rPr>
          <w:spacing w:val="-1"/>
        </w:rPr>
        <w:t>在</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政务服务</w:t>
      </w:r>
      <w:r>
        <w:rPr>
          <w:rFonts w:ascii="Times New Roman" w:hAnsi="Times New Roman" w:cs="Times New Roman" w:eastAsia="Times New Roman" w:hint="default"/>
          <w:spacing w:val="-1"/>
        </w:rPr>
        <w:t>”</w:t>
      </w:r>
      <w:r>
        <w:rPr>
          <w:spacing w:val="-1"/>
        </w:rPr>
        <w:t>领域，公司凭借</w:t>
      </w:r>
      <w:r>
        <w:rPr>
          <w:rFonts w:ascii="Times New Roman" w:hAnsi="Times New Roman" w:cs="Times New Roman" w:eastAsia="Times New Roman" w:hint="default"/>
          <w:spacing w:val="-1"/>
        </w:rPr>
        <w:t>“</w:t>
      </w:r>
      <w:r>
        <w:rPr>
          <w:spacing w:val="-1"/>
        </w:rPr>
        <w:t>湖南省政府互联网</w:t>
      </w:r>
      <w:r>
        <w:rPr>
          <w:rFonts w:ascii="Times New Roman" w:hAnsi="Times New Roman" w:cs="Times New Roman" w:eastAsia="Times New Roman" w:hint="default"/>
          <w:spacing w:val="-1"/>
        </w:rPr>
        <w:t>+</w:t>
      </w:r>
      <w:r>
        <w:rPr>
          <w:spacing w:val="-1"/>
        </w:rPr>
        <w:t>政务服务一体化平台建设</w:t>
      </w:r>
      <w:r>
        <w:rPr>
          <w:rFonts w:ascii="Times New Roman" w:hAnsi="Times New Roman" w:cs="Times New Roman" w:eastAsia="Times New Roman" w:hint="default"/>
          <w:spacing w:val="-1"/>
        </w:rPr>
        <w:t>”</w:t>
      </w:r>
      <w:r>
        <w:rPr>
          <w:spacing w:val="-1"/>
        </w:rPr>
        <w:t>项目的战略性布局，先后在长沙、</w:t>
      </w:r>
      <w:r>
        <w:rPr/>
        <w:t> 岳阳、浏阳、吉首、湘西州及望城区、华容县、蓝山县等近</w:t>
      </w:r>
      <w:r>
        <w:rPr>
          <w:rFonts w:ascii="Times New Roman" w:hAnsi="Times New Roman" w:cs="Times New Roman" w:eastAsia="Times New Roman" w:hint="default"/>
        </w:rPr>
        <w:t>30</w:t>
      </w:r>
      <w:r>
        <w:rPr/>
        <w:t>个地市区县成功推广。</w:t>
      </w:r>
    </w:p>
    <w:p>
      <w:pPr>
        <w:pStyle w:val="BodyText"/>
        <w:spacing w:line="300" w:lineRule="auto" w:before="13"/>
        <w:ind w:right="0" w:firstLine="420"/>
        <w:jc w:val="left"/>
      </w:pPr>
      <w:r>
        <w:rPr>
          <w:spacing w:val="-2"/>
        </w:rPr>
        <w:t>在</w:t>
      </w:r>
      <w:r>
        <w:rPr>
          <w:rFonts w:ascii="Times New Roman" w:hAnsi="Times New Roman" w:cs="Times New Roman" w:eastAsia="Times New Roman" w:hint="default"/>
          <w:spacing w:val="-2"/>
        </w:rPr>
        <w:t>“</w:t>
      </w:r>
      <w:r>
        <w:rPr>
          <w:spacing w:val="-2"/>
        </w:rPr>
        <w:t>网格化</w:t>
      </w:r>
      <w:r>
        <w:rPr>
          <w:rFonts w:ascii="Times New Roman" w:hAnsi="Times New Roman" w:cs="Times New Roman" w:eastAsia="Times New Roman" w:hint="default"/>
          <w:spacing w:val="-2"/>
        </w:rPr>
        <w:t>+</w:t>
      </w:r>
      <w:r>
        <w:rPr>
          <w:spacing w:val="-2"/>
        </w:rPr>
        <w:t>社会治理</w:t>
      </w:r>
      <w:r>
        <w:rPr>
          <w:rFonts w:ascii="Times New Roman" w:hAnsi="Times New Roman" w:cs="Times New Roman" w:eastAsia="Times New Roman" w:hint="default"/>
          <w:spacing w:val="-2"/>
        </w:rPr>
        <w:t>”</w:t>
      </w:r>
      <w:r>
        <w:rPr>
          <w:spacing w:val="-2"/>
        </w:rPr>
        <w:t>领域，公司继续以</w:t>
      </w:r>
      <w:r>
        <w:rPr>
          <w:rFonts w:ascii="Times New Roman" w:hAnsi="Times New Roman" w:cs="Times New Roman" w:eastAsia="Times New Roman" w:hint="default"/>
          <w:spacing w:val="-2"/>
        </w:rPr>
        <w:t>“1+N”</w:t>
      </w:r>
      <w:r>
        <w:rPr>
          <w:spacing w:val="-2"/>
        </w:rPr>
        <w:t>一体化建设的模式在地市级市场快速复制，在报告期内中标株洲、衡阳、</w:t>
      </w:r>
      <w:r>
        <w:rPr/>
        <w:t> 汨罗、临湘等地市网格化平台建设项目，并在全省范围内完成超过</w:t>
      </w:r>
      <w:r>
        <w:rPr>
          <w:rFonts w:ascii="Times New Roman" w:hAnsi="Times New Roman" w:cs="Times New Roman" w:eastAsia="Times New Roman" w:hint="default"/>
        </w:rPr>
        <w:t>60</w:t>
      </w:r>
      <w:r>
        <w:rPr/>
        <w:t>个市、区县的</w:t>
      </w:r>
      <w:r>
        <w:rPr>
          <w:rFonts w:ascii="Times New Roman" w:hAnsi="Times New Roman" w:cs="Times New Roman" w:eastAsia="Times New Roman" w:hint="default"/>
        </w:rPr>
        <w:t>“</w:t>
      </w:r>
      <w:r>
        <w:rPr/>
        <w:t>网格化</w:t>
      </w:r>
      <w:r>
        <w:rPr>
          <w:rFonts w:ascii="Times New Roman" w:hAnsi="Times New Roman" w:cs="Times New Roman" w:eastAsia="Times New Roman" w:hint="default"/>
        </w:rPr>
        <w:t>+</w:t>
      </w:r>
      <w:r>
        <w:rPr/>
        <w:t>社会治理</w:t>
      </w:r>
      <w:r>
        <w:rPr>
          <w:rFonts w:ascii="Times New Roman" w:hAnsi="Times New Roman" w:cs="Times New Roman" w:eastAsia="Times New Roman" w:hint="default"/>
        </w:rPr>
        <w:t>”</w:t>
      </w:r>
      <w:r>
        <w:rPr/>
        <w:t>平台推广工作，进一 步扩大了区域优势。公司新签合同额随着</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网格化</w:t>
      </w:r>
      <w:r>
        <w:rPr>
          <w:rFonts w:ascii="Times New Roman" w:hAnsi="Times New Roman" w:cs="Times New Roman" w:eastAsia="Times New Roman" w:hint="default"/>
        </w:rPr>
        <w:t>+</w:t>
      </w:r>
      <w:r>
        <w:rPr/>
        <w:t>社会治理</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两大智慧政务核心业务市场布局的推进 而获得较快增长，继续保持公司在区域市场中的主导地位。</w:t>
      </w:r>
    </w:p>
    <w:p>
      <w:pPr>
        <w:pStyle w:val="BodyText"/>
        <w:spacing w:line="309" w:lineRule="auto" w:before="31"/>
        <w:ind w:right="1131" w:firstLine="420"/>
        <w:jc w:val="both"/>
      </w:pPr>
      <w:r>
        <w:rPr/>
        <w:t>在自主可控领域，在刚刚开始的新一轮国产软件自主可控及信息安全产业链生态链上公司已经占领了有利地位，公司 </w:t>
      </w:r>
      <w:r>
        <w:rPr>
          <w:spacing w:val="-2"/>
        </w:rPr>
        <w:t>电子政务软件（公文传输、办公</w:t>
      </w:r>
      <w:r>
        <w:rPr>
          <w:rFonts w:ascii="Times New Roman" w:hAnsi="Times New Roman" w:cs="Times New Roman" w:eastAsia="Times New Roman" w:hint="default"/>
          <w:spacing w:val="-2"/>
        </w:rPr>
        <w:t>oa</w:t>
      </w:r>
      <w:r>
        <w:rPr>
          <w:spacing w:val="-2"/>
        </w:rPr>
        <w:t>等软件）均已列入湖南省和长沙市自主可控计算机及信息安全产业链上自主可控应用核心</w:t>
      </w:r>
      <w:r>
        <w:rPr>
          <w:spacing w:val="-52"/>
        </w:rPr>
        <w:t> </w:t>
      </w:r>
      <w:r>
        <w:rPr>
          <w:spacing w:val="-52"/>
        </w:rPr>
      </w:r>
      <w:r>
        <w:rPr/>
        <w:t>软件名单。</w:t>
      </w:r>
    </w:p>
    <w:p>
      <w:pPr>
        <w:pStyle w:val="BodyText"/>
        <w:spacing w:line="316" w:lineRule="auto" w:before="24"/>
        <w:ind w:right="1131" w:firstLine="420"/>
        <w:jc w:val="both"/>
      </w:pPr>
      <w:r>
        <w:rPr/>
        <w:t>报告期内，公司在大数据行业应用方面稳步向前，除在原有的医学大数据和市场监管大数据领域继续深耕，在交警、 </w:t>
      </w:r>
      <w:r>
        <w:rPr>
          <w:spacing w:val="-2"/>
        </w:rPr>
        <w:t>政务、教育、税务等行业也先后取得突破。公司承接了长沙市公安交警大情报平台、宁夏自治区市场监管局大数据监管平台</w:t>
      </w:r>
      <w:r>
        <w:rPr>
          <w:spacing w:val="-66"/>
        </w:rPr>
        <w:t> </w:t>
      </w:r>
      <w:r>
        <w:rPr>
          <w:spacing w:val="-66"/>
        </w:rPr>
      </w:r>
      <w:r>
        <w:rPr/>
        <w:t>项目、中南大学学工大数据、湖南税务大数据平台等项目，未来基于大数据的应用前景可期。</w:t>
      </w:r>
    </w:p>
    <w:p>
      <w:pPr>
        <w:spacing w:line="309" w:lineRule="auto" w:before="19"/>
        <w:ind w:left="514" w:right="1032"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、技术和模式创新双管齐下，智慧企业业务稳步增长</w:t>
      </w:r>
      <w:r>
        <w:rPr>
          <w:rFonts w:ascii="宋体" w:hAnsi="宋体" w:cs="宋体" w:eastAsia="宋体" w:hint="default"/>
          <w:b/>
          <w:bCs/>
          <w:w w:val="99"/>
          <w:sz w:val="18"/>
          <w:szCs w:val="18"/>
        </w:rPr>
        <w:t> </w:t>
      </w:r>
      <w:r>
        <w:rPr>
          <w:rFonts w:ascii="宋体" w:hAnsi="宋体" w:cs="宋体" w:eastAsia="宋体" w:hint="default"/>
          <w:sz w:val="18"/>
          <w:szCs w:val="18"/>
        </w:rPr>
        <w:t>报告期内，公司继续推动智慧企业业务的转型升级，技术创新引领、应用模式紧跟其后。 在技术创新方面，公司突破深加工玻璃检测领域的技术难点，首创国内重大技术装备：深加工玻璃在线质量检测系统，</w:t>
      </w:r>
    </w:p>
    <w:p>
      <w:pPr>
        <w:pStyle w:val="BodyText"/>
        <w:spacing w:line="316" w:lineRule="auto" w:before="24"/>
        <w:ind w:right="1130"/>
        <w:jc w:val="both"/>
      </w:pPr>
      <w:r>
        <w:rPr>
          <w:spacing w:val="-2"/>
        </w:rPr>
        <w:t>填补了国内的技术空白；继续强化云计算、大数据、人工智能技术的研发，推进新技术在企业业务中的应用，视频运营数据</w:t>
      </w:r>
      <w:r>
        <w:rPr>
          <w:spacing w:val="-66"/>
        </w:rPr>
        <w:t> </w:t>
      </w:r>
      <w:r>
        <w:rPr>
          <w:spacing w:val="-66"/>
        </w:rPr>
      </w:r>
      <w:r>
        <w:rPr>
          <w:spacing w:val="-2"/>
        </w:rPr>
        <w:t>平台为用户实时展现了在线视频的相关运营数据，包括用户订购、投诉、收入、用户画像、经营分析等数据，为精细化运营</w:t>
      </w:r>
      <w:r>
        <w:rPr>
          <w:spacing w:val="-68"/>
        </w:rPr>
        <w:t> </w:t>
      </w:r>
      <w:r>
        <w:rPr>
          <w:spacing w:val="-68"/>
        </w:rPr>
      </w:r>
      <w:r>
        <w:rPr/>
        <w:t>分析提供了数据保障，公司承建的联通在线视频运营大数据平台得到用户的高度评价。</w:t>
      </w:r>
    </w:p>
    <w:p>
      <w:pPr>
        <w:pStyle w:val="BodyText"/>
        <w:spacing w:line="309" w:lineRule="auto" w:before="19"/>
        <w:ind w:right="1130" w:firstLine="360"/>
        <w:jc w:val="both"/>
      </w:pPr>
      <w:r>
        <w:rPr>
          <w:spacing w:val="-2"/>
        </w:rPr>
        <w:t>在模式创新方面，将电子渠道业务的优势产品云化，依托公司云平台，由项目到服务的转变，将直播、移动办公、在线</w:t>
      </w:r>
      <w:r>
        <w:rPr/>
        <w:t> </w:t>
      </w:r>
      <w:r>
        <w:rPr>
          <w:spacing w:val="-2"/>
        </w:rPr>
        <w:t>客服部署至云上，进行</w:t>
      </w:r>
      <w:r>
        <w:rPr>
          <w:rFonts w:ascii="Times New Roman" w:hAnsi="Times New Roman" w:cs="Times New Roman" w:eastAsia="Times New Roman" w:hint="default"/>
          <w:spacing w:val="-2"/>
        </w:rPr>
        <w:t>SaaS</w:t>
      </w:r>
      <w:r>
        <w:rPr>
          <w:spacing w:val="-2"/>
        </w:rPr>
        <w:t>服务的推广，将优势项目拓展至云服务，为公司智慧企业业务带来新的增长点。此外，公司注重</w:t>
      </w:r>
      <w:r>
        <w:rPr>
          <w:spacing w:val="-63"/>
        </w:rPr>
        <w:t> </w:t>
      </w:r>
      <w:r>
        <w:rPr>
          <w:spacing w:val="-63"/>
        </w:rPr>
      </w:r>
      <w:r>
        <w:rPr/>
        <w:t>行业企业管理应用的行业积累，已在银行、物流等行业取得突破。</w:t>
      </w:r>
    </w:p>
    <w:p>
      <w:pPr>
        <w:spacing w:line="300" w:lineRule="auto" w:before="24"/>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、不断加大研发创新力度，推动公司技术实力增强</w:t>
      </w:r>
      <w:r>
        <w:rPr>
          <w:rFonts w:ascii="宋体" w:hAnsi="宋体" w:cs="宋体" w:eastAsia="宋体" w:hint="default"/>
          <w:b/>
          <w:bCs/>
          <w:w w:val="99"/>
          <w:sz w:val="18"/>
          <w:szCs w:val="18"/>
        </w:rPr>
        <w:t> </w:t>
      </w:r>
      <w:r>
        <w:rPr>
          <w:rFonts w:ascii="宋体" w:hAnsi="宋体" w:cs="宋体" w:eastAsia="宋体" w:hint="default"/>
          <w:spacing w:val="-2"/>
          <w:sz w:val="18"/>
          <w:szCs w:val="18"/>
        </w:rPr>
        <w:t>在技术研发上，公司不断加大科研投入，进行技术创新。报告期内，公司将基础软件研发中心升级为企业级研究院，下</w:t>
      </w:r>
    </w:p>
    <w:p>
      <w:pPr>
        <w:pStyle w:val="BodyText"/>
        <w:spacing w:line="304" w:lineRule="auto" w:before="31"/>
        <w:ind w:right="1032"/>
        <w:jc w:val="left"/>
      </w:pPr>
      <w:r>
        <w:rPr/>
        <w:t>设人工智能、智能视觉、大数据、平台软件、智慧政务五大研究所，推动新技术与行业的深度结合，增强公司的技术实力。 报告期内，公司新增软件著作权</w:t>
      </w:r>
      <w:r>
        <w:rPr>
          <w:rFonts w:ascii="Times New Roman" w:hAnsi="Times New Roman" w:cs="Times New Roman" w:eastAsia="Times New Roman" w:hint="default"/>
        </w:rPr>
        <w:t>43</w:t>
      </w:r>
      <w:r>
        <w:rPr/>
        <w:t>项，新增实用新型专利</w:t>
      </w:r>
      <w:r>
        <w:rPr>
          <w:rFonts w:ascii="Times New Roman" w:hAnsi="Times New Roman" w:cs="Times New Roman" w:eastAsia="Times New Roman" w:hint="default"/>
        </w:rPr>
        <w:t>5</w:t>
      </w:r>
      <w:r>
        <w:rPr/>
        <w:t>项；新增申请发明专利</w:t>
      </w:r>
      <w:r>
        <w:rPr>
          <w:rFonts w:ascii="Times New Roman" w:hAnsi="Times New Roman" w:cs="Times New Roman" w:eastAsia="Times New Roman" w:hint="default"/>
        </w:rPr>
        <w:t>12</w:t>
      </w:r>
      <w:r>
        <w:rPr/>
        <w:t>项（其中</w:t>
      </w:r>
      <w:r>
        <w:rPr>
          <w:rFonts w:ascii="Times New Roman" w:hAnsi="Times New Roman" w:cs="Times New Roman" w:eastAsia="Times New Roman" w:hint="default"/>
        </w:rPr>
        <w:t>10</w:t>
      </w:r>
      <w:r>
        <w:rPr/>
        <w:t>项已进入实质审查阶段）； </w:t>
      </w:r>
      <w:r>
        <w:rPr>
          <w:spacing w:val="-2"/>
        </w:rPr>
        <w:t>新增申请实用新型专利</w:t>
      </w:r>
      <w:r>
        <w:rPr>
          <w:rFonts w:ascii="Times New Roman" w:hAnsi="Times New Roman" w:cs="Times New Roman" w:eastAsia="Times New Roman" w:hint="default"/>
          <w:spacing w:val="-2"/>
        </w:rPr>
        <w:t>6</w:t>
      </w:r>
      <w:r>
        <w:rPr>
          <w:spacing w:val="-2"/>
        </w:rPr>
        <w:t>项（其中</w:t>
      </w:r>
      <w:r>
        <w:rPr>
          <w:rFonts w:ascii="Times New Roman" w:hAnsi="Times New Roman" w:cs="Times New Roman" w:eastAsia="Times New Roman" w:hint="default"/>
          <w:spacing w:val="-2"/>
        </w:rPr>
        <w:t>3</w:t>
      </w:r>
      <w:r>
        <w:rPr>
          <w:spacing w:val="-2"/>
        </w:rPr>
        <w:t>项已获批）。公司参与的《信息安全技术个人信息去标识化指南》已进入报批稿阶段；由</w:t>
      </w:r>
      <w:r>
        <w:rPr>
          <w:spacing w:val="-67"/>
        </w:rPr>
        <w:t> </w:t>
      </w:r>
      <w:r>
        <w:rPr>
          <w:spacing w:val="-67"/>
        </w:rPr>
      </w:r>
      <w:r>
        <w:rPr/>
        <w:t>全国信息安全标准化技术委员会所主持，公司参与编制的《大数据安全标准化白皮书</w:t>
      </w:r>
      <w:r>
        <w:rPr>
          <w:rFonts w:ascii="Times New Roman" w:hAnsi="Times New Roman" w:cs="Times New Roman" w:eastAsia="Times New Roman" w:hint="default"/>
        </w:rPr>
        <w:t>(2018</w:t>
      </w:r>
      <w:r>
        <w:rPr/>
        <w:t>版</w:t>
      </w:r>
      <w:r>
        <w:rPr>
          <w:rFonts w:ascii="Times New Roman" w:hAnsi="Times New Roman" w:cs="Times New Roman" w:eastAsia="Times New Roman" w:hint="default"/>
        </w:rPr>
        <w:t>)</w:t>
      </w:r>
      <w:r>
        <w:rPr/>
        <w:t>》的正式发布，标志着公司在 大数据信息安全领域的技术先进性获得了同行业的认可。</w:t>
      </w:r>
    </w:p>
    <w:p>
      <w:pPr>
        <w:spacing w:line="300" w:lineRule="auto" w:before="28"/>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、加大公司品牌宣传，深入行业交流合作，树立公司优质形象</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报告期内，公司荣获中国城市科学研究会数字城市专业委员会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先进单位</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称号；公司承建的多个项目荣获多项荣誉，如</w:t>
      </w:r>
    </w:p>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before="44"/>
        <w:ind w:right="1132"/>
        <w:jc w:val="both"/>
      </w:pPr>
      <w:r>
        <w:rPr>
          <w:rFonts w:ascii="Times New Roman" w:hAnsi="Times New Roman" w:cs="Times New Roman" w:eastAsia="Times New Roman" w:hint="default"/>
        </w:rPr>
        <w:t>“</w:t>
      </w:r>
      <w:r>
        <w:rPr/>
        <w:t>长沙县数字化城市管理平台</w:t>
      </w:r>
      <w:r>
        <w:rPr>
          <w:rFonts w:ascii="Times New Roman" w:hAnsi="Times New Roman" w:cs="Times New Roman" w:eastAsia="Times New Roman" w:hint="default"/>
        </w:rPr>
        <w:t>”</w:t>
      </w:r>
      <w:r>
        <w:rPr/>
        <w:t>项目在</w:t>
      </w:r>
      <w:r>
        <w:rPr>
          <w:rFonts w:ascii="Times New Roman" w:hAnsi="Times New Roman" w:cs="Times New Roman" w:eastAsia="Times New Roman" w:hint="default"/>
        </w:rPr>
        <w:t>“</w:t>
      </w:r>
      <w:r>
        <w:rPr/>
        <w:t>第三届智慧城市管理与物联网技术应用创新大会暨物联网学组年会</w:t>
      </w:r>
      <w:r>
        <w:rPr>
          <w:rFonts w:ascii="Times New Roman" w:hAnsi="Times New Roman" w:cs="Times New Roman" w:eastAsia="Times New Roman" w:hint="default"/>
        </w:rPr>
        <w:t>”</w:t>
      </w:r>
      <w:r>
        <w:rPr/>
        <w:t>中获得</w:t>
      </w:r>
      <w:r>
        <w:rPr>
          <w:rFonts w:ascii="Times New Roman" w:hAnsi="Times New Roman" w:cs="Times New Roman" w:eastAsia="Times New Roman" w:hint="default"/>
        </w:rPr>
        <w:t>“</w:t>
      </w:r>
      <w:r>
        <w:rPr/>
        <w:t>智慧城市 管理创新应用示范奖</w:t>
      </w:r>
      <w:r>
        <w:rPr>
          <w:rFonts w:ascii="Times New Roman" w:hAnsi="Times New Roman" w:cs="Times New Roman" w:eastAsia="Times New Roman" w:hint="default"/>
        </w:rPr>
        <w:t>”</w:t>
      </w:r>
      <w:r>
        <w:rPr/>
        <w:t>，长沙市公安交警情报平台作为长沙交警</w:t>
      </w:r>
      <w:r>
        <w:rPr>
          <w:rFonts w:ascii="Times New Roman" w:hAnsi="Times New Roman" w:cs="Times New Roman" w:eastAsia="Times New Roman" w:hint="default"/>
        </w:rPr>
        <w:t>“</w:t>
      </w:r>
      <w:r>
        <w:rPr/>
        <w:t>情指勤督</w:t>
      </w:r>
      <w:r>
        <w:rPr>
          <w:rFonts w:ascii="Times New Roman" w:hAnsi="Times New Roman" w:cs="Times New Roman" w:eastAsia="Times New Roman" w:hint="default"/>
        </w:rPr>
        <w:t>”</w:t>
      </w:r>
      <w:r>
        <w:rPr/>
        <w:t>新型勤务机制应用的核心部分，荣获</w:t>
      </w:r>
      <w:r>
        <w:rPr>
          <w:rFonts w:ascii="Times New Roman" w:hAnsi="Times New Roman" w:cs="Times New Roman" w:eastAsia="Times New Roman" w:hint="default"/>
        </w:rPr>
        <w:t>2018</w:t>
      </w:r>
      <w:r>
        <w:rPr/>
        <w:t>年度交 通管理</w:t>
      </w:r>
      <w:r>
        <w:rPr>
          <w:rFonts w:ascii="Times New Roman" w:hAnsi="Times New Roman" w:cs="Times New Roman" w:eastAsia="Times New Roman" w:hint="default"/>
        </w:rPr>
        <w:t>“</w:t>
      </w:r>
      <w:r>
        <w:rPr/>
        <w:t>十佳创新应用</w:t>
      </w:r>
      <w:r>
        <w:rPr>
          <w:rFonts w:ascii="Times New Roman" w:hAnsi="Times New Roman" w:cs="Times New Roman" w:eastAsia="Times New Roman" w:hint="default"/>
        </w:rPr>
        <w:t>”</w:t>
      </w:r>
      <w:r>
        <w:rPr/>
        <w:t>特等奖。公司还联合中国长城科技集团股份有限公司、中国电子科技集团公司第四十八研究所等</w:t>
      </w:r>
      <w:r>
        <w:rPr>
          <w:rFonts w:ascii="Times New Roman" w:hAnsi="Times New Roman" w:cs="Times New Roman" w:eastAsia="Times New Roman" w:hint="default"/>
        </w:rPr>
        <w:t>9</w:t>
      </w:r>
      <w:r>
        <w:rPr/>
        <w:t>家 </w:t>
      </w:r>
      <w:r>
        <w:rPr>
          <w:spacing w:val="-2"/>
        </w:rPr>
        <w:t>单位，发起成立长沙市自主可控及信息安全产业技术创新战略联盟，并当选联盟副理事长单位。上述荣誉及行业内的交流合</w:t>
      </w:r>
      <w:r>
        <w:rPr>
          <w:spacing w:val="-65"/>
        </w:rPr>
        <w:t> </w:t>
      </w:r>
      <w:r>
        <w:rPr>
          <w:spacing w:val="-65"/>
        </w:rPr>
      </w:r>
      <w:r>
        <w:rPr/>
        <w:t>作充分彰显了公司在智慧政务领域产品研发和产业化实力，进一步提升了公司的品牌效益。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1"/>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66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before="4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07"/>
        <w:gridCol w:w="1008"/>
        <w:gridCol w:w="1010"/>
        <w:gridCol w:w="1011"/>
        <w:gridCol w:w="1012"/>
        <w:gridCol w:w="1003"/>
        <w:gridCol w:w="1005"/>
        <w:gridCol w:w="1002"/>
        <w:gridCol w:w="1002"/>
      </w:tblGrid>
      <w:tr>
        <w:trPr>
          <w:trHeight w:val="206"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6" w:hRule="exact"/>
        </w:trPr>
        <w:tc>
          <w:tcPr>
            <w:tcW w:w="1507" w:type="dxa"/>
            <w:vMerge w:val="restart"/>
            <w:tcBorders>
              <w:top w:val="nil" w:sz="6" w:space="0" w:color="auto"/>
              <w:left w:val="single" w:sz="4" w:space="0" w:color="000000"/>
              <w:right w:val="single" w:sz="4" w:space="0" w:color="000000"/>
            </w:tcBorders>
            <w:shd w:val="clear" w:color="auto" w:fill="D2D2D2"/>
          </w:tcPr>
          <w:p>
            <w:pP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507"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19,838,764.59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50,786,080.83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95,411,294.14</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6" w:right="0"/>
              <w:jc w:val="center"/>
              <w:rPr>
                <w:rFonts w:ascii="Times New Roman" w:hAnsi="Times New Roman" w:cs="Times New Roman" w:eastAsia="Times New Roman" w:hint="default"/>
                <w:sz w:val="15"/>
                <w:szCs w:val="15"/>
              </w:rPr>
            </w:pPr>
            <w:r>
              <w:rPr>
                <w:rFonts w:ascii="Times New Roman"/>
                <w:sz w:val="15"/>
              </w:rPr>
              <w:t>166,568,216.15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20,054,232.36</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1"/>
              <w:jc w:val="right"/>
              <w:rPr>
                <w:rFonts w:ascii="Times New Roman" w:hAnsi="Times New Roman" w:cs="Times New Roman" w:eastAsia="Times New Roman" w:hint="default"/>
                <w:sz w:val="15"/>
                <w:szCs w:val="15"/>
              </w:rPr>
            </w:pPr>
            <w:r>
              <w:rPr>
                <w:rFonts w:ascii="Times New Roman"/>
                <w:spacing w:val="-1"/>
                <w:sz w:val="15"/>
              </w:rPr>
              <w:t>38,834,299.29</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2"/>
              <w:jc w:val="right"/>
              <w:rPr>
                <w:rFonts w:ascii="Times New Roman" w:hAnsi="Times New Roman" w:cs="Times New Roman" w:eastAsia="Times New Roman" w:hint="default"/>
                <w:sz w:val="15"/>
                <w:szCs w:val="15"/>
              </w:rPr>
            </w:pPr>
            <w:r>
              <w:rPr>
                <w:rFonts w:ascii="Times New Roman"/>
                <w:spacing w:val="-1"/>
                <w:sz w:val="15"/>
              </w:rPr>
              <w:t>69,725,192.86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7" w:right="0"/>
              <w:jc w:val="center"/>
              <w:rPr>
                <w:rFonts w:ascii="Times New Roman" w:hAnsi="Times New Roman" w:cs="Times New Roman" w:eastAsia="Times New Roman" w:hint="default"/>
                <w:sz w:val="15"/>
                <w:szCs w:val="15"/>
              </w:rPr>
            </w:pPr>
            <w:r>
              <w:rPr>
                <w:rFonts w:ascii="Times New Roman"/>
                <w:sz w:val="15"/>
              </w:rPr>
              <w:t>178,809,800.77</w:t>
            </w:r>
          </w:p>
        </w:tc>
      </w:tr>
      <w:tr>
        <w:trPr>
          <w:trHeight w:val="715"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2"/>
                <w:sz w:val="18"/>
                <w:szCs w:val="18"/>
              </w:rPr>
              <w:t>归属于上市公司股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-9,975,883.89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-865,210.68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14,679,693.13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90" w:right="0"/>
              <w:jc w:val="center"/>
              <w:rPr>
                <w:rFonts w:ascii="Times New Roman" w:hAnsi="Times New Roman" w:cs="Times New Roman" w:eastAsia="Times New Roman" w:hint="default"/>
                <w:sz w:val="15"/>
                <w:szCs w:val="15"/>
              </w:rPr>
            </w:pPr>
            <w:r>
              <w:rPr>
                <w:rFonts w:ascii="Times New Roman"/>
                <w:sz w:val="15"/>
              </w:rPr>
              <w:t>31,272,926.59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-7,355,346.97</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-2,657,680.36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5"/>
                <w:szCs w:val="15"/>
              </w:rPr>
            </w:pPr>
            <w:r>
              <w:rPr>
                <w:rFonts w:ascii="Times New Roman"/>
                <w:spacing w:val="-1"/>
                <w:sz w:val="15"/>
              </w:rPr>
              <w:t>13,479,002.01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80" w:right="0"/>
              <w:jc w:val="center"/>
              <w:rPr>
                <w:rFonts w:ascii="Times New Roman" w:hAnsi="Times New Roman" w:cs="Times New Roman" w:eastAsia="Times New Roman" w:hint="default"/>
                <w:sz w:val="15"/>
                <w:szCs w:val="15"/>
              </w:rPr>
            </w:pPr>
            <w:r>
              <w:rPr>
                <w:rFonts w:ascii="Times New Roman"/>
                <w:sz w:val="15"/>
              </w:rPr>
              <w:t>41,028,813.29</w:t>
            </w:r>
          </w:p>
        </w:tc>
      </w:tr>
    </w:tbl>
    <w:p>
      <w:pPr>
        <w:pStyle w:val="BodyText"/>
        <w:spacing w:line="357" w:lineRule="auto" w:before="51"/>
        <w:ind w:left="514" w:right="0" w:hanging="360"/>
        <w:jc w:val="left"/>
      </w:pPr>
      <w:r>
        <w:rPr/>
        <w:t>说明经营季节性（或周期性）发生的原因及波动风险 </w:t>
      </w:r>
      <w:r>
        <w:rPr>
          <w:spacing w:val="-2"/>
        </w:rPr>
        <w:t>公司主要客户为政府及机关事业单位，该部分政企客户通常实行预算管理及集中采购制度，采购招标及结算具有明显的</w:t>
      </w:r>
    </w:p>
    <w:p>
      <w:pPr>
        <w:pStyle w:val="BodyText"/>
        <w:spacing w:line="224" w:lineRule="exact"/>
        <w:ind w:right="0"/>
        <w:jc w:val="left"/>
      </w:pPr>
      <w:r>
        <w:rPr/>
        <w:t>季节性特征，导致公司较多项目集中在第四季度进行终验。而公司收入主要依据终验报告进行确认，导致公司营业收入确认</w:t>
      </w:r>
    </w:p>
    <w:p>
      <w:pPr>
        <w:pStyle w:val="BodyText"/>
        <w:spacing w:line="302" w:lineRule="auto" w:before="76"/>
        <w:ind w:right="1182"/>
        <w:jc w:val="left"/>
      </w:pPr>
      <w:r>
        <w:rPr/>
        <w:t>主要集中在第四季度，</w:t>
      </w:r>
      <w:r>
        <w:rPr>
          <w:rFonts w:ascii="Times New Roman" w:hAnsi="Times New Roman" w:cs="Times New Roman" w:eastAsia="Times New Roman" w:hint="default"/>
        </w:rPr>
        <w:t>2017</w:t>
      </w:r>
      <w:r>
        <w:rPr/>
        <w:t>年和</w:t>
      </w:r>
      <w:r>
        <w:rPr>
          <w:rFonts w:ascii="Times New Roman" w:hAnsi="Times New Roman" w:cs="Times New Roman" w:eastAsia="Times New Roman" w:hint="default"/>
        </w:rPr>
        <w:t>2018</w:t>
      </w:r>
      <w:r>
        <w:rPr/>
        <w:t>年公司第四季度实现的主营业务收入分别占当年主营业务收入的</w:t>
      </w:r>
      <w:r>
        <w:rPr>
          <w:rFonts w:ascii="Times New Roman" w:hAnsi="Times New Roman" w:cs="Times New Roman" w:eastAsia="Times New Roman" w:hint="default"/>
        </w:rPr>
        <w:t>58.16%</w:t>
      </w:r>
      <w:r>
        <w:rPr/>
        <w:t>及</w:t>
      </w:r>
      <w:r>
        <w:rPr>
          <w:rFonts w:ascii="Times New Roman" w:hAnsi="Times New Roman" w:cs="Times New Roman" w:eastAsia="Times New Roman" w:hint="default"/>
        </w:rPr>
        <w:t>50.08%</w:t>
      </w:r>
      <w:r>
        <w:rPr/>
        <w:t>，公 司营业收入存在较强季节性波动风险。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5"/>
        <w:spacing w:line="240" w:lineRule="auto"/>
        <w:ind w:right="0"/>
        <w:jc w:val="left"/>
        <w:rPr>
          <w:b w:val="0"/>
          <w:bCs w:val="0"/>
        </w:rPr>
      </w:pPr>
      <w:r>
        <w:rPr/>
        <w:t>营业收入整体情况</w:t>
      </w:r>
      <w:r>
        <w:rPr>
          <w:b w:val="0"/>
          <w:bCs w:val="0"/>
        </w:rPr>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600"/>
        <w:gridCol w:w="1589"/>
        <w:gridCol w:w="1600"/>
        <w:gridCol w:w="1583"/>
        <w:gridCol w:w="1601"/>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332,604,355.71</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77" w:right="0"/>
              <w:jc w:val="lef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307,423,525.28</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w:t>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8.19%</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331,194,379.53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9" w:right="0"/>
              <w:jc w:val="left"/>
              <w:rPr>
                <w:rFonts w:ascii="Times New Roman" w:hAnsi="Times New Roman" w:cs="Times New Roman" w:eastAsia="Times New Roman" w:hint="default"/>
                <w:sz w:val="18"/>
                <w:szCs w:val="18"/>
              </w:rPr>
            </w:pPr>
            <w:r>
              <w:rPr>
                <w:rFonts w:ascii="Times New Roman"/>
                <w:sz w:val="18"/>
              </w:rPr>
              <w:t>99.58%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306,172,462.08</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06"/>
              <w:jc w:val="right"/>
              <w:rPr>
                <w:rFonts w:ascii="Times New Roman" w:hAnsi="Times New Roman" w:cs="Times New Roman" w:eastAsia="Times New Roman" w:hint="default"/>
                <w:sz w:val="18"/>
                <w:szCs w:val="18"/>
              </w:rPr>
            </w:pPr>
            <w:r>
              <w:rPr>
                <w:rFonts w:ascii="Times New Roman"/>
                <w:sz w:val="18"/>
              </w:rPr>
              <w:t>99.59%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6" w:right="0"/>
              <w:jc w:val="left"/>
              <w:rPr>
                <w:rFonts w:ascii="Times New Roman" w:hAnsi="Times New Roman" w:cs="Times New Roman" w:eastAsia="Times New Roman" w:hint="default"/>
                <w:sz w:val="18"/>
                <w:szCs w:val="18"/>
              </w:rPr>
            </w:pPr>
            <w:r>
              <w:rPr>
                <w:rFonts w:ascii="Times New Roman"/>
                <w:sz w:val="18"/>
              </w:rPr>
              <w:t>8.17%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1,409,976.18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0.42%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1,251,063.20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52"/>
              <w:jc w:val="right"/>
              <w:rPr>
                <w:rFonts w:ascii="Times New Roman" w:hAnsi="Times New Roman" w:cs="Times New Roman" w:eastAsia="Times New Roman" w:hint="default"/>
                <w:sz w:val="18"/>
                <w:szCs w:val="18"/>
              </w:rPr>
            </w:pPr>
            <w:r>
              <w:rPr>
                <w:rFonts w:ascii="Times New Roman"/>
                <w:sz w:val="18"/>
              </w:rPr>
              <w:t>0.41%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12.70%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智慧政务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236,053,391.38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70.97%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7"/>
              <w:jc w:val="right"/>
              <w:rPr>
                <w:rFonts w:ascii="Times New Roman" w:hAnsi="Times New Roman" w:cs="Times New Roman" w:eastAsia="Times New Roman" w:hint="default"/>
                <w:sz w:val="18"/>
                <w:szCs w:val="18"/>
              </w:rPr>
            </w:pPr>
            <w:r>
              <w:rPr>
                <w:rFonts w:ascii="Times New Roman"/>
                <w:spacing w:val="-1"/>
                <w:sz w:val="18"/>
              </w:rPr>
              <w:t>244,981,896.03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4" w:right="0"/>
              <w:jc w:val="left"/>
              <w:rPr>
                <w:rFonts w:ascii="Times New Roman" w:hAnsi="Times New Roman" w:cs="Times New Roman" w:eastAsia="Times New Roman" w:hint="default"/>
                <w:sz w:val="18"/>
                <w:szCs w:val="18"/>
              </w:rPr>
            </w:pPr>
            <w:r>
              <w:rPr>
                <w:rFonts w:ascii="Times New Roman"/>
                <w:sz w:val="18"/>
              </w:rPr>
              <w:t>79.69%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智慧企业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95,140,988.15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28.60%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2"/>
              <w:jc w:val="right"/>
              <w:rPr>
                <w:rFonts w:ascii="Times New Roman" w:hAnsi="Times New Roman" w:cs="Times New Roman" w:eastAsia="Times New Roman" w:hint="default"/>
                <w:sz w:val="18"/>
                <w:szCs w:val="18"/>
              </w:rPr>
            </w:pPr>
            <w:r>
              <w:rPr>
                <w:rFonts w:ascii="Times New Roman"/>
                <w:spacing w:val="-1"/>
                <w:sz w:val="18"/>
              </w:rPr>
              <w:t>61,190,566.05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4" w:right="0"/>
              <w:jc w:val="left"/>
              <w:rPr>
                <w:rFonts w:ascii="Times New Roman" w:hAnsi="Times New Roman" w:cs="Times New Roman" w:eastAsia="Times New Roman" w:hint="default"/>
                <w:sz w:val="18"/>
                <w:szCs w:val="18"/>
              </w:rPr>
            </w:pPr>
            <w:r>
              <w:rPr>
                <w:rFonts w:ascii="Times New Roman"/>
                <w:sz w:val="18"/>
              </w:rPr>
              <w:t>19.90%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55.48%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1,409,976.18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pacing w:val="-1"/>
                <w:sz w:val="18"/>
              </w:rPr>
              <w:t>1,251,063.20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0.41%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12.70%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285,616,031.25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85.87%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7"/>
              <w:jc w:val="right"/>
              <w:rPr>
                <w:rFonts w:ascii="Times New Roman" w:hAnsi="Times New Roman" w:cs="Times New Roman" w:eastAsia="Times New Roman" w:hint="default"/>
                <w:sz w:val="18"/>
                <w:szCs w:val="18"/>
              </w:rPr>
            </w:pPr>
            <w:r>
              <w:rPr>
                <w:rFonts w:ascii="Times New Roman"/>
                <w:spacing w:val="-1"/>
                <w:sz w:val="18"/>
              </w:rPr>
              <w:t>261,948,705.58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4" w:right="0"/>
              <w:jc w:val="left"/>
              <w:rPr>
                <w:rFonts w:ascii="Times New Roman" w:hAnsi="Times New Roman" w:cs="Times New Roman" w:eastAsia="Times New Roman" w:hint="default"/>
                <w:sz w:val="18"/>
                <w:szCs w:val="18"/>
              </w:rPr>
            </w:pPr>
            <w:r>
              <w:rPr>
                <w:rFonts w:ascii="Times New Roman"/>
                <w:sz w:val="18"/>
              </w:rPr>
              <w:t>85.21%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9.04%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20,896,920.97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9"/>
              <w:jc w:val="right"/>
              <w:rPr>
                <w:rFonts w:ascii="Times New Roman" w:hAnsi="Times New Roman" w:cs="Times New Roman" w:eastAsia="Times New Roman" w:hint="default"/>
                <w:sz w:val="18"/>
                <w:szCs w:val="18"/>
              </w:rPr>
            </w:pPr>
            <w:r>
              <w:rPr>
                <w:rFonts w:ascii="Times New Roman"/>
                <w:spacing w:val="-2"/>
                <w:sz w:val="18"/>
              </w:rPr>
              <w:t>10,111,882.04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3.29%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0" w:right="0"/>
              <w:jc w:val="left"/>
              <w:rPr>
                <w:rFonts w:ascii="Times New Roman" w:hAnsi="Times New Roman" w:cs="Times New Roman" w:eastAsia="Times New Roman" w:hint="default"/>
                <w:sz w:val="18"/>
                <w:szCs w:val="18"/>
              </w:rPr>
            </w:pPr>
            <w:r>
              <w:rPr>
                <w:rFonts w:ascii="Times New Roman"/>
                <w:sz w:val="18"/>
              </w:rPr>
              <w:t>106.66%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11,883,694.82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2"/>
              <w:jc w:val="right"/>
              <w:rPr>
                <w:rFonts w:ascii="Times New Roman" w:hAnsi="Times New Roman" w:cs="Times New Roman" w:eastAsia="Times New Roman" w:hint="default"/>
                <w:sz w:val="18"/>
                <w:szCs w:val="18"/>
              </w:rPr>
            </w:pPr>
            <w:r>
              <w:rPr>
                <w:rFonts w:ascii="Times New Roman"/>
                <w:spacing w:val="-1"/>
                <w:sz w:val="18"/>
              </w:rPr>
              <w:t>16,149,884.43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5.25%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-26.42%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5,467,558.13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pacing w:val="-1"/>
                <w:sz w:val="18"/>
              </w:rPr>
              <w:t>11,131,120.74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3.62%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-50.88%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8,740,150.54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2.63%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pacing w:val="-1"/>
                <w:sz w:val="18"/>
              </w:rPr>
              <w:t>8,081,932.49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9" w:right="0"/>
              <w:jc w:val="left"/>
              <w:rPr>
                <w:rFonts w:ascii="Times New Roman" w:hAnsi="Times New Roman" w:cs="Times New Roman" w:eastAsia="Times New Roman" w:hint="default"/>
                <w:sz w:val="18"/>
                <w:szCs w:val="18"/>
              </w:rPr>
            </w:pPr>
            <w:r>
              <w:rPr>
                <w:rFonts w:ascii="Times New Roman"/>
                <w:sz w:val="18"/>
              </w:rPr>
              <w:t>2.63%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8.14%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5830"/>
        <w:jc w:val="left"/>
      </w:pPr>
      <w:r>
        <w:rPr/>
        <w:t>软件与信息技术服务业</w:t>
      </w:r>
    </w:p>
    <w:p>
      <w:pPr>
        <w:pStyle w:val="BodyText"/>
        <w:spacing w:line="240" w:lineRule="auto" w:before="117"/>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9"/>
        <w:gridCol w:w="1375"/>
        <w:gridCol w:w="1366"/>
        <w:gridCol w:w="1367"/>
        <w:gridCol w:w="1367"/>
        <w:gridCol w:w="1367"/>
        <w:gridCol w:w="1372"/>
      </w:tblGrid>
      <w:tr>
        <w:trPr>
          <w:trHeight w:val="714"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3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331,194,379.53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211,097,828.33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0" w:right="0"/>
              <w:jc w:val="left"/>
              <w:rPr>
                <w:rFonts w:ascii="Times New Roman" w:hAnsi="Times New Roman" w:cs="Times New Roman" w:eastAsia="Times New Roman" w:hint="default"/>
                <w:sz w:val="18"/>
                <w:szCs w:val="18"/>
              </w:rPr>
            </w:pPr>
            <w:r>
              <w:rPr>
                <w:rFonts w:ascii="Times New Roman"/>
                <w:sz w:val="18"/>
              </w:rPr>
              <w:t>36.26%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6" w:right="0"/>
              <w:jc w:val="left"/>
              <w:rPr>
                <w:rFonts w:ascii="Times New Roman" w:hAnsi="Times New Roman" w:cs="Times New Roman" w:eastAsia="Times New Roman" w:hint="default"/>
                <w:sz w:val="18"/>
                <w:szCs w:val="18"/>
              </w:rPr>
            </w:pPr>
            <w:r>
              <w:rPr>
                <w:rFonts w:ascii="Times New Roman"/>
                <w:sz w:val="18"/>
              </w:rPr>
              <w:t>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1" w:right="0"/>
              <w:jc w:val="left"/>
              <w:rPr>
                <w:rFonts w:ascii="Times New Roman" w:hAnsi="Times New Roman" w:cs="Times New Roman" w:eastAsia="Times New Roman" w:hint="default"/>
                <w:sz w:val="18"/>
                <w:szCs w:val="18"/>
              </w:rPr>
            </w:pPr>
            <w:r>
              <w:rPr>
                <w:rFonts w:ascii="Times New Roman"/>
                <w:sz w:val="18"/>
              </w:rPr>
              <w:t>12.63%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15"/>
              <w:jc w:val="right"/>
              <w:rPr>
                <w:rFonts w:ascii="Times New Roman" w:hAnsi="Times New Roman" w:cs="Times New Roman" w:eastAsia="Times New Roman" w:hint="default"/>
                <w:sz w:val="18"/>
                <w:szCs w:val="18"/>
              </w:rPr>
            </w:pPr>
            <w:r>
              <w:rPr>
                <w:rFonts w:ascii="Times New Roman"/>
                <w:sz w:val="18"/>
              </w:rPr>
              <w:t>-2.52%</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智慧政务</w:t>
            </w:r>
          </w:p>
        </w:tc>
        <w:tc>
          <w:tcPr>
            <w:tcW w:w="13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236,053,391.38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143,676,350.08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0" w:right="0"/>
              <w:jc w:val="left"/>
              <w:rPr>
                <w:rFonts w:ascii="Times New Roman" w:hAnsi="Times New Roman" w:cs="Times New Roman" w:eastAsia="Times New Roman" w:hint="default"/>
                <w:sz w:val="18"/>
                <w:szCs w:val="18"/>
              </w:rPr>
            </w:pPr>
            <w:r>
              <w:rPr>
                <w:rFonts w:ascii="Times New Roman"/>
                <w:sz w:val="18"/>
              </w:rPr>
              <w:t>39.13%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6" w:right="0"/>
              <w:jc w:val="left"/>
              <w:rPr>
                <w:rFonts w:ascii="Times New Roman" w:hAnsi="Times New Roman" w:cs="Times New Roman" w:eastAsia="Times New Roman" w:hint="default"/>
                <w:sz w:val="18"/>
                <w:szCs w:val="18"/>
              </w:rPr>
            </w:pPr>
            <w:r>
              <w:rPr>
                <w:rFonts w:ascii="Times New Roman"/>
                <w:sz w:val="18"/>
              </w:rPr>
              <w:t>-3.64%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6" w:right="0"/>
              <w:jc w:val="left"/>
              <w:rPr>
                <w:rFonts w:ascii="Times New Roman" w:hAnsi="Times New Roman" w:cs="Times New Roman" w:eastAsia="Times New Roman" w:hint="default"/>
                <w:sz w:val="18"/>
                <w:szCs w:val="18"/>
              </w:rPr>
            </w:pPr>
            <w:r>
              <w:rPr>
                <w:rFonts w:ascii="Times New Roman"/>
                <w:sz w:val="18"/>
              </w:rPr>
              <w:t>-4.68%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8" w:right="0"/>
              <w:jc w:val="left"/>
              <w:rPr>
                <w:rFonts w:ascii="Times New Roman" w:hAnsi="Times New Roman" w:cs="Times New Roman" w:eastAsia="Times New Roman" w:hint="default"/>
                <w:sz w:val="18"/>
                <w:szCs w:val="18"/>
              </w:rPr>
            </w:pPr>
            <w:r>
              <w:rPr>
                <w:rFonts w:ascii="Times New Roman"/>
                <w:sz w:val="18"/>
              </w:rPr>
              <w:t>0.66%</w:t>
            </w:r>
          </w:p>
        </w:tc>
      </w:tr>
      <w:tr>
        <w:trPr>
          <w:trHeight w:val="403" w:hRule="exact"/>
        </w:trPr>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智慧企业</w:t>
            </w:r>
          </w:p>
        </w:tc>
        <w:tc>
          <w:tcPr>
            <w:tcW w:w="13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95,140,988.15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67,421,478.25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0" w:right="0"/>
              <w:jc w:val="left"/>
              <w:rPr>
                <w:rFonts w:ascii="Times New Roman" w:hAnsi="Times New Roman" w:cs="Times New Roman" w:eastAsia="Times New Roman" w:hint="default"/>
                <w:sz w:val="18"/>
                <w:szCs w:val="18"/>
              </w:rPr>
            </w:pPr>
            <w:r>
              <w:rPr>
                <w:rFonts w:ascii="Times New Roman"/>
                <w:sz w:val="18"/>
              </w:rPr>
              <w:t>29.14%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0" w:right="0"/>
              <w:jc w:val="left"/>
              <w:rPr>
                <w:rFonts w:ascii="Times New Roman" w:hAnsi="Times New Roman" w:cs="Times New Roman" w:eastAsia="Times New Roman" w:hint="default"/>
                <w:sz w:val="18"/>
                <w:szCs w:val="18"/>
              </w:rPr>
            </w:pPr>
            <w:r>
              <w:rPr>
                <w:rFonts w:ascii="Times New Roman"/>
                <w:sz w:val="18"/>
              </w:rPr>
              <w:t>55.48%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1" w:right="0"/>
              <w:jc w:val="left"/>
              <w:rPr>
                <w:rFonts w:ascii="Times New Roman" w:hAnsi="Times New Roman" w:cs="Times New Roman" w:eastAsia="Times New Roman" w:hint="default"/>
                <w:sz w:val="18"/>
                <w:szCs w:val="18"/>
              </w:rPr>
            </w:pPr>
            <w:r>
              <w:rPr>
                <w:rFonts w:ascii="Times New Roman"/>
                <w:sz w:val="18"/>
              </w:rPr>
              <w:t>83.75%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70"/>
              <w:jc w:val="right"/>
              <w:rPr>
                <w:rFonts w:ascii="Times New Roman" w:hAnsi="Times New Roman" w:cs="Times New Roman" w:eastAsia="Times New Roman" w:hint="default"/>
                <w:sz w:val="18"/>
                <w:szCs w:val="18"/>
              </w:rPr>
            </w:pPr>
            <w:r>
              <w:rPr>
                <w:rFonts w:ascii="Times New Roman"/>
                <w:sz w:val="18"/>
              </w:rPr>
              <w:t>-10.90%</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285,616,031.25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182,305,901.23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0" w:right="0"/>
              <w:jc w:val="left"/>
              <w:rPr>
                <w:rFonts w:ascii="Times New Roman" w:hAnsi="Times New Roman" w:cs="Times New Roman" w:eastAsia="Times New Roman" w:hint="default"/>
                <w:sz w:val="18"/>
                <w:szCs w:val="18"/>
              </w:rPr>
            </w:pPr>
            <w:r>
              <w:rPr>
                <w:rFonts w:ascii="Times New Roman"/>
                <w:sz w:val="18"/>
              </w:rPr>
              <w:t>36.17%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6" w:right="0"/>
              <w:jc w:val="left"/>
              <w:rPr>
                <w:rFonts w:ascii="Times New Roman" w:hAnsi="Times New Roman" w:cs="Times New Roman" w:eastAsia="Times New Roman" w:hint="default"/>
                <w:sz w:val="18"/>
                <w:szCs w:val="18"/>
              </w:rPr>
            </w:pPr>
            <w:r>
              <w:rPr>
                <w:rFonts w:ascii="Times New Roman"/>
                <w:sz w:val="18"/>
              </w:rPr>
              <w:t>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4" w:right="0"/>
              <w:jc w:val="left"/>
              <w:rPr>
                <w:rFonts w:ascii="Times New Roman" w:hAnsi="Times New Roman" w:cs="Times New Roman" w:eastAsia="Times New Roman" w:hint="default"/>
                <w:sz w:val="18"/>
                <w:szCs w:val="18"/>
              </w:rPr>
            </w:pPr>
            <w:r>
              <w:rPr>
                <w:rFonts w:ascii="Times New Roman"/>
                <w:sz w:val="18"/>
              </w:rPr>
              <w:t>11.62%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15"/>
              <w:jc w:val="right"/>
              <w:rPr>
                <w:rFonts w:ascii="Times New Roman" w:hAnsi="Times New Roman" w:cs="Times New Roman" w:eastAsia="Times New Roman" w:hint="default"/>
                <w:sz w:val="18"/>
                <w:szCs w:val="18"/>
              </w:rPr>
            </w:pPr>
            <w:r>
              <w:rPr>
                <w:rFonts w:ascii="Times New Roman"/>
                <w:sz w:val="18"/>
              </w:rPr>
              <w:t>-1.48%</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432"/>
              <w:jc w:val="righ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147,818,861.26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1"/>
              <w:jc w:val="right"/>
              <w:rPr>
                <w:rFonts w:ascii="Times New Roman" w:hAnsi="Times New Roman" w:cs="Times New Roman" w:eastAsia="Times New Roman" w:hint="default"/>
                <w:sz w:val="18"/>
                <w:szCs w:val="18"/>
              </w:rPr>
            </w:pPr>
            <w:r>
              <w:rPr>
                <w:rFonts w:ascii="Times New Roman"/>
                <w:spacing w:val="-1"/>
                <w:sz w:val="18"/>
              </w:rPr>
              <w:t>126,264,204.11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67.27%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17.07%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432"/>
              <w:jc w:val="righ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52,530,721.78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2"/>
              <w:jc w:val="right"/>
              <w:rPr>
                <w:rFonts w:ascii="Times New Roman" w:hAnsi="Times New Roman" w:cs="Times New Roman" w:eastAsia="Times New Roman" w:hint="default"/>
                <w:sz w:val="18"/>
                <w:szCs w:val="18"/>
              </w:rPr>
            </w:pPr>
            <w:r>
              <w:rPr>
                <w:rFonts w:ascii="Times New Roman"/>
                <w:spacing w:val="-1"/>
                <w:sz w:val="18"/>
              </w:rPr>
              <w:t>52,626,404.00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432"/>
              <w:jc w:val="right"/>
              <w:rPr>
                <w:rFonts w:ascii="宋体" w:hAnsi="宋体" w:cs="宋体" w:eastAsia="宋体" w:hint="default"/>
                <w:sz w:val="18"/>
                <w:szCs w:val="18"/>
              </w:rPr>
            </w:pPr>
            <w:r>
              <w:rPr>
                <w:rFonts w:ascii="宋体" w:hAnsi="宋体" w:cs="宋体" w:eastAsia="宋体" w:hint="default"/>
                <w:sz w:val="18"/>
                <w:szCs w:val="18"/>
              </w:rPr>
              <w:t>间接成本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11,025,615.71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pacing w:val="-1"/>
                <w:sz w:val="18"/>
              </w:rPr>
              <w:t>8,815,831.70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25.07%</w:t>
            </w:r>
          </w:p>
        </w:tc>
      </w:tr>
    </w:tbl>
    <w:p>
      <w:pPr>
        <w:spacing w:line="240" w:lineRule="auto" w:before="6"/>
        <w:rPr>
          <w:rFonts w:ascii="宋体" w:hAnsi="宋体" w:cs="宋体" w:eastAsia="宋体" w:hint="default"/>
          <w:sz w:val="27"/>
          <w:szCs w:val="27"/>
        </w:rPr>
      </w:pPr>
    </w:p>
    <w:p>
      <w:pPr>
        <w:pStyle w:val="BodyText"/>
        <w:spacing w:line="240" w:lineRule="auto" w:before="44"/>
        <w:ind w:right="0"/>
        <w:jc w:val="left"/>
      </w:pPr>
      <w:r>
        <w:rPr/>
        <w:t>行业分类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信息技术行业</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147,818,861.26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8"/>
              <w:jc w:val="right"/>
              <w:rPr>
                <w:rFonts w:ascii="Times New Roman" w:hAnsi="Times New Roman" w:cs="Times New Roman" w:eastAsia="Times New Roman" w:hint="default"/>
                <w:sz w:val="18"/>
                <w:szCs w:val="18"/>
              </w:rPr>
            </w:pPr>
            <w:r>
              <w:rPr>
                <w:rFonts w:ascii="Times New Roman"/>
                <w:spacing w:val="-1"/>
                <w:sz w:val="18"/>
              </w:rPr>
              <w:t>126,264,204.11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17.07%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信息技术行业</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52,530,721.78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9"/>
              <w:jc w:val="right"/>
              <w:rPr>
                <w:rFonts w:ascii="Times New Roman" w:hAnsi="Times New Roman" w:cs="Times New Roman" w:eastAsia="Times New Roman" w:hint="default"/>
                <w:sz w:val="18"/>
                <w:szCs w:val="18"/>
              </w:rPr>
            </w:pPr>
            <w:r>
              <w:rPr>
                <w:rFonts w:ascii="Times New Roman"/>
                <w:spacing w:val="-1"/>
                <w:sz w:val="18"/>
              </w:rPr>
              <w:t>52,626,404.00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6" w:right="0"/>
              <w:jc w:val="lef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信息技术行业</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间接成本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10,748,245.29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8,538,933.24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25.87%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间接成本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277,370.42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4" w:right="0"/>
              <w:jc w:val="left"/>
              <w:rPr>
                <w:rFonts w:ascii="Times New Roman" w:hAnsi="Times New Roman" w:cs="Times New Roman" w:eastAsia="Times New Roman" w:hint="default"/>
                <w:sz w:val="18"/>
                <w:szCs w:val="18"/>
              </w:rPr>
            </w:pPr>
            <w:r>
              <w:rPr>
                <w:rFonts w:ascii="Times New Roman"/>
                <w:sz w:val="18"/>
              </w:rPr>
              <w:t>276,898.46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0.17%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80,304,092.98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24.14%</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3"/>
        <w:gridCol w:w="3301"/>
        <w:gridCol w:w="2322"/>
        <w:gridCol w:w="3143"/>
      </w:tblGrid>
      <w:tr>
        <w:trPr>
          <w:trHeight w:val="401"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20,650,813.21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6.21%</w:t>
            </w:r>
          </w:p>
        </w:tc>
      </w:tr>
      <w:tr>
        <w:trPr>
          <w:trHeight w:val="402" w:hRule="exact"/>
        </w:trPr>
        <w:tc>
          <w:tcPr>
            <w:tcW w:w="80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18,550,125.52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5.58%</w:t>
            </w:r>
          </w:p>
        </w:tc>
      </w:tr>
      <w:tr>
        <w:trPr>
          <w:trHeight w:val="402" w:hRule="exact"/>
        </w:trPr>
        <w:tc>
          <w:tcPr>
            <w:tcW w:w="80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16,196,006.16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4.87%</w:t>
            </w:r>
          </w:p>
        </w:tc>
      </w:tr>
      <w:tr>
        <w:trPr>
          <w:trHeight w:val="402" w:hRule="exact"/>
        </w:trPr>
        <w:tc>
          <w:tcPr>
            <w:tcW w:w="80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13,588,275.87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4.09%</w:t>
            </w:r>
          </w:p>
        </w:tc>
      </w:tr>
      <w:tr>
        <w:trPr>
          <w:trHeight w:val="402" w:hRule="exact"/>
        </w:trPr>
        <w:tc>
          <w:tcPr>
            <w:tcW w:w="80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11,318,872.22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3.40%</w:t>
            </w:r>
          </w:p>
        </w:tc>
      </w:tr>
      <w:tr>
        <w:trPr>
          <w:trHeight w:val="403"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80,304,092.98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24.14%</w:t>
            </w:r>
          </w:p>
        </w:tc>
      </w:tr>
    </w:tbl>
    <w:p>
      <w:pPr>
        <w:pStyle w:val="BodyText"/>
        <w:spacing w:line="240" w:lineRule="auto" w:before="51"/>
        <w:ind w:right="0"/>
        <w:jc w:val="left"/>
      </w:pPr>
      <w:r>
        <w:rPr/>
        <w:t>主要客户其他情况说明</w:t>
      </w:r>
    </w:p>
    <w:p>
      <w:pPr>
        <w:pStyle w:val="BodyText"/>
        <w:spacing w:line="340" w:lineRule="auto" w:before="11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41,648,982.09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24.99%</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11,790,888.00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7.07%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11,008,260.00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6.60%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7,900,000.00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4.74%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5,997,758.62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4,952,075.47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41,648,982.09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24.99%</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73"/>
        <w:gridCol w:w="2895"/>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同比增减</w:t>
            </w:r>
          </w:p>
        </w:tc>
        <w:tc>
          <w:tcPr>
            <w:tcW w:w="2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0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25,203,088.09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20,432,647.18</w:t>
            </w:r>
          </w:p>
        </w:tc>
        <w:tc>
          <w:tcPr>
            <w:tcW w:w="1473"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2"/>
              <w:ind w:right="4"/>
              <w:jc w:val="center"/>
              <w:rPr>
                <w:rFonts w:ascii="Times New Roman" w:hAnsi="Times New Roman" w:cs="Times New Roman" w:eastAsia="Times New Roman" w:hint="default"/>
                <w:sz w:val="18"/>
                <w:szCs w:val="18"/>
              </w:rPr>
            </w:pPr>
            <w:r>
              <w:rPr>
                <w:rFonts w:ascii="Times New Roman"/>
                <w:sz w:val="18"/>
              </w:rPr>
              <w:t>23.35%</w:t>
            </w:r>
          </w:p>
        </w:tc>
        <w:tc>
          <w:tcPr>
            <w:tcW w:w="28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30,115,220.38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29,030,088.52</w:t>
            </w:r>
          </w:p>
        </w:tc>
        <w:tc>
          <w:tcPr>
            <w:tcW w:w="1473"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2"/>
              <w:ind w:right="3"/>
              <w:jc w:val="center"/>
              <w:rPr>
                <w:rFonts w:ascii="Times New Roman" w:hAnsi="Times New Roman" w:cs="Times New Roman" w:eastAsia="Times New Roman" w:hint="default"/>
                <w:sz w:val="18"/>
                <w:szCs w:val="18"/>
              </w:rPr>
            </w:pPr>
            <w:r>
              <w:rPr>
                <w:rFonts w:ascii="Times New Roman"/>
                <w:sz w:val="18"/>
              </w:rPr>
              <w:t>3.74%</w:t>
            </w:r>
          </w:p>
        </w:tc>
        <w:tc>
          <w:tcPr>
            <w:tcW w:w="28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-564,895.18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2,558,774.29</w:t>
            </w:r>
          </w:p>
        </w:tc>
        <w:tc>
          <w:tcPr>
            <w:tcW w:w="1473"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2"/>
              <w:ind w:right="3"/>
              <w:jc w:val="center"/>
              <w:rPr>
                <w:rFonts w:ascii="Times New Roman" w:hAnsi="Times New Roman" w:cs="Times New Roman" w:eastAsia="Times New Roman" w:hint="default"/>
                <w:sz w:val="18"/>
                <w:szCs w:val="18"/>
              </w:rPr>
            </w:pPr>
            <w:r>
              <w:rPr>
                <w:rFonts w:ascii="Times New Roman"/>
                <w:sz w:val="18"/>
              </w:rPr>
              <w:t>-122.08%</w:t>
            </w:r>
          </w:p>
        </w:tc>
        <w:tc>
          <w:tcPr>
            <w:tcW w:w="28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主要系利息收入增加、借款减少所致</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24,252,042.35</w:t>
            </w:r>
          </w:p>
        </w:tc>
        <w:tc>
          <w:tcPr>
            <w:tcW w:w="1637"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22,045,032.76</w:t>
            </w:r>
          </w:p>
        </w:tc>
        <w:tc>
          <w:tcPr>
            <w:tcW w:w="147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t>10.01%</w:t>
            </w:r>
          </w:p>
        </w:tc>
        <w:tc>
          <w:tcPr>
            <w:tcW w:w="28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公司始终坚持</w:t>
      </w:r>
      <w:r>
        <w:rPr>
          <w:rFonts w:ascii="Times New Roman" w:hAnsi="Times New Roman" w:cs="Times New Roman" w:eastAsia="Times New Roman" w:hint="default"/>
          <w:spacing w:val="-2"/>
        </w:rPr>
        <w:t>“</w:t>
      </w:r>
      <w:r>
        <w:rPr>
          <w:spacing w:val="-2"/>
        </w:rPr>
        <w:t>自主创新，需求驱动</w:t>
      </w:r>
      <w:r>
        <w:rPr>
          <w:rFonts w:ascii="Times New Roman" w:hAnsi="Times New Roman" w:cs="Times New Roman" w:eastAsia="Times New Roman" w:hint="default"/>
          <w:spacing w:val="-2"/>
        </w:rPr>
        <w:t>”</w:t>
      </w:r>
      <w:r>
        <w:rPr>
          <w:spacing w:val="-2"/>
        </w:rPr>
        <w:t>的研发理念，经过多年的研发投入，已经形成了较完善的研发体系，已拥有多项国</w:t>
      </w:r>
    </w:p>
    <w:p>
      <w:pPr>
        <w:pStyle w:val="BodyText"/>
        <w:spacing w:line="217" w:lineRule="exact"/>
        <w:ind w:right="0"/>
        <w:jc w:val="both"/>
      </w:pPr>
      <w:r>
        <w:rPr/>
        <w:t>家发明专利与软件著作权，研发了多项核心技术支撑平台，并以此为基础，针对智慧政务及智慧企业不同领域开发了多类应</w:t>
      </w:r>
    </w:p>
    <w:p>
      <w:pPr>
        <w:pStyle w:val="BodyText"/>
        <w:spacing w:line="300" w:lineRule="auto" w:before="76"/>
        <w:ind w:right="1130"/>
        <w:jc w:val="both"/>
      </w:pPr>
      <w:r>
        <w:rPr>
          <w:spacing w:val="-3"/>
        </w:rPr>
        <w:t>用。强大的团队研发能力和丰富的行业经验是公司获得客户支持和提高市场份额的保证。</w:t>
      </w:r>
      <w:r>
        <w:rPr>
          <w:rFonts w:ascii="Times New Roman" w:hAnsi="Times New Roman" w:cs="Times New Roman" w:eastAsia="Times New Roman" w:hint="default"/>
          <w:spacing w:val="-3"/>
        </w:rPr>
        <w:t>2018</w:t>
      </w:r>
      <w:r>
        <w:rPr>
          <w:spacing w:val="-3"/>
        </w:rPr>
        <w:t>年度，研发投入金额为</w:t>
      </w:r>
      <w:r>
        <w:rPr>
          <w:rFonts w:ascii="Times New Roman" w:hAnsi="Times New Roman" w:cs="Times New Roman" w:eastAsia="Times New Roman" w:hint="default"/>
          <w:spacing w:val="-3"/>
        </w:rPr>
        <w:t>2,425.20</w:t>
      </w:r>
      <w:r>
        <w:rPr>
          <w:rFonts w:ascii="Times New Roman" w:hAnsi="Times New Roman" w:cs="Times New Roman" w:eastAsia="Times New Roman" w:hint="default"/>
          <w:spacing w:val="-35"/>
        </w:rPr>
        <w:t> </w:t>
      </w:r>
      <w:r>
        <w:rPr/>
        <w:t>万元，随着业务规模的扩大，研发投入较上年同期有所增加。截止</w:t>
      </w:r>
      <w:r>
        <w:rPr>
          <w:rFonts w:ascii="Times New Roman" w:hAnsi="Times New Roman" w:cs="Times New Roman" w:eastAsia="Times New Roman" w:hint="default"/>
        </w:rPr>
        <w:t>2018</w:t>
      </w:r>
      <w:r>
        <w:rPr/>
        <w:t>年年底，公司共拥有软件著作权</w:t>
      </w:r>
      <w:r>
        <w:rPr>
          <w:rFonts w:ascii="Times New Roman" w:hAnsi="Times New Roman" w:cs="Times New Roman" w:eastAsia="Times New Roman" w:hint="default"/>
        </w:rPr>
        <w:t>331</w:t>
      </w:r>
      <w:r>
        <w:rPr/>
        <w:t>项，拥有软件产 品登记证</w:t>
      </w:r>
      <w:r>
        <w:rPr>
          <w:rFonts w:ascii="Times New Roman" w:hAnsi="Times New Roman" w:cs="Times New Roman" w:eastAsia="Times New Roman" w:hint="default"/>
        </w:rPr>
        <w:t>102</w:t>
      </w:r>
      <w:r>
        <w:rPr/>
        <w:t>个，国家发明专利</w:t>
      </w:r>
      <w:r>
        <w:rPr>
          <w:rFonts w:ascii="Times New Roman" w:hAnsi="Times New Roman" w:cs="Times New Roman" w:eastAsia="Times New Roman" w:hint="default"/>
        </w:rPr>
        <w:t>2</w:t>
      </w:r>
      <w:r>
        <w:rPr/>
        <w:t>项，实用新型专利</w:t>
      </w:r>
      <w:r>
        <w:rPr>
          <w:rFonts w:ascii="Times New Roman" w:hAnsi="Times New Roman" w:cs="Times New Roman" w:eastAsia="Times New Roman" w:hint="default"/>
        </w:rPr>
        <w:t>7</w:t>
      </w:r>
      <w:r>
        <w:rPr/>
        <w:t>项，注册商标</w:t>
      </w:r>
      <w:r>
        <w:rPr>
          <w:rFonts w:ascii="Times New Roman" w:hAnsi="Times New Roman" w:cs="Times New Roman" w:eastAsia="Times New Roman" w:hint="default"/>
        </w:rPr>
        <w:t>3</w:t>
      </w:r>
      <w:r>
        <w:rPr/>
        <w:t>项。</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spacing w:line="240" w:lineRule="auto"/>
        <w:ind w:right="0"/>
        <w:jc w:val="both"/>
      </w:pPr>
      <w:r>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21.74%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24,252,042.35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22,045,032.76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21,718,362.36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研发投入总额占营业收入的比重较上年发生显著变化的原因</w:t>
      </w:r>
    </w:p>
    <w:p>
      <w:pPr>
        <w:pStyle w:val="BodyText"/>
        <w:spacing w:line="340" w:lineRule="auto" w:before="11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312,981,049.45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285,991,545.26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332,440,116.82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278,529,468.57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-19,459,067.37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7,462,076.69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-360.77%</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4,800,887.63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25,583,472.22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11,158,357.17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129.28%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-20,782,584.59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-11,158,357.17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-86.25%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250,528,300.00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85,868,110.15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52,877,439.38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62.39%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-65,868,110.15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197,650,860.62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-133.33%</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-106,109,762.11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193,954,580.14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-154.71%</w:t>
            </w:r>
            <w:r>
              <w:rPr>
                <w:rFonts w:ascii="Times New Roman"/>
                <w:sz w:val="18"/>
              </w:rPr>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514" w:right="0"/>
        <w:jc w:val="left"/>
      </w:pPr>
      <w:r>
        <w:rPr>
          <w:rFonts w:ascii="Times New Roman" w:hAnsi="Times New Roman" w:cs="Times New Roman" w:eastAsia="Times New Roman" w:hint="default"/>
        </w:rPr>
        <w:t>1</w:t>
      </w:r>
      <w:r>
        <w:rPr/>
        <w:t>、经营活动产生的现金流量净额较上年同期减少</w:t>
      </w:r>
      <w:r>
        <w:rPr>
          <w:rFonts w:ascii="Times New Roman" w:hAnsi="Times New Roman" w:cs="Times New Roman" w:eastAsia="Times New Roman" w:hint="default"/>
        </w:rPr>
        <w:t>360.77%,</w:t>
      </w:r>
      <w:r>
        <w:rPr/>
        <w:t>主要系报告期公司购买商品、接受劳务支付的现金增加所致。</w:t>
      </w:r>
    </w:p>
    <w:p>
      <w:pPr>
        <w:pStyle w:val="BodyText"/>
        <w:spacing w:line="240" w:lineRule="auto" w:before="103"/>
        <w:ind w:left="514" w:right="0"/>
        <w:jc w:val="left"/>
      </w:pPr>
      <w:r>
        <w:rPr>
          <w:rFonts w:ascii="Times New Roman" w:hAnsi="Times New Roman" w:cs="Times New Roman" w:eastAsia="Times New Roman" w:hint="default"/>
        </w:rPr>
        <w:t>2</w:t>
      </w:r>
      <w:r>
        <w:rPr/>
        <w:t>、投资活动现金流入小计较上年同期增加</w:t>
      </w:r>
      <w:r>
        <w:rPr>
          <w:rFonts w:ascii="Times New Roman" w:hAnsi="Times New Roman" w:cs="Times New Roman" w:eastAsia="Times New Roman" w:hint="default"/>
        </w:rPr>
        <w:t>100%,</w:t>
      </w:r>
      <w:r>
        <w:rPr/>
        <w:t>主要系报告期公司收到其他与投资活动有关的现金而上年同期没有。</w:t>
      </w:r>
    </w:p>
    <w:p>
      <w:pPr>
        <w:pStyle w:val="BodyText"/>
        <w:spacing w:line="302" w:lineRule="auto" w:before="101"/>
        <w:ind w:right="1152" w:firstLine="360"/>
        <w:jc w:val="left"/>
      </w:pPr>
      <w:r>
        <w:rPr>
          <w:rFonts w:ascii="Times New Roman" w:hAnsi="Times New Roman" w:cs="Times New Roman" w:eastAsia="Times New Roman" w:hint="default"/>
        </w:rPr>
        <w:t>3</w:t>
      </w:r>
      <w:r>
        <w:rPr/>
        <w:t>、投资活动现金流出小计较上年同期增加</w:t>
      </w:r>
      <w:r>
        <w:rPr>
          <w:rFonts w:ascii="Times New Roman" w:hAnsi="Times New Roman" w:cs="Times New Roman" w:eastAsia="Times New Roman" w:hint="default"/>
        </w:rPr>
        <w:t>129.28%,</w:t>
      </w:r>
      <w:r>
        <w:rPr/>
        <w:t>主要系报告期公司购建固定资产、无形资产和其他长期资产支付的 现金增加所致。</w:t>
      </w:r>
    </w:p>
    <w:p>
      <w:pPr>
        <w:pStyle w:val="BodyText"/>
        <w:spacing w:line="302" w:lineRule="auto" w:before="68"/>
        <w:ind w:right="1118" w:firstLine="360"/>
        <w:jc w:val="left"/>
      </w:pPr>
      <w:r>
        <w:rPr>
          <w:rFonts w:ascii="Times New Roman" w:hAnsi="Times New Roman" w:cs="Times New Roman" w:eastAsia="Times New Roman" w:hint="default"/>
          <w:spacing w:val="-1"/>
        </w:rPr>
        <w:t>4</w:t>
      </w:r>
      <w:r>
        <w:rPr>
          <w:spacing w:val="-1"/>
        </w:rPr>
        <w:t>、投资活动产生的现金流量净额较上年同期减少</w:t>
      </w:r>
      <w:r>
        <w:rPr>
          <w:rFonts w:ascii="Times New Roman" w:hAnsi="Times New Roman" w:cs="Times New Roman" w:eastAsia="Times New Roman" w:hint="default"/>
          <w:spacing w:val="-1"/>
        </w:rPr>
        <w:t>86.25%,</w:t>
      </w:r>
      <w:r>
        <w:rPr>
          <w:spacing w:val="-1"/>
        </w:rPr>
        <w:t>主要系报告期公司购建固定资产、无形资产和其他长期资产支</w:t>
      </w:r>
      <w:r>
        <w:rPr/>
        <w:t> 付的现金增加所致。</w:t>
      </w:r>
    </w:p>
    <w:p>
      <w:pPr>
        <w:pStyle w:val="BodyText"/>
        <w:spacing w:line="302" w:lineRule="auto" w:before="69"/>
        <w:ind w:right="1118" w:firstLine="360"/>
        <w:jc w:val="left"/>
      </w:pPr>
      <w:r>
        <w:rPr>
          <w:rFonts w:ascii="Times New Roman" w:hAnsi="Times New Roman" w:cs="Times New Roman" w:eastAsia="Times New Roman" w:hint="default"/>
          <w:spacing w:val="-1"/>
        </w:rPr>
        <w:t>5</w:t>
      </w:r>
      <w:r>
        <w:rPr>
          <w:spacing w:val="-1"/>
        </w:rPr>
        <w:t>、筹资活动现金流入小计较上年同期减少</w:t>
      </w:r>
      <w:r>
        <w:rPr>
          <w:rFonts w:ascii="Times New Roman" w:hAnsi="Times New Roman" w:cs="Times New Roman" w:eastAsia="Times New Roman" w:hint="default"/>
          <w:spacing w:val="-1"/>
        </w:rPr>
        <w:t>92.02%,</w:t>
      </w:r>
      <w:r>
        <w:rPr>
          <w:spacing w:val="-1"/>
        </w:rPr>
        <w:t>主要系报告期公司吸收投资收到的现金和取得借款收到的现金减少所</w:t>
      </w:r>
      <w:r>
        <w:rPr/>
        <w:t> 致。</w:t>
      </w:r>
    </w:p>
    <w:p>
      <w:pPr>
        <w:pStyle w:val="BodyText"/>
        <w:spacing w:line="240" w:lineRule="auto" w:before="69"/>
        <w:ind w:left="514" w:right="0"/>
        <w:jc w:val="left"/>
      </w:pPr>
      <w:r>
        <w:rPr>
          <w:rFonts w:ascii="Times New Roman" w:hAnsi="Times New Roman" w:cs="Times New Roman" w:eastAsia="Times New Roman" w:hint="default"/>
        </w:rPr>
        <w:t>6</w:t>
      </w:r>
      <w:r>
        <w:rPr/>
        <w:t>、筹资活动现金流出小计较上年同期增加</w:t>
      </w:r>
      <w:r>
        <w:rPr>
          <w:rFonts w:ascii="Times New Roman" w:hAnsi="Times New Roman" w:cs="Times New Roman" w:eastAsia="Times New Roman" w:hint="default"/>
        </w:rPr>
        <w:t>62.39%,</w:t>
      </w:r>
      <w:r>
        <w:rPr/>
        <w:t>主要系报告期公司偿还债务支付的现金增加所致。</w:t>
      </w:r>
    </w:p>
    <w:p>
      <w:pPr>
        <w:pStyle w:val="BodyText"/>
        <w:spacing w:line="302" w:lineRule="auto" w:before="101"/>
        <w:ind w:right="1152" w:firstLine="360"/>
        <w:jc w:val="left"/>
      </w:pPr>
      <w:r>
        <w:rPr>
          <w:rFonts w:ascii="Times New Roman" w:hAnsi="Times New Roman" w:cs="Times New Roman" w:eastAsia="Times New Roman" w:hint="default"/>
        </w:rPr>
        <w:t>7</w:t>
      </w:r>
      <w:r>
        <w:rPr/>
        <w:t>、筹资活动产生的现金流量净额较上年同期减少</w:t>
      </w:r>
      <w:r>
        <w:rPr>
          <w:rFonts w:ascii="Times New Roman" w:hAnsi="Times New Roman" w:cs="Times New Roman" w:eastAsia="Times New Roman" w:hint="default"/>
        </w:rPr>
        <w:t>133.33%,</w:t>
      </w:r>
      <w:r>
        <w:rPr/>
        <w:t>主要系报告期公司吸收投资收到的现金和取得借款收到的现 金减少所致。</w:t>
      </w:r>
    </w:p>
    <w:p>
      <w:pPr>
        <w:pStyle w:val="BodyText"/>
        <w:spacing w:line="302" w:lineRule="auto" w:before="69"/>
        <w:ind w:right="1152" w:firstLine="360"/>
        <w:jc w:val="left"/>
      </w:pPr>
      <w:r>
        <w:rPr>
          <w:rFonts w:ascii="Times New Roman" w:hAnsi="Times New Roman" w:cs="Times New Roman" w:eastAsia="Times New Roman" w:hint="default"/>
        </w:rPr>
        <w:t>8</w:t>
      </w:r>
      <w:r>
        <w:rPr/>
        <w:t>、现金及现金等价物净增加额较上年同期减少</w:t>
      </w:r>
      <w:r>
        <w:rPr>
          <w:rFonts w:ascii="Times New Roman" w:hAnsi="Times New Roman" w:cs="Times New Roman" w:eastAsia="Times New Roman" w:hint="default"/>
        </w:rPr>
        <w:t>154.71%,</w:t>
      </w:r>
      <w:r>
        <w:rPr/>
        <w:t>主要系报告期公司经营活动产生的现金流量净额、投资活动产 生的现金流量净额和筹资活动产生的现金流量净额减少所致。</w:t>
      </w:r>
    </w:p>
    <w:p>
      <w:pPr>
        <w:pStyle w:val="BodyText"/>
        <w:spacing w:line="240" w:lineRule="auto" w:before="69"/>
        <w:ind w:right="0"/>
        <w:jc w:val="left"/>
      </w:pPr>
      <w:r>
        <w:rPr/>
        <w:t>报告期内公司经营活动产生的现金净流量与本年度净利润存在重大差异的原因说明</w:t>
      </w:r>
    </w:p>
    <w:p>
      <w:pPr>
        <w:pStyle w:val="BodyText"/>
        <w:spacing w:line="340" w:lineRule="auto" w:before="116"/>
        <w:ind w:left="514" w:right="337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经营活动产生的现金流量净额较净利润减少主要是由于报告期经营性应收项目增加所致。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33"/>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2"/>
        <w:spacing w:line="240" w:lineRule="auto"/>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65"/>
        <w:gridCol w:w="1277"/>
        <w:gridCol w:w="1276"/>
        <w:gridCol w:w="1276"/>
        <w:gridCol w:w="1276"/>
        <w:gridCol w:w="993"/>
        <w:gridCol w:w="2197"/>
      </w:tblGrid>
      <w:tr>
        <w:trPr>
          <w:trHeight w:val="206"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25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5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265" w:type="dxa"/>
            <w:vMerge w:val="restart"/>
            <w:tcBorders>
              <w:top w:val="nil" w:sz="6" w:space="0" w:color="auto"/>
              <w:left w:val="single" w:sz="4" w:space="0" w:color="000000"/>
              <w:right w:val="single" w:sz="4" w:space="0" w:color="000000"/>
            </w:tcBorders>
            <w:shd w:val="clear" w:color="auto" w:fill="D2D2D2"/>
          </w:tcPr>
          <w:p>
            <w:pPr/>
          </w:p>
        </w:tc>
        <w:tc>
          <w:tcPr>
            <w:tcW w:w="2553" w:type="dxa"/>
            <w:gridSpan w:val="2"/>
            <w:vMerge/>
            <w:tcBorders>
              <w:left w:val="single" w:sz="4" w:space="0" w:color="000000"/>
              <w:bottom w:val="single" w:sz="4" w:space="0" w:color="000000"/>
              <w:right w:val="single" w:sz="4" w:space="0" w:color="000000"/>
            </w:tcBorders>
            <w:shd w:val="clear" w:color="auto" w:fill="D2D2D2"/>
          </w:tcPr>
          <w:p>
            <w:pPr/>
          </w:p>
        </w:tc>
        <w:tc>
          <w:tcPr>
            <w:tcW w:w="2551" w:type="dxa"/>
            <w:gridSpan w:val="2"/>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2197" w:type="dxa"/>
            <w:vMerge/>
            <w:tcBorders>
              <w:left w:val="single" w:sz="4" w:space="0" w:color="000000"/>
              <w:right w:val="single" w:sz="4" w:space="0" w:color="000000"/>
            </w:tcBorders>
            <w:shd w:val="clear" w:color="auto" w:fill="D2D2D2"/>
          </w:tcPr>
          <w:p>
            <w:pPr/>
          </w:p>
        </w:tc>
      </w:tr>
      <w:tr>
        <w:trPr>
          <w:trHeight w:val="200" w:hRule="exact"/>
        </w:trPr>
        <w:tc>
          <w:tcPr>
            <w:tcW w:w="1265"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3" w:type="dxa"/>
            <w:vMerge/>
            <w:tcBorders>
              <w:left w:val="single" w:sz="4" w:space="0" w:color="000000"/>
              <w:right w:val="single" w:sz="4" w:space="0" w:color="000000"/>
            </w:tcBorders>
            <w:shd w:val="clear" w:color="auto" w:fill="D2D2D2"/>
          </w:tcPr>
          <w:p>
            <w:pPr/>
          </w:p>
        </w:tc>
        <w:tc>
          <w:tcPr>
            <w:tcW w:w="2197" w:type="dxa"/>
            <w:vMerge/>
            <w:tcBorders>
              <w:left w:val="single" w:sz="4" w:space="0" w:color="000000"/>
              <w:right w:val="single" w:sz="4" w:space="0" w:color="000000"/>
            </w:tcBorders>
            <w:shd w:val="clear" w:color="auto" w:fill="D2D2D2"/>
          </w:tcPr>
          <w:p>
            <w:pPr/>
          </w:p>
        </w:tc>
      </w:tr>
      <w:tr>
        <w:trPr>
          <w:trHeight w:val="207"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21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204,791,776.75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316,170,312.69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52.14%</w:t>
            </w:r>
          </w:p>
        </w:tc>
        <w:tc>
          <w:tcPr>
            <w:tcW w:w="993"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-18.88%</w:t>
            </w:r>
          </w:p>
        </w:tc>
        <w:tc>
          <w:tcPr>
            <w:tcW w:w="2197"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155,661,264.58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106,812,607.61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17.61%</w:t>
            </w:r>
          </w:p>
        </w:tc>
        <w:tc>
          <w:tcPr>
            <w:tcW w:w="993"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7.67%</w:t>
            </w:r>
          </w:p>
        </w:tc>
        <w:tc>
          <w:tcPr>
            <w:tcW w:w="2197"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83,441,284.46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67,578,474.64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w:t>
            </w:r>
          </w:p>
        </w:tc>
        <w:tc>
          <w:tcPr>
            <w:tcW w:w="993"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2.41%</w:t>
            </w:r>
          </w:p>
        </w:tc>
        <w:tc>
          <w:tcPr>
            <w:tcW w:w="2197"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1276"/>
        <w:gridCol w:w="1276"/>
        <w:gridCol w:w="1276"/>
        <w:gridCol w:w="1004"/>
        <w:gridCol w:w="2174"/>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6,984,233.82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7,198,662.08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w:t>
            </w:r>
          </w:p>
        </w:tc>
        <w:tc>
          <w:tcPr>
            <w:tcW w:w="1004"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-0.06%</w:t>
            </w:r>
          </w:p>
        </w:tc>
        <w:tc>
          <w:tcPr>
            <w:tcW w:w="2174"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75,427,659.74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65,244,454.67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10.76%</w:t>
            </w:r>
          </w:p>
        </w:tc>
        <w:tc>
          <w:tcPr>
            <w:tcW w:w="1004"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1.49%</w:t>
            </w:r>
          </w:p>
        </w:tc>
        <w:tc>
          <w:tcPr>
            <w:tcW w:w="2174"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1,315,641.33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004"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-0.22%</w:t>
            </w:r>
          </w:p>
        </w:tc>
        <w:tc>
          <w:tcPr>
            <w:tcW w:w="2174"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11.54%</w:t>
            </w:r>
          </w:p>
        </w:tc>
        <w:tc>
          <w:tcPr>
            <w:tcW w:w="1004"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-8.29%</w:t>
            </w:r>
          </w:p>
        </w:tc>
        <w:tc>
          <w:tcPr>
            <w:tcW w:w="2174"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212"/>
        <w:jc w:val="left"/>
        <w:rPr>
          <w:rFonts w:ascii="Times New Roman" w:hAnsi="Times New Roman" w:cs="Times New Roman" w:eastAsia="Times New Roman" w:hint="default"/>
        </w:rPr>
      </w:pPr>
      <w:r>
        <w:rPr/>
        <w:t>截至报告期末，公司未执行完毕的银行抵押合同具体情况如下： 公司与上海浦东发展银行股份有限公司长沙分行于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日签订的最高额抵押合同，合同期限为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p>
    <w:p>
      <w:pPr>
        <w:pStyle w:val="BodyText"/>
        <w:spacing w:line="300" w:lineRule="auto"/>
        <w:ind w:right="1215"/>
        <w:jc w:val="left"/>
      </w:pP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日，抵押担保最高债权额为</w:t>
      </w:r>
      <w:r>
        <w:rPr>
          <w:rFonts w:ascii="Times New Roman" w:hAnsi="Times New Roman" w:cs="Times New Roman" w:eastAsia="Times New Roman" w:hint="default"/>
        </w:rPr>
        <w:t>816.40</w:t>
      </w:r>
      <w:r>
        <w:rPr/>
        <w:t>万元，抵押物为公司波波天下城</w:t>
      </w:r>
      <w:r>
        <w:rPr>
          <w:rFonts w:ascii="Times New Roman" w:hAnsi="Times New Roman" w:cs="Times New Roman" w:eastAsia="Times New Roman" w:hint="default"/>
        </w:rPr>
        <w:t>10</w:t>
      </w:r>
      <w:r>
        <w:rPr/>
        <w:t>套房产，产权证号为长房权证天心字 第</w:t>
      </w:r>
      <w:r>
        <w:rPr>
          <w:rFonts w:ascii="Times New Roman" w:hAnsi="Times New Roman" w:cs="Times New Roman" w:eastAsia="Times New Roman" w:hint="default"/>
        </w:rPr>
        <w:t>711053545-711053554</w:t>
      </w:r>
      <w:r>
        <w:rPr/>
        <w:t>号。</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44"/>
        <w:ind w:left="0" w:right="1147"/>
        <w:jc w:val="right"/>
      </w:pPr>
      <w:r>
        <w:rPr/>
        <w:pict>
          <v:shape style="position:absolute;margin-left:56.459999pt;margin-top:-268.438263pt;width:478.95pt;height:335.0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公开发行 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16,265.29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4,264.14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4,264.14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6,103.3</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15"/>
                          <w:jc w:val="both"/>
                          <w:rPr>
                            <w:rFonts w:ascii="宋体" w:hAnsi="宋体" w:cs="宋体" w:eastAsia="宋体" w:hint="default"/>
                            <w:sz w:val="18"/>
                            <w:szCs w:val="18"/>
                          </w:rPr>
                        </w:pPr>
                        <w:r>
                          <w:rPr>
                            <w:rFonts w:ascii="宋体" w:hAnsi="宋体" w:cs="宋体" w:eastAsia="宋体" w:hint="default"/>
                            <w:sz w:val="18"/>
                            <w:szCs w:val="18"/>
                          </w:rPr>
                          <w:t>以活期存 款方式存 储在募集 资金专户 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16,265.29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4,264.14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4,264.14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6,103.3</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898"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2"/>
                          <w:ind w:left="22" w:right="80" w:firstLine="36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[2017]2044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号》文的核准，公司于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年向社会公开发行境内上市人民币普 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23,240,000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股，每股面值为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元，发行价格为人民币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194,286,400.00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扣除发行费用人民币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31,633,</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00.00 </w:t>
                        </w:r>
                        <w:r>
                          <w:rPr>
                            <w:rFonts w:ascii="宋体" w:hAnsi="宋体" w:cs="宋体" w:eastAsia="宋体" w:hint="default"/>
                            <w:sz w:val="18"/>
                            <w:szCs w:val="18"/>
                          </w:rPr>
                          <w:t>元（不含发行费用的可抵扣增值税进项税额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1,898,0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4.00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，募集资金净额为人民币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162,652,900.00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元。扣除主承销商西部证券股份有限公司的保荐及承销费用人民币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21,698,100.00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元，余额人民币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172,588,300.00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元已通过西部证券股份有限公司于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日全部汇入本公司上海浦东发展银行股份有限公司长沙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分行科创新材料支行</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66220078801200000155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账号内。上述募集资金到位情况已经天职国际会计师事务所（特殊普通合伙</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审验、并出具</w:t>
                        </w:r>
                        <w:r>
                          <w:rPr>
                            <w:rFonts w:ascii="Times New Roman" w:hAnsi="Times New Roman" w:cs="Times New Roman" w:eastAsia="Times New Roman" w:hint="default"/>
                            <w:sz w:val="18"/>
                            <w:szCs w:val="18"/>
                          </w:rPr>
                          <w:t>“</w:t>
                        </w: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[2017]18716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号《验资报告》</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日，公开发行募集资金净额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162,652,900.00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元，募投项目累计已使用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42,641,400.15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元；暂时补充流动资金使用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元，专户产生的利息收入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1,023,174.87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元，银行手续费支出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1,627.04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元，募集资金余额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61,033,047.68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元，公司以活期存款方式存储在公司募集资金专户。</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63"/>
        <w:gridCol w:w="710"/>
        <w:gridCol w:w="690"/>
        <w:gridCol w:w="722"/>
        <w:gridCol w:w="721"/>
        <w:gridCol w:w="842"/>
        <w:gridCol w:w="710"/>
        <w:gridCol w:w="709"/>
        <w:gridCol w:w="709"/>
        <w:gridCol w:w="640"/>
      </w:tblGrid>
      <w:tr>
        <w:trPr>
          <w:trHeight w:val="165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61" w:right="91"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55" w:right="5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6" w:right="104"/>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8"/>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9" w:right="68"/>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6" w:right="5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8"/>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9" w:right="78"/>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专有云平台技术升 级改造项目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3,994.44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3,994.44</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1,118.43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1,118.43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28.00%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大数据平台技术升 级及应用研发项目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4,670.23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4,670.23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1,294.03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1,294.03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27.71%</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研发中心项目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4,807.72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3,405.83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796.78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796.78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23.39%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营销网络建设项目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2,792.9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4,194.79</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1,054.9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1,054.9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25.15%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720"/>
        <w:gridCol w:w="748"/>
        <w:gridCol w:w="167"/>
        <w:gridCol w:w="721"/>
        <w:gridCol w:w="763"/>
        <w:gridCol w:w="710"/>
        <w:gridCol w:w="690"/>
        <w:gridCol w:w="722"/>
        <w:gridCol w:w="721"/>
        <w:gridCol w:w="842"/>
        <w:gridCol w:w="710"/>
        <w:gridCol w:w="709"/>
        <w:gridCol w:w="709"/>
        <w:gridCol w:w="640"/>
      </w:tblGrid>
      <w:tr>
        <w:trPr>
          <w:trHeight w:val="161" w:hRule="exact"/>
        </w:trPr>
        <w:tc>
          <w:tcPr>
            <w:tcW w:w="1635"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16,265.2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16,265.2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w:t>
            </w: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4,264.14</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4,264.14</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9" w:space="0" w:color="D2D2D2"/>
              <w:right w:val="single" w:sz="4" w:space="0" w:color="000000"/>
            </w:tcBorders>
          </w:tcPr>
          <w:p>
            <w:pPr/>
          </w:p>
        </w:tc>
        <w:tc>
          <w:tcPr>
            <w:tcW w:w="709" w:type="dxa"/>
            <w:vMerge w:val="restart"/>
            <w:tcBorders>
              <w:top w:val="single" w:sz="4" w:space="0" w:color="000000"/>
              <w:left w:val="single" w:sz="4" w:space="0" w:color="000000"/>
              <w:right w:val="single" w:sz="9" w:space="0" w:color="D2D2D2"/>
            </w:tcBorders>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63" w:type="dxa"/>
            <w:vMerge/>
            <w:tcBorders>
              <w:left w:val="single" w:sz="9"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8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0" w:type="dxa"/>
            <w:vMerge/>
            <w:tcBorders>
              <w:left w:val="single" w:sz="9" w:space="0" w:color="D2D2D2"/>
              <w:right w:val="single" w:sz="4" w:space="0" w:color="000000"/>
            </w:tcBorders>
          </w:tcPr>
          <w:p>
            <w:pPr/>
          </w:p>
        </w:tc>
        <w:tc>
          <w:tcPr>
            <w:tcW w:w="709" w:type="dxa"/>
            <w:vMerge/>
            <w:tcBorders>
              <w:left w:val="single" w:sz="4" w:space="0" w:color="000000"/>
              <w:right w:val="single" w:sz="9" w:space="0" w:color="D2D2D2"/>
            </w:tcBorders>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9" w:space="0" w:color="D2D2D2"/>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9" w:space="0" w:color="D2D2D2"/>
            </w:tcBorders>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35"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16,265.2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16,265.2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w:t>
            </w:r>
          </w:p>
        </w:tc>
        <w:tc>
          <w:tcPr>
            <w:tcW w:w="69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4,264.14</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4,264.14</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4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763" w:type="dxa"/>
            <w:vMerge/>
            <w:tcBorders>
              <w:left w:val="single" w:sz="9"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w:t>
            </w:r>
          </w:p>
        </w:tc>
        <w:tc>
          <w:tcPr>
            <w:tcW w:w="8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10" w:type="dxa"/>
            <w:vMerge/>
            <w:tcBorders>
              <w:left w:val="single" w:sz="9" w:space="0" w:color="D2D2D2"/>
              <w:right w:val="single" w:sz="4" w:space="0" w:color="000000"/>
            </w:tcBorders>
          </w:tcPr>
          <w:p>
            <w:pPr/>
          </w:p>
        </w:tc>
        <w:tc>
          <w:tcPr>
            <w:tcW w:w="709" w:type="dxa"/>
            <w:vMerge/>
            <w:tcBorders>
              <w:left w:val="single" w:sz="4" w:space="0" w:color="000000"/>
              <w:right w:val="single" w:sz="9" w:space="0" w:color="D2D2D2"/>
            </w:tcBorders>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200" w:hRule="exact"/>
        </w:trPr>
        <w:tc>
          <w:tcPr>
            <w:tcW w:w="163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36" w:space="0" w:color="D2D2D2"/>
              <w:right w:val="single" w:sz="4" w:space="0" w:color="000000"/>
            </w:tcBorders>
          </w:tcPr>
          <w:p>
            <w:pPr/>
          </w:p>
        </w:tc>
        <w:tc>
          <w:tcPr>
            <w:tcW w:w="710" w:type="dxa"/>
            <w:vMerge/>
            <w:tcBorders>
              <w:left w:val="single" w:sz="4" w:space="0" w:color="000000"/>
              <w:bottom w:val="single" w:sz="36" w:space="0" w:color="D2D2D2"/>
              <w:right w:val="single" w:sz="4" w:space="0" w:color="000000"/>
            </w:tcBorders>
          </w:tcPr>
          <w:p>
            <w:pPr/>
          </w:p>
        </w:tc>
        <w:tc>
          <w:tcPr>
            <w:tcW w:w="690" w:type="dxa"/>
            <w:vMerge/>
            <w:tcBorders>
              <w:left w:val="single" w:sz="4" w:space="0" w:color="000000"/>
              <w:bottom w:val="single" w:sz="36" w:space="0" w:color="D2D2D2"/>
              <w:right w:val="single" w:sz="4" w:space="0" w:color="000000"/>
            </w:tcBorders>
          </w:tcPr>
          <w:p>
            <w:pPr/>
          </w:p>
        </w:tc>
        <w:tc>
          <w:tcPr>
            <w:tcW w:w="722" w:type="dxa"/>
            <w:vMerge/>
            <w:tcBorders>
              <w:left w:val="single" w:sz="4" w:space="0" w:color="000000"/>
              <w:bottom w:val="single" w:sz="36" w:space="0" w:color="D2D2D2"/>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9" w:space="0" w:color="D2D2D2"/>
              <w:bottom w:val="single" w:sz="36" w:space="0" w:color="D2D2D2"/>
              <w:right w:val="single" w:sz="4" w:space="0" w:color="000000"/>
            </w:tcBorders>
          </w:tcPr>
          <w:p>
            <w:pPr/>
          </w:p>
        </w:tc>
        <w:tc>
          <w:tcPr>
            <w:tcW w:w="709" w:type="dxa"/>
            <w:vMerge/>
            <w:tcBorders>
              <w:left w:val="single" w:sz="4" w:space="0" w:color="000000"/>
              <w:bottom w:val="single" w:sz="36" w:space="0" w:color="D2D2D2"/>
              <w:right w:val="single" w:sz="9" w:space="0" w:color="D2D2D2"/>
            </w:tcBorders>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4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635"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7938" w:type="dxa"/>
            <w:gridSpan w:val="11"/>
            <w:tcBorders>
              <w:top w:val="single" w:sz="36" w:space="0" w:color="D2D2D2"/>
              <w:left w:val="single" w:sz="13" w:space="0" w:color="D2D2D2"/>
              <w:bottom w:val="single" w:sz="31" w:space="0" w:color="D2D2D2"/>
              <w:right w:val="single" w:sz="10" w:space="0" w:color="D2D2D2"/>
            </w:tcBorders>
            <w:shd w:val="clear" w:color="auto" w:fill="D9D9D9"/>
          </w:tcPr>
          <w:p>
            <w:pPr>
              <w:pStyle w:val="TableParagraph"/>
              <w:spacing w:line="208" w:lineRule="exact"/>
              <w:ind w:left="11" w:right="0"/>
              <w:jc w:val="left"/>
              <w:rPr>
                <w:rFonts w:ascii="宋体" w:hAnsi="宋体" w:cs="宋体" w:eastAsia="宋体" w:hint="default"/>
                <w:sz w:val="18"/>
                <w:szCs w:val="18"/>
              </w:rPr>
            </w:pPr>
            <w:r>
              <w:rPr>
                <w:rFonts w:ascii="宋体" w:hAnsi="宋体" w:cs="宋体" w:eastAsia="宋体" w:hint="default"/>
                <w:spacing w:val="-1"/>
                <w:sz w:val="18"/>
                <w:szCs w:val="18"/>
              </w:rPr>
              <w:t>专有云平台技术升级改造项目、大数据平台技术升级及应用研发项目、研发中心项目未达到计划进度</w:t>
            </w:r>
          </w:p>
        </w:tc>
      </w:tr>
      <w:tr>
        <w:trPr>
          <w:trHeight w:val="312" w:hRule="exact"/>
        </w:trPr>
        <w:tc>
          <w:tcPr>
            <w:tcW w:w="1468" w:type="dxa"/>
            <w:gridSpan w:val="2"/>
            <w:tcBorders>
              <w:top w:val="nil" w:sz="6" w:space="0" w:color="auto"/>
              <w:left w:val="single" w:sz="13" w:space="0" w:color="D2D2D2"/>
              <w:bottom w:val="single" w:sz="31" w:space="0" w:color="FFFFFF"/>
              <w:right w:val="nil" w:sz="6" w:space="0" w:color="auto"/>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未达到计划进度或</w:t>
            </w:r>
          </w:p>
        </w:tc>
        <w:tc>
          <w:tcPr>
            <w:tcW w:w="167" w:type="dxa"/>
            <w:vMerge w:val="restart"/>
            <w:tcBorders>
              <w:top w:val="nil" w:sz="6" w:space="0" w:color="auto"/>
              <w:left w:val="nil" w:sz="6" w:space="0" w:color="auto"/>
              <w:right w:val="single" w:sz="4" w:space="0" w:color="000000"/>
            </w:tcBorders>
            <w:shd w:val="clear" w:color="auto" w:fill="D2D2D2"/>
          </w:tcPr>
          <w:p>
            <w:pPr/>
          </w:p>
        </w:tc>
        <w:tc>
          <w:tcPr>
            <w:tcW w:w="7938" w:type="dxa"/>
            <w:gridSpan w:val="11"/>
            <w:tcBorders>
              <w:top w:val="single" w:sz="31" w:space="0" w:color="D2D2D2"/>
              <w:left w:val="single" w:sz="9" w:space="0" w:color="D2D2D2"/>
              <w:bottom w:val="single" w:sz="31" w:space="0" w:color="D2D2D2"/>
              <w:right w:val="single" w:sz="10" w:space="0" w:color="D2D2D2"/>
            </w:tcBorders>
            <w:shd w:val="clear" w:color="auto" w:fill="D9D9D9"/>
          </w:tcPr>
          <w:p>
            <w:pPr>
              <w:pStyle w:val="TableParagraph"/>
              <w:spacing w:line="208" w:lineRule="exact"/>
              <w:ind w:left="16" w:right="0"/>
              <w:jc w:val="left"/>
              <w:rPr>
                <w:rFonts w:ascii="宋体" w:hAnsi="宋体" w:cs="宋体" w:eastAsia="宋体" w:hint="default"/>
                <w:sz w:val="18"/>
                <w:szCs w:val="18"/>
              </w:rPr>
            </w:pPr>
            <w:r>
              <w:rPr>
                <w:rFonts w:ascii="宋体" w:hAnsi="宋体" w:cs="宋体" w:eastAsia="宋体" w:hint="default"/>
                <w:spacing w:val="-1"/>
                <w:sz w:val="18"/>
                <w:szCs w:val="18"/>
              </w:rPr>
              <w:t>的主要原因是：公司上述募集资金投资项目是基于公司业务开展情况和行业发展趋势确定的，主要项</w:t>
            </w:r>
          </w:p>
        </w:tc>
      </w:tr>
      <w:tr>
        <w:trPr>
          <w:trHeight w:val="312" w:hRule="exact"/>
        </w:trPr>
        <w:tc>
          <w:tcPr>
            <w:tcW w:w="1468" w:type="dxa"/>
            <w:gridSpan w:val="2"/>
            <w:tcBorders>
              <w:top w:val="single" w:sz="31" w:space="0" w:color="FFFFFF"/>
              <w:left w:val="single" w:sz="13" w:space="0" w:color="D2D2D2"/>
              <w:bottom w:val="single" w:sz="16" w:space="0" w:color="D2D2D2"/>
              <w:right w:val="nil" w:sz="6" w:space="0" w:color="auto"/>
            </w:tcBorders>
            <w:shd w:val="clear" w:color="auto" w:fill="D9D9D9"/>
          </w:tcPr>
          <w:p>
            <w:pPr>
              <w:pStyle w:val="TableParagraph"/>
              <w:spacing w:line="208" w:lineRule="exact"/>
              <w:ind w:left="11" w:right="0"/>
              <w:jc w:val="left"/>
              <w:rPr>
                <w:rFonts w:ascii="宋体" w:hAnsi="宋体" w:cs="宋体" w:eastAsia="宋体" w:hint="default"/>
                <w:sz w:val="18"/>
                <w:szCs w:val="18"/>
              </w:rPr>
            </w:pPr>
            <w:r>
              <w:rPr>
                <w:rFonts w:ascii="宋体" w:hAnsi="宋体" w:cs="宋体" w:eastAsia="宋体" w:hint="default"/>
                <w:sz w:val="18"/>
                <w:szCs w:val="18"/>
              </w:rPr>
              <w:t>预计收益的情况和</w:t>
            </w:r>
          </w:p>
        </w:tc>
        <w:tc>
          <w:tcPr>
            <w:tcW w:w="167" w:type="dxa"/>
            <w:vMerge/>
            <w:tcBorders>
              <w:left w:val="nil" w:sz="6" w:space="0" w:color="auto"/>
              <w:bottom w:val="nil" w:sz="6" w:space="0" w:color="auto"/>
              <w:right w:val="single" w:sz="4" w:space="0" w:color="000000"/>
            </w:tcBorders>
            <w:shd w:val="clear" w:color="auto" w:fill="D2D2D2"/>
          </w:tcPr>
          <w:p>
            <w:pPr/>
          </w:p>
        </w:tc>
        <w:tc>
          <w:tcPr>
            <w:tcW w:w="7938" w:type="dxa"/>
            <w:gridSpan w:val="11"/>
            <w:tcBorders>
              <w:top w:val="single" w:sz="31" w:space="0" w:color="D2D2D2"/>
              <w:left w:val="single" w:sz="9" w:space="0" w:color="D2D2D2"/>
              <w:bottom w:val="single" w:sz="31" w:space="0" w:color="D2D2D2"/>
              <w:right w:val="single" w:sz="10" w:space="0" w:color="D2D2D2"/>
            </w:tcBorders>
            <w:shd w:val="clear" w:color="auto" w:fill="D9D9D9"/>
          </w:tcPr>
          <w:p>
            <w:pPr>
              <w:pStyle w:val="TableParagraph"/>
              <w:spacing w:line="208" w:lineRule="exact"/>
              <w:ind w:left="16" w:right="0"/>
              <w:jc w:val="left"/>
              <w:rPr>
                <w:rFonts w:ascii="宋体" w:hAnsi="宋体" w:cs="宋体" w:eastAsia="宋体" w:hint="default"/>
                <w:sz w:val="18"/>
                <w:szCs w:val="18"/>
              </w:rPr>
            </w:pPr>
            <w:r>
              <w:rPr>
                <w:rFonts w:ascii="宋体" w:hAnsi="宋体" w:cs="宋体" w:eastAsia="宋体" w:hint="default"/>
                <w:spacing w:val="-1"/>
                <w:sz w:val="18"/>
                <w:szCs w:val="18"/>
              </w:rPr>
              <w:t>目实施内容包括提升技术研发实力、拓展产品功能与适用领域等，受公司实际经营情况等多方面因素</w:t>
            </w:r>
          </w:p>
        </w:tc>
      </w:tr>
      <w:tr>
        <w:trPr>
          <w:trHeight w:val="313" w:hRule="exact"/>
        </w:trPr>
        <w:tc>
          <w:tcPr>
            <w:tcW w:w="1635" w:type="dxa"/>
            <w:gridSpan w:val="3"/>
            <w:tcBorders>
              <w:top w:val="single" w:sz="16" w:space="0" w:color="D2D2D2"/>
              <w:left w:val="single" w:sz="13" w:space="0" w:color="D2D2D2"/>
              <w:bottom w:val="single" w:sz="31" w:space="0" w:color="FFFFFF"/>
              <w:right w:val="single" w:sz="9" w:space="0" w:color="D2D2D2"/>
            </w:tcBorders>
            <w:shd w:val="clear" w:color="auto" w:fill="D9D9D9"/>
          </w:tcPr>
          <w:p>
            <w:pPr>
              <w:pStyle w:val="TableParagraph"/>
              <w:spacing w:line="228" w:lineRule="exact"/>
              <w:ind w:left="11" w:right="-25"/>
              <w:jc w:val="left"/>
              <w:rPr>
                <w:rFonts w:ascii="宋体" w:hAnsi="宋体" w:cs="宋体" w:eastAsia="宋体" w:hint="default"/>
                <w:sz w:val="18"/>
                <w:szCs w:val="18"/>
              </w:rPr>
            </w:pPr>
            <w:r>
              <w:rPr>
                <w:rFonts w:ascii="宋体" w:hAnsi="宋体" w:cs="宋体" w:eastAsia="宋体" w:hint="default"/>
                <w:sz w:val="18"/>
                <w:szCs w:val="18"/>
              </w:rPr>
              <w:t>原因（分具体项目）</w:t>
            </w:r>
          </w:p>
        </w:tc>
        <w:tc>
          <w:tcPr>
            <w:tcW w:w="7938" w:type="dxa"/>
            <w:gridSpan w:val="11"/>
            <w:tcBorders>
              <w:top w:val="single" w:sz="31" w:space="0" w:color="D2D2D2"/>
              <w:left w:val="single" w:sz="9" w:space="0" w:color="D2D2D2"/>
              <w:bottom w:val="single" w:sz="31" w:space="0" w:color="FFFFFF"/>
              <w:right w:val="single" w:sz="10" w:space="0" w:color="D2D2D2"/>
            </w:tcBorders>
            <w:shd w:val="clear" w:color="auto" w:fill="D9D9D9"/>
          </w:tcPr>
          <w:p>
            <w:pPr>
              <w:pStyle w:val="TableParagraph"/>
              <w:spacing w:line="208" w:lineRule="exact"/>
              <w:ind w:left="16" w:right="0"/>
              <w:jc w:val="left"/>
              <w:rPr>
                <w:rFonts w:ascii="宋体" w:hAnsi="宋体" w:cs="宋体" w:eastAsia="宋体" w:hint="default"/>
                <w:sz w:val="18"/>
                <w:szCs w:val="18"/>
              </w:rPr>
            </w:pPr>
            <w:r>
              <w:rPr>
                <w:rFonts w:ascii="宋体" w:hAnsi="宋体" w:cs="宋体" w:eastAsia="宋体" w:hint="default"/>
                <w:spacing w:val="-1"/>
                <w:sz w:val="18"/>
                <w:szCs w:val="18"/>
              </w:rPr>
              <w:t>的影响，公司本着高效使用募集资金的原则，经审慎研究，在加大对新技术与新产品研发力度的基础</w:t>
            </w:r>
          </w:p>
        </w:tc>
      </w:tr>
      <w:tr>
        <w:trPr>
          <w:trHeight w:val="315" w:hRule="exact"/>
        </w:trPr>
        <w:tc>
          <w:tcPr>
            <w:tcW w:w="1635" w:type="dxa"/>
            <w:gridSpan w:val="3"/>
            <w:tcBorders>
              <w:top w:val="single" w:sz="31" w:space="0" w:color="FFFFFF"/>
              <w:left w:val="single" w:sz="4" w:space="0" w:color="000000"/>
              <w:bottom w:val="single" w:sz="4" w:space="0" w:color="FFFFFF"/>
              <w:right w:val="single" w:sz="4" w:space="0" w:color="000000"/>
            </w:tcBorders>
            <w:shd w:val="clear" w:color="auto" w:fill="D2D2D2"/>
          </w:tcPr>
          <w:p>
            <w:pPr/>
          </w:p>
        </w:tc>
        <w:tc>
          <w:tcPr>
            <w:tcW w:w="7938" w:type="dxa"/>
            <w:gridSpan w:val="11"/>
            <w:tcBorders>
              <w:top w:val="single" w:sz="31" w:space="0" w:color="FFFFFF"/>
              <w:left w:val="single" w:sz="13" w:space="0" w:color="D2D2D2"/>
              <w:bottom w:val="single" w:sz="4" w:space="0" w:color="FFFFFF"/>
              <w:right w:val="single" w:sz="10" w:space="0" w:color="D2D2D2"/>
            </w:tcBorders>
            <w:shd w:val="clear" w:color="auto" w:fill="D9D9D9"/>
          </w:tcPr>
          <w:p>
            <w:pPr>
              <w:pStyle w:val="TableParagraph"/>
              <w:spacing w:line="221" w:lineRule="exact"/>
              <w:ind w:left="11" w:right="-26"/>
              <w:jc w:val="left"/>
              <w:rPr>
                <w:rFonts w:ascii="宋体" w:hAnsi="宋体" w:cs="宋体" w:eastAsia="宋体" w:hint="default"/>
                <w:sz w:val="18"/>
                <w:szCs w:val="18"/>
              </w:rPr>
            </w:pPr>
            <w:r>
              <w:rPr>
                <w:rFonts w:ascii="宋体" w:hAnsi="宋体" w:cs="宋体" w:eastAsia="宋体" w:hint="default"/>
                <w:sz w:val="18"/>
                <w:szCs w:val="18"/>
              </w:rPr>
              <w:t>上，决定放缓对相关软硬件设施的投入，因此拟延长上述募投项目的完成时间至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55" w:hRule="exact"/>
        </w:trPr>
        <w:tc>
          <w:tcPr>
            <w:tcW w:w="1635" w:type="dxa"/>
            <w:gridSpan w:val="3"/>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319" w:lineRule="auto" w:before="92"/>
              <w:ind w:left="22" w:right="16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项目可行性发生重</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shd w:fill="D9D9D9" w:color="auto" w:val="clear"/>
              </w:rPr>
              <w:t>大变化的情况说明</w:t>
            </w:r>
            <w:r>
              <w:rPr>
                <w:rFonts w:ascii="宋体" w:hAnsi="宋体" w:cs="宋体" w:eastAsia="宋体" w:hint="default"/>
                <w:sz w:val="18"/>
                <w:szCs w:val="18"/>
              </w:rPr>
            </w:r>
          </w:p>
        </w:tc>
        <w:tc>
          <w:tcPr>
            <w:tcW w:w="7938" w:type="dxa"/>
            <w:gridSpan w:val="11"/>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无</w:t>
            </w:r>
            <w:r>
              <w:rPr>
                <w:rFonts w:ascii="宋体" w:hAnsi="宋体" w:cs="宋体" w:eastAsia="宋体" w:hint="default"/>
                <w:sz w:val="18"/>
                <w:szCs w:val="18"/>
              </w:rPr>
            </w:r>
          </w:p>
        </w:tc>
      </w:tr>
      <w:tr>
        <w:trPr>
          <w:trHeight w:val="714" w:hRule="exact"/>
        </w:trPr>
        <w:tc>
          <w:tcPr>
            <w:tcW w:w="1635" w:type="dxa"/>
            <w:gridSpan w:val="3"/>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5"/>
                <w:sz w:val="18"/>
                <w:szCs w:val="18"/>
                <w:shd w:fill="D9D9D9" w:color="auto" w:val="clear"/>
              </w:rPr>
              <w:t>超募资金的金额、用</w:t>
            </w:r>
            <w:r>
              <w:rPr>
                <w:rFonts w:ascii="宋体" w:hAnsi="宋体" w:cs="宋体" w:eastAsia="宋体" w:hint="default"/>
                <w:spacing w:val="-87"/>
                <w:sz w:val="18"/>
                <w:szCs w:val="18"/>
                <w:shd w:fill="D9D9D9" w:color="auto" w:val="clear"/>
              </w:rPr>
              <w:t> </w:t>
            </w:r>
            <w:r>
              <w:rPr>
                <w:rFonts w:ascii="宋体" w:hAnsi="宋体" w:cs="宋体" w:eastAsia="宋体" w:hint="default"/>
                <w:spacing w:val="-87"/>
                <w:sz w:val="18"/>
                <w:szCs w:val="18"/>
              </w:rPr>
            </w:r>
            <w:r>
              <w:rPr>
                <w:rFonts w:ascii="宋体" w:hAnsi="宋体" w:cs="宋体" w:eastAsia="宋体" w:hint="default"/>
                <w:spacing w:val="-87"/>
                <w:sz w:val="18"/>
                <w:szCs w:val="18"/>
              </w:rPr>
            </w:r>
            <w:r>
              <w:rPr>
                <w:rFonts w:ascii="宋体" w:hAnsi="宋体" w:cs="宋体" w:eastAsia="宋体" w:hint="default"/>
                <w:sz w:val="18"/>
                <w:szCs w:val="18"/>
                <w:shd w:fill="D9D9D9" w:color="auto" w:val="clear"/>
              </w:rPr>
              <w:t>途及使用进展情况</w:t>
            </w:r>
            <w:r>
              <w:rPr>
                <w:rFonts w:ascii="宋体" w:hAnsi="宋体" w:cs="宋体" w:eastAsia="宋体" w:hint="default"/>
                <w:sz w:val="18"/>
                <w:szCs w:val="18"/>
              </w:rPr>
            </w:r>
          </w:p>
        </w:tc>
        <w:tc>
          <w:tcPr>
            <w:tcW w:w="7938" w:type="dxa"/>
            <w:gridSpan w:val="11"/>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不适用</w:t>
            </w:r>
            <w:r>
              <w:rPr>
                <w:rFonts w:ascii="宋体" w:hAnsi="宋体" w:cs="宋体" w:eastAsia="宋体" w:hint="default"/>
                <w:sz w:val="18"/>
                <w:szCs w:val="18"/>
              </w:rPr>
            </w:r>
          </w:p>
        </w:tc>
      </w:tr>
      <w:tr>
        <w:trPr>
          <w:trHeight w:val="714" w:hRule="exact"/>
        </w:trPr>
        <w:tc>
          <w:tcPr>
            <w:tcW w:w="1635" w:type="dxa"/>
            <w:gridSpan w:val="3"/>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募集资金投资项目</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shd w:fill="D9D9D9" w:color="auto" w:val="clear"/>
              </w:rPr>
              <w:t>实施地点变更情况</w:t>
            </w:r>
            <w:r>
              <w:rPr>
                <w:rFonts w:ascii="宋体" w:hAnsi="宋体" w:cs="宋体" w:eastAsia="宋体" w:hint="default"/>
                <w:sz w:val="18"/>
                <w:szCs w:val="18"/>
              </w:rPr>
            </w:r>
          </w:p>
        </w:tc>
        <w:tc>
          <w:tcPr>
            <w:tcW w:w="7938" w:type="dxa"/>
            <w:gridSpan w:val="11"/>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不适用</w:t>
            </w:r>
            <w:r>
              <w:rPr>
                <w:rFonts w:ascii="宋体" w:hAnsi="宋体" w:cs="宋体" w:eastAsia="宋体" w:hint="default"/>
                <w:sz w:val="18"/>
                <w:szCs w:val="18"/>
              </w:rPr>
            </w:r>
          </w:p>
        </w:tc>
      </w:tr>
      <w:tr>
        <w:trPr>
          <w:trHeight w:val="402" w:hRule="exact"/>
        </w:trPr>
        <w:tc>
          <w:tcPr>
            <w:tcW w:w="1635"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6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募集资金投资项目</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shd w:fill="D9D9D9" w:color="auto" w:val="clear"/>
              </w:rPr>
              <w:t>实施方式调整情况</w:t>
            </w:r>
            <w:r>
              <w:rPr>
                <w:rFonts w:ascii="宋体" w:hAnsi="宋体" w:cs="宋体" w:eastAsia="宋体" w:hint="default"/>
                <w:sz w:val="18"/>
                <w:szCs w:val="18"/>
              </w:rPr>
            </w:r>
          </w:p>
        </w:tc>
        <w:tc>
          <w:tcPr>
            <w:tcW w:w="7938" w:type="dxa"/>
            <w:gridSpan w:val="11"/>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适用</w:t>
            </w:r>
            <w:r>
              <w:rPr>
                <w:rFonts w:ascii="宋体" w:hAnsi="宋体" w:cs="宋体" w:eastAsia="宋体" w:hint="default"/>
                <w:sz w:val="18"/>
                <w:szCs w:val="18"/>
              </w:rPr>
            </w:r>
          </w:p>
        </w:tc>
      </w:tr>
      <w:tr>
        <w:trPr>
          <w:trHeight w:val="442" w:hRule="exact"/>
        </w:trPr>
        <w:tc>
          <w:tcPr>
            <w:tcW w:w="1635" w:type="dxa"/>
            <w:gridSpan w:val="3"/>
            <w:vMerge/>
            <w:tcBorders>
              <w:left w:val="single" w:sz="4" w:space="0" w:color="000000"/>
              <w:right w:val="single" w:sz="4" w:space="0" w:color="000000"/>
            </w:tcBorders>
            <w:shd w:val="clear" w:color="auto" w:fill="D2D2D2"/>
          </w:tcPr>
          <w:p>
            <w:pPr/>
          </w:p>
        </w:tc>
        <w:tc>
          <w:tcPr>
            <w:tcW w:w="7938" w:type="dxa"/>
            <w:gridSpan w:val="11"/>
            <w:tcBorders>
              <w:top w:val="single" w:sz="4" w:space="0" w:color="FFFFFF"/>
              <w:left w:val="single" w:sz="4" w:space="0" w:color="000000"/>
              <w:bottom w:val="single" w:sz="36" w:space="0" w:color="FFFFFF"/>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报告期内发生</w:t>
            </w:r>
            <w:r>
              <w:rPr>
                <w:rFonts w:ascii="宋体" w:hAnsi="宋体" w:cs="宋体" w:eastAsia="宋体" w:hint="default"/>
                <w:sz w:val="18"/>
                <w:szCs w:val="18"/>
              </w:rPr>
            </w:r>
          </w:p>
        </w:tc>
      </w:tr>
      <w:tr>
        <w:trPr>
          <w:trHeight w:val="1299" w:hRule="exact"/>
        </w:trPr>
        <w:tc>
          <w:tcPr>
            <w:tcW w:w="1635" w:type="dxa"/>
            <w:gridSpan w:val="3"/>
            <w:vMerge/>
            <w:tcBorders>
              <w:left w:val="single" w:sz="4" w:space="0" w:color="000000"/>
              <w:bottom w:val="single" w:sz="4" w:space="0" w:color="FFFFFF"/>
              <w:right w:val="single" w:sz="4" w:space="0" w:color="000000"/>
            </w:tcBorders>
            <w:shd w:val="clear" w:color="auto" w:fill="D2D2D2"/>
          </w:tcPr>
          <w:p>
            <w:pPr/>
          </w:p>
        </w:tc>
        <w:tc>
          <w:tcPr>
            <w:tcW w:w="7938" w:type="dxa"/>
            <w:gridSpan w:val="11"/>
            <w:tcBorders>
              <w:top w:val="single" w:sz="36" w:space="0" w:color="FFFFFF"/>
              <w:left w:val="single" w:sz="4" w:space="0" w:color="000000"/>
              <w:bottom w:val="single" w:sz="4" w:space="0" w:color="FFFFFF"/>
              <w:right w:val="single" w:sz="4" w:space="0" w:color="000000"/>
            </w:tcBorders>
            <w:shd w:val="clear" w:color="auto" w:fill="D2D2D2"/>
          </w:tcPr>
          <w:p>
            <w:pPr>
              <w:pStyle w:val="TableParagraph"/>
              <w:spacing w:line="222"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2018</w:t>
            </w:r>
            <w:r>
              <w:rPr>
                <w:rFonts w:ascii="Times New Roman" w:hAnsi="Times New Roman" w:cs="Times New Roman" w:eastAsia="Times New Roman" w:hint="default"/>
                <w:spacing w:val="-7"/>
                <w:sz w:val="18"/>
                <w:szCs w:val="18"/>
                <w:shd w:fill="D9D9D9" w:color="auto" w:val="clear"/>
              </w:rPr>
              <w:t> </w:t>
            </w:r>
            <w:r>
              <w:rPr>
                <w:rFonts w:ascii="宋体" w:hAnsi="宋体" w:cs="宋体" w:eastAsia="宋体" w:hint="default"/>
                <w:sz w:val="18"/>
                <w:szCs w:val="18"/>
                <w:shd w:fill="D9D9D9" w:color="auto" w:val="clear"/>
              </w:rPr>
              <w:t>年</w:t>
            </w:r>
            <w:r>
              <w:rPr>
                <w:rFonts w:ascii="宋体" w:hAnsi="宋体" w:cs="宋体" w:eastAsia="宋体" w:hint="default"/>
                <w:spacing w:val="-52"/>
                <w:sz w:val="18"/>
                <w:szCs w:val="18"/>
                <w:shd w:fill="D9D9D9" w:color="auto" w:val="clear"/>
              </w:rPr>
              <w:t> </w:t>
            </w:r>
            <w:r>
              <w:rPr>
                <w:rFonts w:ascii="Times New Roman" w:hAnsi="Times New Roman" w:cs="Times New Roman" w:eastAsia="Times New Roman" w:hint="default"/>
                <w:sz w:val="18"/>
                <w:szCs w:val="18"/>
                <w:shd w:fill="D9D9D9" w:color="auto" w:val="clear"/>
              </w:rPr>
              <w:t>5</w:t>
            </w:r>
            <w:r>
              <w:rPr>
                <w:rFonts w:ascii="Times New Roman" w:hAnsi="Times New Roman" w:cs="Times New Roman" w:eastAsia="Times New Roman" w:hint="default"/>
                <w:spacing w:val="-6"/>
                <w:sz w:val="18"/>
                <w:szCs w:val="18"/>
                <w:shd w:fill="D9D9D9" w:color="auto" w:val="clear"/>
              </w:rPr>
              <w:t> </w:t>
            </w:r>
            <w:r>
              <w:rPr>
                <w:rFonts w:ascii="宋体" w:hAnsi="宋体" w:cs="宋体" w:eastAsia="宋体" w:hint="default"/>
                <w:sz w:val="18"/>
                <w:szCs w:val="18"/>
                <w:shd w:fill="D9D9D9" w:color="auto" w:val="clear"/>
              </w:rPr>
              <w:t>月</w:t>
            </w:r>
            <w:r>
              <w:rPr>
                <w:rFonts w:ascii="宋体" w:hAnsi="宋体" w:cs="宋体" w:eastAsia="宋体" w:hint="default"/>
                <w:spacing w:val="-52"/>
                <w:sz w:val="18"/>
                <w:szCs w:val="18"/>
                <w:shd w:fill="D9D9D9" w:color="auto" w:val="clear"/>
              </w:rPr>
              <w:t> </w:t>
            </w:r>
            <w:r>
              <w:rPr>
                <w:rFonts w:ascii="Times New Roman" w:hAnsi="Times New Roman" w:cs="Times New Roman" w:eastAsia="Times New Roman" w:hint="default"/>
                <w:sz w:val="18"/>
                <w:szCs w:val="18"/>
                <w:shd w:fill="D9D9D9" w:color="auto" w:val="clear"/>
              </w:rPr>
              <w:t>16</w:t>
            </w:r>
            <w:r>
              <w:rPr>
                <w:rFonts w:ascii="Times New Roman" w:hAnsi="Times New Roman" w:cs="Times New Roman" w:eastAsia="Times New Roman" w:hint="default"/>
                <w:spacing w:val="-6"/>
                <w:sz w:val="18"/>
                <w:szCs w:val="18"/>
                <w:shd w:fill="D9D9D9" w:color="auto" w:val="clear"/>
              </w:rPr>
              <w:t> </w:t>
            </w:r>
            <w:r>
              <w:rPr>
                <w:rFonts w:ascii="宋体" w:hAnsi="宋体" w:cs="宋体" w:eastAsia="宋体" w:hint="default"/>
                <w:spacing w:val="-11"/>
                <w:sz w:val="18"/>
                <w:szCs w:val="18"/>
                <w:shd w:fill="D9D9D9" w:color="auto" w:val="clear"/>
              </w:rPr>
              <w:t>日，公司</w:t>
            </w:r>
            <w:r>
              <w:rPr>
                <w:rFonts w:ascii="宋体" w:hAnsi="宋体" w:cs="宋体" w:eastAsia="宋体" w:hint="default"/>
                <w:spacing w:val="-52"/>
                <w:sz w:val="18"/>
                <w:szCs w:val="18"/>
                <w:shd w:fill="D9D9D9" w:color="auto" w:val="clear"/>
              </w:rPr>
              <w:t> </w:t>
            </w:r>
            <w:r>
              <w:rPr>
                <w:rFonts w:ascii="Times New Roman" w:hAnsi="Times New Roman" w:cs="Times New Roman" w:eastAsia="Times New Roman" w:hint="default"/>
                <w:sz w:val="18"/>
                <w:szCs w:val="18"/>
                <w:shd w:fill="D9D9D9" w:color="auto" w:val="clear"/>
              </w:rPr>
              <w:t>2017</w:t>
            </w:r>
            <w:r>
              <w:rPr>
                <w:rFonts w:ascii="Times New Roman" w:hAnsi="Times New Roman" w:cs="Times New Roman" w:eastAsia="Times New Roman" w:hint="default"/>
                <w:spacing w:val="-5"/>
                <w:sz w:val="18"/>
                <w:szCs w:val="18"/>
                <w:shd w:fill="D9D9D9" w:color="auto" w:val="clear"/>
              </w:rPr>
              <w:t> </w:t>
            </w:r>
            <w:r>
              <w:rPr>
                <w:rFonts w:ascii="宋体" w:hAnsi="宋体" w:cs="宋体" w:eastAsia="宋体" w:hint="default"/>
                <w:sz w:val="18"/>
                <w:szCs w:val="18"/>
                <w:shd w:fill="D9D9D9" w:color="auto" w:val="clear"/>
              </w:rPr>
              <w:t>年年度股东大会审议通过了《关于变更部分募集资金投资项目实施方式</w:t>
            </w:r>
            <w:r>
              <w:rPr>
                <w:rFonts w:ascii="宋体" w:hAnsi="宋体" w:cs="宋体" w:eastAsia="宋体" w:hint="default"/>
                <w:sz w:val="18"/>
                <w:szCs w:val="18"/>
              </w:rPr>
            </w:r>
          </w:p>
          <w:p>
            <w:pPr>
              <w:pStyle w:val="TableParagraph"/>
              <w:spacing w:line="319"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3"/>
                <w:sz w:val="18"/>
                <w:szCs w:val="18"/>
                <w:shd w:fill="D9D9D9" w:color="auto" w:val="clear"/>
              </w:rPr>
              <w:t>及调整投资项目规模的议案》，同意变更部分募集资金投资项目实施方式及调整投资项目规模，具体</w:t>
            </w:r>
            <w:r>
              <w:rPr>
                <w:rFonts w:ascii="宋体" w:hAnsi="宋体" w:cs="宋体" w:eastAsia="宋体" w:hint="default"/>
                <w:spacing w:val="-48"/>
                <w:sz w:val="18"/>
                <w:szCs w:val="18"/>
                <w:shd w:fill="D9D9D9" w:color="auto" w:val="clear"/>
              </w:rPr>
              <w:t> </w:t>
            </w:r>
            <w:r>
              <w:rPr>
                <w:rFonts w:ascii="宋体" w:hAnsi="宋体" w:cs="宋体" w:eastAsia="宋体" w:hint="default"/>
                <w:spacing w:val="-48"/>
                <w:sz w:val="18"/>
                <w:szCs w:val="18"/>
              </w:rPr>
            </w:r>
            <w:r>
              <w:rPr>
                <w:rFonts w:ascii="宋体" w:hAnsi="宋体" w:cs="宋体" w:eastAsia="宋体" w:hint="default"/>
                <w:spacing w:val="-48"/>
                <w:sz w:val="18"/>
                <w:szCs w:val="18"/>
              </w:rPr>
            </w:r>
            <w:r>
              <w:rPr>
                <w:rFonts w:ascii="宋体" w:hAnsi="宋体" w:cs="宋体" w:eastAsia="宋体" w:hint="default"/>
                <w:spacing w:val="-1"/>
                <w:sz w:val="18"/>
                <w:szCs w:val="18"/>
                <w:shd w:fill="D9D9D9" w:color="auto" w:val="clear"/>
              </w:rPr>
              <w:t>内容详见公司于巨潮资讯网披露的《关于变更部分募集资金投资项目实施方式及调整投资项目规模的</w:t>
            </w:r>
            <w:r>
              <w:rPr>
                <w:rFonts w:ascii="宋体" w:hAnsi="宋体" w:cs="宋体" w:eastAsia="宋体" w:hint="default"/>
                <w:spacing w:val="-87"/>
                <w:sz w:val="18"/>
                <w:szCs w:val="18"/>
                <w:shd w:fill="D9D9D9" w:color="auto" w:val="clear"/>
              </w:rPr>
              <w:t> </w:t>
            </w:r>
            <w:r>
              <w:rPr>
                <w:rFonts w:ascii="宋体" w:hAnsi="宋体" w:cs="宋体" w:eastAsia="宋体" w:hint="default"/>
                <w:spacing w:val="-87"/>
                <w:sz w:val="18"/>
                <w:szCs w:val="18"/>
              </w:rPr>
            </w:r>
            <w:r>
              <w:rPr>
                <w:rFonts w:ascii="宋体" w:hAnsi="宋体" w:cs="宋体" w:eastAsia="宋体" w:hint="default"/>
                <w:spacing w:val="-87"/>
                <w:sz w:val="18"/>
                <w:szCs w:val="18"/>
              </w:rPr>
            </w:r>
            <w:r>
              <w:rPr>
                <w:rFonts w:ascii="宋体" w:hAnsi="宋体" w:cs="宋体" w:eastAsia="宋体" w:hint="default"/>
                <w:spacing w:val="-4"/>
                <w:sz w:val="18"/>
                <w:szCs w:val="18"/>
                <w:shd w:fill="D9D9D9" w:color="auto" w:val="clear"/>
              </w:rPr>
              <w:t>公告》（公告编号：</w:t>
            </w:r>
            <w:r>
              <w:rPr>
                <w:rFonts w:ascii="Times New Roman" w:hAnsi="Times New Roman" w:cs="Times New Roman" w:eastAsia="Times New Roman" w:hint="default"/>
                <w:spacing w:val="-4"/>
                <w:sz w:val="18"/>
                <w:szCs w:val="18"/>
                <w:shd w:fill="D9D9D9" w:color="auto" w:val="clear"/>
              </w:rPr>
              <w:t>2018-017</w:t>
            </w:r>
            <w:r>
              <w:rPr>
                <w:rFonts w:ascii="宋体" w:hAnsi="宋体" w:cs="宋体" w:eastAsia="宋体" w:hint="default"/>
                <w:spacing w:val="-4"/>
                <w:sz w:val="18"/>
                <w:szCs w:val="18"/>
                <w:shd w:fill="D9D9D9" w:color="auto" w:val="clear"/>
              </w:rPr>
              <w:t>）及《</w:t>
            </w:r>
            <w:r>
              <w:rPr>
                <w:rFonts w:ascii="Times New Roman" w:hAnsi="Times New Roman" w:cs="Times New Roman" w:eastAsia="Times New Roman" w:hint="default"/>
                <w:spacing w:val="-4"/>
                <w:sz w:val="18"/>
                <w:szCs w:val="18"/>
                <w:shd w:fill="D9D9D9" w:color="auto" w:val="clear"/>
              </w:rPr>
              <w:t>2017</w:t>
            </w:r>
            <w:r>
              <w:rPr>
                <w:rFonts w:ascii="Times New Roman" w:hAnsi="Times New Roman" w:cs="Times New Roman" w:eastAsia="Times New Roman" w:hint="default"/>
                <w:spacing w:val="21"/>
                <w:sz w:val="18"/>
                <w:szCs w:val="18"/>
                <w:shd w:fill="D9D9D9" w:color="auto" w:val="clear"/>
              </w:rPr>
              <w:t> </w:t>
            </w:r>
            <w:r>
              <w:rPr>
                <w:rFonts w:ascii="宋体" w:hAnsi="宋体" w:cs="宋体" w:eastAsia="宋体" w:hint="default"/>
                <w:spacing w:val="-7"/>
                <w:sz w:val="18"/>
                <w:szCs w:val="18"/>
                <w:shd w:fill="D9D9D9" w:color="auto" w:val="clear"/>
              </w:rPr>
              <w:t>年年度股东大会决议公告》（公告编号：</w:t>
            </w:r>
            <w:r>
              <w:rPr>
                <w:rFonts w:ascii="Times New Roman" w:hAnsi="Times New Roman" w:cs="Times New Roman" w:eastAsia="Times New Roman" w:hint="default"/>
                <w:spacing w:val="-7"/>
                <w:sz w:val="18"/>
                <w:szCs w:val="18"/>
                <w:shd w:fill="D9D9D9" w:color="auto" w:val="clear"/>
              </w:rPr>
              <w:t>2018-028</w:t>
            </w:r>
            <w:r>
              <w:rPr>
                <w:rFonts w:ascii="宋体" w:hAnsi="宋体" w:cs="宋体" w:eastAsia="宋体" w:hint="default"/>
                <w:spacing w:val="-7"/>
                <w:sz w:val="18"/>
                <w:szCs w:val="18"/>
                <w:shd w:fill="D9D9D9" w:color="auto" w:val="clear"/>
              </w:rPr>
              <w:t>）。</w:t>
            </w:r>
            <w:r>
              <w:rPr>
                <w:rFonts w:ascii="宋体" w:hAnsi="宋体" w:cs="宋体" w:eastAsia="宋体" w:hint="default"/>
                <w:spacing w:val="-7"/>
                <w:sz w:val="18"/>
                <w:szCs w:val="18"/>
              </w:rPr>
            </w:r>
          </w:p>
        </w:tc>
      </w:tr>
      <w:tr>
        <w:trPr>
          <w:trHeight w:val="1026" w:hRule="exact"/>
        </w:trPr>
        <w:tc>
          <w:tcPr>
            <w:tcW w:w="1635" w:type="dxa"/>
            <w:gridSpan w:val="3"/>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募集资金投资项目</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shd w:fill="D9D9D9" w:color="auto" w:val="clear"/>
              </w:rPr>
              <w:t>先期投入及置换情</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shd w:fill="D9D9D9" w:color="auto" w:val="clear"/>
              </w:rPr>
              <w:t>况</w:t>
            </w:r>
            <w:r>
              <w:rPr>
                <w:rFonts w:ascii="宋体" w:hAnsi="宋体" w:cs="宋体" w:eastAsia="宋体" w:hint="default"/>
                <w:sz w:val="18"/>
                <w:szCs w:val="18"/>
              </w:rPr>
            </w:r>
          </w:p>
        </w:tc>
        <w:tc>
          <w:tcPr>
            <w:tcW w:w="7938" w:type="dxa"/>
            <w:gridSpan w:val="11"/>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不适用</w:t>
            </w:r>
            <w:r>
              <w:rPr>
                <w:rFonts w:ascii="宋体" w:hAnsi="宋体" w:cs="宋体" w:eastAsia="宋体" w:hint="default"/>
                <w:sz w:val="18"/>
                <w:szCs w:val="18"/>
              </w:rPr>
            </w:r>
          </w:p>
        </w:tc>
      </w:tr>
      <w:tr>
        <w:trPr>
          <w:trHeight w:val="442" w:hRule="exact"/>
        </w:trPr>
        <w:tc>
          <w:tcPr>
            <w:tcW w:w="1635" w:type="dxa"/>
            <w:gridSpan w:val="3"/>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2" w:right="160"/>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用闲置募集资金暂</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shd w:fill="D9D9D9" w:color="auto" w:val="clear"/>
              </w:rPr>
              <w:t>时补充流动资金情</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shd w:fill="D9D9D9" w:color="auto" w:val="clear"/>
              </w:rPr>
              <w:t>况</w:t>
            </w:r>
            <w:r>
              <w:rPr>
                <w:rFonts w:ascii="宋体" w:hAnsi="宋体" w:cs="宋体" w:eastAsia="宋体" w:hint="default"/>
                <w:sz w:val="18"/>
                <w:szCs w:val="18"/>
              </w:rPr>
            </w:r>
          </w:p>
        </w:tc>
        <w:tc>
          <w:tcPr>
            <w:tcW w:w="7938" w:type="dxa"/>
            <w:gridSpan w:val="11"/>
            <w:tcBorders>
              <w:top w:val="single" w:sz="4" w:space="0" w:color="FFFFFF"/>
              <w:left w:val="single" w:sz="4" w:space="0" w:color="000000"/>
              <w:bottom w:val="single" w:sz="36" w:space="0" w:color="FFFFFF"/>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适用</w:t>
            </w:r>
            <w:r>
              <w:rPr>
                <w:rFonts w:ascii="宋体" w:hAnsi="宋体" w:cs="宋体" w:eastAsia="宋体" w:hint="default"/>
                <w:sz w:val="18"/>
                <w:szCs w:val="18"/>
              </w:rPr>
            </w:r>
          </w:p>
        </w:tc>
      </w:tr>
      <w:tr>
        <w:trPr>
          <w:trHeight w:val="986" w:hRule="exact"/>
        </w:trPr>
        <w:tc>
          <w:tcPr>
            <w:tcW w:w="1635" w:type="dxa"/>
            <w:gridSpan w:val="3"/>
            <w:vMerge/>
            <w:tcBorders>
              <w:left w:val="single" w:sz="4" w:space="0" w:color="000000"/>
              <w:bottom w:val="single" w:sz="4" w:space="0" w:color="FFFFFF"/>
              <w:right w:val="single" w:sz="4" w:space="0" w:color="000000"/>
            </w:tcBorders>
            <w:shd w:val="clear" w:color="auto" w:fill="D2D2D2"/>
          </w:tcPr>
          <w:p>
            <w:pPr/>
          </w:p>
        </w:tc>
        <w:tc>
          <w:tcPr>
            <w:tcW w:w="7938" w:type="dxa"/>
            <w:gridSpan w:val="11"/>
            <w:tcBorders>
              <w:top w:val="single" w:sz="36" w:space="0" w:color="FFFFFF"/>
              <w:left w:val="single" w:sz="4" w:space="0" w:color="000000"/>
              <w:bottom w:val="single" w:sz="4" w:space="0" w:color="FFFFFF"/>
              <w:right w:val="single" w:sz="4" w:space="0" w:color="000000"/>
            </w:tcBorders>
          </w:tcPr>
          <w:p>
            <w:pPr>
              <w:pStyle w:val="TableParagraph"/>
              <w:spacing w:line="221"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2018</w:t>
            </w:r>
            <w:r>
              <w:rPr>
                <w:rFonts w:ascii="Times New Roman" w:hAnsi="Times New Roman" w:cs="Times New Roman" w:eastAsia="Times New Roman" w:hint="default"/>
                <w:spacing w:val="-1"/>
                <w:sz w:val="18"/>
                <w:szCs w:val="18"/>
                <w:shd w:fill="D9D9D9" w:color="auto" w:val="clear"/>
              </w:rPr>
              <w:t> </w:t>
            </w:r>
            <w:r>
              <w:rPr>
                <w:rFonts w:ascii="宋体" w:hAnsi="宋体" w:cs="宋体" w:eastAsia="宋体" w:hint="default"/>
                <w:sz w:val="18"/>
                <w:szCs w:val="18"/>
                <w:shd w:fill="D9D9D9" w:color="auto" w:val="clear"/>
              </w:rPr>
              <w:t>年</w:t>
            </w:r>
            <w:r>
              <w:rPr>
                <w:rFonts w:ascii="宋体" w:hAnsi="宋体" w:cs="宋体" w:eastAsia="宋体" w:hint="default"/>
                <w:spacing w:val="-46"/>
                <w:sz w:val="18"/>
                <w:szCs w:val="18"/>
                <w:shd w:fill="D9D9D9" w:color="auto" w:val="clear"/>
              </w:rPr>
              <w:t> </w:t>
            </w:r>
            <w:r>
              <w:rPr>
                <w:rFonts w:ascii="Times New Roman" w:hAnsi="Times New Roman" w:cs="Times New Roman" w:eastAsia="Times New Roman" w:hint="default"/>
                <w:sz w:val="18"/>
                <w:szCs w:val="18"/>
                <w:shd w:fill="D9D9D9" w:color="auto" w:val="clear"/>
              </w:rPr>
              <w:t>1 </w:t>
            </w:r>
            <w:r>
              <w:rPr>
                <w:rFonts w:ascii="宋体" w:hAnsi="宋体" w:cs="宋体" w:eastAsia="宋体" w:hint="default"/>
                <w:sz w:val="18"/>
                <w:szCs w:val="18"/>
                <w:shd w:fill="D9D9D9" w:color="auto" w:val="clear"/>
              </w:rPr>
              <w:t>月</w:t>
            </w:r>
            <w:r>
              <w:rPr>
                <w:rFonts w:ascii="宋体" w:hAnsi="宋体" w:cs="宋体" w:eastAsia="宋体" w:hint="default"/>
                <w:spacing w:val="-46"/>
                <w:sz w:val="18"/>
                <w:szCs w:val="18"/>
                <w:shd w:fill="D9D9D9" w:color="auto" w:val="clear"/>
              </w:rPr>
              <w:t> </w:t>
            </w:r>
            <w:r>
              <w:rPr>
                <w:rFonts w:ascii="Times New Roman" w:hAnsi="Times New Roman" w:cs="Times New Roman" w:eastAsia="Times New Roman" w:hint="default"/>
                <w:sz w:val="18"/>
                <w:szCs w:val="18"/>
                <w:shd w:fill="D9D9D9" w:color="auto" w:val="clear"/>
              </w:rPr>
              <w:t>15 </w:t>
            </w:r>
            <w:r>
              <w:rPr>
                <w:rFonts w:ascii="宋体" w:hAnsi="宋体" w:cs="宋体" w:eastAsia="宋体" w:hint="default"/>
                <w:sz w:val="18"/>
                <w:szCs w:val="18"/>
                <w:shd w:fill="D9D9D9" w:color="auto" w:val="clear"/>
              </w:rPr>
              <w:t>日，公司第四届董事会第八次会议和第四届监事会第五次会议审议通过了《关于使用</w:t>
            </w:r>
            <w:r>
              <w:rPr>
                <w:rFonts w:ascii="宋体" w:hAnsi="宋体" w:cs="宋体" w:eastAsia="宋体" w:hint="default"/>
                <w:sz w:val="18"/>
                <w:szCs w:val="18"/>
              </w:rPr>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6"/>
                <w:sz w:val="18"/>
                <w:szCs w:val="18"/>
                <w:shd w:fill="D9D9D9" w:color="auto" w:val="clear"/>
              </w:rPr>
              <w:t>部分闲置募集资金暂时补充流动资金的议案》，同意公司使用总额不超过</w:t>
            </w:r>
            <w:r>
              <w:rPr>
                <w:rFonts w:ascii="宋体" w:hAnsi="宋体" w:cs="宋体" w:eastAsia="宋体" w:hint="default"/>
                <w:spacing w:val="-38"/>
                <w:sz w:val="18"/>
                <w:szCs w:val="18"/>
                <w:shd w:fill="D9D9D9" w:color="auto" w:val="clear"/>
              </w:rPr>
              <w:t> </w:t>
            </w:r>
            <w:r>
              <w:rPr>
                <w:rFonts w:ascii="Times New Roman" w:hAnsi="Times New Roman" w:cs="Times New Roman" w:eastAsia="Times New Roman" w:hint="default"/>
                <w:sz w:val="18"/>
                <w:szCs w:val="18"/>
                <w:shd w:fill="D9D9D9" w:color="auto" w:val="clear"/>
              </w:rPr>
              <w:t>6,000</w:t>
            </w:r>
            <w:r>
              <w:rPr>
                <w:rFonts w:ascii="Times New Roman" w:hAnsi="Times New Roman" w:cs="Times New Roman" w:eastAsia="Times New Roman" w:hint="default"/>
                <w:spacing w:val="6"/>
                <w:sz w:val="18"/>
                <w:szCs w:val="18"/>
                <w:shd w:fill="D9D9D9" w:color="auto" w:val="clear"/>
              </w:rPr>
              <w:t> </w:t>
            </w:r>
            <w:r>
              <w:rPr>
                <w:rFonts w:ascii="宋体" w:hAnsi="宋体" w:cs="宋体" w:eastAsia="宋体" w:hint="default"/>
                <w:sz w:val="18"/>
                <w:szCs w:val="18"/>
                <w:shd w:fill="D9D9D9" w:color="auto" w:val="clear"/>
              </w:rPr>
              <w:t>万元募集资金暂时补充</w:t>
            </w:r>
            <w:r>
              <w:rPr>
                <w:rFonts w:ascii="宋体" w:hAnsi="宋体" w:cs="宋体" w:eastAsia="宋体" w:hint="default"/>
                <w:spacing w:val="-88"/>
                <w:sz w:val="18"/>
                <w:szCs w:val="18"/>
                <w:shd w:fill="D9D9D9" w:color="auto" w:val="clear"/>
              </w:rPr>
              <w:t> </w:t>
            </w:r>
            <w:r>
              <w:rPr>
                <w:rFonts w:ascii="宋体" w:hAnsi="宋体" w:cs="宋体" w:eastAsia="宋体" w:hint="default"/>
                <w:spacing w:val="-88"/>
                <w:sz w:val="18"/>
                <w:szCs w:val="18"/>
              </w:rPr>
            </w:r>
            <w:r>
              <w:rPr>
                <w:rFonts w:ascii="宋体" w:hAnsi="宋体" w:cs="宋体" w:eastAsia="宋体" w:hint="default"/>
                <w:spacing w:val="-88"/>
                <w:sz w:val="18"/>
                <w:szCs w:val="18"/>
              </w:rPr>
            </w:r>
            <w:r>
              <w:rPr>
                <w:rFonts w:ascii="宋体" w:hAnsi="宋体" w:cs="宋体" w:eastAsia="宋体" w:hint="default"/>
                <w:sz w:val="18"/>
                <w:szCs w:val="18"/>
                <w:shd w:fill="D9D9D9" w:color="auto" w:val="clear"/>
              </w:rPr>
              <w:t>流动资金。报告期内，公司使用</w:t>
            </w:r>
            <w:r>
              <w:rPr>
                <w:rFonts w:ascii="宋体" w:hAnsi="宋体" w:cs="宋体" w:eastAsia="宋体" w:hint="default"/>
                <w:spacing w:val="-46"/>
                <w:sz w:val="18"/>
                <w:szCs w:val="18"/>
                <w:shd w:fill="D9D9D9" w:color="auto" w:val="clear"/>
              </w:rPr>
              <w:t> </w:t>
            </w:r>
            <w:r>
              <w:rPr>
                <w:rFonts w:ascii="Times New Roman" w:hAnsi="Times New Roman" w:cs="Times New Roman" w:eastAsia="Times New Roman" w:hint="default"/>
                <w:sz w:val="18"/>
                <w:szCs w:val="18"/>
                <w:shd w:fill="D9D9D9" w:color="auto" w:val="clear"/>
              </w:rPr>
              <w:t>6,000</w:t>
            </w:r>
            <w:r>
              <w:rPr>
                <w:rFonts w:ascii="Times New Roman" w:hAnsi="Times New Roman" w:cs="Times New Roman" w:eastAsia="Times New Roman" w:hint="default"/>
                <w:spacing w:val="-1"/>
                <w:sz w:val="18"/>
                <w:szCs w:val="18"/>
                <w:shd w:fill="D9D9D9" w:color="auto" w:val="clear"/>
              </w:rPr>
              <w:t> </w:t>
            </w:r>
            <w:r>
              <w:rPr>
                <w:rFonts w:ascii="宋体" w:hAnsi="宋体" w:cs="宋体" w:eastAsia="宋体" w:hint="default"/>
                <w:sz w:val="18"/>
                <w:szCs w:val="18"/>
                <w:shd w:fill="D9D9D9" w:color="auto" w:val="clear"/>
              </w:rPr>
              <w:t>万元募集资金暂时补充流动资金。</w:t>
            </w:r>
            <w:r>
              <w:rPr>
                <w:rFonts w:ascii="宋体" w:hAnsi="宋体" w:cs="宋体" w:eastAsia="宋体" w:hint="default"/>
                <w:sz w:val="18"/>
                <w:szCs w:val="18"/>
              </w:rPr>
            </w:r>
          </w:p>
        </w:tc>
      </w:tr>
      <w:tr>
        <w:trPr>
          <w:trHeight w:val="1066" w:hRule="exact"/>
        </w:trPr>
        <w:tc>
          <w:tcPr>
            <w:tcW w:w="1635" w:type="dxa"/>
            <w:gridSpan w:val="3"/>
            <w:tcBorders>
              <w:top w:val="single" w:sz="4" w:space="0" w:color="FFFFFF"/>
              <w:left w:val="single" w:sz="4" w:space="0" w:color="000000"/>
              <w:bottom w:val="single" w:sz="36" w:space="0" w:color="FFFFFF"/>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项目实施出现募集</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shd w:fill="D9D9D9" w:color="auto" w:val="clear"/>
              </w:rPr>
              <w:t>资金结余的金额及</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shd w:fill="D9D9D9" w:color="auto" w:val="clear"/>
              </w:rPr>
              <w:t>原因</w:t>
            </w:r>
            <w:r>
              <w:rPr>
                <w:rFonts w:ascii="宋体" w:hAnsi="宋体" w:cs="宋体" w:eastAsia="宋体" w:hint="default"/>
                <w:sz w:val="18"/>
                <w:szCs w:val="18"/>
              </w:rPr>
            </w:r>
          </w:p>
        </w:tc>
        <w:tc>
          <w:tcPr>
            <w:tcW w:w="7938" w:type="dxa"/>
            <w:gridSpan w:val="11"/>
            <w:tcBorders>
              <w:top w:val="single" w:sz="4" w:space="0" w:color="FFFFFF"/>
              <w:left w:val="single" w:sz="4" w:space="0" w:color="000000"/>
              <w:bottom w:val="single" w:sz="36" w:space="0" w:color="FFFFFF"/>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不适用</w:t>
            </w:r>
            <w:r>
              <w:rPr>
                <w:rFonts w:ascii="宋体" w:hAnsi="宋体" w:cs="宋体" w:eastAsia="宋体" w:hint="default"/>
                <w:sz w:val="18"/>
                <w:szCs w:val="18"/>
              </w:rPr>
            </w:r>
          </w:p>
        </w:tc>
      </w:tr>
      <w:tr>
        <w:trPr>
          <w:trHeight w:val="674" w:hRule="exact"/>
        </w:trPr>
        <w:tc>
          <w:tcPr>
            <w:tcW w:w="1635" w:type="dxa"/>
            <w:gridSpan w:val="3"/>
            <w:tcBorders>
              <w:top w:val="single" w:sz="36" w:space="0" w:color="FFFFFF"/>
              <w:left w:val="single" w:sz="4" w:space="0" w:color="000000"/>
              <w:bottom w:val="single" w:sz="4" w:space="0" w:color="FFFFFF"/>
              <w:right w:val="single" w:sz="4" w:space="0" w:color="000000"/>
            </w:tcBorders>
            <w:shd w:val="clear" w:color="auto" w:fill="D2D2D2"/>
          </w:tcPr>
          <w:p>
            <w:pPr>
              <w:pStyle w:val="TableParagraph"/>
              <w:spacing w:line="208" w:lineRule="exact"/>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尚未使用的募集资</w:t>
            </w:r>
            <w:r>
              <w:rPr>
                <w:rFonts w:ascii="宋体" w:hAnsi="宋体" w:cs="宋体" w:eastAsia="宋体" w:hint="default"/>
                <w:sz w:val="18"/>
                <w:szCs w:val="18"/>
              </w:rPr>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金用途及去向</w:t>
            </w:r>
            <w:r>
              <w:rPr>
                <w:rFonts w:ascii="宋体" w:hAnsi="宋体" w:cs="宋体" w:eastAsia="宋体" w:hint="default"/>
                <w:sz w:val="18"/>
                <w:szCs w:val="18"/>
              </w:rPr>
            </w:r>
          </w:p>
        </w:tc>
        <w:tc>
          <w:tcPr>
            <w:tcW w:w="7938" w:type="dxa"/>
            <w:gridSpan w:val="11"/>
            <w:tcBorders>
              <w:top w:val="single" w:sz="36" w:space="0" w:color="FFFFFF"/>
              <w:left w:val="single" w:sz="4" w:space="0" w:color="000000"/>
              <w:bottom w:val="single" w:sz="4" w:space="0" w:color="FFFFFF"/>
              <w:right w:val="single" w:sz="4" w:space="0" w:color="000000"/>
            </w:tcBorders>
            <w:shd w:val="clear" w:color="auto" w:fill="D2D2D2"/>
          </w:tcPr>
          <w:p>
            <w:pPr>
              <w:pStyle w:val="TableParagraph"/>
              <w:spacing w:line="221" w:lineRule="exact"/>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截至</w:t>
            </w:r>
            <w:r>
              <w:rPr>
                <w:rFonts w:ascii="宋体" w:hAnsi="宋体" w:cs="宋体" w:eastAsia="宋体" w:hint="default"/>
                <w:spacing w:val="-46"/>
                <w:sz w:val="18"/>
                <w:szCs w:val="18"/>
                <w:shd w:fill="D9D9D9" w:color="auto" w:val="clear"/>
              </w:rPr>
              <w:t> </w:t>
            </w:r>
            <w:r>
              <w:rPr>
                <w:rFonts w:ascii="Times New Roman" w:hAnsi="Times New Roman" w:cs="Times New Roman" w:eastAsia="Times New Roman" w:hint="default"/>
                <w:sz w:val="18"/>
                <w:szCs w:val="18"/>
                <w:shd w:fill="D9D9D9" w:color="auto" w:val="clear"/>
              </w:rPr>
              <w:t>2018</w:t>
            </w:r>
            <w:r>
              <w:rPr>
                <w:rFonts w:ascii="Times New Roman" w:hAnsi="Times New Roman" w:cs="Times New Roman" w:eastAsia="Times New Roman" w:hint="default"/>
                <w:spacing w:val="-1"/>
                <w:sz w:val="18"/>
                <w:szCs w:val="18"/>
                <w:shd w:fill="D9D9D9" w:color="auto" w:val="clear"/>
              </w:rPr>
              <w:t> </w:t>
            </w:r>
            <w:r>
              <w:rPr>
                <w:rFonts w:ascii="宋体" w:hAnsi="宋体" w:cs="宋体" w:eastAsia="宋体" w:hint="default"/>
                <w:sz w:val="18"/>
                <w:szCs w:val="18"/>
                <w:shd w:fill="D9D9D9" w:color="auto" w:val="clear"/>
              </w:rPr>
              <w:t>年</w:t>
            </w:r>
            <w:r>
              <w:rPr>
                <w:rFonts w:ascii="宋体" w:hAnsi="宋体" w:cs="宋体" w:eastAsia="宋体" w:hint="default"/>
                <w:spacing w:val="-46"/>
                <w:sz w:val="18"/>
                <w:szCs w:val="18"/>
                <w:shd w:fill="D9D9D9" w:color="auto" w:val="clear"/>
              </w:rPr>
              <w:t> </w:t>
            </w:r>
            <w:r>
              <w:rPr>
                <w:rFonts w:ascii="Times New Roman" w:hAnsi="Times New Roman" w:cs="Times New Roman" w:eastAsia="Times New Roman" w:hint="default"/>
                <w:sz w:val="18"/>
                <w:szCs w:val="18"/>
                <w:shd w:fill="D9D9D9" w:color="auto" w:val="clear"/>
              </w:rPr>
              <w:t>12</w:t>
            </w:r>
            <w:r>
              <w:rPr>
                <w:rFonts w:ascii="Times New Roman" w:hAnsi="Times New Roman" w:cs="Times New Roman" w:eastAsia="Times New Roman" w:hint="default"/>
                <w:spacing w:val="-1"/>
                <w:sz w:val="18"/>
                <w:szCs w:val="18"/>
                <w:shd w:fill="D9D9D9" w:color="auto" w:val="clear"/>
              </w:rPr>
              <w:t> </w:t>
            </w:r>
            <w:r>
              <w:rPr>
                <w:rFonts w:ascii="宋体" w:hAnsi="宋体" w:cs="宋体" w:eastAsia="宋体" w:hint="default"/>
                <w:sz w:val="18"/>
                <w:szCs w:val="18"/>
                <w:shd w:fill="D9D9D9" w:color="auto" w:val="clear"/>
              </w:rPr>
              <w:t>月</w:t>
            </w:r>
            <w:r>
              <w:rPr>
                <w:rFonts w:ascii="宋体" w:hAnsi="宋体" w:cs="宋体" w:eastAsia="宋体" w:hint="default"/>
                <w:spacing w:val="-46"/>
                <w:sz w:val="18"/>
                <w:szCs w:val="18"/>
                <w:shd w:fill="D9D9D9" w:color="auto" w:val="clear"/>
              </w:rPr>
              <w:t> </w:t>
            </w:r>
            <w:r>
              <w:rPr>
                <w:rFonts w:ascii="Times New Roman" w:hAnsi="Times New Roman" w:cs="Times New Roman" w:eastAsia="Times New Roman" w:hint="default"/>
                <w:sz w:val="18"/>
                <w:szCs w:val="18"/>
                <w:shd w:fill="D9D9D9" w:color="auto" w:val="clear"/>
              </w:rPr>
              <w:t>31</w:t>
            </w:r>
            <w:r>
              <w:rPr>
                <w:rFonts w:ascii="Times New Roman" w:hAnsi="Times New Roman" w:cs="Times New Roman" w:eastAsia="Times New Roman" w:hint="default"/>
                <w:spacing w:val="-1"/>
                <w:sz w:val="18"/>
                <w:szCs w:val="18"/>
                <w:shd w:fill="D9D9D9" w:color="auto" w:val="clear"/>
              </w:rPr>
              <w:t> </w:t>
            </w:r>
            <w:r>
              <w:rPr>
                <w:rFonts w:ascii="宋体" w:hAnsi="宋体" w:cs="宋体" w:eastAsia="宋体" w:hint="default"/>
                <w:sz w:val="18"/>
                <w:szCs w:val="18"/>
                <w:shd w:fill="D9D9D9" w:color="auto" w:val="clear"/>
              </w:rPr>
              <w:t>日，公司尚未使用的募集资金余额</w:t>
            </w:r>
            <w:r>
              <w:rPr>
                <w:rFonts w:ascii="宋体" w:hAnsi="宋体" w:cs="宋体" w:eastAsia="宋体" w:hint="default"/>
                <w:spacing w:val="-46"/>
                <w:sz w:val="18"/>
                <w:szCs w:val="18"/>
                <w:shd w:fill="D9D9D9" w:color="auto" w:val="clear"/>
              </w:rPr>
              <w:t> </w:t>
            </w:r>
            <w:r>
              <w:rPr>
                <w:rFonts w:ascii="Times New Roman" w:hAnsi="Times New Roman" w:cs="Times New Roman" w:eastAsia="Times New Roman" w:hint="default"/>
                <w:sz w:val="18"/>
                <w:szCs w:val="18"/>
                <w:shd w:fill="D9D9D9" w:color="auto" w:val="clear"/>
              </w:rPr>
              <w:t>61,033,047.68 </w:t>
            </w:r>
            <w:r>
              <w:rPr>
                <w:rFonts w:ascii="宋体" w:hAnsi="宋体" w:cs="宋体" w:eastAsia="宋体" w:hint="default"/>
                <w:sz w:val="18"/>
                <w:szCs w:val="18"/>
                <w:shd w:fill="D9D9D9" w:color="auto" w:val="clear"/>
              </w:rPr>
              <w:t>元，均以活期存款方式存储在</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公司募集资金专户中。</w:t>
            </w:r>
            <w:r>
              <w:rPr>
                <w:rFonts w:ascii="宋体" w:hAnsi="宋体" w:cs="宋体" w:eastAsia="宋体" w:hint="default"/>
                <w:sz w:val="18"/>
                <w:szCs w:val="18"/>
              </w:rPr>
            </w:r>
          </w:p>
        </w:tc>
      </w:tr>
      <w:tr>
        <w:trPr>
          <w:trHeight w:val="1026" w:hRule="exact"/>
        </w:trPr>
        <w:tc>
          <w:tcPr>
            <w:tcW w:w="1635"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募集资金使用及披</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shd w:fill="D9D9D9" w:color="auto" w:val="clear"/>
              </w:rPr>
              <w:t>露中存在的问题或</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shd w:fill="D9D9D9" w:color="auto" w:val="clear"/>
              </w:rPr>
              <w:t>其他情况</w:t>
            </w:r>
            <w:r>
              <w:rPr>
                <w:rFonts w:ascii="宋体" w:hAnsi="宋体" w:cs="宋体" w:eastAsia="宋体" w:hint="default"/>
                <w:sz w:val="18"/>
                <w:szCs w:val="18"/>
              </w:rPr>
            </w:r>
          </w:p>
        </w:tc>
        <w:tc>
          <w:tcPr>
            <w:tcW w:w="7938" w:type="dxa"/>
            <w:gridSpan w:val="11"/>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无</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both"/>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公司报告期内无应当披露的重要控股参股公司信息。</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Heading5"/>
        <w:spacing w:line="240" w:lineRule="auto" w:before="0"/>
        <w:ind w:left="587" w:right="0"/>
        <w:jc w:val="left"/>
        <w:rPr>
          <w:b w:val="0"/>
          <w:bCs w:val="0"/>
        </w:rPr>
      </w:pPr>
      <w:r>
        <w:rPr/>
        <w:t>一、行业格局和发展趋势</w:t>
      </w:r>
      <w:r>
        <w:rPr>
          <w:b w:val="0"/>
          <w:bCs w:val="0"/>
        </w:rPr>
      </w:r>
    </w:p>
    <w:p>
      <w:pPr>
        <w:pStyle w:val="Heading5"/>
        <w:spacing w:line="240" w:lineRule="auto" w:before="76"/>
        <w:ind w:left="574" w:right="0"/>
        <w:jc w:val="left"/>
        <w:rPr>
          <w:b w:val="0"/>
          <w:bCs w:val="0"/>
        </w:rPr>
      </w:pPr>
      <w:r>
        <w:rPr/>
        <w:t>（一）新技术驱动产业格局升级</w:t>
      </w:r>
      <w:r>
        <w:rPr>
          <w:b w:val="0"/>
          <w:bCs w:val="0"/>
        </w:rPr>
      </w:r>
    </w:p>
    <w:p>
      <w:pPr>
        <w:spacing w:line="300" w:lineRule="auto" w:before="76"/>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、大数据技术已进入深度应用阶段</w:t>
      </w:r>
      <w:r>
        <w:rPr>
          <w:rFonts w:ascii="宋体" w:hAnsi="宋体" w:cs="宋体" w:eastAsia="宋体" w:hint="default"/>
          <w:b/>
          <w:bCs/>
          <w:w w:val="99"/>
          <w:sz w:val="18"/>
          <w:szCs w:val="18"/>
        </w:rPr>
        <w:t> </w:t>
      </w:r>
      <w:r>
        <w:rPr>
          <w:rFonts w:ascii="宋体" w:hAnsi="宋体" w:cs="宋体" w:eastAsia="宋体" w:hint="default"/>
          <w:spacing w:val="-2"/>
          <w:sz w:val="18"/>
          <w:szCs w:val="18"/>
        </w:rPr>
        <w:t>大数据是新一轮信息技术革命与人类经济社会活动的交汇融合的必然产物，全球范围内，运用大数据推动经济发展、完</w:t>
      </w:r>
    </w:p>
    <w:p>
      <w:pPr>
        <w:pStyle w:val="BodyText"/>
        <w:spacing w:line="312" w:lineRule="auto" w:before="31"/>
        <w:ind w:right="1130"/>
        <w:jc w:val="both"/>
      </w:pPr>
      <w:r>
        <w:rPr>
          <w:spacing w:val="-2"/>
        </w:rPr>
        <w:t>善社会治理、提升政府服务和监管能力正成为趋势。而大数据应用正在向制造业、金融及商业、医疗卫生、国计民生等各个</w:t>
      </w:r>
      <w:r>
        <w:rPr>
          <w:spacing w:val="-66"/>
        </w:rPr>
        <w:t> </w:t>
      </w:r>
      <w:r>
        <w:rPr>
          <w:spacing w:val="-66"/>
        </w:rPr>
      </w:r>
      <w:r>
        <w:rPr>
          <w:spacing w:val="-2"/>
        </w:rPr>
        <w:t>领域渗透，涌现出一批互联网创新企业和创新应用。地方政府也已启动大数据相关工作，坚持创新驱动发展，加快大数据部</w:t>
      </w:r>
      <w:r>
        <w:rPr>
          <w:spacing w:val="-65"/>
        </w:rPr>
        <w:t> </w:t>
      </w:r>
      <w:r>
        <w:rPr>
          <w:spacing w:val="-65"/>
        </w:rPr>
      </w:r>
      <w:r>
        <w:rPr>
          <w:spacing w:val="-2"/>
        </w:rPr>
        <w:t>署，深化大数据应用，已成为稳增长、促改革、调结构、惠民生和推动政府治理能力现代化的内在需要和必然选择。工信部</w:t>
      </w:r>
      <w:r>
        <w:rPr>
          <w:spacing w:val="-68"/>
        </w:rPr>
        <w:t> </w:t>
      </w:r>
      <w:r>
        <w:rPr>
          <w:spacing w:val="-68"/>
        </w:rPr>
      </w:r>
      <w:r>
        <w:rPr>
          <w:spacing w:val="-1"/>
        </w:rPr>
        <w:t>编制印发的《大数据产业发展规划（</w:t>
      </w:r>
      <w:r>
        <w:rPr>
          <w:rFonts w:ascii="Times New Roman" w:hAnsi="Times New Roman" w:cs="Times New Roman" w:eastAsia="Times New Roman" w:hint="default"/>
          <w:spacing w:val="-1"/>
        </w:rPr>
        <w:t>2016-2020</w:t>
      </w:r>
      <w:r>
        <w:rPr>
          <w:spacing w:val="-1"/>
        </w:rPr>
        <w:t>年）》，也进一步明确促进行业大数据应用发展等</w:t>
      </w:r>
      <w:r>
        <w:rPr>
          <w:rFonts w:ascii="Times New Roman" w:hAnsi="Times New Roman" w:cs="Times New Roman" w:eastAsia="Times New Roman" w:hint="default"/>
          <w:spacing w:val="-1"/>
        </w:rPr>
        <w:t>7</w:t>
      </w:r>
      <w:r>
        <w:rPr>
          <w:spacing w:val="-1"/>
        </w:rPr>
        <w:t>项任务，提出大数据服务</w:t>
      </w:r>
      <w:r>
        <w:rPr>
          <w:spacing w:val="-86"/>
        </w:rPr>
        <w:t> </w:t>
      </w:r>
      <w:r>
        <w:rPr>
          <w:spacing w:val="-86"/>
        </w:rPr>
      </w:r>
      <w:r>
        <w:rPr>
          <w:spacing w:val="-1"/>
        </w:rPr>
        <w:t>能力提升工程等</w:t>
      </w:r>
      <w:r>
        <w:rPr>
          <w:rFonts w:ascii="Times New Roman" w:hAnsi="Times New Roman" w:cs="Times New Roman" w:eastAsia="Times New Roman" w:hint="default"/>
          <w:spacing w:val="-1"/>
        </w:rPr>
        <w:t>8</w:t>
      </w:r>
      <w:r>
        <w:rPr>
          <w:spacing w:val="-1"/>
        </w:rPr>
        <w:t>项重点工程。《湖南省大数据产业发展三年行动计划（</w:t>
      </w:r>
      <w:r>
        <w:rPr>
          <w:rFonts w:ascii="Times New Roman" w:hAnsi="Times New Roman" w:cs="Times New Roman" w:eastAsia="Times New Roman" w:hint="default"/>
          <w:spacing w:val="-1"/>
        </w:rPr>
        <w:t>2019-2021</w:t>
      </w:r>
      <w:r>
        <w:rPr>
          <w:spacing w:val="-1"/>
        </w:rPr>
        <w:t>）》也进一步提出行业大数据、工业大数</w:t>
      </w:r>
      <w:r>
        <w:rPr>
          <w:spacing w:val="-85"/>
        </w:rPr>
        <w:t> </w:t>
      </w:r>
      <w:r>
        <w:rPr>
          <w:spacing w:val="-85"/>
        </w:rPr>
      </w:r>
      <w:r>
        <w:rPr/>
        <w:t>据深化创新应用行动等六大重点任务。</w:t>
      </w:r>
    </w:p>
    <w:p>
      <w:pPr>
        <w:spacing w:line="300" w:lineRule="auto" w:before="22"/>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、新一代人工智能技术日益融入产业升级</w:t>
      </w:r>
      <w:r>
        <w:rPr>
          <w:rFonts w:ascii="宋体" w:hAnsi="宋体" w:cs="宋体" w:eastAsia="宋体" w:hint="default"/>
          <w:b/>
          <w:bCs/>
          <w:w w:val="99"/>
          <w:sz w:val="18"/>
          <w:szCs w:val="18"/>
        </w:rPr>
        <w:t> </w:t>
      </w:r>
      <w:r>
        <w:rPr>
          <w:rFonts w:ascii="宋体" w:hAnsi="宋体" w:cs="宋体" w:eastAsia="宋体" w:hint="default"/>
          <w:spacing w:val="-2"/>
          <w:sz w:val="18"/>
          <w:szCs w:val="18"/>
        </w:rPr>
        <w:t>人工智能发展进入新阶段。经过多年的演进，特别是在移动互联网、大数据、超级计算、传感网、脑科学等新理论新技</w:t>
      </w:r>
    </w:p>
    <w:p>
      <w:pPr>
        <w:pStyle w:val="BodyText"/>
        <w:spacing w:line="309" w:lineRule="auto" w:before="31"/>
        <w:ind w:right="1130"/>
        <w:jc w:val="both"/>
      </w:pPr>
      <w:r>
        <w:rPr>
          <w:spacing w:val="-2"/>
        </w:rPr>
        <w:t>术以及经济社会发展强烈需求的共同驱动下，人工智能加速发展，呈现出深度学习、跨界融合、人机协同、群智开放、自主</w:t>
      </w:r>
      <w:r>
        <w:rPr>
          <w:spacing w:val="-67"/>
        </w:rPr>
        <w:t> </w:t>
      </w:r>
      <w:r>
        <w:rPr>
          <w:spacing w:val="-67"/>
        </w:rPr>
      </w:r>
      <w:r>
        <w:rPr>
          <w:spacing w:val="-2"/>
        </w:rPr>
        <w:t>操控等新特征。大数据驱动知识学习、跨媒体协同处理、人机协同增强智能、群体集成智能、自主智能系统成为人工智能的</w:t>
      </w:r>
      <w:r>
        <w:rPr>
          <w:spacing w:val="-66"/>
        </w:rPr>
        <w:t> </w:t>
      </w:r>
      <w:r>
        <w:rPr>
          <w:spacing w:val="-66"/>
        </w:rPr>
      </w:r>
      <w:r>
        <w:rPr>
          <w:spacing w:val="-5"/>
        </w:rPr>
        <w:t>发展重点，受脑科学研究成果启发的类脑智能蓄势待发，芯片化硬件化平台化趋势更加明显，人工智能发展进入新阶段。</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spacing w:val="-1"/>
        </w:rPr>
        <w:t>年</w:t>
      </w:r>
      <w:r>
        <w:rPr>
          <w:rFonts w:ascii="Times New Roman" w:hAnsi="Times New Roman" w:cs="Times New Roman" w:eastAsia="Times New Roman" w:hint="default"/>
          <w:spacing w:val="-1"/>
        </w:rPr>
        <w:t>12</w:t>
      </w:r>
      <w:r>
        <w:rPr>
          <w:spacing w:val="-1"/>
        </w:rPr>
        <w:t>月，工信部印发《促进新一代人工智能产业发展三年行动计划（</w:t>
      </w:r>
      <w:r>
        <w:rPr>
          <w:rFonts w:ascii="Times New Roman" w:hAnsi="Times New Roman" w:cs="Times New Roman" w:eastAsia="Times New Roman" w:hint="default"/>
          <w:spacing w:val="-1"/>
        </w:rPr>
        <w:t>2018-2020</w:t>
      </w:r>
      <w:r>
        <w:rPr>
          <w:spacing w:val="-1"/>
        </w:rPr>
        <w:t>）》，提出</w:t>
      </w:r>
      <w:r>
        <w:rPr>
          <w:rFonts w:ascii="Times New Roman" w:hAnsi="Times New Roman" w:cs="Times New Roman" w:eastAsia="Times New Roman" w:hint="default"/>
          <w:spacing w:val="-1"/>
        </w:rPr>
        <w:t>“</w:t>
      </w:r>
      <w:r>
        <w:rPr>
          <w:spacing w:val="-1"/>
        </w:rPr>
        <w:t>力争到</w:t>
      </w:r>
      <w:r>
        <w:rPr>
          <w:rFonts w:ascii="Times New Roman" w:hAnsi="Times New Roman" w:cs="Times New Roman" w:eastAsia="Times New Roman" w:hint="default"/>
          <w:spacing w:val="-1"/>
        </w:rPr>
        <w:t>2020</w:t>
      </w:r>
      <w:r>
        <w:rPr>
          <w:spacing w:val="-1"/>
        </w:rPr>
        <w:t>年，一系列人工智能</w:t>
      </w:r>
      <w:r>
        <w:rPr>
          <w:spacing w:val="-70"/>
        </w:rPr>
        <w:t> </w:t>
      </w:r>
      <w:r>
        <w:rPr>
          <w:spacing w:val="-70"/>
        </w:rPr>
      </w:r>
      <w:r>
        <w:rPr>
          <w:spacing w:val="-2"/>
        </w:rPr>
        <w:t>标志性产品取得重要突破，在若干重点领域形成国际竞争优势，人工智能和实体经济融合进一步深化，产业发展环境进一步</w:t>
      </w:r>
    </w:p>
    <w:p>
      <w:pPr>
        <w:spacing w:after="0" w:line="30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rPr>
          <w:rFonts w:ascii="Times New Roman" w:hAnsi="Times New Roman" w:cs="Times New Roman" w:eastAsia="Times New Roman" w:hint="default"/>
        </w:rPr>
      </w:pPr>
      <w:r>
        <w:rPr/>
        <w:t>优化。</w:t>
      </w:r>
      <w:r>
        <w:rPr>
          <w:rFonts w:ascii="Times New Roman" w:hAnsi="Times New Roman" w:cs="Times New Roman" w:eastAsia="Times New Roman" w:hint="default"/>
        </w:rPr>
        <w:t>”</w:t>
      </w:r>
    </w:p>
    <w:p>
      <w:pPr>
        <w:spacing w:line="300" w:lineRule="auto" w:before="63"/>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、工业互联网成为智慧制造的重要技术基础</w:t>
      </w:r>
      <w:r>
        <w:rPr>
          <w:rFonts w:ascii="宋体" w:hAnsi="宋体" w:cs="宋体" w:eastAsia="宋体" w:hint="default"/>
          <w:b/>
          <w:bCs/>
          <w:w w:val="99"/>
          <w:sz w:val="18"/>
          <w:szCs w:val="18"/>
        </w:rPr>
        <w:t> </w:t>
      </w:r>
      <w:r>
        <w:rPr>
          <w:rFonts w:ascii="宋体" w:hAnsi="宋体" w:cs="宋体" w:eastAsia="宋体" w:hint="default"/>
          <w:spacing w:val="-2"/>
          <w:sz w:val="18"/>
          <w:szCs w:val="18"/>
        </w:rPr>
        <w:t>工业互联网是互联网和新一代信息技术与工业系统全方位深度融合所形成的产业和应用生态，是工业智能化发展的关键</w:t>
      </w:r>
    </w:p>
    <w:p>
      <w:pPr>
        <w:pStyle w:val="BodyText"/>
        <w:spacing w:line="316" w:lineRule="auto" w:before="31"/>
        <w:ind w:right="0"/>
        <w:jc w:val="left"/>
      </w:pPr>
      <w:r>
        <w:rPr>
          <w:spacing w:val="-2"/>
        </w:rPr>
        <w:t>综合信息基础设施。智能制造是基于物联网、互联网、大数据、云计算等新一代信息技术，贯穿于设计、生产、管理、服务</w:t>
      </w:r>
      <w:r>
        <w:rPr>
          <w:spacing w:val="-68"/>
        </w:rPr>
        <w:t> </w:t>
      </w:r>
      <w:r>
        <w:rPr>
          <w:spacing w:val="-68"/>
        </w:rPr>
      </w:r>
      <w:r>
        <w:rPr>
          <w:spacing w:val="-4"/>
        </w:rPr>
        <w:t>等制造活动的各个环节，具有信息深度感知、智慧优化自决策、精准控制自执行等功能的先进制造过程、系统与模式的总称。</w:t>
      </w:r>
      <w:r>
        <w:rPr>
          <w:spacing w:val="-46"/>
        </w:rPr>
        <w:t> </w:t>
      </w:r>
      <w:r>
        <w:rPr>
          <w:spacing w:val="-46"/>
        </w:rPr>
      </w:r>
      <w:r>
        <w:rPr>
          <w:spacing w:val="-2"/>
        </w:rPr>
        <w:t>智能制造的实现主要依托两方面基础能力，一是工业制造技术，包括先进设备、先进材料和先进工艺等，是决定制造边界与</w:t>
      </w:r>
      <w:r>
        <w:rPr>
          <w:spacing w:val="-66"/>
        </w:rPr>
        <w:t> </w:t>
      </w:r>
      <w:r>
        <w:rPr>
          <w:spacing w:val="-66"/>
        </w:rPr>
      </w:r>
      <w:r>
        <w:rPr>
          <w:spacing w:val="-2"/>
        </w:rPr>
        <w:t>制造成本的根本；二是工业互联网，包括智能传感控制软硬件、新型工业网络、工业大数据平台等综合信息技术要素，是充</w:t>
      </w:r>
      <w:r>
        <w:rPr>
          <w:spacing w:val="-66"/>
        </w:rPr>
        <w:t> </w:t>
      </w:r>
      <w:r>
        <w:rPr>
          <w:spacing w:val="-66"/>
        </w:rPr>
      </w:r>
      <w:r>
        <w:rPr>
          <w:spacing w:val="-2"/>
        </w:rPr>
        <w:t>分发挥工业装备、工业材料潜能，提高生产效率、优化资源配置效率、创造差异化产品和实现服务增值的关键。因此，工业</w:t>
      </w:r>
      <w:r>
        <w:rPr>
          <w:spacing w:val="-66"/>
        </w:rPr>
        <w:t> </w:t>
      </w:r>
      <w:r>
        <w:rPr>
          <w:spacing w:val="-66"/>
        </w:rPr>
      </w:r>
      <w:r>
        <w:rPr/>
        <w:t>互联网是智能制造的关键基础，为其变革提供了必须的共性基础设施和能力，同时也用于支撑其他产业的智能化发展。</w:t>
      </w:r>
    </w:p>
    <w:p>
      <w:pPr>
        <w:pStyle w:val="BodyText"/>
        <w:spacing w:line="309" w:lineRule="auto" w:before="19"/>
        <w:ind w:right="1130" w:firstLine="360"/>
        <w:jc w:val="both"/>
      </w:pPr>
      <w:r>
        <w:rPr>
          <w:spacing w:val="-3"/>
          <w:w w:val="100"/>
        </w:rPr>
        <w:t>国家近年发布《国务院关于促进云计算创新发展培育信息产业新业态的意见》、《国务院关于深化</w:t>
      </w:r>
      <w:r>
        <w:rPr>
          <w:rFonts w:ascii="Times New Roman" w:hAnsi="Times New Roman" w:cs="Times New Roman" w:eastAsia="Times New Roman" w:hint="default"/>
          <w:spacing w:val="-3"/>
          <w:w w:val="100"/>
        </w:rPr>
        <w:t>“</w:t>
      </w:r>
      <w:r>
        <w:rPr>
          <w:spacing w:val="-3"/>
          <w:w w:val="100"/>
        </w:rPr>
        <w:t>互联网</w:t>
      </w:r>
      <w:r>
        <w:rPr>
          <w:rFonts w:ascii="Times New Roman" w:hAnsi="Times New Roman" w:cs="Times New Roman" w:eastAsia="Times New Roman" w:hint="default"/>
          <w:spacing w:val="-3"/>
          <w:w w:val="100"/>
        </w:rPr>
        <w:t>+</w:t>
      </w:r>
      <w:r>
        <w:rPr>
          <w:spacing w:val="-3"/>
          <w:w w:val="100"/>
        </w:rPr>
        <w:t>先进制造业</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 </w:t>
      </w:r>
      <w:r>
        <w:rPr>
          <w:spacing w:val="-2"/>
        </w:rPr>
        <w:t>发展工业互联网的指导意见》等政策，推动企业加快数字化、网络化、智能化转型，推进互联网、大数据、人工智能与实体</w:t>
      </w:r>
      <w:r>
        <w:rPr>
          <w:spacing w:val="-72"/>
        </w:rPr>
        <w:t> </w:t>
      </w:r>
      <w:r>
        <w:rPr>
          <w:spacing w:val="-72"/>
        </w:rPr>
      </w:r>
      <w:r>
        <w:rPr/>
        <w:t>经济深度融合，提升创新能力、业务实力和发展水平。</w:t>
      </w:r>
    </w:p>
    <w:p>
      <w:pPr>
        <w:pStyle w:val="Heading5"/>
        <w:spacing w:line="240" w:lineRule="auto" w:before="24"/>
        <w:ind w:left="574" w:right="0"/>
        <w:jc w:val="left"/>
        <w:rPr>
          <w:b w:val="0"/>
          <w:bCs w:val="0"/>
        </w:rPr>
      </w:pPr>
      <w:r>
        <w:rPr/>
        <w:t>（二）政策催生新一轮信息化建设热潮</w:t>
      </w:r>
      <w:r>
        <w:rPr>
          <w:b w:val="0"/>
          <w:bCs w:val="0"/>
        </w:rPr>
      </w:r>
    </w:p>
    <w:p>
      <w:pPr>
        <w:spacing w:line="300" w:lineRule="auto" w:before="76"/>
        <w:ind w:left="514" w:right="0" w:firstLine="28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、智慧社会成为新型智慧城市发展目标</w:t>
      </w:r>
      <w:r>
        <w:rPr>
          <w:rFonts w:ascii="宋体" w:hAnsi="宋体" w:cs="宋体" w:eastAsia="宋体" w:hint="default"/>
          <w:b/>
          <w:bCs/>
          <w:w w:val="99"/>
          <w:sz w:val="18"/>
          <w:szCs w:val="18"/>
        </w:rPr>
        <w:t> </w:t>
      </w:r>
      <w:r>
        <w:rPr>
          <w:rFonts w:ascii="宋体" w:hAnsi="宋体" w:cs="宋体" w:eastAsia="宋体" w:hint="default"/>
          <w:spacing w:val="-2"/>
          <w:sz w:val="18"/>
          <w:szCs w:val="18"/>
        </w:rPr>
        <w:t>党的十九大报告提出建设智慧社会，是在网络强国、数字中国发展基础上的跃升，是对我国信息社会发展前景的前瞻性</w:t>
      </w:r>
    </w:p>
    <w:p>
      <w:pPr>
        <w:pStyle w:val="BodyText"/>
        <w:spacing w:line="316" w:lineRule="auto" w:before="31"/>
        <w:ind w:right="1134"/>
        <w:jc w:val="both"/>
      </w:pPr>
      <w:r>
        <w:rPr>
          <w:spacing w:val="-2"/>
        </w:rPr>
        <w:t>概括。建设智慧社会是要充分运用物联网、互联网、云计算、大数据、人工智能等新一代信息技术，以网络化、平台化、远</w:t>
      </w:r>
      <w:r>
        <w:rPr>
          <w:spacing w:val="-68"/>
        </w:rPr>
        <w:t> </w:t>
      </w:r>
      <w:r>
        <w:rPr>
          <w:spacing w:val="-68"/>
        </w:rPr>
      </w:r>
      <w:r>
        <w:rPr>
          <w:spacing w:val="-2"/>
        </w:rPr>
        <w:t>程化等信息化方式提高全社会基本公共服务的覆盖面和均等化水平，构建立体化、全方位、广覆盖的社会信息服务体系，作</w:t>
      </w:r>
      <w:r>
        <w:rPr>
          <w:spacing w:val="-86"/>
        </w:rPr>
        <w:t> </w:t>
      </w:r>
      <w:r>
        <w:rPr>
          <w:spacing w:val="-86"/>
        </w:rPr>
      </w:r>
      <w:r>
        <w:rPr/>
        <w:t>为智慧政务、智慧产业、智慧民生、智慧城市等各种智慧系统的总和。</w:t>
      </w:r>
    </w:p>
    <w:p>
      <w:pPr>
        <w:pStyle w:val="BodyText"/>
        <w:spacing w:line="240" w:lineRule="auto" w:before="19"/>
        <w:ind w:left="514" w:right="0"/>
        <w:jc w:val="left"/>
      </w:pPr>
      <w:r>
        <w:rPr>
          <w:spacing w:val="-4"/>
        </w:rPr>
        <w:t>未来，智慧社会将在统一标准、技术的基础上，强调基础设施和数据资源的共建共享，让智慧的产品与服务扩散到全国。</w:t>
      </w:r>
    </w:p>
    <w:p>
      <w:pPr>
        <w:spacing w:line="300" w:lineRule="auto" w:before="76"/>
        <w:ind w:left="514" w:right="1122" w:firstLine="28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、深入优化营商环境，信息化助力深化</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放管服</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改革</w:t>
      </w:r>
      <w:r>
        <w:rPr>
          <w:rFonts w:ascii="宋体" w:hAnsi="宋体" w:cs="宋体" w:eastAsia="宋体" w:hint="default"/>
          <w:b/>
          <w:bCs/>
          <w:w w:val="99"/>
          <w:sz w:val="18"/>
          <w:szCs w:val="18"/>
        </w:rPr>
        <w:t> </w:t>
      </w:r>
      <w:r>
        <w:rPr>
          <w:rFonts w:ascii="宋体" w:hAnsi="宋体" w:cs="宋体" w:eastAsia="宋体" w:hint="default"/>
          <w:sz w:val="18"/>
          <w:szCs w:val="18"/>
        </w:rPr>
        <w:t>根据世界银行《</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年营商环境评估报告》，中国营商环境总体评价在全球</w:t>
      </w:r>
      <w:r>
        <w:rPr>
          <w:rFonts w:ascii="Times New Roman" w:hAnsi="Times New Roman" w:cs="Times New Roman" w:eastAsia="Times New Roman" w:hint="default"/>
          <w:sz w:val="18"/>
          <w:szCs w:val="18"/>
        </w:rPr>
        <w:t>190</w:t>
      </w:r>
      <w:r>
        <w:rPr>
          <w:rFonts w:ascii="宋体" w:hAnsi="宋体" w:cs="宋体" w:eastAsia="宋体" w:hint="default"/>
          <w:sz w:val="18"/>
          <w:szCs w:val="18"/>
        </w:rPr>
        <w:t>个经济体中已经跃居第</w:t>
      </w:r>
      <w:r>
        <w:rPr>
          <w:rFonts w:ascii="Times New Roman" w:hAnsi="Times New Roman" w:cs="Times New Roman" w:eastAsia="Times New Roman" w:hint="default"/>
          <w:sz w:val="18"/>
          <w:szCs w:val="18"/>
        </w:rPr>
        <w:t>46</w:t>
      </w:r>
      <w:r>
        <w:rPr>
          <w:rFonts w:ascii="宋体" w:hAnsi="宋体" w:cs="宋体" w:eastAsia="宋体" w:hint="default"/>
          <w:sz w:val="18"/>
          <w:szCs w:val="18"/>
        </w:rPr>
        <w:t>位，较上年大</w:t>
      </w:r>
    </w:p>
    <w:p>
      <w:pPr>
        <w:pStyle w:val="BodyText"/>
        <w:spacing w:line="302" w:lineRule="auto" w:before="13"/>
        <w:ind w:right="1051"/>
        <w:jc w:val="left"/>
      </w:pPr>
      <w:r>
        <w:rPr>
          <w:spacing w:val="-2"/>
        </w:rPr>
        <w:t>幅提升了</w:t>
      </w:r>
      <w:r>
        <w:rPr>
          <w:rFonts w:ascii="Times New Roman" w:hAnsi="Times New Roman" w:cs="Times New Roman" w:eastAsia="Times New Roman" w:hint="default"/>
          <w:spacing w:val="-2"/>
        </w:rPr>
        <w:t>32</w:t>
      </w:r>
      <w:r>
        <w:rPr>
          <w:spacing w:val="-2"/>
        </w:rPr>
        <w:t>位。尽管中国营商环境改善明显，但与发达国家相比仍有差距。国家这两年全力深化改革，优化营商环境，发布</w:t>
      </w:r>
      <w:r>
        <w:rPr>
          <w:spacing w:val="-64"/>
        </w:rPr>
        <w:t> </w:t>
      </w:r>
      <w:r>
        <w:rPr>
          <w:spacing w:val="-64"/>
        </w:rPr>
      </w:r>
      <w:r>
        <w:rPr/>
        <w:t>了《国务院办公厅关于印发进一步深化</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推进政务服务</w:t>
      </w:r>
      <w:r>
        <w:rPr>
          <w:rFonts w:ascii="Times New Roman" w:hAnsi="Times New Roman" w:cs="Times New Roman" w:eastAsia="Times New Roman" w:hint="default"/>
        </w:rPr>
        <w:t>“</w:t>
      </w:r>
      <w:r>
        <w:rPr/>
        <w:t>一网、一门、一次</w:t>
      </w:r>
      <w:r>
        <w:rPr>
          <w:rFonts w:ascii="Times New Roman" w:hAnsi="Times New Roman" w:cs="Times New Roman" w:eastAsia="Times New Roman" w:hint="default"/>
        </w:rPr>
        <w:t>”</w:t>
      </w:r>
      <w:r>
        <w:rPr/>
        <w:t>改革实施方案的通知》、《国 务院关于加快推进全国一体化在线政务服务平台建设的指导意见》等一系列文件，</w:t>
      </w:r>
      <w:r>
        <w:rPr>
          <w:rFonts w:ascii="Times New Roman" w:hAnsi="Times New Roman" w:cs="Times New Roman" w:eastAsia="Times New Roman" w:hint="default"/>
        </w:rPr>
        <w:t>2019</w:t>
      </w:r>
      <w:r>
        <w:rPr/>
        <w:t>年政府工作报告就</w:t>
      </w:r>
      <w:r>
        <w:rPr>
          <w:rFonts w:ascii="Times New Roman" w:hAnsi="Times New Roman" w:cs="Times New Roman" w:eastAsia="Times New Roman" w:hint="default"/>
        </w:rPr>
        <w:t>“</w:t>
      </w:r>
      <w:r>
        <w:rPr/>
        <w:t>激发市场主体活 力，着力优化营商环境</w:t>
      </w:r>
      <w:r>
        <w:rPr>
          <w:rFonts w:ascii="Times New Roman" w:hAnsi="Times New Roman" w:cs="Times New Roman" w:eastAsia="Times New Roman" w:hint="default"/>
        </w:rPr>
        <w:t>”</w:t>
      </w:r>
      <w:r>
        <w:rPr/>
        <w:t>进行了全面详细部署。这些文件分别对推进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和审批服务便民化提出了总体要求， 对地方平台建设提出了基本规范，对推动</w:t>
      </w:r>
      <w:r>
        <w:rPr>
          <w:rFonts w:ascii="Times New Roman" w:hAnsi="Times New Roman" w:cs="Times New Roman" w:eastAsia="Times New Roman" w:hint="default"/>
        </w:rPr>
        <w:t>“</w:t>
      </w:r>
      <w:r>
        <w:rPr/>
        <w:t>一网通办</w:t>
      </w:r>
      <w:r>
        <w:rPr>
          <w:rFonts w:ascii="Times New Roman" w:hAnsi="Times New Roman" w:cs="Times New Roman" w:eastAsia="Times New Roman" w:hint="default"/>
        </w:rPr>
        <w:t>”“</w:t>
      </w:r>
      <w:r>
        <w:rPr/>
        <w:t>只进一扇门</w:t>
      </w:r>
      <w:r>
        <w:rPr>
          <w:rFonts w:ascii="Times New Roman" w:hAnsi="Times New Roman" w:cs="Times New Roman" w:eastAsia="Times New Roman" w:hint="default"/>
        </w:rPr>
        <w:t>”“</w:t>
      </w:r>
      <w:r>
        <w:rPr/>
        <w:t>最多跑一次</w:t>
      </w:r>
      <w:r>
        <w:rPr>
          <w:rFonts w:ascii="Times New Roman" w:hAnsi="Times New Roman" w:cs="Times New Roman" w:eastAsia="Times New Roman" w:hint="default"/>
        </w:rPr>
        <w:t>”</w:t>
      </w:r>
      <w:r>
        <w:rPr/>
        <w:t>作出了部署。主要突出围绕深入推进</w:t>
      </w:r>
      <w:r>
        <w:rPr>
          <w:rFonts w:ascii="Times New Roman" w:hAnsi="Times New Roman" w:cs="Times New Roman" w:eastAsia="Times New Roman" w:hint="default"/>
        </w:rPr>
        <w:t>“</w:t>
      </w:r>
      <w:r>
        <w:rPr/>
        <w:t>互联 </w:t>
      </w:r>
      <w:r>
        <w:rPr>
          <w:spacing w:val="-2"/>
        </w:rPr>
        <w:t>网</w:t>
      </w:r>
      <w:r>
        <w:rPr>
          <w:rFonts w:ascii="Times New Roman" w:hAnsi="Times New Roman" w:cs="Times New Roman" w:eastAsia="Times New Roman" w:hint="default"/>
          <w:spacing w:val="-2"/>
        </w:rPr>
        <w:t>+</w:t>
      </w:r>
      <w:r>
        <w:rPr>
          <w:spacing w:val="-2"/>
        </w:rPr>
        <w:t>政务服务</w:t>
      </w:r>
      <w:r>
        <w:rPr>
          <w:rFonts w:ascii="Times New Roman" w:hAnsi="Times New Roman" w:cs="Times New Roman" w:eastAsia="Times New Roman" w:hint="default"/>
          <w:spacing w:val="-2"/>
        </w:rPr>
        <w:t>”</w:t>
      </w:r>
      <w:r>
        <w:rPr>
          <w:spacing w:val="-2"/>
        </w:rPr>
        <w:t>、加快建设全国一体化在线政务服务平台、以信息化手段全面推进政务服务</w:t>
      </w:r>
      <w:r>
        <w:rPr>
          <w:rFonts w:ascii="Times New Roman" w:hAnsi="Times New Roman" w:cs="Times New Roman" w:eastAsia="Times New Roman" w:hint="default"/>
          <w:spacing w:val="-2"/>
        </w:rPr>
        <w:t>“</w:t>
      </w:r>
      <w:r>
        <w:rPr>
          <w:spacing w:val="-2"/>
        </w:rPr>
        <w:t>一网通办</w:t>
      </w:r>
      <w:r>
        <w:rPr>
          <w:rFonts w:ascii="Times New Roman" w:hAnsi="Times New Roman" w:cs="Times New Roman" w:eastAsia="Times New Roman" w:hint="default"/>
          <w:spacing w:val="-2"/>
        </w:rPr>
        <w:t>”</w:t>
      </w:r>
      <w:r>
        <w:rPr>
          <w:spacing w:val="-2"/>
        </w:rPr>
        <w:t>工作提出指导性、规范</w:t>
      </w:r>
      <w:r>
        <w:rPr>
          <w:spacing w:val="-45"/>
        </w:rPr>
        <w:t> </w:t>
      </w:r>
      <w:r>
        <w:rPr>
          <w:spacing w:val="-45"/>
        </w:rPr>
      </w:r>
      <w:r>
        <w:rPr>
          <w:spacing w:val="-2"/>
        </w:rPr>
        <w:t>性、操作性的明确要求和具体措施。而随着云平台、大数据等信息技术的提升，利用信息化手段减少企业登记环节，压缩企</w:t>
      </w:r>
      <w:r>
        <w:rPr>
          <w:spacing w:val="-66"/>
        </w:rPr>
        <w:t> </w:t>
      </w:r>
      <w:r>
        <w:rPr>
          <w:spacing w:val="-66"/>
        </w:rPr>
      </w:r>
      <w:r>
        <w:rPr/>
        <w:t>业开办时间；搭建信息共享交换平台，打破</w:t>
      </w:r>
      <w:r>
        <w:rPr>
          <w:rFonts w:ascii="Times New Roman" w:hAnsi="Times New Roman" w:cs="Times New Roman" w:eastAsia="Times New Roman" w:hint="default"/>
        </w:rPr>
        <w:t>“</w:t>
      </w:r>
      <w:r>
        <w:rPr/>
        <w:t>信息孤岛</w:t>
      </w:r>
      <w:r>
        <w:rPr>
          <w:rFonts w:ascii="Times New Roman" w:hAnsi="Times New Roman" w:cs="Times New Roman" w:eastAsia="Times New Roman" w:hint="default"/>
        </w:rPr>
        <w:t>”</w:t>
      </w:r>
      <w:r>
        <w:rPr/>
        <w:t>，构建</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监管</w:t>
      </w:r>
      <w:r>
        <w:rPr>
          <w:rFonts w:ascii="Times New Roman" w:hAnsi="Times New Roman" w:cs="Times New Roman" w:eastAsia="Times New Roman" w:hint="default"/>
        </w:rPr>
        <w:t>”</w:t>
      </w:r>
      <w:r>
        <w:rPr/>
        <w:t>新型信用监管体系；利用互联网平台，服务创 业创新，优化营商环境，成为政府进一步深化改革的手段之一。</w:t>
      </w:r>
    </w:p>
    <w:p>
      <w:pPr>
        <w:spacing w:line="240" w:lineRule="auto" w:before="1"/>
        <w:rPr>
          <w:rFonts w:ascii="宋体" w:hAnsi="宋体" w:cs="宋体" w:eastAsia="宋体" w:hint="default"/>
          <w:sz w:val="26"/>
          <w:szCs w:val="26"/>
        </w:rPr>
      </w:pPr>
    </w:p>
    <w:p>
      <w:pPr>
        <w:pStyle w:val="Heading5"/>
        <w:spacing w:line="240" w:lineRule="auto" w:before="0"/>
        <w:ind w:left="515" w:right="0"/>
        <w:jc w:val="left"/>
        <w:rPr>
          <w:b w:val="0"/>
          <w:bCs w:val="0"/>
        </w:rPr>
      </w:pPr>
      <w:r>
        <w:rPr/>
        <w:t>二、公司未来发展战略</w:t>
      </w:r>
      <w:r>
        <w:rPr>
          <w:b w:val="0"/>
          <w:bCs w:val="0"/>
        </w:rPr>
      </w:r>
    </w:p>
    <w:p>
      <w:pPr>
        <w:pStyle w:val="Heading5"/>
        <w:spacing w:line="240" w:lineRule="auto" w:before="76"/>
        <w:ind w:left="574" w:right="0"/>
        <w:jc w:val="left"/>
        <w:rPr>
          <w:b w:val="0"/>
          <w:bCs w:val="0"/>
        </w:rPr>
      </w:pPr>
      <w:r>
        <w:rPr/>
        <w:t>（一）整合优势业务，向产业链更高端方向迈进</w:t>
      </w:r>
      <w:r>
        <w:rPr>
          <w:b w:val="0"/>
          <w:bCs w:val="0"/>
        </w:rPr>
      </w:r>
    </w:p>
    <w:p>
      <w:pPr>
        <w:spacing w:line="300" w:lineRule="auto" w:before="76"/>
        <w:ind w:left="514" w:right="0" w:firstLine="9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、推进智慧城市核心平台战略，抢占新型智慧城市制高点</w:t>
      </w:r>
      <w:r>
        <w:rPr>
          <w:rFonts w:ascii="宋体" w:hAnsi="宋体" w:cs="宋体" w:eastAsia="宋体" w:hint="default"/>
          <w:b/>
          <w:bCs/>
          <w:w w:val="99"/>
          <w:sz w:val="18"/>
          <w:szCs w:val="18"/>
        </w:rPr>
        <w:t> </w:t>
      </w:r>
      <w:r>
        <w:rPr>
          <w:rFonts w:ascii="宋体" w:hAnsi="宋体" w:cs="宋体" w:eastAsia="宋体" w:hint="default"/>
          <w:spacing w:val="-2"/>
          <w:sz w:val="18"/>
          <w:szCs w:val="18"/>
        </w:rPr>
        <w:t>新型城镇化建设已经上升为国家战略，公司现有</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社会管理与政务服务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业务契合了新型智慧城市建设的核心需求。公司</w:t>
      </w:r>
    </w:p>
    <w:p>
      <w:pPr>
        <w:pStyle w:val="BodyText"/>
        <w:spacing w:line="307" w:lineRule="auto" w:before="13"/>
        <w:ind w:right="1129"/>
        <w:jc w:val="both"/>
      </w:pPr>
      <w:r>
        <w:rPr/>
        <w:t>将推行综合治理平台、综合执法平台、市场监管平台、互联网</w:t>
      </w:r>
      <w:r>
        <w:rPr>
          <w:rFonts w:ascii="Times New Roman" w:hAnsi="Times New Roman" w:cs="Times New Roman" w:eastAsia="Times New Roman" w:hint="default"/>
        </w:rPr>
        <w:t>+</w:t>
      </w:r>
      <w:r>
        <w:rPr/>
        <w:t>服务平台、党建引领平台、应急指挥平台、经济协同平台等 </w:t>
      </w:r>
      <w:r>
        <w:rPr>
          <w:spacing w:val="-2"/>
        </w:rPr>
        <w:t>大平台战略，综合运用云计算、大数据、物联网、移动互联网等新兴技术，为城市提供便捷、高效、绿色、共享的智慧化应</w:t>
      </w:r>
      <w:r>
        <w:rPr>
          <w:spacing w:val="-67"/>
        </w:rPr>
        <w:t> </w:t>
      </w:r>
      <w:r>
        <w:rPr>
          <w:spacing w:val="-67"/>
        </w:rPr>
      </w:r>
      <w:r>
        <w:rPr/>
        <w:t>用体系奠定基础，以打造核心平台</w:t>
      </w:r>
      <w:r>
        <w:rPr>
          <w:rFonts w:ascii="Times New Roman" w:hAnsi="Times New Roman" w:cs="Times New Roman" w:eastAsia="Times New Roman" w:hint="default"/>
        </w:rPr>
        <w:t>+</w:t>
      </w:r>
      <w:r>
        <w:rPr/>
        <w:t>应用的方式，抢占新型智慧城市的制高点。同时，公司通过融合产业链中的相关资源， 逐步构筑与公司自身业务相匹配的</w:t>
      </w:r>
      <w:r>
        <w:rPr>
          <w:rFonts w:ascii="Times New Roman" w:hAnsi="Times New Roman" w:cs="Times New Roman" w:eastAsia="Times New Roman" w:hint="default"/>
        </w:rPr>
        <w:t>“</w:t>
      </w:r>
      <w:r>
        <w:rPr/>
        <w:t>新型智慧城市产业合作微生态</w:t>
      </w:r>
      <w:r>
        <w:rPr>
          <w:rFonts w:ascii="Times New Roman" w:hAnsi="Times New Roman" w:cs="Times New Roman" w:eastAsia="Times New Roman" w:hint="default"/>
        </w:rPr>
        <w:t>”</w:t>
      </w:r>
      <w:r>
        <w:rPr/>
        <w:t>。</w:t>
      </w:r>
    </w:p>
    <w:p>
      <w:pPr>
        <w:spacing w:line="300" w:lineRule="auto" w:before="7"/>
        <w:ind w:left="514" w:right="0" w:firstLine="79"/>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、深挖行业大数据应用价值，打造政务行业核心竞争力</w:t>
      </w:r>
      <w:r>
        <w:rPr>
          <w:rFonts w:ascii="宋体" w:hAnsi="宋体" w:cs="宋体" w:eastAsia="宋体" w:hint="default"/>
          <w:b/>
          <w:bCs/>
          <w:w w:val="99"/>
          <w:sz w:val="18"/>
          <w:szCs w:val="18"/>
        </w:rPr>
        <w:t> </w:t>
      </w:r>
      <w:r>
        <w:rPr>
          <w:rFonts w:ascii="宋体" w:hAnsi="宋体" w:cs="宋体" w:eastAsia="宋体" w:hint="default"/>
          <w:spacing w:val="-2"/>
          <w:sz w:val="18"/>
          <w:szCs w:val="18"/>
        </w:rPr>
        <w:t>公司的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智慧政务</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行业应用涉及较广，在公安、税务、财政、市场监管、民政、医疗、教育等领域均有相关业务应用落</w:t>
      </w:r>
    </w:p>
    <w:p>
      <w:pPr>
        <w:pStyle w:val="BodyText"/>
        <w:spacing w:line="300" w:lineRule="auto" w:before="13"/>
        <w:ind w:right="1149"/>
        <w:jc w:val="both"/>
      </w:pPr>
      <w:r>
        <w:rPr/>
        <w:t>地。在这些行业中，新的业务发展需要利用大数据技术，对已有业务系统积累的海量数据进行深入分析、挖掘，实现</w:t>
      </w:r>
      <w:r>
        <w:rPr>
          <w:rFonts w:ascii="Times New Roman" w:hAnsi="Times New Roman" w:cs="Times New Roman" w:eastAsia="Times New Roman" w:hint="default"/>
        </w:rPr>
        <w:t>“</w:t>
      </w:r>
      <w:r>
        <w:rPr/>
        <w:t>智慧 型应用</w:t>
      </w:r>
      <w:r>
        <w:rPr>
          <w:rFonts w:ascii="Times New Roman" w:hAnsi="Times New Roman" w:cs="Times New Roman" w:eastAsia="Times New Roman" w:hint="default"/>
        </w:rPr>
        <w:t>”</w:t>
      </w:r>
      <w:r>
        <w:rPr/>
        <w:t>。由于大数据行业应用既具有一定的技术门槛，也具备一定的业务门槛，因此对供应商的综合实力提出了更高的挑 战。</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31" w:firstLine="360"/>
        <w:jc w:val="both"/>
      </w:pPr>
      <w:r>
        <w:rPr>
          <w:spacing w:val="-2"/>
        </w:rPr>
        <w:t>公司历来重视对核心技术平台的投入，并始终按照</w:t>
      </w:r>
      <w:r>
        <w:rPr>
          <w:rFonts w:ascii="Times New Roman" w:hAnsi="Times New Roman" w:cs="Times New Roman" w:eastAsia="Times New Roman" w:hint="default"/>
          <w:spacing w:val="-2"/>
        </w:rPr>
        <w:t>“</w:t>
      </w:r>
      <w:r>
        <w:rPr>
          <w:spacing w:val="-2"/>
        </w:rPr>
        <w:t>平台</w:t>
      </w:r>
      <w:r>
        <w:rPr>
          <w:rFonts w:ascii="Times New Roman" w:hAnsi="Times New Roman" w:cs="Times New Roman" w:eastAsia="Times New Roman" w:hint="default"/>
          <w:spacing w:val="-2"/>
        </w:rPr>
        <w:t>+</w:t>
      </w:r>
      <w:r>
        <w:rPr>
          <w:spacing w:val="-2"/>
        </w:rPr>
        <w:t>业务</w:t>
      </w:r>
      <w:r>
        <w:rPr>
          <w:rFonts w:ascii="Times New Roman" w:hAnsi="Times New Roman" w:cs="Times New Roman" w:eastAsia="Times New Roman" w:hint="default"/>
          <w:spacing w:val="-2"/>
        </w:rPr>
        <w:t>+</w:t>
      </w:r>
      <w:r>
        <w:rPr>
          <w:spacing w:val="-2"/>
        </w:rPr>
        <w:t>应用</w:t>
      </w:r>
      <w:r>
        <w:rPr>
          <w:rFonts w:ascii="Times New Roman" w:hAnsi="Times New Roman" w:cs="Times New Roman" w:eastAsia="Times New Roman" w:hint="default"/>
          <w:spacing w:val="-2"/>
        </w:rPr>
        <w:t>”</w:t>
      </w:r>
      <w:r>
        <w:rPr>
          <w:spacing w:val="-2"/>
        </w:rPr>
        <w:t>的发展理念推进行业应用市场的拓展，这种综合业</w:t>
      </w:r>
      <w:r>
        <w:rPr/>
        <w:t> </w:t>
      </w:r>
      <w:r>
        <w:rPr>
          <w:spacing w:val="-2"/>
        </w:rPr>
        <w:t>务实力让公司具备参与以大数据技术为基础的新一轮行业应用竞争的优势。未来公司将进一步在已有的优势行业领域进行大</w:t>
      </w:r>
      <w:r>
        <w:rPr>
          <w:spacing w:val="-64"/>
        </w:rPr>
        <w:t> </w:t>
      </w:r>
      <w:r>
        <w:rPr>
          <w:spacing w:val="-64"/>
        </w:rPr>
      </w:r>
      <w:r>
        <w:rPr/>
        <w:t>数据综合应用的研发与市场推广：</w:t>
      </w:r>
    </w:p>
    <w:p>
      <w:pPr>
        <w:pStyle w:val="BodyText"/>
        <w:spacing w:line="309" w:lineRule="auto" w:before="24"/>
        <w:ind w:right="1032" w:firstLine="360"/>
        <w:jc w:val="left"/>
      </w:pPr>
      <w:r>
        <w:rPr/>
        <w:t>（</w:t>
      </w:r>
      <w:r>
        <w:rPr>
          <w:rFonts w:ascii="Times New Roman" w:hAnsi="Times New Roman" w:cs="Times New Roman" w:eastAsia="Times New Roman" w:hint="default"/>
        </w:rPr>
        <w:t>1</w:t>
      </w:r>
      <w:r>
        <w:rPr/>
        <w:t>）公司将继续完善现有公安大数据综合应用产品，强化对重点客户的持续服务，争取结合当前警务机制改革的有利 时机，打造在全国具有影响力的警务大数据应用示范工程。同时，加大对省外市场的投入，开展全国公安信息化市场布局， 提升科创警务大数据解决方案在全国市场的占有率。</w:t>
      </w:r>
    </w:p>
    <w:p>
      <w:pPr>
        <w:pStyle w:val="BodyText"/>
        <w:spacing w:line="309" w:lineRule="auto" w:before="24"/>
        <w:ind w:right="1133" w:firstLine="360"/>
        <w:jc w:val="both"/>
      </w:pPr>
      <w:r>
        <w:rPr/>
        <w:t>（</w:t>
      </w:r>
      <w:r>
        <w:rPr>
          <w:rFonts w:ascii="Times New Roman" w:hAnsi="Times New Roman" w:cs="Times New Roman" w:eastAsia="Times New Roman" w:hint="default"/>
        </w:rPr>
        <w:t>2</w:t>
      </w:r>
      <w:r>
        <w:rPr/>
        <w:t>）公司将基于人口健康信息平台提供分级诊疗大数据解决方案。通过汇聚、共享、交换区域内各医院、基层卫生服 </w:t>
      </w:r>
      <w:r>
        <w:rPr>
          <w:spacing w:val="-2"/>
        </w:rPr>
        <w:t>务机构产生的以健康档案为核心的业务、服务等信息资源，实现医疗资源利用的最大化，实现社区与大、中型医院间、区域</w:t>
      </w:r>
      <w:r>
        <w:rPr>
          <w:spacing w:val="-66"/>
        </w:rPr>
        <w:t> </w:t>
      </w:r>
      <w:r>
        <w:rPr>
          <w:spacing w:val="-66"/>
        </w:rPr>
      </w:r>
      <w:r>
        <w:rPr/>
        <w:t>内不同级别医疗机构的互动，互认，实现大小医院间的转诊，实现同级医院检查检验结果互认等。</w:t>
      </w:r>
    </w:p>
    <w:p>
      <w:pPr>
        <w:pStyle w:val="BodyText"/>
        <w:spacing w:line="314" w:lineRule="auto" w:before="24"/>
        <w:ind w:right="1131" w:firstLine="360"/>
        <w:jc w:val="both"/>
      </w:pPr>
      <w:r>
        <w:rPr/>
        <w:t>（</w:t>
      </w:r>
      <w:r>
        <w:rPr>
          <w:rFonts w:ascii="Times New Roman" w:hAnsi="Times New Roman" w:cs="Times New Roman" w:eastAsia="Times New Roman" w:hint="default"/>
        </w:rPr>
        <w:t>3</w:t>
      </w:r>
      <w:r>
        <w:rPr/>
        <w:t>）公司将基于企业大数据监管与服务平台的技术积累与应用经验，抓住深化机构改革的发展机遇，逐步汇聚体制改 </w:t>
      </w:r>
      <w:r>
        <w:rPr>
          <w:spacing w:val="-2"/>
        </w:rPr>
        <w:t>革后更加全面的市场监管数据，深入研究市场主体风险监管、信用监管等方面的大数据应用，对监管风险自动挖掘、自动分</w:t>
      </w:r>
      <w:r>
        <w:rPr>
          <w:spacing w:val="-66"/>
        </w:rPr>
        <w:t> </w:t>
      </w:r>
      <w:r>
        <w:rPr>
          <w:spacing w:val="-66"/>
        </w:rPr>
      </w:r>
      <w:r>
        <w:rPr>
          <w:spacing w:val="-2"/>
        </w:rPr>
        <w:t>类、自动预警，为推动政府各监管部门联动共治，构建更好的营商环境提供基于大数据的智能化支撑，不断增强在市场监管</w:t>
      </w:r>
      <w:r>
        <w:rPr>
          <w:spacing w:val="-66"/>
        </w:rPr>
        <w:t> </w:t>
      </w:r>
      <w:r>
        <w:rPr>
          <w:spacing w:val="-66"/>
        </w:rPr>
      </w:r>
      <w:r>
        <w:rPr>
          <w:spacing w:val="-2"/>
        </w:rPr>
        <w:t>领域的竞争力。同时，依托公司营销网络，加大省外市场的拓展力度，除湖南、宁夏外，力争落地更多的市场监管大数据项</w:t>
      </w:r>
      <w:r>
        <w:rPr>
          <w:spacing w:val="-70"/>
        </w:rPr>
        <w:t> </w:t>
      </w:r>
      <w:r>
        <w:rPr>
          <w:spacing w:val="-70"/>
        </w:rPr>
      </w:r>
      <w:r>
        <w:rPr/>
        <w:t>目。</w:t>
      </w:r>
    </w:p>
    <w:p>
      <w:pPr>
        <w:pStyle w:val="Heading5"/>
        <w:spacing w:line="240" w:lineRule="auto" w:before="20"/>
        <w:ind w:left="515" w:right="0"/>
        <w:jc w:val="left"/>
        <w:rPr>
          <w:b w:val="0"/>
          <w:bCs w:val="0"/>
        </w:rPr>
      </w:pPr>
      <w:r>
        <w:rPr>
          <w:rFonts w:ascii="Times New Roman" w:hAnsi="Times New Roman" w:cs="Times New Roman" w:eastAsia="Times New Roman" w:hint="default"/>
        </w:rPr>
        <w:t>3</w:t>
      </w:r>
      <w:r>
        <w:rPr/>
        <w:t>、以智能检测产品为牵引，融合发展成为智能制造解决方案提供商</w:t>
      </w:r>
      <w:r>
        <w:rPr>
          <w:b w:val="0"/>
          <w:bCs w:val="0"/>
        </w:rPr>
      </w:r>
    </w:p>
    <w:p>
      <w:pPr>
        <w:pStyle w:val="BodyText"/>
        <w:spacing w:line="307" w:lineRule="auto" w:before="63"/>
        <w:ind w:right="1132" w:firstLine="433"/>
        <w:jc w:val="both"/>
      </w:pP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时期是由</w:t>
      </w:r>
      <w:r>
        <w:rPr>
          <w:rFonts w:ascii="Times New Roman" w:hAnsi="Times New Roman" w:cs="Times New Roman" w:eastAsia="Times New Roman" w:hint="default"/>
        </w:rPr>
        <w:t>“</w:t>
      </w:r>
      <w:r>
        <w:rPr/>
        <w:t>中国制造</w:t>
      </w:r>
      <w:r>
        <w:rPr>
          <w:rFonts w:ascii="Times New Roman" w:hAnsi="Times New Roman" w:cs="Times New Roman" w:eastAsia="Times New Roman" w:hint="default"/>
        </w:rPr>
        <w:t>”</w:t>
      </w:r>
      <w:r>
        <w:rPr/>
        <w:t>向</w:t>
      </w:r>
      <w:r>
        <w:rPr>
          <w:rFonts w:ascii="Times New Roman" w:hAnsi="Times New Roman" w:cs="Times New Roman" w:eastAsia="Times New Roman" w:hint="default"/>
        </w:rPr>
        <w:t>“</w:t>
      </w:r>
      <w:r>
        <w:rPr/>
        <w:t>中国智造</w:t>
      </w:r>
      <w:r>
        <w:rPr>
          <w:rFonts w:ascii="Times New Roman" w:hAnsi="Times New Roman" w:cs="Times New Roman" w:eastAsia="Times New Roman" w:hint="default"/>
        </w:rPr>
        <w:t>”</w:t>
      </w:r>
      <w:r>
        <w:rPr/>
        <w:t>转型升级的关键时期。湖南省长沙市第十三次党代会上提出</w:t>
      </w:r>
      <w:r>
        <w:rPr>
          <w:rFonts w:ascii="Times New Roman" w:hAnsi="Times New Roman" w:cs="Times New Roman" w:eastAsia="Times New Roman" w:hint="default"/>
        </w:rPr>
        <w:t>“</w:t>
      </w:r>
      <w:r>
        <w:rPr/>
        <w:t>建设国家中心 城市、实现基本现代化</w:t>
      </w:r>
      <w:r>
        <w:rPr>
          <w:rFonts w:ascii="Times New Roman" w:hAnsi="Times New Roman" w:cs="Times New Roman" w:eastAsia="Times New Roman" w:hint="default"/>
        </w:rPr>
        <w:t>”</w:t>
      </w:r>
      <w:r>
        <w:rPr/>
        <w:t>的战略目标，公司荣获湖南省</w:t>
      </w:r>
      <w:r>
        <w:rPr>
          <w:rFonts w:ascii="Times New Roman" w:hAnsi="Times New Roman" w:cs="Times New Roman" w:eastAsia="Times New Roman" w:hint="default"/>
        </w:rPr>
        <w:t>2018</w:t>
      </w:r>
      <w:r>
        <w:rPr/>
        <w:t>年首台（套）重大技术装备认定并获得配套资金支持，为公司开 </w:t>
      </w:r>
      <w:r>
        <w:rPr>
          <w:spacing w:val="-2"/>
        </w:rPr>
        <w:t>拓智能制造领域提供了良好的战略机遇。目前，公司在智慧企业领域的业务积累为转型成为智能制造解决方案提供商奠定了</w:t>
      </w:r>
      <w:r>
        <w:rPr>
          <w:spacing w:val="-64"/>
        </w:rPr>
        <w:t> </w:t>
      </w:r>
      <w:r>
        <w:rPr>
          <w:spacing w:val="-64"/>
        </w:rPr>
      </w:r>
      <w:r>
        <w:rPr/>
        <w:t>良好基础。</w:t>
      </w:r>
    </w:p>
    <w:p>
      <w:pPr>
        <w:pStyle w:val="BodyText"/>
        <w:spacing w:line="300" w:lineRule="auto" w:before="26"/>
        <w:ind w:right="1149" w:firstLine="360"/>
        <w:jc w:val="both"/>
      </w:pPr>
      <w:r>
        <w:rPr/>
        <w:t>公司智能检测产品目前主要应用于玻璃行业的生产领域，未来，将逐步扩展到玻璃深加工领域。从发展趋势上看，</w:t>
      </w:r>
      <w:r>
        <w:rPr>
          <w:rFonts w:ascii="Times New Roman" w:hAnsi="Times New Roman" w:cs="Times New Roman" w:eastAsia="Times New Roman" w:hint="default"/>
        </w:rPr>
        <w:t>“</w:t>
      </w:r>
      <w:r>
        <w:rPr/>
        <w:t>十 三五</w:t>
      </w:r>
      <w:r>
        <w:rPr>
          <w:rFonts w:ascii="Times New Roman" w:hAnsi="Times New Roman" w:cs="Times New Roman" w:eastAsia="Times New Roman" w:hint="default"/>
        </w:rPr>
        <w:t>”</w:t>
      </w:r>
      <w:r>
        <w:rPr/>
        <w:t>期间，我国工业化、城镇化的进程将持续加快，电子、建筑、汽车、家电、机车等玻璃深加工制品下游行业的规模也 不断扩大，对玻璃深加工环节的智能化检测设备需求将更加旺盛、市场前景更加广阔。</w:t>
      </w:r>
    </w:p>
    <w:p>
      <w:pPr>
        <w:pStyle w:val="BodyText"/>
        <w:spacing w:line="240" w:lineRule="auto" w:before="32"/>
        <w:ind w:left="514" w:right="0"/>
        <w:jc w:val="left"/>
      </w:pPr>
      <w:r>
        <w:rPr/>
        <w:t>利用智能生产检测产品的积累，公司将在电子、电力、铁路、物联网等方面进行市场挖掘，与国家智能制造</w:t>
      </w:r>
      <w:r>
        <w:rPr>
          <w:rFonts w:ascii="Times New Roman" w:hAnsi="Times New Roman" w:cs="Times New Roman" w:eastAsia="Times New Roman" w:hint="default"/>
        </w:rPr>
        <w:t>2025</w:t>
      </w:r>
      <w:r>
        <w:rPr/>
        <w:t>规划、</w:t>
      </w:r>
    </w:p>
    <w:p>
      <w:pPr>
        <w:pStyle w:val="BodyText"/>
        <w:spacing w:line="240" w:lineRule="auto" w:before="63"/>
        <w:ind w:right="0"/>
        <w:jc w:val="left"/>
      </w:pPr>
      <w:r>
        <w:rPr>
          <w:rFonts w:ascii="Times New Roman" w:hAnsi="Times New Roman" w:cs="Times New Roman" w:eastAsia="Times New Roman" w:hint="default"/>
        </w:rPr>
        <w:t>5G</w:t>
      </w:r>
      <w:r>
        <w:rPr/>
        <w:t>物联网建设等方向保持一致。</w:t>
      </w:r>
    </w:p>
    <w:p>
      <w:pPr>
        <w:spacing w:line="316" w:lineRule="auto" w:before="63"/>
        <w:ind w:left="514" w:right="0" w:firstLine="60"/>
        <w:jc w:val="left"/>
        <w:rPr>
          <w:rFonts w:ascii="宋体" w:hAnsi="宋体" w:cs="宋体" w:eastAsia="宋体" w:hint="default"/>
          <w:sz w:val="18"/>
          <w:szCs w:val="18"/>
        </w:rPr>
      </w:pPr>
      <w:r>
        <w:rPr>
          <w:rFonts w:ascii="宋体" w:hAnsi="宋体" w:cs="宋体" w:eastAsia="宋体" w:hint="default"/>
          <w:b/>
          <w:bCs/>
          <w:sz w:val="18"/>
          <w:szCs w:val="18"/>
        </w:rPr>
        <w:t>（二）坚定推进走出去战略，不断扩大市场优势</w:t>
      </w:r>
      <w:r>
        <w:rPr>
          <w:rFonts w:ascii="宋体" w:hAnsi="宋体" w:cs="宋体" w:eastAsia="宋体" w:hint="default"/>
          <w:b/>
          <w:bCs/>
          <w:w w:val="99"/>
          <w:sz w:val="18"/>
          <w:szCs w:val="18"/>
        </w:rPr>
        <w:t> </w:t>
      </w:r>
      <w:r>
        <w:rPr>
          <w:rFonts w:ascii="宋体" w:hAnsi="宋体" w:cs="宋体" w:eastAsia="宋体" w:hint="default"/>
          <w:spacing w:val="-2"/>
          <w:sz w:val="18"/>
          <w:szCs w:val="18"/>
        </w:rPr>
        <w:t>公司在湖南软件开发与信息技术服务市场的领导地位已经建立，未来，分公司战略将是公司的重点战略。公司将通过改</w:t>
      </w:r>
    </w:p>
    <w:p>
      <w:pPr>
        <w:pStyle w:val="BodyText"/>
        <w:spacing w:line="316" w:lineRule="auto" w:before="19"/>
        <w:ind w:left="514" w:right="0" w:hanging="360"/>
        <w:jc w:val="left"/>
      </w:pPr>
      <w:r>
        <w:rPr/>
        <w:t>革分公司经营管理体制，下沉总部优势业务并提供人才和基线产品来支持基层分公司发展。 </w:t>
      </w:r>
      <w:r>
        <w:rPr>
          <w:spacing w:val="-2"/>
        </w:rPr>
        <w:t>公司将加大核心区域分公司的投入，促进核心区域分公司的业务发展，并对有发展潜力的省份加快市场布局，以尽快形</w:t>
      </w:r>
    </w:p>
    <w:p>
      <w:pPr>
        <w:pStyle w:val="BodyText"/>
        <w:spacing w:line="316" w:lineRule="auto" w:before="19"/>
        <w:ind w:right="0"/>
        <w:jc w:val="left"/>
      </w:pPr>
      <w:r>
        <w:rPr>
          <w:spacing w:val="-2"/>
        </w:rPr>
        <w:t>成全国范围内的本地化销售与服务网络。同时，进一步落实好公司经营管理，扎实推进分公司经营体制改革，大力培育和提</w:t>
      </w:r>
      <w:r>
        <w:rPr>
          <w:spacing w:val="-66"/>
        </w:rPr>
        <w:t> </w:t>
      </w:r>
      <w:r>
        <w:rPr>
          <w:spacing w:val="-66"/>
        </w:rPr>
      </w:r>
      <w:r>
        <w:rPr/>
        <w:t>升分公司竞争能力。</w:t>
      </w:r>
    </w:p>
    <w:p>
      <w:pPr>
        <w:spacing w:line="240" w:lineRule="auto" w:before="4"/>
        <w:rPr>
          <w:rFonts w:ascii="宋体" w:hAnsi="宋体" w:cs="宋体" w:eastAsia="宋体" w:hint="default"/>
          <w:sz w:val="25"/>
          <w:szCs w:val="25"/>
        </w:rPr>
      </w:pPr>
    </w:p>
    <w:p>
      <w:pPr>
        <w:pStyle w:val="Heading5"/>
        <w:spacing w:line="240" w:lineRule="auto" w:before="0"/>
        <w:ind w:left="515" w:right="0"/>
        <w:jc w:val="left"/>
        <w:rPr>
          <w:b w:val="0"/>
          <w:bCs w:val="0"/>
        </w:rPr>
      </w:pPr>
      <w:r>
        <w:rPr/>
        <w:t>三、公司年度发展计划</w:t>
      </w:r>
      <w:r>
        <w:rPr>
          <w:b w:val="0"/>
          <w:bCs w:val="0"/>
        </w:rPr>
      </w:r>
    </w:p>
    <w:p>
      <w:pPr>
        <w:pStyle w:val="BodyText"/>
        <w:spacing w:line="316" w:lineRule="auto" w:before="76"/>
        <w:ind w:left="514" w:right="1032" w:firstLine="1"/>
        <w:jc w:val="left"/>
      </w:pPr>
      <w:r>
        <w:rPr>
          <w:rFonts w:ascii="宋体" w:hAnsi="宋体" w:cs="宋体" w:eastAsia="宋体" w:hint="default"/>
          <w:b/>
          <w:bCs/>
        </w:rPr>
        <w:t>（一）技术研发计划</w:t>
      </w:r>
      <w:r>
        <w:rPr>
          <w:rFonts w:ascii="宋体" w:hAnsi="宋体" w:cs="宋体" w:eastAsia="宋体" w:hint="default"/>
          <w:b/>
          <w:bCs/>
          <w:w w:val="99"/>
        </w:rPr>
        <w:t> </w:t>
      </w:r>
      <w:r>
        <w:rPr/>
        <w:t>重点强化人工智能技术研发，通过人工智能技术融合，提升传统产品智能化水平。以知识图谱、语义分析、文本挖掘、</w:t>
      </w:r>
    </w:p>
    <w:p>
      <w:pPr>
        <w:pStyle w:val="BodyText"/>
        <w:spacing w:line="300" w:lineRule="auto" w:before="19"/>
        <w:ind w:right="0"/>
        <w:jc w:val="left"/>
      </w:pPr>
      <w:r>
        <w:rPr/>
        <w:t>信息抽取、信息检索等技术的研发为重点，实现自然语言处理技术与</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警务综合平台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医疗电子病历 </w:t>
      </w:r>
      <w:r>
        <w:rPr>
          <w:spacing w:val="-3"/>
        </w:rPr>
        <w:t>系统</w:t>
      </w:r>
      <w:r>
        <w:rPr>
          <w:rFonts w:ascii="Times New Roman" w:hAnsi="Times New Roman" w:cs="Times New Roman" w:eastAsia="Times New Roman" w:hint="default"/>
          <w:spacing w:val="-3"/>
        </w:rPr>
        <w:t>”</w:t>
      </w:r>
      <w:r>
        <w:rPr>
          <w:spacing w:val="-3"/>
        </w:rPr>
        <w:t>等现有</w:t>
      </w:r>
      <w:r>
        <w:rPr>
          <w:rFonts w:ascii="Times New Roman" w:hAnsi="Times New Roman" w:cs="Times New Roman" w:eastAsia="Times New Roman" w:hint="default"/>
          <w:spacing w:val="-3"/>
        </w:rPr>
        <w:t>“</w:t>
      </w:r>
      <w:r>
        <w:rPr>
          <w:spacing w:val="-3"/>
        </w:rPr>
        <w:t>智慧政务</w:t>
      </w:r>
      <w:r>
        <w:rPr>
          <w:rFonts w:ascii="Times New Roman" w:hAnsi="Times New Roman" w:cs="Times New Roman" w:eastAsia="Times New Roman" w:hint="default"/>
          <w:spacing w:val="-3"/>
        </w:rPr>
        <w:t>”</w:t>
      </w:r>
      <w:r>
        <w:rPr>
          <w:spacing w:val="-3"/>
        </w:rPr>
        <w:t>应用的深度融合，形成</w:t>
      </w:r>
      <w:r>
        <w:rPr>
          <w:rFonts w:ascii="Times New Roman" w:hAnsi="Times New Roman" w:cs="Times New Roman" w:eastAsia="Times New Roman" w:hint="default"/>
          <w:spacing w:val="-3"/>
        </w:rPr>
        <w:t>“</w:t>
      </w:r>
      <w:r>
        <w:rPr>
          <w:spacing w:val="-3"/>
        </w:rPr>
        <w:t>智能填表</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智能问答</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串并案分析</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病历智能检索</w:t>
      </w:r>
      <w:r>
        <w:rPr>
          <w:rFonts w:ascii="Times New Roman" w:hAnsi="Times New Roman" w:cs="Times New Roman" w:eastAsia="Times New Roman" w:hint="default"/>
          <w:spacing w:val="-3"/>
        </w:rPr>
        <w:t>”</w:t>
      </w:r>
      <w:r>
        <w:rPr>
          <w:spacing w:val="-3"/>
        </w:rPr>
        <w:t>等通用智能化组件，</w:t>
      </w:r>
      <w:r>
        <w:rPr>
          <w:spacing w:val="-64"/>
        </w:rPr>
        <w:t> </w:t>
      </w:r>
      <w:r>
        <w:rPr/>
        <w:t>提升现有智慧政务、智慧企业相关产品的智能化水平，提升用户体验。</w:t>
      </w:r>
    </w:p>
    <w:p>
      <w:pPr>
        <w:pStyle w:val="Heading5"/>
        <w:spacing w:line="240" w:lineRule="auto" w:before="31"/>
        <w:ind w:left="515" w:right="0"/>
        <w:jc w:val="left"/>
        <w:rPr>
          <w:b w:val="0"/>
          <w:bCs w:val="0"/>
        </w:rPr>
      </w:pPr>
      <w:r>
        <w:rPr/>
        <w:t>（二）业务发展计划</w:t>
      </w:r>
      <w:r>
        <w:rPr>
          <w:b w:val="0"/>
          <w:bCs w:val="0"/>
        </w:rPr>
      </w:r>
    </w:p>
    <w:p>
      <w:pPr>
        <w:pStyle w:val="BodyText"/>
        <w:spacing w:line="300" w:lineRule="auto" w:before="76"/>
        <w:ind w:left="514" w:right="0"/>
        <w:jc w:val="left"/>
      </w:pPr>
      <w:r>
        <w:rPr>
          <w:rFonts w:ascii="Times New Roman" w:hAnsi="Times New Roman" w:cs="Times New Roman" w:eastAsia="Times New Roman" w:hint="default"/>
        </w:rPr>
        <w:t>1</w:t>
      </w:r>
      <w:r>
        <w:rPr/>
        <w:t>、迅速扩大大数据行业市场应用 </w:t>
      </w:r>
      <w:r>
        <w:rPr>
          <w:spacing w:val="-2"/>
        </w:rPr>
        <w:t>以市场监管、交通管理、教育、税务、医疗大数据应用为基础，结合国家在政务服务、监管和城市公共安全领域的热点</w:t>
      </w:r>
    </w:p>
    <w:p>
      <w:pPr>
        <w:pStyle w:val="BodyText"/>
        <w:spacing w:line="316" w:lineRule="auto" w:before="32"/>
        <w:ind w:right="0"/>
        <w:jc w:val="left"/>
      </w:pPr>
      <w:r>
        <w:rPr>
          <w:spacing w:val="-4"/>
        </w:rPr>
        <w:t>应用需求，进一步完善公司市场监管大数据解决方案、警务大数据解决方案、医疗、教育和税务大数据解决方案，拓展应急、</w:t>
      </w:r>
      <w:r>
        <w:rPr>
          <w:spacing w:val="-44"/>
        </w:rPr>
        <w:t> </w:t>
      </w:r>
      <w:r>
        <w:rPr>
          <w:spacing w:val="-44"/>
        </w:rPr>
      </w:r>
      <w:r>
        <w:rPr/>
        <w:t>环保领域的大数据行业应用，实现省外大数据行业应用解决方案销售的快速增长。</w:t>
      </w:r>
    </w:p>
    <w:p>
      <w:pPr>
        <w:pStyle w:val="BodyText"/>
        <w:spacing w:line="300" w:lineRule="auto" w:before="19"/>
        <w:ind w:left="514" w:right="0"/>
        <w:jc w:val="left"/>
      </w:pPr>
      <w:r>
        <w:rPr>
          <w:rFonts w:ascii="Times New Roman" w:hAnsi="Times New Roman" w:cs="Times New Roman" w:eastAsia="Times New Roman" w:hint="default"/>
        </w:rPr>
        <w:t>2</w:t>
      </w:r>
      <w:r>
        <w:rPr/>
        <w:t>、持续推动新型智慧城市解决方案的融合与推广 </w:t>
      </w:r>
      <w:r>
        <w:rPr>
          <w:spacing w:val="-1"/>
        </w:rPr>
        <w:t>以</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政务服务</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网格化</w:t>
      </w:r>
      <w:r>
        <w:rPr>
          <w:rFonts w:ascii="Times New Roman" w:hAnsi="Times New Roman" w:cs="Times New Roman" w:eastAsia="Times New Roman" w:hint="default"/>
          <w:spacing w:val="-1"/>
        </w:rPr>
        <w:t>+</w:t>
      </w:r>
      <w:r>
        <w:rPr>
          <w:spacing w:val="-1"/>
        </w:rPr>
        <w:t>社会治理</w:t>
      </w:r>
      <w:r>
        <w:rPr>
          <w:rFonts w:ascii="Times New Roman" w:hAnsi="Times New Roman" w:cs="Times New Roman" w:eastAsia="Times New Roman" w:hint="default"/>
          <w:spacing w:val="-1"/>
        </w:rPr>
        <w:t>”</w:t>
      </w:r>
      <w:r>
        <w:rPr>
          <w:spacing w:val="-1"/>
        </w:rPr>
        <w:t>等现有成熟产品为基础，按照</w:t>
      </w:r>
      <w:r>
        <w:rPr>
          <w:rFonts w:ascii="Times New Roman" w:hAnsi="Times New Roman" w:cs="Times New Roman" w:eastAsia="Times New Roman" w:hint="default"/>
          <w:spacing w:val="-1"/>
        </w:rPr>
        <w:t>“</w:t>
      </w:r>
      <w:r>
        <w:rPr>
          <w:spacing w:val="-1"/>
        </w:rPr>
        <w:t>自主推广</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被集成</w:t>
      </w:r>
      <w:r>
        <w:rPr>
          <w:rFonts w:ascii="Times New Roman" w:hAnsi="Times New Roman" w:cs="Times New Roman" w:eastAsia="Times New Roman" w:hint="default"/>
          <w:spacing w:val="-1"/>
        </w:rPr>
        <w:t>”</w:t>
      </w:r>
      <w:r>
        <w:rPr>
          <w:spacing w:val="-1"/>
        </w:rPr>
        <w:t>两种模式，同步推进新</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3"/>
        <w:jc w:val="left"/>
      </w:pPr>
      <w:r>
        <w:rPr>
          <w:spacing w:val="-2"/>
        </w:rPr>
        <w:t>型智慧城市解决方案的推广。同时，积极开拓智慧旅游、智慧农业等解决方案的生态合作体系，形成解决方案合作联盟，力</w:t>
      </w:r>
      <w:r>
        <w:rPr>
          <w:spacing w:val="-66"/>
        </w:rPr>
        <w:t> </w:t>
      </w:r>
      <w:r>
        <w:rPr>
          <w:spacing w:val="-66"/>
        </w:rPr>
      </w:r>
      <w:r>
        <w:rPr/>
        <w:t>争实现</w:t>
      </w:r>
      <w:r>
        <w:rPr>
          <w:rFonts w:ascii="Times New Roman" w:hAnsi="Times New Roman" w:cs="Times New Roman" w:eastAsia="Times New Roman" w:hint="default"/>
        </w:rPr>
        <w:t>2-3</w:t>
      </w:r>
      <w:r>
        <w:rPr/>
        <w:t>个地级市、</w:t>
      </w:r>
      <w:r>
        <w:rPr>
          <w:rFonts w:ascii="Times New Roman" w:hAnsi="Times New Roman" w:cs="Times New Roman" w:eastAsia="Times New Roman" w:hint="default"/>
        </w:rPr>
        <w:t>3-5</w:t>
      </w:r>
      <w:r>
        <w:rPr/>
        <w:t>个县级市智慧城市建设项目的成功推广。</w:t>
      </w:r>
    </w:p>
    <w:p>
      <w:pPr>
        <w:pStyle w:val="BodyText"/>
        <w:spacing w:line="300" w:lineRule="auto"/>
        <w:ind w:left="514" w:right="0"/>
        <w:jc w:val="left"/>
      </w:pPr>
      <w:r>
        <w:rPr>
          <w:rFonts w:ascii="Times New Roman" w:hAnsi="Times New Roman" w:cs="Times New Roman" w:eastAsia="Times New Roman" w:hint="default"/>
        </w:rPr>
        <w:t>3</w:t>
      </w:r>
      <w:r>
        <w:rPr/>
        <w:t>、以公安为重点强化行业核心竞争力 </w:t>
      </w:r>
      <w:r>
        <w:rPr>
          <w:spacing w:val="-2"/>
        </w:rPr>
        <w:t>公司在湖南</w:t>
      </w:r>
      <w:r>
        <w:rPr>
          <w:rFonts w:ascii="Times New Roman" w:hAnsi="Times New Roman" w:cs="Times New Roman" w:eastAsia="Times New Roman" w:hint="default"/>
          <w:spacing w:val="-2"/>
        </w:rPr>
        <w:t>14</w:t>
      </w:r>
      <w:r>
        <w:rPr>
          <w:spacing w:val="-2"/>
        </w:rPr>
        <w:t>个地市警务综合平台的基础上，升级建设警务云综合应用，完成湖南部分地市的警务综合云平台建设，并</w:t>
      </w:r>
    </w:p>
    <w:p>
      <w:pPr>
        <w:pStyle w:val="BodyText"/>
        <w:spacing w:line="300" w:lineRule="auto" w:before="13"/>
        <w:ind w:right="0"/>
        <w:jc w:val="left"/>
      </w:pPr>
      <w:r>
        <w:rPr>
          <w:spacing w:val="-2"/>
        </w:rPr>
        <w:t>计划拓展</w:t>
      </w:r>
      <w:r>
        <w:rPr>
          <w:rFonts w:ascii="Times New Roman" w:hAnsi="Times New Roman" w:cs="Times New Roman" w:eastAsia="Times New Roman" w:hint="default"/>
          <w:spacing w:val="-2"/>
        </w:rPr>
        <w:t>1</w:t>
      </w:r>
      <w:r>
        <w:rPr>
          <w:spacing w:val="-2"/>
        </w:rPr>
        <w:t>至</w:t>
      </w:r>
      <w:r>
        <w:rPr>
          <w:rFonts w:ascii="Times New Roman" w:hAnsi="Times New Roman" w:cs="Times New Roman" w:eastAsia="Times New Roman" w:hint="default"/>
          <w:spacing w:val="-2"/>
        </w:rPr>
        <w:t>2</w:t>
      </w:r>
      <w:r>
        <w:rPr>
          <w:spacing w:val="-2"/>
        </w:rPr>
        <w:t>个省外地市市场。促进长沙交警大数据情报平台与公安一体化指挥平台在湖南区域市场落地，推广寻求省外市</w:t>
      </w:r>
      <w:r>
        <w:rPr>
          <w:spacing w:val="-62"/>
        </w:rPr>
        <w:t> </w:t>
      </w:r>
      <w:r>
        <w:rPr>
          <w:spacing w:val="-62"/>
        </w:rPr>
      </w:r>
      <w:r>
        <w:rPr/>
        <w:t>场的落地机会，构建公共安全领域包括方案、产品和实施在内的综合竞争优势。</w:t>
      </w:r>
    </w:p>
    <w:p>
      <w:pPr>
        <w:pStyle w:val="Heading5"/>
        <w:spacing w:line="240" w:lineRule="auto" w:before="31"/>
        <w:ind w:left="574" w:right="0"/>
        <w:jc w:val="left"/>
        <w:rPr>
          <w:b w:val="0"/>
          <w:bCs w:val="0"/>
        </w:rPr>
      </w:pPr>
      <w:r>
        <w:rPr/>
        <w:t>（三）新行业拓展计划</w:t>
      </w:r>
      <w:r>
        <w:rPr>
          <w:b w:val="0"/>
          <w:bCs w:val="0"/>
        </w:rPr>
      </w:r>
    </w:p>
    <w:p>
      <w:pPr>
        <w:pStyle w:val="BodyText"/>
        <w:spacing w:line="300" w:lineRule="auto" w:before="76"/>
        <w:ind w:left="514" w:right="0" w:firstLine="60"/>
        <w:jc w:val="left"/>
      </w:pPr>
      <w:r>
        <w:rPr>
          <w:rFonts w:ascii="Times New Roman" w:hAnsi="Times New Roman" w:cs="Times New Roman" w:eastAsia="Times New Roman" w:hint="default"/>
        </w:rPr>
        <w:t>1</w:t>
      </w:r>
      <w:r>
        <w:rPr/>
        <w:t>、抢占新一轮机构改革之后的信息化建设先机 </w:t>
      </w:r>
      <w:r>
        <w:rPr>
          <w:spacing w:val="-2"/>
        </w:rPr>
        <w:t>根据党的十九大和十九届三中全会部署，深化党和国家机构改革的总体要求，</w:t>
      </w:r>
      <w:r>
        <w:rPr>
          <w:rFonts w:ascii="Times New Roman" w:hAnsi="Times New Roman" w:cs="Times New Roman" w:eastAsia="Times New Roman" w:hint="default"/>
          <w:spacing w:val="-2"/>
        </w:rPr>
        <w:t>2018</w:t>
      </w:r>
      <w:r>
        <w:rPr>
          <w:spacing w:val="-2"/>
        </w:rPr>
        <w:t>年开始的国务院机构改革方案开启新</w:t>
      </w:r>
    </w:p>
    <w:p>
      <w:pPr>
        <w:pStyle w:val="BodyText"/>
        <w:spacing w:line="304" w:lineRule="auto" w:before="13"/>
        <w:ind w:right="1122"/>
        <w:jc w:val="left"/>
      </w:pPr>
      <w:r>
        <w:rPr/>
        <w:t>一轮大部制改革。大刀阔斧的国务院机构改革方案，不仅标志着改革开放</w:t>
      </w:r>
      <w:r>
        <w:rPr>
          <w:rFonts w:ascii="Times New Roman" w:hAnsi="Times New Roman" w:cs="Times New Roman" w:eastAsia="Times New Roman" w:hint="default"/>
        </w:rPr>
        <w:t>40</w:t>
      </w:r>
      <w:r>
        <w:rPr/>
        <w:t>年以来第</w:t>
      </w:r>
      <w:r>
        <w:rPr>
          <w:rFonts w:ascii="Times New Roman" w:hAnsi="Times New Roman" w:cs="Times New Roman" w:eastAsia="Times New Roman" w:hint="default"/>
        </w:rPr>
        <w:t>8</w:t>
      </w:r>
      <w:r>
        <w:rPr/>
        <w:t>次机构改革正式破冰，也意味着新的 </w:t>
      </w:r>
      <w:r>
        <w:rPr>
          <w:spacing w:val="-2"/>
        </w:rPr>
        <w:t>信息化建设大潮开启。依靠在电子政务领域的优势与多年积累，公司决定将工作重点放在应急管理部的信息化方案构建与市</w:t>
      </w:r>
      <w:r>
        <w:rPr>
          <w:spacing w:val="-63"/>
        </w:rPr>
        <w:t> </w:t>
      </w:r>
      <w:r>
        <w:rPr>
          <w:spacing w:val="-63"/>
        </w:rPr>
      </w:r>
      <w:r>
        <w:rPr>
          <w:spacing w:val="-2"/>
        </w:rPr>
        <w:t>场开拓上，按照应急管理现代化、科学化和精细化的要求，在安全应急管理信息化、专业化方面，打造</w:t>
      </w:r>
      <w:r>
        <w:rPr>
          <w:rFonts w:ascii="Times New Roman" w:hAnsi="Times New Roman" w:cs="Times New Roman" w:eastAsia="Times New Roman" w:hint="default"/>
          <w:spacing w:val="-2"/>
        </w:rPr>
        <w:t>“</w:t>
      </w:r>
      <w:r>
        <w:rPr>
          <w:spacing w:val="-2"/>
        </w:rPr>
        <w:t>一张图</w:t>
      </w:r>
      <w:r>
        <w:rPr>
          <w:rFonts w:ascii="Times New Roman" w:hAnsi="Times New Roman" w:cs="Times New Roman" w:eastAsia="Times New Roman" w:hint="default"/>
          <w:spacing w:val="-2"/>
        </w:rPr>
        <w:t>”</w:t>
      </w:r>
      <w:r>
        <w:rPr>
          <w:spacing w:val="-2"/>
        </w:rPr>
        <w:t>开展安全应</w:t>
      </w:r>
      <w:r>
        <w:rPr>
          <w:spacing w:val="-45"/>
        </w:rPr>
        <w:t> </w:t>
      </w:r>
      <w:r>
        <w:rPr/>
        <w:t>急工作，</w:t>
      </w:r>
      <w:r>
        <w:rPr>
          <w:rFonts w:ascii="Times New Roman" w:hAnsi="Times New Roman" w:cs="Times New Roman" w:eastAsia="Times New Roman" w:hint="default"/>
        </w:rPr>
        <w:t>“</w:t>
      </w:r>
      <w:r>
        <w:rPr/>
        <w:t>一张网</w:t>
      </w:r>
      <w:r>
        <w:rPr>
          <w:rFonts w:ascii="Times New Roman" w:hAnsi="Times New Roman" w:cs="Times New Roman" w:eastAsia="Times New Roman" w:hint="default"/>
        </w:rPr>
        <w:t>”</w:t>
      </w:r>
      <w:r>
        <w:rPr/>
        <w:t>做好重大风险防控，</w:t>
      </w:r>
      <w:r>
        <w:rPr>
          <w:rFonts w:ascii="Times New Roman" w:hAnsi="Times New Roman" w:cs="Times New Roman" w:eastAsia="Times New Roman" w:hint="default"/>
        </w:rPr>
        <w:t>“</w:t>
      </w:r>
      <w:r>
        <w:rPr/>
        <w:t>一盘棋</w:t>
      </w:r>
      <w:r>
        <w:rPr>
          <w:rFonts w:ascii="Times New Roman" w:hAnsi="Times New Roman" w:cs="Times New Roman" w:eastAsia="Times New Roman" w:hint="default"/>
        </w:rPr>
        <w:t>”</w:t>
      </w:r>
      <w:r>
        <w:rPr/>
        <w:t>布设安全应急资源，</w:t>
      </w:r>
      <w:r>
        <w:rPr>
          <w:rFonts w:ascii="Times New Roman" w:hAnsi="Times New Roman" w:cs="Times New Roman" w:eastAsia="Times New Roman" w:hint="default"/>
        </w:rPr>
        <w:t>“</w:t>
      </w:r>
      <w:r>
        <w:rPr/>
        <w:t>一体化</w:t>
      </w:r>
      <w:r>
        <w:rPr>
          <w:rFonts w:ascii="Times New Roman" w:hAnsi="Times New Roman" w:cs="Times New Roman" w:eastAsia="Times New Roman" w:hint="default"/>
        </w:rPr>
        <w:t>”</w:t>
      </w:r>
      <w:r>
        <w:rPr/>
        <w:t>统筹推进安全应急</w:t>
      </w:r>
      <w:r>
        <w:rPr>
          <w:rFonts w:ascii="Times New Roman" w:hAnsi="Times New Roman" w:cs="Times New Roman" w:eastAsia="Times New Roman" w:hint="default"/>
        </w:rPr>
        <w:t>“</w:t>
      </w:r>
      <w:r>
        <w:rPr/>
        <w:t>专常</w:t>
      </w:r>
      <w:r>
        <w:rPr>
          <w:rFonts w:ascii="Times New Roman" w:hAnsi="Times New Roman" w:cs="Times New Roman" w:eastAsia="Times New Roman" w:hint="default"/>
        </w:rPr>
        <w:t>”</w:t>
      </w:r>
      <w:r>
        <w:rPr/>
        <w:t>队伍建设，</w:t>
      </w:r>
      <w:r>
        <w:rPr>
          <w:rFonts w:ascii="Times New Roman" w:hAnsi="Times New Roman" w:cs="Times New Roman" w:eastAsia="Times New Roman" w:hint="default"/>
        </w:rPr>
        <w:t>“</w:t>
      </w:r>
      <w:r>
        <w:rPr/>
        <w:t>一平台</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构建应急指挥系统，</w:t>
      </w:r>
      <w:r>
        <w:rPr>
          <w:rFonts w:ascii="Times New Roman" w:hAnsi="Times New Roman" w:cs="Times New Roman" w:eastAsia="Times New Roman" w:hint="default"/>
        </w:rPr>
        <w:t>“</w:t>
      </w:r>
      <w:r>
        <w:rPr/>
        <w:t>一系统</w:t>
      </w:r>
      <w:r>
        <w:rPr>
          <w:rFonts w:ascii="Times New Roman" w:hAnsi="Times New Roman" w:cs="Times New Roman" w:eastAsia="Times New Roman" w:hint="default"/>
        </w:rPr>
        <w:t>”</w:t>
      </w:r>
      <w:r>
        <w:rPr/>
        <w:t>开展应急科技创新与支持保障，形成做好安全应急工作的</w:t>
      </w:r>
      <w:r>
        <w:rPr>
          <w:rFonts w:ascii="Times New Roman" w:hAnsi="Times New Roman" w:cs="Times New Roman" w:eastAsia="Times New Roman" w:hint="default"/>
        </w:rPr>
        <w:t>“</w:t>
      </w:r>
      <w:r>
        <w:rPr/>
        <w:t>一股绳</w:t>
      </w:r>
      <w:r>
        <w:rPr>
          <w:rFonts w:ascii="Times New Roman" w:hAnsi="Times New Roman" w:cs="Times New Roman" w:eastAsia="Times New Roman" w:hint="default"/>
        </w:rPr>
        <w:t>”</w:t>
      </w:r>
      <w:r>
        <w:rPr/>
        <w:t>合力。</w:t>
      </w:r>
      <w:r>
        <w:rPr>
          <w:spacing w:val="-19"/>
        </w:rPr>
        <w:t> </w:t>
      </w:r>
      <w:r>
        <w:rPr/>
        <w:t>同时，重点拓展湖</w:t>
      </w:r>
      <w:r>
        <w:rPr/>
        <w:t> 南区域和分公司所在地市场。</w:t>
      </w:r>
    </w:p>
    <w:p>
      <w:pPr>
        <w:pStyle w:val="BodyText"/>
        <w:spacing w:line="300" w:lineRule="auto" w:before="28"/>
        <w:ind w:left="514" w:right="0"/>
        <w:jc w:val="left"/>
      </w:pPr>
      <w:r>
        <w:rPr>
          <w:rFonts w:ascii="Times New Roman" w:hAnsi="Times New Roman" w:cs="Times New Roman" w:eastAsia="Times New Roman" w:hint="default"/>
        </w:rPr>
        <w:t>2</w:t>
      </w:r>
      <w:r>
        <w:rPr/>
        <w:t>、向自主可控领域积极迈进 </w:t>
      </w:r>
      <w:r>
        <w:rPr>
          <w:spacing w:val="-4"/>
        </w:rPr>
        <w:t>国家高度重视安全可靠的国产化替代，党政军作为自主可控应用急需领域，有望实现局部试点到全面推广，还包括金融、</w:t>
      </w:r>
    </w:p>
    <w:p>
      <w:pPr>
        <w:pStyle w:val="BodyText"/>
        <w:spacing w:line="300" w:lineRule="auto" w:before="31"/>
        <w:ind w:right="1032"/>
        <w:jc w:val="left"/>
      </w:pPr>
      <w:r>
        <w:rPr/>
        <w:t>电信、能源等重点行业。</w:t>
      </w:r>
      <w:r>
        <w:rPr>
          <w:rFonts w:ascii="Times New Roman" w:hAnsi="Times New Roman" w:cs="Times New Roman" w:eastAsia="Times New Roman" w:hint="default"/>
        </w:rPr>
        <w:t>2019</w:t>
      </w:r>
      <w:r>
        <w:rPr/>
        <w:t>年，公司将加大在自主可控领域的投入，提前布局，加强技术人才储备和市场拓展资源储备， 加快在自主可控环境下应用软件移植的研发进度，抢占自主可控领域的发展先机，带动业务增长。</w:t>
      </w:r>
    </w:p>
    <w:p>
      <w:pPr>
        <w:pStyle w:val="BodyText"/>
        <w:spacing w:line="316" w:lineRule="auto" w:before="31"/>
        <w:ind w:left="514" w:right="0" w:firstLine="1"/>
        <w:jc w:val="left"/>
      </w:pPr>
      <w:r>
        <w:rPr>
          <w:rFonts w:ascii="宋体" w:hAnsi="宋体" w:cs="宋体" w:eastAsia="宋体" w:hint="default"/>
          <w:b/>
          <w:bCs/>
        </w:rPr>
        <w:t>（四）分公司计划</w:t>
      </w:r>
      <w:r>
        <w:rPr>
          <w:rFonts w:ascii="宋体" w:hAnsi="宋体" w:cs="宋体" w:eastAsia="宋体" w:hint="default"/>
          <w:b/>
          <w:bCs/>
          <w:w w:val="99"/>
        </w:rPr>
        <w:t> </w:t>
      </w:r>
      <w:r>
        <w:rPr>
          <w:spacing w:val="-4"/>
        </w:rPr>
        <w:t>公司计划在</w:t>
      </w:r>
      <w:r>
        <w:rPr>
          <w:rFonts w:ascii="Times New Roman" w:hAnsi="Times New Roman" w:cs="Times New Roman" w:eastAsia="Times New Roman" w:hint="default"/>
          <w:spacing w:val="-4"/>
        </w:rPr>
        <w:t>2019</w:t>
      </w:r>
      <w:r>
        <w:rPr>
          <w:spacing w:val="-4"/>
        </w:rPr>
        <w:t>年度拓展分公司</w:t>
      </w:r>
      <w:r>
        <w:rPr>
          <w:rFonts w:ascii="Times New Roman" w:hAnsi="Times New Roman" w:cs="Times New Roman" w:eastAsia="Times New Roman" w:hint="default"/>
          <w:spacing w:val="-4"/>
        </w:rPr>
        <w:t>1</w:t>
      </w:r>
      <w:r>
        <w:rPr>
          <w:spacing w:val="-4"/>
        </w:rPr>
        <w:t>至</w:t>
      </w:r>
      <w:r>
        <w:rPr>
          <w:rFonts w:ascii="Times New Roman" w:hAnsi="Times New Roman" w:cs="Times New Roman" w:eastAsia="Times New Roman" w:hint="default"/>
          <w:spacing w:val="-4"/>
        </w:rPr>
        <w:t>2</w:t>
      </w:r>
      <w:r>
        <w:rPr>
          <w:spacing w:val="-4"/>
        </w:rPr>
        <w:t>家，将公司的优势产品引入西北部信息化发展相对落后领域，扩大公司的市场份额。</w:t>
      </w:r>
    </w:p>
    <w:p>
      <w:pPr>
        <w:pStyle w:val="BodyText"/>
        <w:spacing w:line="319" w:lineRule="auto"/>
        <w:ind w:left="514" w:right="0" w:firstLine="1"/>
        <w:jc w:val="left"/>
      </w:pPr>
      <w:r>
        <w:rPr>
          <w:rFonts w:ascii="宋体" w:hAnsi="宋体" w:cs="宋体" w:eastAsia="宋体" w:hint="default"/>
          <w:b/>
          <w:bCs/>
        </w:rPr>
        <w:t>（五）资本计划</w:t>
      </w:r>
      <w:r>
        <w:rPr>
          <w:rFonts w:ascii="宋体" w:hAnsi="宋体" w:cs="宋体" w:eastAsia="宋体" w:hint="default"/>
          <w:b/>
          <w:bCs/>
          <w:w w:val="99"/>
        </w:rPr>
        <w:t> </w:t>
      </w:r>
      <w:r>
        <w:rPr>
          <w:spacing w:val="-2"/>
        </w:rPr>
        <w:t>公司将继续围绕战略主航道，利用资本工具促进主业发展。围绕公司战略目标，结合公司具体运营需求，通过投资、并</w:t>
      </w:r>
    </w:p>
    <w:p>
      <w:pPr>
        <w:pStyle w:val="BodyText"/>
        <w:spacing w:line="240" w:lineRule="auto" w:before="17"/>
        <w:ind w:right="0"/>
        <w:jc w:val="left"/>
      </w:pPr>
      <w:r>
        <w:rPr/>
        <w:t>购等方式，达到公司加快行业资源整合的目的。深化推进战略管理，强化协同和资源配置，推动公司快速成长。</w:t>
      </w:r>
    </w:p>
    <w:p>
      <w:pPr>
        <w:spacing w:line="240" w:lineRule="auto" w:before="0"/>
        <w:rPr>
          <w:rFonts w:ascii="宋体" w:hAnsi="宋体" w:cs="宋体" w:eastAsia="宋体" w:hint="default"/>
          <w:sz w:val="18"/>
          <w:szCs w:val="18"/>
        </w:rPr>
      </w:pPr>
    </w:p>
    <w:p>
      <w:pPr>
        <w:pStyle w:val="Heading5"/>
        <w:spacing w:line="240" w:lineRule="auto" w:before="153"/>
        <w:ind w:left="515" w:right="0"/>
        <w:jc w:val="left"/>
        <w:rPr>
          <w:b w:val="0"/>
          <w:bCs w:val="0"/>
        </w:rPr>
      </w:pPr>
      <w:r>
        <w:rPr/>
        <w:t>四、未来可能面临的风险</w:t>
      </w:r>
      <w:r>
        <w:rPr>
          <w:b w:val="0"/>
          <w:bCs w:val="0"/>
        </w:rPr>
      </w:r>
    </w:p>
    <w:p>
      <w:pPr>
        <w:pStyle w:val="BodyText"/>
        <w:spacing w:line="300" w:lineRule="auto" w:before="76"/>
        <w:ind w:left="514" w:right="0" w:firstLine="60"/>
        <w:jc w:val="left"/>
      </w:pPr>
      <w:r>
        <w:rPr>
          <w:rFonts w:ascii="Times New Roman" w:hAnsi="Times New Roman" w:cs="Times New Roman" w:eastAsia="Times New Roman" w:hint="default"/>
          <w:b/>
          <w:bCs/>
        </w:rPr>
        <w:t>1</w:t>
      </w:r>
      <w:r>
        <w:rPr>
          <w:rFonts w:ascii="宋体" w:hAnsi="宋体" w:cs="宋体" w:eastAsia="宋体" w:hint="default"/>
          <w:b/>
          <w:bCs/>
        </w:rPr>
        <w:t>、市场竞争加剧风险</w:t>
      </w:r>
      <w:r>
        <w:rPr>
          <w:rFonts w:ascii="宋体" w:hAnsi="宋体" w:cs="宋体" w:eastAsia="宋体" w:hint="default"/>
          <w:b/>
          <w:bCs/>
          <w:w w:val="99"/>
        </w:rPr>
        <w:t> </w:t>
      </w:r>
      <w:r>
        <w:rPr>
          <w:spacing w:val="-2"/>
        </w:rPr>
        <w:t>近年来，在国家政策重点扶持及众多行业利好消息的出台等影响下，智慧城市、智慧制造吸引了社会各类资本进入，设</w:t>
      </w:r>
    </w:p>
    <w:p>
      <w:pPr>
        <w:pStyle w:val="BodyText"/>
        <w:spacing w:line="316" w:lineRule="auto" w:before="31"/>
        <w:ind w:right="0"/>
        <w:jc w:val="left"/>
      </w:pPr>
      <w:r>
        <w:rPr>
          <w:spacing w:val="-2"/>
        </w:rPr>
        <w:t>备制造商、系统集成商乃至其他实体服务提供商纷纷进入信息化领域，推动信息化领域的竞争从单纯的技术和服务竞争，升</w:t>
      </w:r>
      <w:r>
        <w:rPr>
          <w:spacing w:val="-66"/>
        </w:rPr>
        <w:t> </w:t>
      </w:r>
      <w:r>
        <w:rPr>
          <w:spacing w:val="-66"/>
        </w:rPr>
      </w:r>
      <w:r>
        <w:rPr/>
        <w:t>级为资本和资源整合的综合竞争，行业竞争进一步加剧。</w:t>
      </w:r>
    </w:p>
    <w:p>
      <w:pPr>
        <w:pStyle w:val="BodyText"/>
        <w:spacing w:line="309" w:lineRule="auto" w:before="19"/>
        <w:ind w:right="1131" w:firstLine="360"/>
        <w:jc w:val="both"/>
      </w:pPr>
      <w:r>
        <w:rPr>
          <w:spacing w:val="-2"/>
        </w:rPr>
        <w:t>针对行业竞争的升级，公司</w:t>
      </w:r>
      <w:r>
        <w:rPr>
          <w:rFonts w:ascii="Times New Roman" w:hAnsi="Times New Roman" w:cs="Times New Roman" w:eastAsia="Times New Roman" w:hint="default"/>
          <w:spacing w:val="-2"/>
        </w:rPr>
        <w:t>“</w:t>
      </w:r>
      <w:r>
        <w:rPr>
          <w:spacing w:val="-2"/>
        </w:rPr>
        <w:t>平台</w:t>
      </w:r>
      <w:r>
        <w:rPr>
          <w:rFonts w:ascii="Times New Roman" w:hAnsi="Times New Roman" w:cs="Times New Roman" w:eastAsia="Times New Roman" w:hint="default"/>
          <w:spacing w:val="-2"/>
        </w:rPr>
        <w:t>+</w:t>
      </w:r>
      <w:r>
        <w:rPr>
          <w:spacing w:val="-2"/>
        </w:rPr>
        <w:t>应用</w:t>
      </w:r>
      <w:r>
        <w:rPr>
          <w:rFonts w:ascii="Times New Roman" w:hAnsi="Times New Roman" w:cs="Times New Roman" w:eastAsia="Times New Roman" w:hint="default"/>
          <w:spacing w:val="-2"/>
        </w:rPr>
        <w:t>+</w:t>
      </w:r>
      <w:r>
        <w:rPr>
          <w:spacing w:val="-2"/>
        </w:rPr>
        <w:t>定制服务</w:t>
      </w:r>
      <w:r>
        <w:rPr>
          <w:rFonts w:ascii="Times New Roman" w:hAnsi="Times New Roman" w:cs="Times New Roman" w:eastAsia="Times New Roman" w:hint="default"/>
          <w:spacing w:val="-2"/>
        </w:rPr>
        <w:t>”</w:t>
      </w:r>
      <w:r>
        <w:rPr>
          <w:spacing w:val="-2"/>
        </w:rPr>
        <w:t>的业务模式能充分发挥资源协同的优势，且随着各板块布局的日趋成</w:t>
      </w:r>
      <w:r>
        <w:rPr/>
        <w:t> </w:t>
      </w:r>
      <w:r>
        <w:rPr>
          <w:spacing w:val="-2"/>
        </w:rPr>
        <w:t>熟和融合，协同效应将逐步凸显，从而能有效提升公司核心竞争力。但若公司对行业发展趋势判断失误或应对市场竞争的措</w:t>
      </w:r>
      <w:r>
        <w:rPr>
          <w:spacing w:val="-66"/>
        </w:rPr>
        <w:t> </w:t>
      </w:r>
      <w:r>
        <w:rPr>
          <w:spacing w:val="-66"/>
        </w:rPr>
      </w:r>
      <w:r>
        <w:rPr/>
        <w:t>施严重失当，将对公司未来的经营发展产生不利的影响。</w:t>
      </w:r>
    </w:p>
    <w:p>
      <w:pPr>
        <w:pStyle w:val="BodyText"/>
        <w:spacing w:line="300" w:lineRule="auto" w:before="24"/>
        <w:ind w:left="572" w:right="1154" w:firstLine="1"/>
        <w:jc w:val="left"/>
      </w:pPr>
      <w:r>
        <w:rPr>
          <w:rFonts w:ascii="Times New Roman" w:hAnsi="Times New Roman" w:cs="Times New Roman" w:eastAsia="Times New Roman" w:hint="default"/>
          <w:b/>
          <w:bCs/>
        </w:rPr>
        <w:t>2</w:t>
      </w:r>
      <w:r>
        <w:rPr>
          <w:rFonts w:ascii="宋体" w:hAnsi="宋体" w:cs="宋体" w:eastAsia="宋体" w:hint="default"/>
          <w:b/>
          <w:bCs/>
        </w:rPr>
        <w:t>、收入季节性波动风险</w:t>
      </w:r>
      <w:r>
        <w:rPr>
          <w:rFonts w:ascii="宋体" w:hAnsi="宋体" w:cs="宋体" w:eastAsia="宋体" w:hint="default"/>
          <w:b/>
          <w:bCs/>
          <w:w w:val="99"/>
        </w:rPr>
        <w:t> </w:t>
      </w:r>
      <w:r>
        <w:rPr/>
        <w:t>公司主要客户为政府及机关事业单位，该部分政企客户通常实行预算管理及集中采购制度，采购招标及结算具有明显</w:t>
      </w:r>
    </w:p>
    <w:p>
      <w:pPr>
        <w:pStyle w:val="BodyText"/>
        <w:spacing w:line="316" w:lineRule="auto" w:before="31"/>
        <w:ind w:right="0"/>
        <w:jc w:val="left"/>
      </w:pPr>
      <w:r>
        <w:rPr>
          <w:spacing w:val="-2"/>
        </w:rPr>
        <w:t>的季节性特征，导致公司较多项目集中在第四季度进行终验。而公司收入主要依据终验报告进行确认，导致公司营业收入确</w:t>
      </w:r>
      <w:r>
        <w:rPr>
          <w:spacing w:val="-66"/>
        </w:rPr>
        <w:t> </w:t>
      </w:r>
      <w:r>
        <w:rPr>
          <w:spacing w:val="-66"/>
        </w:rPr>
      </w:r>
      <w:r>
        <w:rPr/>
        <w:t>认主要集中在第四季度，公司营业收入存在较强季节性波动风险。</w:t>
      </w:r>
    </w:p>
    <w:p>
      <w:pPr>
        <w:spacing w:line="300" w:lineRule="auto" w:before="19"/>
        <w:ind w:left="514" w:right="0" w:firstLine="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、募集资金投资项目实施风险</w:t>
      </w:r>
      <w:r>
        <w:rPr>
          <w:rFonts w:ascii="宋体" w:hAnsi="宋体" w:cs="宋体" w:eastAsia="宋体" w:hint="default"/>
          <w:b/>
          <w:bCs/>
          <w:w w:val="99"/>
          <w:sz w:val="18"/>
          <w:szCs w:val="18"/>
        </w:rPr>
        <w:t> </w:t>
      </w:r>
      <w:r>
        <w:rPr>
          <w:rFonts w:ascii="宋体" w:hAnsi="宋体" w:cs="宋体" w:eastAsia="宋体" w:hint="default"/>
          <w:spacing w:val="-2"/>
          <w:sz w:val="18"/>
          <w:szCs w:val="18"/>
        </w:rPr>
        <w:t>公司募投项目的实施进度和盈利情况将对公司未来的经营业绩产生重要影响。虽然公司对募投项目的必要性及可行性经</w:t>
      </w:r>
    </w:p>
    <w:p>
      <w:pPr>
        <w:pStyle w:val="BodyText"/>
        <w:spacing w:line="319" w:lineRule="auto" w:before="31"/>
        <w:ind w:right="0"/>
        <w:jc w:val="left"/>
      </w:pPr>
      <w:r>
        <w:rPr>
          <w:spacing w:val="-2"/>
        </w:rPr>
        <w:t>过了严密的论证和探讨，也在技术研发、人才储备、市场拓展方面进行了详细的规划，但仍存在因不可抗力的客观因素或政</w:t>
      </w:r>
      <w:r>
        <w:rPr>
          <w:spacing w:val="-66"/>
        </w:rPr>
        <w:t> </w:t>
      </w:r>
      <w:r>
        <w:rPr>
          <w:spacing w:val="-66"/>
        </w:rPr>
      </w:r>
      <w:r>
        <w:rPr/>
        <w:t>策环境、技术或市场等发生不利变化，导致项目无法按照预计的进度进行或者未能达到预期收益水平的风险。</w:t>
      </w:r>
    </w:p>
    <w:p>
      <w:pPr>
        <w:pStyle w:val="BodyText"/>
        <w:spacing w:line="300" w:lineRule="auto" w:before="17"/>
        <w:ind w:left="514" w:right="0" w:firstLine="60"/>
        <w:jc w:val="left"/>
      </w:pPr>
      <w:r>
        <w:rPr>
          <w:rFonts w:ascii="Times New Roman" w:hAnsi="Times New Roman" w:cs="Times New Roman" w:eastAsia="Times New Roman" w:hint="default"/>
          <w:b/>
          <w:bCs/>
        </w:rPr>
        <w:t>4</w:t>
      </w:r>
      <w:r>
        <w:rPr>
          <w:rFonts w:ascii="宋体" w:hAnsi="宋体" w:cs="宋体" w:eastAsia="宋体" w:hint="default"/>
          <w:b/>
          <w:bCs/>
        </w:rPr>
        <w:t>、机器视觉应用拓展风险</w:t>
      </w:r>
      <w:r>
        <w:rPr>
          <w:rFonts w:ascii="宋体" w:hAnsi="宋体" w:cs="宋体" w:eastAsia="宋体" w:hint="default"/>
          <w:b/>
          <w:bCs/>
          <w:w w:val="99"/>
        </w:rPr>
        <w:t> </w:t>
      </w:r>
      <w:r>
        <w:rPr>
          <w:spacing w:val="-2"/>
        </w:rPr>
        <w:t>公司在机器视觉领域尤其在浮法玻璃生产检测领域已取得多项专利与核心技术，但由于浮法玻璃初加工检测市场容量有</w:t>
      </w:r>
    </w:p>
    <w:p>
      <w:pPr>
        <w:pStyle w:val="BodyText"/>
        <w:spacing w:line="240" w:lineRule="auto" w:before="31"/>
        <w:ind w:right="0"/>
        <w:jc w:val="left"/>
      </w:pPr>
      <w:r>
        <w:rPr/>
        <w:t>限，且国内玻璃行业产能过剩，该领域未来市场空间存在较大不确定性。</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360"/>
        <w:jc w:val="left"/>
      </w:pPr>
      <w:r>
        <w:rPr>
          <w:spacing w:val="-2"/>
        </w:rPr>
        <w:t>目前公司正积极向手机屏、平板电脑屏等玻璃深加工领域及其他行业的视觉检测领域进行技术研发与应用拓展，但由于</w:t>
      </w:r>
      <w:r>
        <w:rPr/>
        <w:t> 相关领域及行业进入时间较短，同时，需要投入的资源较多，公司机器视觉应用领域拓展存在一定风险。</w:t>
      </w:r>
    </w:p>
    <w:p>
      <w:pPr>
        <w:pStyle w:val="BodyText"/>
        <w:spacing w:line="300" w:lineRule="auto" w:before="19"/>
        <w:ind w:left="514" w:right="0" w:firstLine="60"/>
        <w:jc w:val="left"/>
      </w:pPr>
      <w:r>
        <w:rPr>
          <w:rFonts w:ascii="Times New Roman" w:hAnsi="Times New Roman" w:cs="Times New Roman" w:eastAsia="Times New Roman" w:hint="default"/>
          <w:b/>
          <w:bCs/>
        </w:rPr>
        <w:t>5</w:t>
      </w:r>
      <w:r>
        <w:rPr>
          <w:rFonts w:ascii="宋体" w:hAnsi="宋体" w:cs="宋体" w:eastAsia="宋体" w:hint="default"/>
          <w:b/>
          <w:bCs/>
        </w:rPr>
        <w:t>、核心人才流失风险</w:t>
      </w:r>
      <w:r>
        <w:rPr>
          <w:rFonts w:ascii="宋体" w:hAnsi="宋体" w:cs="宋体" w:eastAsia="宋体" w:hint="default"/>
          <w:b/>
          <w:bCs/>
          <w:w w:val="99"/>
        </w:rPr>
        <w:t> </w:t>
      </w:r>
      <w:r>
        <w:rPr>
          <w:spacing w:val="-4"/>
        </w:rPr>
        <w:t>近年来，公司业绩的增长和核心技术的不断升级离不开公司各类专业人才的贡献。公司历来重视核心人才的培养与储备，</w:t>
      </w:r>
    </w:p>
    <w:p>
      <w:pPr>
        <w:pStyle w:val="BodyText"/>
        <w:spacing w:line="316" w:lineRule="auto" w:before="32"/>
        <w:ind w:right="1131"/>
        <w:jc w:val="both"/>
      </w:pPr>
      <w:r>
        <w:rPr>
          <w:spacing w:val="-2"/>
        </w:rPr>
        <w:t>通过完善核心技术人员的绩效考核与激励制度、塑造富有凝聚力与向心力的企业文化、设置了灵活的岗位、改善办公环境等</w:t>
      </w:r>
      <w:r>
        <w:rPr>
          <w:spacing w:val="-66"/>
        </w:rPr>
        <w:t> </w:t>
      </w:r>
      <w:r>
        <w:rPr>
          <w:spacing w:val="-66"/>
        </w:rPr>
      </w:r>
      <w:r>
        <w:rPr>
          <w:spacing w:val="-2"/>
        </w:rPr>
        <w:t>措施来稳固现有核心技术团队，并不断招募各类高端技术与研发人才。但由于公司所处的行业市场竞争不断加剧，行业内对</w:t>
      </w:r>
      <w:r>
        <w:rPr>
          <w:spacing w:val="-66"/>
        </w:rPr>
        <w:t> </w:t>
      </w:r>
      <w:r>
        <w:rPr>
          <w:spacing w:val="-66"/>
        </w:rPr>
      </w:r>
      <w:r>
        <w:rPr>
          <w:spacing w:val="-2"/>
        </w:rPr>
        <w:t>高端专业人才的需求与日俱增，如果公司未来不能提供更具有竞争力的薪酬及良好的职业发展预期，公司仍存在核心技术人</w:t>
      </w:r>
      <w:r>
        <w:rPr>
          <w:spacing w:val="-64"/>
        </w:rPr>
        <w:t> </w:t>
      </w:r>
      <w:r>
        <w:rPr>
          <w:spacing w:val="-64"/>
        </w:rPr>
      </w:r>
      <w:r>
        <w:rPr/>
        <w:t>员流失的风险。</w:t>
      </w:r>
    </w:p>
    <w:p>
      <w:pPr>
        <w:pStyle w:val="BodyText"/>
        <w:spacing w:line="300" w:lineRule="auto" w:before="19"/>
        <w:ind w:left="514" w:right="0" w:firstLine="60"/>
        <w:jc w:val="left"/>
      </w:pPr>
      <w:r>
        <w:rPr>
          <w:rFonts w:ascii="Times New Roman" w:hAnsi="Times New Roman" w:cs="Times New Roman" w:eastAsia="Times New Roman" w:hint="default"/>
          <w:b/>
          <w:bCs/>
        </w:rPr>
        <w:t>6</w:t>
      </w:r>
      <w:r>
        <w:rPr>
          <w:rFonts w:ascii="宋体" w:hAnsi="宋体" w:cs="宋体" w:eastAsia="宋体" w:hint="default"/>
          <w:b/>
          <w:bCs/>
        </w:rPr>
        <w:t>、政府机构调整风险</w:t>
      </w:r>
      <w:r>
        <w:rPr>
          <w:rFonts w:ascii="宋体" w:hAnsi="宋体" w:cs="宋体" w:eastAsia="宋体" w:hint="default"/>
          <w:b/>
          <w:bCs/>
          <w:w w:val="99"/>
        </w:rPr>
        <w:t> </w:t>
      </w:r>
      <w:r>
        <w:rPr>
          <w:spacing w:val="-2"/>
        </w:rPr>
        <w:t>随着</w:t>
      </w:r>
      <w:r>
        <w:rPr>
          <w:rFonts w:ascii="Times New Roman" w:hAnsi="Times New Roman" w:cs="Times New Roman" w:eastAsia="Times New Roman" w:hint="default"/>
          <w:spacing w:val="-2"/>
        </w:rPr>
        <w:t>2018</w:t>
      </w:r>
      <w:r>
        <w:rPr>
          <w:spacing w:val="-2"/>
        </w:rPr>
        <w:t>年党和国家机构改革方案的发布，与公司智慧政务相关的部分政府机构正在进行机构调整。政府机构调整延缓</w:t>
      </w:r>
    </w:p>
    <w:p>
      <w:pPr>
        <w:pStyle w:val="BodyText"/>
        <w:spacing w:line="316" w:lineRule="auto" w:before="13"/>
        <w:ind w:left="514" w:right="0" w:hanging="360"/>
        <w:jc w:val="left"/>
      </w:pPr>
      <w:r>
        <w:rPr/>
        <w:t>了对信息化项目的采购及付款工作，对公司部分业务的推广和开展及收入确认、资金回笼造成一定的延误。 </w:t>
      </w:r>
      <w:r>
        <w:rPr>
          <w:spacing w:val="-2"/>
        </w:rPr>
        <w:t>本轮政府机构调整总体的思路是理顺公共事务管理思路，避免多头共管的局面，涉及面有限，而公司的智慧政务业务客</w:t>
      </w:r>
    </w:p>
    <w:p>
      <w:pPr>
        <w:pStyle w:val="BodyText"/>
        <w:spacing w:line="240" w:lineRule="auto" w:before="19"/>
        <w:ind w:right="0"/>
        <w:jc w:val="both"/>
      </w:pPr>
      <w:r>
        <w:rPr/>
        <w:t>户群体广泛，公司通过发掘不同层级客户、不同机构的个性化需求，力争避免针对机构调整带来的市场波动。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39996pt;margin-top:377.799988pt;width:290.95pt;height:20.75pt;mso-position-horizontal-relative:page;mso-position-vertical-relative:page;z-index:-796720" coordorigin="4857,7556" coordsize="5819,415">
            <v:group style="position:absolute;left:4868;top:7568;width:2;height:392" coordorigin="4868,7568" coordsize="2,392">
              <v:shape style="position:absolute;left:4868;top:7568;width:2;height:392" coordorigin="4868,7568" coordsize="0,392" path="m4868,7568l4868,7959e" filled="false" stroked="true" strokeweight="1.160pt" strokecolor="#ffffff">
                <v:path arrowok="t"/>
              </v:shape>
            </v:group>
            <v:group style="position:absolute;left:4880;top:7568;width:5796;height:392" coordorigin="4880,7568" coordsize="5796,392">
              <v:shape style="position:absolute;left:4880;top:7568;width:5796;height:392" coordorigin="4880,7568" coordsize="5796,392" path="m4880,7959l10675,7959,10675,7568,4880,7568,4880,7959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3"/>
        <w:jc w:val="center"/>
        <w:rPr>
          <w:b w:val="0"/>
          <w:bCs w:val="0"/>
        </w:rPr>
      </w:pPr>
      <w:bookmarkStart w:name="_TOC_250007"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38" w:lineRule="auto" w:before="117"/>
        <w:ind w:right="30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公司报告期利润分配预案及资本公积金转增股本预案与公司章程和分红管理办法等的相关规定一致</w:t>
      </w:r>
    </w:p>
    <w:p>
      <w:pPr>
        <w:pStyle w:val="BodyText"/>
        <w:spacing w:line="348" w:lineRule="auto" w:before="42"/>
        <w:ind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158,008,198</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9,480,491.88</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tabs>
                <w:tab w:pos="5503" w:val="left" w:leader="none"/>
              </w:tabs>
              <w:spacing w:line="240" w:lineRule="auto" w:before="52"/>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9,480,491.88</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142,004,846.73</w:t>
            </w:r>
          </w:p>
        </w:tc>
      </w:tr>
      <w:tr>
        <w:trPr>
          <w:trHeight w:val="71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年度利润分配预案为：以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日公司总股本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158,008,198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股派发现金红</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，共计分配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9,480,491.88 </w:t>
            </w:r>
            <w:r>
              <w:rPr>
                <w:rFonts w:ascii="宋体" w:hAnsi="宋体" w:cs="宋体" w:eastAsia="宋体" w:hint="default"/>
                <w:sz w:val="18"/>
                <w:szCs w:val="18"/>
              </w:rPr>
              <w:t>元</w:t>
            </w:r>
            <w:r>
              <w:rPr>
                <w:rFonts w:ascii="宋体" w:hAnsi="宋体" w:cs="宋体" w:eastAsia="宋体" w:hint="default"/>
                <w:spacing w:val="-2"/>
                <w:sz w:val="18"/>
                <w:szCs w:val="18"/>
              </w:rPr>
              <w:t>。</w:t>
            </w:r>
            <w:r>
              <w:rPr>
                <w:rFonts w:ascii="宋体" w:hAnsi="宋体" w:cs="宋体" w:eastAsia="宋体" w:hint="default"/>
                <w:sz w:val="18"/>
                <w:szCs w:val="18"/>
              </w:rPr>
              <w:t>本议案尚需提交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w:t>
            </w:r>
            <w:r>
              <w:rPr>
                <w:rFonts w:ascii="宋体" w:hAnsi="宋体" w:cs="宋体" w:eastAsia="宋体" w:hint="default"/>
                <w:spacing w:val="1"/>
                <w:sz w:val="18"/>
                <w:szCs w:val="18"/>
              </w:rPr>
              <w:t>度</w:t>
            </w:r>
            <w:r>
              <w:rPr>
                <w:rFonts w:ascii="宋体" w:hAnsi="宋体" w:cs="宋体" w:eastAsia="宋体" w:hint="default"/>
                <w:sz w:val="18"/>
                <w:szCs w:val="18"/>
              </w:rPr>
              <w:t>股东大会审议。</w:t>
            </w:r>
          </w:p>
        </w:tc>
      </w:tr>
    </w:tbl>
    <w:p>
      <w:pPr>
        <w:spacing w:line="240" w:lineRule="auto" w:before="3"/>
        <w:rPr>
          <w:rFonts w:ascii="宋体" w:hAnsi="宋体" w:cs="宋体" w:eastAsia="宋体" w:hint="default"/>
          <w:sz w:val="29"/>
          <w:szCs w:val="29"/>
        </w:rPr>
      </w:pPr>
    </w:p>
    <w:p>
      <w:pPr>
        <w:pStyle w:val="BodyText"/>
        <w:spacing w:line="240" w:lineRule="auto" w:before="44"/>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left="514"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年度利润分配方案</w:t>
      </w:r>
    </w:p>
    <w:p>
      <w:pPr>
        <w:pStyle w:val="BodyText"/>
        <w:spacing w:line="300" w:lineRule="auto" w:before="63"/>
        <w:ind w:right="1079"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日，公司</w:t>
      </w:r>
      <w:r>
        <w:rPr>
          <w:rFonts w:ascii="Times New Roman" w:hAnsi="Times New Roman" w:cs="Times New Roman" w:eastAsia="Times New Roman" w:hint="default"/>
        </w:rPr>
        <w:t>2016</w:t>
      </w:r>
      <w:r>
        <w:rPr/>
        <w:t>年年度股东大会审议通过了《关于公司</w:t>
      </w:r>
      <w:r>
        <w:rPr>
          <w:rFonts w:ascii="Times New Roman" w:hAnsi="Times New Roman" w:cs="Times New Roman" w:eastAsia="Times New Roman" w:hint="default"/>
        </w:rPr>
        <w:t>2016</w:t>
      </w:r>
      <w:r>
        <w:rPr/>
        <w:t>年度利润分配的议案》，公司本次利润分配以派 发现金股利的形式进行股利分配，方案具体内容为：按照母公司</w:t>
      </w:r>
      <w:r>
        <w:rPr>
          <w:rFonts w:ascii="Times New Roman" w:hAnsi="Times New Roman" w:cs="Times New Roman" w:eastAsia="Times New Roman" w:hint="default"/>
        </w:rPr>
        <w:t>2016</w:t>
      </w:r>
      <w:r>
        <w:rPr/>
        <w:t>年度实现净利润（经审计）的</w:t>
      </w:r>
      <w:r>
        <w:rPr>
          <w:rFonts w:ascii="Times New Roman" w:hAnsi="Times New Roman" w:cs="Times New Roman" w:eastAsia="Times New Roman" w:hint="default"/>
        </w:rPr>
        <w:t>10%</w:t>
      </w:r>
      <w:r>
        <w:rPr/>
        <w:t>提取法定盈余公积， </w:t>
      </w:r>
      <w:r>
        <w:rPr>
          <w:spacing w:val="-2"/>
        </w:rPr>
        <w:t>公司</w:t>
      </w:r>
      <w:r>
        <w:rPr>
          <w:rFonts w:ascii="Times New Roman" w:hAnsi="Times New Roman" w:cs="Times New Roman" w:eastAsia="Times New Roman" w:hint="default"/>
          <w:spacing w:val="-2"/>
        </w:rPr>
        <w:t>2016</w:t>
      </w:r>
      <w:r>
        <w:rPr>
          <w:spacing w:val="-2"/>
        </w:rPr>
        <w:t>年度可供股东分配的利润为</w:t>
      </w:r>
      <w:r>
        <w:rPr>
          <w:rFonts w:ascii="Times New Roman" w:hAnsi="Times New Roman" w:cs="Times New Roman" w:eastAsia="Times New Roman" w:hint="default"/>
          <w:spacing w:val="-2"/>
        </w:rPr>
        <w:t>8,521.91</w:t>
      </w:r>
      <w:r>
        <w:rPr>
          <w:spacing w:val="-2"/>
        </w:rPr>
        <w:t>万元。以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69,705,999</w:t>
      </w:r>
      <w:r>
        <w:rPr>
          <w:spacing w:val="-2"/>
        </w:rPr>
        <w:t>股为基数，向全体股东每</w:t>
      </w:r>
      <w:r>
        <w:rPr>
          <w:rFonts w:ascii="Times New Roman" w:hAnsi="Times New Roman" w:cs="Times New Roman" w:eastAsia="Times New Roman" w:hint="default"/>
          <w:spacing w:val="-2"/>
        </w:rPr>
        <w:t>10</w:t>
      </w:r>
      <w:r>
        <w:rPr>
          <w:spacing w:val="-2"/>
        </w:rPr>
        <w:t>股派</w:t>
      </w:r>
      <w:r>
        <w:rPr>
          <w:spacing w:val="-35"/>
        </w:rPr>
        <w:t> </w:t>
      </w:r>
      <w:r>
        <w:rPr/>
        <w:t>发现金红利</w:t>
      </w:r>
      <w:r>
        <w:rPr>
          <w:rFonts w:ascii="Times New Roman" w:hAnsi="Times New Roman" w:cs="Times New Roman" w:eastAsia="Times New Roman" w:hint="default"/>
        </w:rPr>
        <w:t>0.8</w:t>
      </w:r>
      <w:r>
        <w:rPr/>
        <w:t>元（含税）。</w:t>
      </w:r>
    </w:p>
    <w:p>
      <w:pPr>
        <w:pStyle w:val="BodyText"/>
        <w:spacing w:line="240" w:lineRule="auto" w:before="13"/>
        <w:ind w:left="51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年度利润分配方案</w:t>
      </w:r>
    </w:p>
    <w:p>
      <w:pPr>
        <w:pStyle w:val="BodyText"/>
        <w:spacing w:line="300" w:lineRule="auto" w:before="63"/>
        <w:ind w:right="1062"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w:t>
      </w:r>
      <w:r>
        <w:rPr>
          <w:rFonts w:ascii="Times New Roman" w:hAnsi="Times New Roman" w:cs="Times New Roman" w:eastAsia="Times New Roman" w:hint="default"/>
        </w:rPr>
        <w:t>2017</w:t>
      </w:r>
      <w:r>
        <w:rPr/>
        <w:t>年年度股东大会审议通过了《关于公司</w:t>
      </w:r>
      <w:r>
        <w:rPr>
          <w:rFonts w:ascii="Times New Roman" w:hAnsi="Times New Roman" w:cs="Times New Roman" w:eastAsia="Times New Roman" w:hint="default"/>
        </w:rPr>
        <w:t>2017</w:t>
      </w:r>
      <w:r>
        <w:rPr/>
        <w:t>年度利润分配的预案》，公司本次利润分配以派 发现金股利的形式进行股利分配，方案具体内容为：按照母公司</w:t>
      </w:r>
      <w:r>
        <w:rPr>
          <w:rFonts w:ascii="Times New Roman" w:hAnsi="Times New Roman" w:cs="Times New Roman" w:eastAsia="Times New Roman" w:hint="default"/>
        </w:rPr>
        <w:t>2017</w:t>
      </w:r>
      <w:r>
        <w:rPr/>
        <w:t>年度实现净利润（经审计）的</w:t>
      </w:r>
      <w:r>
        <w:rPr>
          <w:rFonts w:ascii="Times New Roman" w:hAnsi="Times New Roman" w:cs="Times New Roman" w:eastAsia="Times New Roman" w:hint="default"/>
        </w:rPr>
        <w:t>10%</w:t>
      </w:r>
      <w:r>
        <w:rPr/>
        <w:t>提取法定盈余公积， 公司</w:t>
      </w:r>
      <w:r>
        <w:rPr>
          <w:rFonts w:ascii="Times New Roman" w:hAnsi="Times New Roman" w:cs="Times New Roman" w:eastAsia="Times New Roman" w:hint="default"/>
        </w:rPr>
        <w:t>2017</w:t>
      </w:r>
      <w:r>
        <w:rPr/>
        <w:t>年度可供股东分配的利润为</w:t>
      </w:r>
      <w:r>
        <w:rPr>
          <w:rFonts w:ascii="Times New Roman" w:hAnsi="Times New Roman" w:cs="Times New Roman" w:eastAsia="Times New Roman" w:hint="default"/>
        </w:rPr>
        <w:t>11,983.10</w:t>
      </w:r>
      <w:r>
        <w:rPr/>
        <w:t>万元。以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92,945,999</w:t>
      </w:r>
      <w:r>
        <w:rPr/>
        <w:t>股为基数，向全体股东每</w:t>
      </w:r>
      <w:r>
        <w:rPr>
          <w:rFonts w:ascii="Times New Roman" w:hAnsi="Times New Roman" w:cs="Times New Roman" w:eastAsia="Times New Roman" w:hint="default"/>
        </w:rPr>
        <w:t>10</w:t>
      </w:r>
      <w:r>
        <w:rPr/>
        <w:t>股 派发现金红利</w:t>
      </w:r>
      <w:r>
        <w:rPr>
          <w:rFonts w:ascii="Times New Roman" w:hAnsi="Times New Roman" w:cs="Times New Roman" w:eastAsia="Times New Roman" w:hint="default"/>
        </w:rPr>
        <w:t>1</w:t>
      </w:r>
      <w:r>
        <w:rPr/>
        <w:t>元（含税）</w:t>
      </w:r>
      <w:r>
        <w:rPr>
          <w:rFonts w:ascii="Times New Roman" w:hAnsi="Times New Roman" w:cs="Times New Roman" w:eastAsia="Times New Roman" w:hint="default"/>
        </w:rPr>
        <w:t>,</w:t>
      </w:r>
      <w:r>
        <w:rPr/>
        <w:t>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年度利润分配预案</w:t>
      </w:r>
    </w:p>
    <w:p>
      <w:pPr>
        <w:pStyle w:val="BodyText"/>
        <w:spacing w:line="300" w:lineRule="auto" w:before="63"/>
        <w:ind w:right="1132"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日，公司第四届董事会第十五次会议审议通过了《关于公司</w:t>
      </w:r>
      <w:r>
        <w:rPr>
          <w:rFonts w:ascii="Times New Roman" w:hAnsi="Times New Roman" w:cs="Times New Roman" w:eastAsia="Times New Roman" w:hint="default"/>
        </w:rPr>
        <w:t>2018</w:t>
      </w:r>
      <w:r>
        <w:rPr/>
        <w:t>年度利润分配的预案》，公司本次利润分 </w:t>
      </w:r>
      <w:r>
        <w:rPr>
          <w:spacing w:val="-1"/>
        </w:rPr>
        <w:t>配以派发现金股利的形式进行股利分配，方案具体内容为：按照母公司</w:t>
      </w:r>
      <w:r>
        <w:rPr>
          <w:rFonts w:ascii="Times New Roman" w:hAnsi="Times New Roman" w:cs="Times New Roman" w:eastAsia="Times New Roman" w:hint="default"/>
          <w:spacing w:val="-1"/>
        </w:rPr>
        <w:t>2018</w:t>
      </w:r>
      <w:r>
        <w:rPr>
          <w:spacing w:val="-1"/>
        </w:rPr>
        <w:t>年度实现净利润（经审计）的</w:t>
      </w:r>
      <w:r>
        <w:rPr>
          <w:rFonts w:ascii="Times New Roman" w:hAnsi="Times New Roman" w:cs="Times New Roman" w:eastAsia="Times New Roman" w:hint="default"/>
          <w:spacing w:val="-1"/>
        </w:rPr>
        <w:t>10%</w:t>
      </w:r>
      <w:r>
        <w:rPr>
          <w:spacing w:val="-1"/>
        </w:rPr>
        <w:t>提取法定盈余</w:t>
      </w:r>
      <w:r>
        <w:rPr/>
        <w:t> </w:t>
      </w:r>
      <w:r>
        <w:rPr>
          <w:spacing w:val="-2"/>
        </w:rPr>
        <w:t>公积，公司</w:t>
      </w:r>
      <w:r>
        <w:rPr>
          <w:rFonts w:ascii="Times New Roman" w:hAnsi="Times New Roman" w:cs="Times New Roman" w:eastAsia="Times New Roman" w:hint="default"/>
          <w:spacing w:val="-2"/>
        </w:rPr>
        <w:t>2018</w:t>
      </w:r>
      <w:r>
        <w:rPr>
          <w:spacing w:val="-2"/>
        </w:rPr>
        <w:t>年度可供股东分配的利润为</w:t>
      </w:r>
      <w:r>
        <w:rPr>
          <w:rFonts w:ascii="Times New Roman" w:hAnsi="Times New Roman" w:cs="Times New Roman" w:eastAsia="Times New Roman" w:hint="default"/>
          <w:spacing w:val="-2"/>
        </w:rPr>
        <w:t>14,200.48</w:t>
      </w:r>
      <w:r>
        <w:rPr>
          <w:spacing w:val="-2"/>
        </w:rPr>
        <w:t>万元。以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158,008,198</w:t>
      </w:r>
      <w:r>
        <w:rPr>
          <w:spacing w:val="-2"/>
        </w:rPr>
        <w:t>股为基数，向全体股东</w:t>
      </w:r>
      <w:r>
        <w:rPr>
          <w:spacing w:val="-35"/>
        </w:rPr>
        <w:t> </w:t>
      </w:r>
      <w:r>
        <w:rPr>
          <w:spacing w:val="-35"/>
        </w:rPr>
      </w:r>
      <w:r>
        <w:rPr/>
        <w:t>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0.6</w:t>
      </w:r>
      <w:r>
        <w:rPr/>
        <w:t>元（含税），共计分配</w:t>
      </w:r>
      <w:r>
        <w:rPr>
          <w:rFonts w:ascii="Times New Roman" w:hAnsi="Times New Roman" w:cs="Times New Roman" w:eastAsia="Times New Roman" w:hint="default"/>
        </w:rPr>
        <w:t>9,480,491.88</w:t>
      </w:r>
      <w:r>
        <w:rPr/>
        <w:t>元。本议案尚需提交</w:t>
      </w:r>
      <w:r>
        <w:rPr>
          <w:rFonts w:ascii="Times New Roman" w:hAnsi="Times New Roman" w:cs="Times New Roman" w:eastAsia="Times New Roman" w:hint="default"/>
        </w:rPr>
        <w:t>2018</w:t>
      </w:r>
      <w:r>
        <w:rPr/>
        <w:t>年年度股东大会审议。</w:t>
      </w:r>
    </w:p>
    <w:p>
      <w:pPr>
        <w:spacing w:line="240" w:lineRule="auto" w:before="7"/>
        <w:rPr>
          <w:rFonts w:ascii="宋体" w:hAnsi="宋体" w:cs="宋体" w:eastAsia="宋体" w:hint="default"/>
          <w:sz w:val="24"/>
          <w:szCs w:val="24"/>
        </w:rPr>
      </w:pPr>
    </w:p>
    <w:p>
      <w:pPr>
        <w:pStyle w:val="BodyText"/>
        <w:spacing w:line="240" w:lineRule="auto" w:before="44"/>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85"/>
        <w:gridCol w:w="1207"/>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41" w:hanging="1"/>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7"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64"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9,480,491.88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35,111,525.15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27.00%</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9,480,491.88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27.00%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9,294,599.90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44,494,787.97</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20.89%</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9,294,599.90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20.89%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5,576,479.92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37,490,815.73</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14.87%</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5,576,479.92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14.87%</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83"/>
        <w:gridCol w:w="1416"/>
        <w:gridCol w:w="852"/>
        <w:gridCol w:w="3828"/>
        <w:gridCol w:w="850"/>
        <w:gridCol w:w="851"/>
        <w:gridCol w:w="778"/>
      </w:tblGrid>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338"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9"/>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1416" w:type="dxa"/>
            <w:tcBorders>
              <w:top w:val="single" w:sz="4" w:space="0" w:color="000000"/>
              <w:left w:val="single" w:sz="13" w:space="0" w:color="D2D2D2"/>
              <w:bottom w:val="single" w:sz="4" w:space="0" w:color="000000"/>
              <w:right w:val="single" w:sz="4" w:space="0" w:color="000000"/>
            </w:tcBorders>
            <w:shd w:val="clear" w:color="auto" w:fill="C6ECCC"/>
          </w:tcPr>
          <w:p>
            <w:pP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382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7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1416" w:type="dxa"/>
            <w:tcBorders>
              <w:top w:val="single" w:sz="4" w:space="0" w:color="000000"/>
              <w:left w:val="single" w:sz="13" w:space="0" w:color="D2D2D2"/>
              <w:bottom w:val="single" w:sz="4" w:space="0" w:color="000000"/>
              <w:right w:val="single" w:sz="4" w:space="0" w:color="000000"/>
            </w:tcBorders>
            <w:shd w:val="clear" w:color="auto" w:fill="C6ECCC"/>
          </w:tcPr>
          <w:p>
            <w:pP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382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7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608" w:hRule="exact"/>
        </w:trPr>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9" w:space="0" w:color="D2D2D2"/>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16" w:right="20"/>
              <w:jc w:val="both"/>
              <w:rPr>
                <w:rFonts w:ascii="宋体" w:hAnsi="宋体" w:cs="宋体" w:eastAsia="宋体" w:hint="default"/>
                <w:sz w:val="18"/>
                <w:szCs w:val="18"/>
              </w:rPr>
            </w:pPr>
            <w:r>
              <w:rPr>
                <w:rFonts w:ascii="宋体" w:hAnsi="宋体" w:cs="宋体" w:eastAsia="宋体" w:hint="default"/>
                <w:spacing w:val="-10"/>
                <w:sz w:val="18"/>
                <w:szCs w:val="18"/>
              </w:rPr>
              <w:t>费耀平、李杰、李</w:t>
            </w:r>
            <w:r>
              <w:rPr>
                <w:rFonts w:ascii="宋体" w:hAnsi="宋体" w:cs="宋体" w:eastAsia="宋体" w:hint="default"/>
                <w:sz w:val="18"/>
                <w:szCs w:val="18"/>
              </w:rPr>
              <w:t> </w:t>
            </w:r>
            <w:r>
              <w:rPr>
                <w:rFonts w:ascii="宋体" w:hAnsi="宋体" w:cs="宋体" w:eastAsia="宋体" w:hint="default"/>
                <w:spacing w:val="-10"/>
                <w:sz w:val="18"/>
                <w:szCs w:val="18"/>
              </w:rPr>
              <w:t>建华、刘星沙、刘</w:t>
            </w:r>
            <w:r>
              <w:rPr>
                <w:rFonts w:ascii="宋体" w:hAnsi="宋体" w:cs="宋体" w:eastAsia="宋体" w:hint="default"/>
                <w:sz w:val="18"/>
                <w:szCs w:val="18"/>
              </w:rPr>
              <w:t> 应龙</w:t>
            </w:r>
          </w:p>
        </w:tc>
        <w:tc>
          <w:tcPr>
            <w:tcW w:w="852"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23" w:right="-3"/>
              <w:jc w:val="left"/>
              <w:rPr>
                <w:rFonts w:ascii="宋体" w:hAnsi="宋体" w:cs="宋体" w:eastAsia="宋体" w:hint="default"/>
                <w:sz w:val="18"/>
                <w:szCs w:val="18"/>
              </w:rPr>
            </w:pPr>
            <w:r>
              <w:rPr>
                <w:rFonts w:ascii="宋体" w:hAnsi="宋体" w:cs="宋体" w:eastAsia="宋体" w:hint="default"/>
                <w:spacing w:val="18"/>
                <w:sz w:val="18"/>
                <w:szCs w:val="18"/>
              </w:rPr>
              <w:t>股份锁定</w:t>
            </w:r>
            <w:r>
              <w:rPr>
                <w:rFonts w:ascii="宋体" w:hAnsi="宋体" w:cs="宋体" w:eastAsia="宋体" w:hint="default"/>
                <w:spacing w:val="-87"/>
                <w:sz w:val="18"/>
                <w:szCs w:val="18"/>
              </w:rPr>
              <w:t> </w:t>
            </w:r>
            <w:r>
              <w:rPr>
                <w:rFonts w:ascii="宋体" w:hAnsi="宋体" w:cs="宋体" w:eastAsia="宋体" w:hint="default"/>
                <w:sz w:val="18"/>
                <w:szCs w:val="18"/>
              </w:rPr>
              <w:t>承诺</w:t>
            </w:r>
          </w:p>
        </w:tc>
        <w:tc>
          <w:tcPr>
            <w:tcW w:w="3828"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1"/>
                <w:sz w:val="18"/>
                <w:szCs w:val="18"/>
              </w:rPr>
              <w:t>本人直接或间接持有的科创信息股份，自科创信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息股票上市之日起三十六个月内不转让或者委</w:t>
            </w:r>
            <w:r>
              <w:rPr>
                <w:rFonts w:ascii="宋体" w:hAnsi="宋体" w:cs="宋体" w:eastAsia="宋体" w:hint="default"/>
                <w:sz w:val="18"/>
                <w:szCs w:val="18"/>
              </w:rPr>
              <w:t> </w:t>
            </w:r>
            <w:r>
              <w:rPr>
                <w:rFonts w:ascii="宋体" w:hAnsi="宋体" w:cs="宋体" w:eastAsia="宋体" w:hint="default"/>
                <w:spacing w:val="8"/>
                <w:sz w:val="18"/>
                <w:szCs w:val="18"/>
              </w:rPr>
              <w:t>托他人管理本人在本次公开发行前直接或间接</w:t>
            </w:r>
            <w:r>
              <w:rPr>
                <w:rFonts w:ascii="宋体" w:hAnsi="宋体" w:cs="宋体" w:eastAsia="宋体" w:hint="default"/>
                <w:sz w:val="18"/>
                <w:szCs w:val="18"/>
              </w:rPr>
              <w:t> </w:t>
            </w:r>
            <w:r>
              <w:rPr>
                <w:rFonts w:ascii="宋体" w:hAnsi="宋体" w:cs="宋体" w:eastAsia="宋体" w:hint="default"/>
                <w:spacing w:val="-1"/>
                <w:sz w:val="18"/>
                <w:szCs w:val="18"/>
              </w:rPr>
              <w:t>持有的科创信息的股份，也不由科创信息回购本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人持有的股份。若本人在锁定期满后两年内减持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的，减持价格将不低于公司股票首次公开发行价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格（若发生除权、除息事项的，减持价格作相应</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78"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293" w:right="22"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017" w:hRule="exact"/>
        </w:trPr>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59"/>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416" w:type="dxa"/>
            <w:vMerge/>
            <w:tcBorders>
              <w:left w:val="single" w:sz="9" w:space="0" w:color="D2D2D2"/>
              <w:right w:val="single" w:sz="4" w:space="0" w:color="000000"/>
            </w:tcBorders>
            <w:shd w:val="clear" w:color="auto" w:fill="C6ECCC"/>
          </w:tcPr>
          <w:p>
            <w:pPr/>
          </w:p>
        </w:tc>
        <w:tc>
          <w:tcPr>
            <w:tcW w:w="852" w:type="dxa"/>
            <w:vMerge/>
            <w:tcBorders>
              <w:left w:val="single" w:sz="4" w:space="0" w:color="000000"/>
              <w:right w:val="single" w:sz="4" w:space="0" w:color="000000"/>
            </w:tcBorders>
            <w:shd w:val="clear" w:color="auto" w:fill="C6ECCC"/>
          </w:tcPr>
          <w:p>
            <w:pPr/>
          </w:p>
        </w:tc>
        <w:tc>
          <w:tcPr>
            <w:tcW w:w="3828" w:type="dxa"/>
            <w:vMerge/>
            <w:tcBorders>
              <w:left w:val="single" w:sz="4" w:space="0" w:color="000000"/>
              <w:right w:val="single" w:sz="4" w:space="0" w:color="000000"/>
            </w:tcBorders>
            <w:shd w:val="clear" w:color="auto" w:fill="C6ECCC"/>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6ECCC"/>
          </w:tcPr>
          <w:p>
            <w:pPr/>
          </w:p>
        </w:tc>
        <w:tc>
          <w:tcPr>
            <w:tcW w:w="778" w:type="dxa"/>
            <w:vMerge/>
            <w:tcBorders>
              <w:left w:val="single" w:sz="4" w:space="0" w:color="000000"/>
              <w:right w:val="single" w:sz="4" w:space="0" w:color="000000"/>
            </w:tcBorders>
            <w:shd w:val="clear" w:color="auto" w:fill="C6ECCC"/>
          </w:tcPr>
          <w:p>
            <w:pPr/>
          </w:p>
        </w:tc>
      </w:tr>
      <w:tr>
        <w:trPr>
          <w:trHeight w:val="608" w:hRule="exact"/>
        </w:trPr>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9" w:space="0" w:color="D2D2D2"/>
              <w:bottom w:val="single" w:sz="4" w:space="0" w:color="000000"/>
              <w:right w:val="single" w:sz="4" w:space="0" w:color="000000"/>
            </w:tcBorders>
            <w:shd w:val="clear" w:color="auto" w:fill="C6ECCC"/>
          </w:tcPr>
          <w:p>
            <w:pPr/>
          </w:p>
        </w:tc>
        <w:tc>
          <w:tcPr>
            <w:tcW w:w="852" w:type="dxa"/>
            <w:vMerge/>
            <w:tcBorders>
              <w:left w:val="single" w:sz="4" w:space="0" w:color="000000"/>
              <w:bottom w:val="single" w:sz="4" w:space="0" w:color="000000"/>
              <w:right w:val="single" w:sz="4" w:space="0" w:color="000000"/>
            </w:tcBorders>
            <w:shd w:val="clear" w:color="auto" w:fill="C6ECCC"/>
          </w:tcPr>
          <w:p>
            <w:pPr/>
          </w:p>
        </w:tc>
        <w:tc>
          <w:tcPr>
            <w:tcW w:w="3828" w:type="dxa"/>
            <w:vMerge/>
            <w:tcBorders>
              <w:left w:val="single" w:sz="4" w:space="0" w:color="000000"/>
              <w:bottom w:val="single" w:sz="4" w:space="0" w:color="000000"/>
              <w:right w:val="single" w:sz="4" w:space="0" w:color="000000"/>
            </w:tcBorders>
            <w:shd w:val="clear" w:color="auto" w:fill="C6ECCC"/>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shd w:val="clear" w:color="auto" w:fill="C6ECCC"/>
          </w:tcPr>
          <w:p>
            <w:pPr/>
          </w:p>
        </w:tc>
        <w:tc>
          <w:tcPr>
            <w:tcW w:w="778"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62.311005pt;margin-top:509.73999pt;width:57.2pt;height:54.6pt;mso-position-horizontal-relative:page;mso-position-vertical-relative:page;z-index:-796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薇、</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417"/>
        <w:gridCol w:w="852"/>
        <w:gridCol w:w="3828"/>
        <w:gridCol w:w="850"/>
        <w:gridCol w:w="851"/>
        <w:gridCol w:w="778"/>
      </w:tblGrid>
      <w:tr>
        <w:trPr>
          <w:trHeight w:val="31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C6ECCC"/>
          </w:tcPr>
          <w:p>
            <w:pPr/>
          </w:p>
        </w:tc>
        <w:tc>
          <w:tcPr>
            <w:tcW w:w="852" w:type="dxa"/>
            <w:vMerge w:val="restart"/>
            <w:tcBorders>
              <w:top w:val="single" w:sz="4" w:space="0" w:color="000000"/>
              <w:left w:val="single" w:sz="4" w:space="0" w:color="000000"/>
              <w:right w:val="single" w:sz="4" w:space="0" w:color="000000"/>
            </w:tcBorders>
            <w:shd w:val="clear" w:color="auto" w:fill="C6ECCC"/>
          </w:tcPr>
          <w:p>
            <w:pPr/>
          </w:p>
        </w:tc>
        <w:tc>
          <w:tcPr>
            <w:tcW w:w="3828"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调整</w:t>
            </w:r>
            <w:r>
              <w:rPr>
                <w:rFonts w:ascii="宋体" w:hAnsi="宋体" w:cs="宋体" w:eastAsia="宋体" w:hint="default"/>
                <w:spacing w:val="-87"/>
                <w:sz w:val="18"/>
                <w:szCs w:val="18"/>
              </w:rPr>
              <w:t>）</w:t>
            </w:r>
            <w:r>
              <w:rPr>
                <w:rFonts w:ascii="宋体" w:hAnsi="宋体" w:cs="宋体" w:eastAsia="宋体" w:hint="default"/>
                <w:spacing w:val="4"/>
                <w:sz w:val="18"/>
                <w:szCs w:val="18"/>
              </w:rPr>
              <w:t>。</w:t>
            </w:r>
            <w:r>
              <w:rPr>
                <w:rFonts w:ascii="宋体" w:hAnsi="宋体" w:cs="宋体" w:eastAsia="宋体" w:hint="default"/>
                <w:spacing w:val="3"/>
                <w:sz w:val="18"/>
                <w:szCs w:val="18"/>
              </w:rPr>
              <w:t>本</w:t>
            </w:r>
            <w:r>
              <w:rPr>
                <w:rFonts w:ascii="宋体" w:hAnsi="宋体" w:cs="宋体" w:eastAsia="宋体" w:hint="default"/>
                <w:spacing w:val="4"/>
                <w:sz w:val="18"/>
                <w:szCs w:val="18"/>
              </w:rPr>
              <w:t>人承</w:t>
            </w:r>
            <w:r>
              <w:rPr>
                <w:rFonts w:ascii="宋体" w:hAnsi="宋体" w:cs="宋体" w:eastAsia="宋体" w:hint="default"/>
                <w:spacing w:val="3"/>
                <w:sz w:val="18"/>
                <w:szCs w:val="18"/>
              </w:rPr>
              <w:t>诺除前</w:t>
            </w:r>
            <w:r>
              <w:rPr>
                <w:rFonts w:ascii="宋体" w:hAnsi="宋体" w:cs="宋体" w:eastAsia="宋体" w:hint="default"/>
                <w:spacing w:val="4"/>
                <w:sz w:val="18"/>
                <w:szCs w:val="18"/>
              </w:rPr>
              <w:t>述</w:t>
            </w:r>
            <w:r>
              <w:rPr>
                <w:rFonts w:ascii="宋体" w:hAnsi="宋体" w:cs="宋体" w:eastAsia="宋体" w:hint="default"/>
                <w:spacing w:val="3"/>
                <w:sz w:val="18"/>
                <w:szCs w:val="18"/>
              </w:rPr>
              <w:t>锁</w:t>
            </w:r>
            <w:r>
              <w:rPr>
                <w:rFonts w:ascii="宋体" w:hAnsi="宋体" w:cs="宋体" w:eastAsia="宋体" w:hint="default"/>
                <w:spacing w:val="4"/>
                <w:sz w:val="18"/>
                <w:szCs w:val="18"/>
              </w:rPr>
              <w:t>定</w:t>
            </w:r>
            <w:r>
              <w:rPr>
                <w:rFonts w:ascii="宋体" w:hAnsi="宋体" w:cs="宋体" w:eastAsia="宋体" w:hint="default"/>
                <w:spacing w:val="3"/>
                <w:sz w:val="18"/>
                <w:szCs w:val="18"/>
              </w:rPr>
              <w:t>期外，</w:t>
            </w:r>
            <w:r>
              <w:rPr>
                <w:rFonts w:ascii="宋体" w:hAnsi="宋体" w:cs="宋体" w:eastAsia="宋体" w:hint="default"/>
                <w:spacing w:val="4"/>
                <w:sz w:val="18"/>
                <w:szCs w:val="18"/>
              </w:rPr>
              <w:t>在</w:t>
            </w:r>
            <w:r>
              <w:rPr>
                <w:rFonts w:ascii="宋体" w:hAnsi="宋体" w:cs="宋体" w:eastAsia="宋体" w:hint="default"/>
                <w:spacing w:val="3"/>
                <w:sz w:val="18"/>
                <w:szCs w:val="18"/>
              </w:rPr>
              <w:t>科</w:t>
            </w:r>
            <w:r>
              <w:rPr>
                <w:rFonts w:ascii="宋体" w:hAnsi="宋体" w:cs="宋体" w:eastAsia="宋体" w:hint="default"/>
                <w:spacing w:val="4"/>
                <w:sz w:val="18"/>
                <w:szCs w:val="18"/>
              </w:rPr>
              <w:t>创</w:t>
            </w:r>
            <w:r>
              <w:rPr>
                <w:rFonts w:ascii="宋体" w:hAnsi="宋体" w:cs="宋体" w:eastAsia="宋体" w:hint="default"/>
                <w:spacing w:val="3"/>
                <w:sz w:val="18"/>
                <w:szCs w:val="18"/>
              </w:rPr>
              <w:t>信</w:t>
            </w:r>
            <w:r>
              <w:rPr>
                <w:rFonts w:ascii="宋体" w:hAnsi="宋体" w:cs="宋体" w:eastAsia="宋体" w:hint="default"/>
                <w:sz w:val="18"/>
                <w:szCs w:val="18"/>
              </w:rPr>
              <w:t>息</w:t>
            </w: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shd w:val="clear" w:color="auto" w:fill="C6ECCC"/>
          </w:tcPr>
          <w:p>
            <w:pPr/>
          </w:p>
        </w:tc>
        <w:tc>
          <w:tcPr>
            <w:tcW w:w="778" w:type="dxa"/>
            <w:vMerge w:val="restart"/>
            <w:tcBorders>
              <w:top w:val="single" w:sz="4" w:space="0" w:color="000000"/>
              <w:left w:val="single" w:sz="4" w:space="0" w:color="000000"/>
              <w:right w:val="single" w:sz="4" w:space="0" w:color="000000"/>
            </w:tcBorders>
            <w:shd w:val="clear" w:color="auto" w:fill="C6EC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C6ECCC"/>
          </w:tcPr>
          <w:p>
            <w:pPr/>
          </w:p>
        </w:tc>
        <w:tc>
          <w:tcPr>
            <w:tcW w:w="852" w:type="dxa"/>
            <w:vMerge/>
            <w:tcBorders>
              <w:left w:val="single" w:sz="4" w:space="0" w:color="000000"/>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任职期间每年转让的股份不得超过转让时所直</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6ECCC"/>
          </w:tcPr>
          <w:p>
            <w:pPr/>
          </w:p>
        </w:tc>
        <w:tc>
          <w:tcPr>
            <w:tcW w:w="778" w:type="dxa"/>
            <w:vMerge/>
            <w:tcBorders>
              <w:left w:val="single" w:sz="4" w:space="0" w:color="000000"/>
              <w:right w:val="single" w:sz="4" w:space="0" w:color="000000"/>
            </w:tcBorders>
            <w:shd w:val="clear" w:color="auto" w:fill="C6EC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C6ECCC"/>
          </w:tcPr>
          <w:p>
            <w:pPr/>
          </w:p>
        </w:tc>
        <w:tc>
          <w:tcPr>
            <w:tcW w:w="852" w:type="dxa"/>
            <w:vMerge/>
            <w:tcBorders>
              <w:left w:val="single" w:sz="4" w:space="0" w:color="000000"/>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接或间接持有科创信息的股份总数的</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；离职</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6ECCC"/>
          </w:tcPr>
          <w:p>
            <w:pPr/>
          </w:p>
        </w:tc>
        <w:tc>
          <w:tcPr>
            <w:tcW w:w="778" w:type="dxa"/>
            <w:vMerge/>
            <w:tcBorders>
              <w:left w:val="single" w:sz="4" w:space="0" w:color="000000"/>
              <w:right w:val="single" w:sz="4" w:space="0" w:color="000000"/>
            </w:tcBorders>
            <w:shd w:val="clear" w:color="auto" w:fill="C6ECCC"/>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C6ECCC"/>
          </w:tcPr>
          <w:p>
            <w:pPr/>
          </w:p>
        </w:tc>
        <w:tc>
          <w:tcPr>
            <w:tcW w:w="852" w:type="dxa"/>
            <w:vMerge/>
            <w:tcBorders>
              <w:left w:val="single" w:sz="4" w:space="0" w:color="000000"/>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后半年内，不转让本人所直接或间接持有的科创</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6ECCC"/>
          </w:tcPr>
          <w:p>
            <w:pPr/>
          </w:p>
        </w:tc>
        <w:tc>
          <w:tcPr>
            <w:tcW w:w="778" w:type="dxa"/>
            <w:vMerge/>
            <w:tcBorders>
              <w:left w:val="single" w:sz="4" w:space="0" w:color="000000"/>
              <w:right w:val="single" w:sz="4" w:space="0" w:color="000000"/>
            </w:tcBorders>
            <w:shd w:val="clear" w:color="auto" w:fill="C6ECCC"/>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C6ECCC"/>
          </w:tcPr>
          <w:p>
            <w:pPr/>
          </w:p>
        </w:tc>
        <w:tc>
          <w:tcPr>
            <w:tcW w:w="852" w:type="dxa"/>
            <w:vMerge/>
            <w:tcBorders>
              <w:left w:val="single" w:sz="4" w:space="0" w:color="000000"/>
              <w:bottom w:val="single" w:sz="4" w:space="0" w:color="000000"/>
              <w:right w:val="single" w:sz="4" w:space="0" w:color="000000"/>
            </w:tcBorders>
            <w:shd w:val="clear" w:color="auto" w:fill="C6ECCC"/>
          </w:tcPr>
          <w:p>
            <w:pPr/>
          </w:p>
        </w:tc>
        <w:tc>
          <w:tcPr>
            <w:tcW w:w="382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信息的股份。</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shd w:val="clear" w:color="auto" w:fill="C6ECCC"/>
          </w:tcPr>
          <w:p>
            <w:pPr/>
          </w:p>
        </w:tc>
        <w:tc>
          <w:tcPr>
            <w:tcW w:w="778" w:type="dxa"/>
            <w:vMerge/>
            <w:tcBorders>
              <w:left w:val="single" w:sz="4" w:space="0" w:color="000000"/>
              <w:bottom w:val="single" w:sz="4" w:space="0" w:color="000000"/>
              <w:right w:val="single" w:sz="4" w:space="0" w:color="000000"/>
            </w:tcBorders>
            <w:shd w:val="clear" w:color="auto" w:fill="C6ECCC"/>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C6ECCC"/>
          </w:tcPr>
          <w:p>
            <w:pPr/>
          </w:p>
        </w:tc>
        <w:tc>
          <w:tcPr>
            <w:tcW w:w="852" w:type="dxa"/>
            <w:tcBorders>
              <w:top w:val="single" w:sz="4" w:space="0" w:color="000000"/>
              <w:left w:val="single" w:sz="4" w:space="0" w:color="000000"/>
              <w:bottom w:val="nil" w:sz="6" w:space="0" w:color="auto"/>
              <w:right w:val="single" w:sz="4" w:space="0" w:color="000000"/>
            </w:tcBorders>
            <w:shd w:val="clear" w:color="auto" w:fill="C6ECCC"/>
          </w:tcPr>
          <w:p>
            <w:pPr/>
          </w:p>
        </w:tc>
        <w:tc>
          <w:tcPr>
            <w:tcW w:w="3828"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自科创信息股票上市之日起二十四个月内不转</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shd w:val="clear" w:color="auto" w:fill="C6ECCC"/>
          </w:tcPr>
          <w:p>
            <w:pPr/>
          </w:p>
        </w:tc>
        <w:tc>
          <w:tcPr>
            <w:tcW w:w="778"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让或者委托他人管理本人在本次公开发行前直</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接或间接持有的科创信息的股份，也不由科创信</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息回购本人直接或间接持有的股份。本人承诺除</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941"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34"/>
              <w:jc w:val="left"/>
              <w:rPr>
                <w:rFonts w:ascii="宋体" w:hAnsi="宋体" w:cs="宋体" w:eastAsia="宋体" w:hint="default"/>
                <w:sz w:val="18"/>
                <w:szCs w:val="18"/>
              </w:rPr>
            </w:pPr>
            <w:r>
              <w:rPr>
                <w:rFonts w:ascii="宋体" w:hAnsi="宋体" w:cs="宋体" w:eastAsia="宋体" w:hint="default"/>
                <w:spacing w:val="-3"/>
                <w:sz w:val="18"/>
                <w:szCs w:val="18"/>
              </w:rPr>
              <w:t>罗昔军、金卓钧、</w:t>
            </w:r>
            <w:r>
              <w:rPr>
                <w:rFonts w:ascii="宋体" w:hAnsi="宋体" w:cs="宋体" w:eastAsia="宋体" w:hint="default"/>
                <w:spacing w:val="-23"/>
                <w:sz w:val="18"/>
                <w:szCs w:val="18"/>
              </w:rPr>
              <w:t> </w:t>
            </w:r>
            <w:r>
              <w:rPr>
                <w:rFonts w:ascii="宋体" w:hAnsi="宋体" w:cs="宋体" w:eastAsia="宋体" w:hint="default"/>
                <w:sz w:val="18"/>
                <w:szCs w:val="18"/>
              </w:rPr>
              <w:t>谢石伟</w:t>
            </w:r>
          </w:p>
        </w:tc>
        <w:tc>
          <w:tcPr>
            <w:tcW w:w="85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3"/>
              <w:jc w:val="left"/>
              <w:rPr>
                <w:rFonts w:ascii="宋体" w:hAnsi="宋体" w:cs="宋体" w:eastAsia="宋体" w:hint="default"/>
                <w:sz w:val="18"/>
                <w:szCs w:val="18"/>
              </w:rPr>
            </w:pPr>
            <w:r>
              <w:rPr>
                <w:rFonts w:ascii="宋体" w:hAnsi="宋体" w:cs="宋体" w:eastAsia="宋体" w:hint="default"/>
                <w:spacing w:val="18"/>
                <w:sz w:val="18"/>
                <w:szCs w:val="18"/>
              </w:rPr>
              <w:t>股份锁定</w:t>
            </w:r>
            <w:r>
              <w:rPr>
                <w:rFonts w:ascii="宋体" w:hAnsi="宋体" w:cs="宋体" w:eastAsia="宋体" w:hint="default"/>
                <w:spacing w:val="-87"/>
                <w:sz w:val="18"/>
                <w:szCs w:val="18"/>
              </w:rPr>
              <w:t> </w:t>
            </w:r>
            <w:r>
              <w:rPr>
                <w:rFonts w:ascii="宋体" w:hAnsi="宋体" w:cs="宋体" w:eastAsia="宋体" w:hint="default"/>
                <w:sz w:val="18"/>
                <w:szCs w:val="18"/>
              </w:rPr>
              <w:t>承诺</w:t>
            </w: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pacing w:val="-1"/>
                <w:sz w:val="18"/>
                <w:szCs w:val="18"/>
              </w:rPr>
              <w:t>前述锁定期外，在科创信息任职期间每年转让的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股份不得超过转让时所直接或间接持有科创信</w:t>
            </w:r>
            <w:r>
              <w:rPr>
                <w:rFonts w:ascii="宋体" w:hAnsi="宋体" w:cs="宋体" w:eastAsia="宋体" w:hint="default"/>
                <w:sz w:val="18"/>
                <w:szCs w:val="18"/>
              </w:rPr>
              <w:t> 息的股份总数的</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；离职后半年内，不转让本</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7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93" w:right="22"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人所直接或间接持有的科创信息的股份。若本人</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在锁定期满后两年内减持的，减持价格将不低于</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公司股票首次公开发行价格（若发生除权、除息</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C6ECCC"/>
          </w:tcPr>
          <w:p>
            <w:pPr/>
          </w:p>
        </w:tc>
        <w:tc>
          <w:tcPr>
            <w:tcW w:w="852" w:type="dxa"/>
            <w:tcBorders>
              <w:top w:val="nil" w:sz="6" w:space="0" w:color="auto"/>
              <w:left w:val="single" w:sz="4" w:space="0" w:color="000000"/>
              <w:bottom w:val="single" w:sz="4" w:space="0" w:color="000000"/>
              <w:right w:val="single" w:sz="4" w:space="0" w:color="000000"/>
            </w:tcBorders>
            <w:shd w:val="clear" w:color="auto" w:fill="C6ECCC"/>
          </w:tcPr>
          <w:p>
            <w:pPr/>
          </w:p>
        </w:tc>
        <w:tc>
          <w:tcPr>
            <w:tcW w:w="382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事项的，减持价格作相应调整</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shd w:val="clear" w:color="auto" w:fill="C6ECCC"/>
          </w:tcPr>
          <w:p>
            <w:pPr/>
          </w:p>
        </w:tc>
        <w:tc>
          <w:tcPr>
            <w:tcW w:w="778"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C6ECCC"/>
          </w:tcPr>
          <w:p>
            <w:pPr/>
          </w:p>
        </w:tc>
        <w:tc>
          <w:tcPr>
            <w:tcW w:w="852" w:type="dxa"/>
            <w:tcBorders>
              <w:top w:val="single" w:sz="4" w:space="0" w:color="000000"/>
              <w:left w:val="single" w:sz="4" w:space="0" w:color="000000"/>
              <w:bottom w:val="nil" w:sz="6" w:space="0" w:color="auto"/>
              <w:right w:val="single" w:sz="4" w:space="0" w:color="000000"/>
            </w:tcBorders>
            <w:shd w:val="clear" w:color="auto" w:fill="C6ECCC"/>
          </w:tcPr>
          <w:p>
            <w:pPr/>
          </w:p>
        </w:tc>
        <w:tc>
          <w:tcPr>
            <w:tcW w:w="3828"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自科创信息股票上市之日起十二个月内不转让</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shd w:val="clear" w:color="auto" w:fill="C6ECCC"/>
          </w:tcPr>
          <w:p>
            <w:pPr/>
          </w:p>
        </w:tc>
        <w:tc>
          <w:tcPr>
            <w:tcW w:w="778"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630"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戴志扬</w:t>
            </w:r>
          </w:p>
        </w:tc>
        <w:tc>
          <w:tcPr>
            <w:tcW w:w="85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1"/>
              <w:ind w:left="23" w:right="-3"/>
              <w:jc w:val="left"/>
              <w:rPr>
                <w:rFonts w:ascii="宋体" w:hAnsi="宋体" w:cs="宋体" w:eastAsia="宋体" w:hint="default"/>
                <w:sz w:val="18"/>
                <w:szCs w:val="18"/>
              </w:rPr>
            </w:pPr>
            <w:r>
              <w:rPr>
                <w:rFonts w:ascii="宋体" w:hAnsi="宋体" w:cs="宋体" w:eastAsia="宋体" w:hint="default"/>
                <w:spacing w:val="18"/>
                <w:sz w:val="18"/>
                <w:szCs w:val="18"/>
              </w:rPr>
              <w:t>股份锁定</w:t>
            </w:r>
            <w:r>
              <w:rPr>
                <w:rFonts w:ascii="宋体" w:hAnsi="宋体" w:cs="宋体" w:eastAsia="宋体" w:hint="default"/>
                <w:spacing w:val="-87"/>
                <w:sz w:val="18"/>
                <w:szCs w:val="18"/>
              </w:rPr>
              <w:t> </w:t>
            </w:r>
            <w:r>
              <w:rPr>
                <w:rFonts w:ascii="宋体" w:hAnsi="宋体" w:cs="宋体" w:eastAsia="宋体" w:hint="default"/>
                <w:sz w:val="18"/>
                <w:szCs w:val="18"/>
              </w:rPr>
              <w:t>承诺</w:t>
            </w: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8"/>
                <w:sz w:val="18"/>
                <w:szCs w:val="18"/>
              </w:rPr>
              <w:t>或者委托他人管理本人在本次公开发行前直接</w:t>
            </w:r>
            <w:r>
              <w:rPr>
                <w:rFonts w:ascii="宋体" w:hAnsi="宋体" w:cs="宋体" w:eastAsia="宋体" w:hint="default"/>
                <w:sz w:val="18"/>
                <w:szCs w:val="18"/>
              </w:rPr>
              <w:t> </w:t>
            </w:r>
            <w:r>
              <w:rPr>
                <w:rFonts w:ascii="宋体" w:hAnsi="宋体" w:cs="宋体" w:eastAsia="宋体" w:hint="default"/>
                <w:spacing w:val="-1"/>
                <w:sz w:val="18"/>
                <w:szCs w:val="18"/>
              </w:rPr>
              <w:t>或间接持有的科创信息的股份，也不由科创信息</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7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1"/>
              <w:ind w:left="293" w:right="22" w:hanging="270"/>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51"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C6ECCC"/>
          </w:tcPr>
          <w:p>
            <w:pPr/>
          </w:p>
        </w:tc>
        <w:tc>
          <w:tcPr>
            <w:tcW w:w="852" w:type="dxa"/>
            <w:tcBorders>
              <w:top w:val="nil" w:sz="6" w:space="0" w:color="auto"/>
              <w:left w:val="single" w:sz="4" w:space="0" w:color="000000"/>
              <w:bottom w:val="single" w:sz="4" w:space="0" w:color="000000"/>
              <w:right w:val="single" w:sz="4" w:space="0" w:color="000000"/>
            </w:tcBorders>
            <w:shd w:val="clear" w:color="auto" w:fill="C6ECCC"/>
          </w:tcPr>
          <w:p>
            <w:pPr/>
          </w:p>
        </w:tc>
        <w:tc>
          <w:tcPr>
            <w:tcW w:w="382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回购本人直接或间接持有的股份。</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shd w:val="clear" w:color="auto" w:fill="C6ECCC"/>
          </w:tcPr>
          <w:p>
            <w:pPr/>
          </w:p>
        </w:tc>
        <w:tc>
          <w:tcPr>
            <w:tcW w:w="778"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C6ECCC"/>
          </w:tcPr>
          <w:p>
            <w:pPr/>
          </w:p>
        </w:tc>
        <w:tc>
          <w:tcPr>
            <w:tcW w:w="852" w:type="dxa"/>
            <w:tcBorders>
              <w:top w:val="single" w:sz="4" w:space="0" w:color="000000"/>
              <w:left w:val="single" w:sz="4" w:space="0" w:color="000000"/>
              <w:bottom w:val="nil" w:sz="6" w:space="0" w:color="auto"/>
              <w:right w:val="single" w:sz="4" w:space="0" w:color="000000"/>
            </w:tcBorders>
            <w:shd w:val="clear" w:color="auto" w:fill="C6ECCC"/>
          </w:tcPr>
          <w:p>
            <w:pPr/>
          </w:p>
        </w:tc>
        <w:tc>
          <w:tcPr>
            <w:tcW w:w="3828"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若本人在锁定期满后两年内减持的，减持价格将</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shd w:val="clear" w:color="auto" w:fill="C6ECCC"/>
          </w:tcPr>
          <w:p>
            <w:pPr/>
          </w:p>
        </w:tc>
        <w:tc>
          <w:tcPr>
            <w:tcW w:w="778"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不低于公司股票首次公开发行价格（若发生除</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937"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戴志扬</w:t>
            </w:r>
          </w:p>
        </w:tc>
        <w:tc>
          <w:tcPr>
            <w:tcW w:w="85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3"/>
              <w:jc w:val="left"/>
              <w:rPr>
                <w:rFonts w:ascii="宋体" w:hAnsi="宋体" w:cs="宋体" w:eastAsia="宋体" w:hint="default"/>
                <w:sz w:val="18"/>
                <w:szCs w:val="18"/>
              </w:rPr>
            </w:pPr>
            <w:r>
              <w:rPr>
                <w:rFonts w:ascii="宋体" w:hAnsi="宋体" w:cs="宋体" w:eastAsia="宋体" w:hint="default"/>
                <w:spacing w:val="18"/>
                <w:sz w:val="18"/>
                <w:szCs w:val="18"/>
              </w:rPr>
              <w:t>股份锁定</w:t>
            </w:r>
            <w:r>
              <w:rPr>
                <w:rFonts w:ascii="宋体" w:hAnsi="宋体" w:cs="宋体" w:eastAsia="宋体" w:hint="default"/>
                <w:spacing w:val="-87"/>
                <w:sz w:val="18"/>
                <w:szCs w:val="18"/>
              </w:rPr>
              <w:t> </w:t>
            </w:r>
            <w:r>
              <w:rPr>
                <w:rFonts w:ascii="宋体" w:hAnsi="宋体" w:cs="宋体" w:eastAsia="宋体" w:hint="default"/>
                <w:sz w:val="18"/>
                <w:szCs w:val="18"/>
              </w:rPr>
              <w:t>承诺</w:t>
            </w: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pacing w:val="-1"/>
                <w:sz w:val="18"/>
                <w:szCs w:val="18"/>
              </w:rPr>
              <w:t>权、除息事项的，减持价格作相应调整）。本人</w:t>
            </w:r>
            <w:r>
              <w:rPr>
                <w:rFonts w:ascii="宋体" w:hAnsi="宋体" w:cs="宋体" w:eastAsia="宋体" w:hint="default"/>
                <w:sz w:val="18"/>
                <w:szCs w:val="18"/>
              </w:rPr>
              <w:t> </w:t>
            </w:r>
            <w:r>
              <w:rPr>
                <w:rFonts w:ascii="宋体" w:hAnsi="宋体" w:cs="宋体" w:eastAsia="宋体" w:hint="default"/>
                <w:spacing w:val="-1"/>
                <w:sz w:val="18"/>
                <w:szCs w:val="18"/>
              </w:rPr>
              <w:t>承诺除前述锁定期外，在科创信息任职期间每年</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转让的股份不得超过转让时所直接或间接持有</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1"/>
              <w:ind w:left="59" w:right="59"/>
              <w:jc w:val="center"/>
              <w:rPr>
                <w:rFonts w:ascii="宋体" w:hAnsi="宋体" w:cs="宋体" w:eastAsia="宋体" w:hint="default"/>
                <w:sz w:val="18"/>
                <w:szCs w:val="18"/>
              </w:rPr>
            </w:pPr>
            <w:r>
              <w:rPr>
                <w:rFonts w:ascii="宋体" w:hAnsi="宋体" w:cs="宋体" w:eastAsia="宋体" w:hint="default"/>
                <w:sz w:val="18"/>
                <w:szCs w:val="18"/>
              </w:rPr>
              <w:t>任职期间 及离职半 年内</w:t>
            </w:r>
          </w:p>
        </w:tc>
        <w:tc>
          <w:tcPr>
            <w:tcW w:w="77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93" w:right="22"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科创信息的股份总数的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；离职后半年内，不</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5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C6ECCC"/>
          </w:tcPr>
          <w:p>
            <w:pPr/>
          </w:p>
        </w:tc>
        <w:tc>
          <w:tcPr>
            <w:tcW w:w="852" w:type="dxa"/>
            <w:tcBorders>
              <w:top w:val="nil" w:sz="6" w:space="0" w:color="auto"/>
              <w:left w:val="single" w:sz="4" w:space="0" w:color="000000"/>
              <w:bottom w:val="single" w:sz="4" w:space="0" w:color="000000"/>
              <w:right w:val="single" w:sz="4" w:space="0" w:color="000000"/>
            </w:tcBorders>
            <w:shd w:val="clear" w:color="auto" w:fill="C6ECCC"/>
          </w:tcPr>
          <w:p>
            <w:pPr/>
          </w:p>
        </w:tc>
        <w:tc>
          <w:tcPr>
            <w:tcW w:w="382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转让本人所直接或间接持有的科创信息的股份。</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shd w:val="clear" w:color="auto" w:fill="C6ECCC"/>
          </w:tcPr>
          <w:p>
            <w:pPr/>
          </w:p>
        </w:tc>
        <w:tc>
          <w:tcPr>
            <w:tcW w:w="778"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0"/>
                <w:sz w:val="18"/>
                <w:szCs w:val="18"/>
              </w:rPr>
              <w:t>罗建国、魏伟、魏</w:t>
            </w:r>
          </w:p>
        </w:tc>
        <w:tc>
          <w:tcPr>
            <w:tcW w:w="852" w:type="dxa"/>
            <w:tcBorders>
              <w:top w:val="single" w:sz="4" w:space="0" w:color="000000"/>
              <w:left w:val="single" w:sz="4" w:space="0" w:color="000000"/>
              <w:bottom w:val="nil" w:sz="6" w:space="0" w:color="auto"/>
              <w:right w:val="single" w:sz="4" w:space="0" w:color="000000"/>
            </w:tcBorders>
            <w:shd w:val="clear" w:color="auto" w:fill="C6ECCC"/>
          </w:tcPr>
          <w:p>
            <w:pPr/>
          </w:p>
        </w:tc>
        <w:tc>
          <w:tcPr>
            <w:tcW w:w="3828" w:type="dxa"/>
            <w:tcBorders>
              <w:top w:val="single" w:sz="4" w:space="0" w:color="000000"/>
              <w:left w:val="single" w:sz="4" w:space="0" w:color="000000"/>
              <w:bottom w:val="nil" w:sz="6" w:space="0" w:color="auto"/>
              <w:right w:val="single" w:sz="4" w:space="0" w:color="000000"/>
            </w:tcBorders>
            <w:shd w:val="clear" w:color="auto" w:fill="C6ECCC"/>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shd w:val="clear" w:color="auto" w:fill="C6ECCC"/>
          </w:tcPr>
          <w:p>
            <w:pPr/>
          </w:p>
        </w:tc>
        <w:tc>
          <w:tcPr>
            <w:tcW w:w="778"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0"/>
                <w:sz w:val="18"/>
                <w:szCs w:val="18"/>
              </w:rPr>
              <w:t>永森、何超、陈安</w:t>
            </w: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1560"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25"/>
                <w:sz w:val="18"/>
                <w:szCs w:val="18"/>
              </w:rPr>
              <w:t>定、谭立球、蔡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龚春泉、禹勇平 </w:t>
            </w:r>
            <w:r>
              <w:rPr>
                <w:rFonts w:ascii="宋体" w:hAnsi="宋体" w:cs="宋体" w:eastAsia="宋体" w:hint="default"/>
                <w:spacing w:val="-10"/>
                <w:sz w:val="18"/>
                <w:szCs w:val="18"/>
              </w:rPr>
              <w:t>龙仲、祝明先、李</w:t>
            </w:r>
            <w:r>
              <w:rPr>
                <w:rFonts w:ascii="宋体" w:hAnsi="宋体" w:cs="宋体" w:eastAsia="宋体" w:hint="default"/>
                <w:sz w:val="18"/>
                <w:szCs w:val="18"/>
              </w:rPr>
              <w:t> </w:t>
            </w:r>
            <w:r>
              <w:rPr>
                <w:rFonts w:ascii="宋体" w:hAnsi="宋体" w:cs="宋体" w:eastAsia="宋体" w:hint="default"/>
                <w:spacing w:val="-10"/>
                <w:sz w:val="18"/>
                <w:szCs w:val="18"/>
              </w:rPr>
              <w:t>典斌、肖国荣、马</w:t>
            </w:r>
            <w:r>
              <w:rPr>
                <w:rFonts w:ascii="宋体" w:hAnsi="宋体" w:cs="宋体" w:eastAsia="宋体" w:hint="default"/>
                <w:sz w:val="18"/>
                <w:szCs w:val="18"/>
              </w:rPr>
              <w:t> </w:t>
            </w:r>
            <w:r>
              <w:rPr>
                <w:rFonts w:ascii="宋体" w:hAnsi="宋体" w:cs="宋体" w:eastAsia="宋体" w:hint="default"/>
                <w:spacing w:val="-10"/>
                <w:sz w:val="18"/>
                <w:szCs w:val="18"/>
              </w:rPr>
              <w:t>中峰、陈尚慧、唐</w:t>
            </w:r>
          </w:p>
        </w:tc>
        <w:tc>
          <w:tcPr>
            <w:tcW w:w="85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15"/>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3"/>
              <w:jc w:val="left"/>
              <w:rPr>
                <w:rFonts w:ascii="宋体" w:hAnsi="宋体" w:cs="宋体" w:eastAsia="宋体" w:hint="default"/>
                <w:sz w:val="18"/>
                <w:szCs w:val="18"/>
              </w:rPr>
            </w:pPr>
            <w:r>
              <w:rPr>
                <w:rFonts w:ascii="宋体" w:hAnsi="宋体" w:cs="宋体" w:eastAsia="宋体" w:hint="default"/>
                <w:spacing w:val="18"/>
                <w:sz w:val="18"/>
                <w:szCs w:val="18"/>
              </w:rPr>
              <w:t>股份锁定</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pacing w:val="8"/>
                <w:sz w:val="18"/>
                <w:szCs w:val="18"/>
              </w:rPr>
              <w:t>自科创信息股票上市之日起二十四个月内不转</w:t>
            </w:r>
            <w:r>
              <w:rPr>
                <w:rFonts w:ascii="宋体" w:hAnsi="宋体" w:cs="宋体" w:eastAsia="宋体" w:hint="default"/>
                <w:sz w:val="18"/>
                <w:szCs w:val="18"/>
              </w:rPr>
              <w:t> </w:t>
            </w:r>
            <w:r>
              <w:rPr>
                <w:rFonts w:ascii="宋体" w:hAnsi="宋体" w:cs="宋体" w:eastAsia="宋体" w:hint="default"/>
                <w:spacing w:val="8"/>
                <w:sz w:val="18"/>
                <w:szCs w:val="18"/>
              </w:rPr>
              <w:t>让或者委托他人管理本公司本次公开发行前持</w:t>
            </w:r>
            <w:r>
              <w:rPr>
                <w:rFonts w:ascii="宋体" w:hAnsi="宋体" w:cs="宋体" w:eastAsia="宋体" w:hint="default"/>
                <w:sz w:val="18"/>
                <w:szCs w:val="18"/>
              </w:rPr>
              <w:t> </w:t>
            </w:r>
            <w:r>
              <w:rPr>
                <w:rFonts w:ascii="宋体" w:hAnsi="宋体" w:cs="宋体" w:eastAsia="宋体" w:hint="default"/>
                <w:spacing w:val="-1"/>
                <w:sz w:val="18"/>
                <w:szCs w:val="18"/>
              </w:rPr>
              <w:t>有的科创信息的股份，也不由科创信息回购本公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司持有的股份。</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7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93" w:right="22"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0"/>
                <w:sz w:val="18"/>
                <w:szCs w:val="18"/>
              </w:rPr>
              <w:t>宇光、苏黎虹、李</w:t>
            </w: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10"/>
                <w:sz w:val="18"/>
                <w:szCs w:val="18"/>
              </w:rPr>
              <w:t>中立、刘顺、张鹏</w:t>
            </w:r>
          </w:p>
        </w:tc>
        <w:tc>
          <w:tcPr>
            <w:tcW w:w="852" w:type="dxa"/>
            <w:tcBorders>
              <w:top w:val="nil" w:sz="6" w:space="0" w:color="auto"/>
              <w:left w:val="single" w:sz="4" w:space="0" w:color="000000"/>
              <w:bottom w:val="single" w:sz="4" w:space="0" w:color="000000"/>
              <w:right w:val="single" w:sz="4" w:space="0" w:color="000000"/>
            </w:tcBorders>
            <w:shd w:val="clear" w:color="auto" w:fill="C6ECCC"/>
          </w:tcPr>
          <w:p>
            <w:pPr/>
          </w:p>
        </w:tc>
        <w:tc>
          <w:tcPr>
            <w:tcW w:w="3828" w:type="dxa"/>
            <w:tcBorders>
              <w:top w:val="nil" w:sz="6" w:space="0" w:color="auto"/>
              <w:left w:val="single" w:sz="4" w:space="0" w:color="000000"/>
              <w:bottom w:val="single" w:sz="4" w:space="0" w:color="000000"/>
              <w:right w:val="single" w:sz="4" w:space="0" w:color="000000"/>
            </w:tcBorders>
            <w:shd w:val="clear" w:color="auto" w:fill="C6ECCC"/>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shd w:val="clear" w:color="auto" w:fill="C6ECCC"/>
          </w:tcPr>
          <w:p>
            <w:pPr/>
          </w:p>
        </w:tc>
        <w:tc>
          <w:tcPr>
            <w:tcW w:w="778"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3"/>
                <w:sz w:val="18"/>
                <w:szCs w:val="18"/>
              </w:rPr>
              <w:t>湖南中科岳麓创</w:t>
            </w:r>
            <w:r>
              <w:rPr>
                <w:rFonts w:ascii="宋体" w:hAnsi="宋体" w:cs="宋体" w:eastAsia="宋体" w:hint="default"/>
                <w:spacing w:val="-74"/>
                <w:sz w:val="18"/>
                <w:szCs w:val="18"/>
              </w:rPr>
              <w:t> </w:t>
            </w:r>
            <w:r>
              <w:rPr>
                <w:rFonts w:ascii="宋体" w:hAnsi="宋体" w:cs="宋体" w:eastAsia="宋体" w:hint="default"/>
                <w:sz w:val="18"/>
                <w:szCs w:val="18"/>
              </w:rPr>
            </w:r>
          </w:p>
        </w:tc>
        <w:tc>
          <w:tcPr>
            <w:tcW w:w="852" w:type="dxa"/>
            <w:tcBorders>
              <w:top w:val="single" w:sz="4" w:space="0" w:color="000000"/>
              <w:left w:val="single" w:sz="4" w:space="0" w:color="000000"/>
              <w:bottom w:val="nil" w:sz="6" w:space="0" w:color="auto"/>
              <w:right w:val="single" w:sz="4" w:space="0" w:color="000000"/>
            </w:tcBorders>
            <w:shd w:val="clear" w:color="auto" w:fill="C6ECCC"/>
          </w:tcPr>
          <w:p>
            <w:pPr/>
          </w:p>
        </w:tc>
        <w:tc>
          <w:tcPr>
            <w:tcW w:w="3828" w:type="dxa"/>
            <w:tcBorders>
              <w:top w:val="single" w:sz="4" w:space="0" w:color="000000"/>
              <w:left w:val="single" w:sz="4" w:space="0" w:color="000000"/>
              <w:bottom w:val="nil" w:sz="6" w:space="0" w:color="auto"/>
              <w:right w:val="single" w:sz="4" w:space="0" w:color="000000"/>
            </w:tcBorders>
            <w:shd w:val="clear" w:color="auto" w:fill="C6ECCC"/>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shd w:val="clear" w:color="auto" w:fill="C6ECCC"/>
          </w:tcPr>
          <w:p>
            <w:pPr/>
          </w:p>
        </w:tc>
        <w:tc>
          <w:tcPr>
            <w:tcW w:w="778"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1560"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9" w:lineRule="auto" w:before="10"/>
              <w:ind w:left="23" w:right="5"/>
              <w:jc w:val="left"/>
              <w:rPr>
                <w:rFonts w:ascii="宋体" w:hAnsi="宋体" w:cs="宋体" w:eastAsia="宋体" w:hint="default"/>
                <w:sz w:val="18"/>
                <w:szCs w:val="18"/>
              </w:rPr>
            </w:pPr>
            <w:r>
              <w:rPr>
                <w:rFonts w:ascii="宋体" w:hAnsi="宋体" w:cs="宋体" w:eastAsia="宋体" w:hint="default"/>
                <w:sz w:val="18"/>
                <w:szCs w:val="18"/>
              </w:rPr>
              <w:t>业投资有限公司 </w:t>
            </w:r>
            <w:r>
              <w:rPr>
                <w:rFonts w:ascii="宋体" w:hAnsi="宋体" w:cs="宋体" w:eastAsia="宋体" w:hint="default"/>
                <w:spacing w:val="13"/>
                <w:sz w:val="18"/>
                <w:szCs w:val="18"/>
              </w:rPr>
              <w:t>长沙金信置业控</w:t>
            </w:r>
            <w:r>
              <w:rPr>
                <w:rFonts w:ascii="宋体" w:hAnsi="宋体" w:cs="宋体" w:eastAsia="宋体" w:hint="default"/>
                <w:spacing w:val="-86"/>
                <w:sz w:val="18"/>
                <w:szCs w:val="18"/>
              </w:rPr>
              <w:t> </w:t>
            </w:r>
            <w:r>
              <w:rPr>
                <w:rFonts w:ascii="宋体" w:hAnsi="宋体" w:cs="宋体" w:eastAsia="宋体" w:hint="default"/>
                <w:spacing w:val="-10"/>
                <w:sz w:val="18"/>
                <w:szCs w:val="18"/>
              </w:rPr>
              <w:t>股有限公司、吕雅</w:t>
            </w:r>
            <w:r>
              <w:rPr>
                <w:rFonts w:ascii="宋体" w:hAnsi="宋体" w:cs="宋体" w:eastAsia="宋体" w:hint="default"/>
                <w:sz w:val="18"/>
                <w:szCs w:val="18"/>
              </w:rPr>
              <w:t> </w:t>
            </w:r>
            <w:r>
              <w:rPr>
                <w:rFonts w:ascii="宋体" w:hAnsi="宋体" w:cs="宋体" w:eastAsia="宋体" w:hint="default"/>
                <w:spacing w:val="-10"/>
                <w:sz w:val="18"/>
                <w:szCs w:val="18"/>
              </w:rPr>
              <w:t>莉、谷士文、梁习</w:t>
            </w:r>
            <w:r>
              <w:rPr>
                <w:rFonts w:ascii="宋体" w:hAnsi="宋体" w:cs="宋体" w:eastAsia="宋体" w:hint="default"/>
                <w:sz w:val="18"/>
                <w:szCs w:val="18"/>
              </w:rPr>
              <w:t> </w:t>
            </w:r>
            <w:r>
              <w:rPr>
                <w:rFonts w:ascii="宋体" w:hAnsi="宋体" w:cs="宋体" w:eastAsia="宋体" w:hint="default"/>
                <w:spacing w:val="-10"/>
                <w:sz w:val="18"/>
                <w:szCs w:val="18"/>
              </w:rPr>
              <w:t>锋、姚振强、夏明</w:t>
            </w:r>
          </w:p>
        </w:tc>
        <w:tc>
          <w:tcPr>
            <w:tcW w:w="85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3" w:right="-3"/>
              <w:jc w:val="left"/>
              <w:rPr>
                <w:rFonts w:ascii="宋体" w:hAnsi="宋体" w:cs="宋体" w:eastAsia="宋体" w:hint="default"/>
                <w:sz w:val="18"/>
                <w:szCs w:val="18"/>
              </w:rPr>
            </w:pPr>
            <w:r>
              <w:rPr>
                <w:rFonts w:ascii="宋体" w:hAnsi="宋体" w:cs="宋体" w:eastAsia="宋体" w:hint="default"/>
                <w:spacing w:val="18"/>
                <w:sz w:val="18"/>
                <w:szCs w:val="18"/>
              </w:rPr>
              <w:t>股份锁定</w:t>
            </w:r>
            <w:r>
              <w:rPr>
                <w:rFonts w:ascii="宋体" w:hAnsi="宋体" w:cs="宋体" w:eastAsia="宋体" w:hint="default"/>
                <w:spacing w:val="-87"/>
                <w:sz w:val="18"/>
                <w:szCs w:val="18"/>
              </w:rPr>
              <w:t> </w:t>
            </w:r>
            <w:r>
              <w:rPr>
                <w:rFonts w:ascii="宋体" w:hAnsi="宋体" w:cs="宋体" w:eastAsia="宋体" w:hint="default"/>
                <w:sz w:val="18"/>
                <w:szCs w:val="18"/>
              </w:rPr>
              <w:t>承诺</w:t>
            </w: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9" w:lineRule="auto" w:before="146"/>
              <w:ind w:left="22" w:right="22"/>
              <w:jc w:val="both"/>
              <w:rPr>
                <w:rFonts w:ascii="宋体" w:hAnsi="宋体" w:cs="宋体" w:eastAsia="宋体" w:hint="default"/>
                <w:sz w:val="18"/>
                <w:szCs w:val="18"/>
              </w:rPr>
            </w:pPr>
            <w:r>
              <w:rPr>
                <w:rFonts w:ascii="宋体" w:hAnsi="宋体" w:cs="宋体" w:eastAsia="宋体" w:hint="default"/>
                <w:spacing w:val="8"/>
                <w:sz w:val="18"/>
                <w:szCs w:val="18"/>
              </w:rPr>
              <w:t>自科创信息股票上市之日起十二个月内不转让</w:t>
            </w:r>
            <w:r>
              <w:rPr>
                <w:rFonts w:ascii="宋体" w:hAnsi="宋体" w:cs="宋体" w:eastAsia="宋体" w:hint="default"/>
                <w:sz w:val="18"/>
                <w:szCs w:val="18"/>
              </w:rPr>
              <w:t> </w:t>
            </w:r>
            <w:r>
              <w:rPr>
                <w:rFonts w:ascii="宋体" w:hAnsi="宋体" w:cs="宋体" w:eastAsia="宋体" w:hint="default"/>
                <w:spacing w:val="8"/>
                <w:sz w:val="18"/>
                <w:szCs w:val="18"/>
              </w:rPr>
              <w:t>或者委托他人管理本人在本次公开发行前持有</w:t>
            </w:r>
            <w:r>
              <w:rPr>
                <w:rFonts w:ascii="宋体" w:hAnsi="宋体" w:cs="宋体" w:eastAsia="宋体" w:hint="default"/>
                <w:sz w:val="18"/>
                <w:szCs w:val="18"/>
              </w:rPr>
              <w:t> </w:t>
            </w:r>
            <w:r>
              <w:rPr>
                <w:rFonts w:ascii="宋体" w:hAnsi="宋体" w:cs="宋体" w:eastAsia="宋体" w:hint="default"/>
                <w:spacing w:val="-1"/>
                <w:sz w:val="18"/>
                <w:szCs w:val="18"/>
              </w:rPr>
              <w:t>的科创信息的股份，也不由科创信息回购本人持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有的股份。</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7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9" w:lineRule="auto"/>
              <w:ind w:left="293" w:right="22" w:hanging="270"/>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17"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0"/>
                <w:sz w:val="18"/>
                <w:szCs w:val="18"/>
              </w:rPr>
              <w:t>伟、陈松乔、杨建</w:t>
            </w:r>
          </w:p>
        </w:tc>
        <w:tc>
          <w:tcPr>
            <w:tcW w:w="852" w:type="dxa"/>
            <w:tcBorders>
              <w:top w:val="nil" w:sz="6" w:space="0" w:color="auto"/>
              <w:left w:val="single" w:sz="4" w:space="0" w:color="000000"/>
              <w:bottom w:val="single" w:sz="4" w:space="0" w:color="000000"/>
              <w:right w:val="single" w:sz="4" w:space="0" w:color="000000"/>
            </w:tcBorders>
            <w:shd w:val="clear" w:color="auto" w:fill="C6ECCC"/>
          </w:tcPr>
          <w:p>
            <w:pPr/>
          </w:p>
        </w:tc>
        <w:tc>
          <w:tcPr>
            <w:tcW w:w="3828" w:type="dxa"/>
            <w:tcBorders>
              <w:top w:val="nil" w:sz="6" w:space="0" w:color="auto"/>
              <w:left w:val="single" w:sz="4" w:space="0" w:color="000000"/>
              <w:bottom w:val="single" w:sz="4" w:space="0" w:color="000000"/>
              <w:right w:val="single" w:sz="4" w:space="0" w:color="000000"/>
            </w:tcBorders>
            <w:shd w:val="clear" w:color="auto" w:fill="C6ECCC"/>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shd w:val="clear" w:color="auto" w:fill="C6ECCC"/>
          </w:tcPr>
          <w:p>
            <w:pPr/>
          </w:p>
        </w:tc>
        <w:tc>
          <w:tcPr>
            <w:tcW w:w="778" w:type="dxa"/>
            <w:tcBorders>
              <w:top w:val="nil" w:sz="6" w:space="0" w:color="auto"/>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62.311005pt;margin-top:72.47998pt;width:57.2pt;height:204.9pt;mso-position-horizontal-relative:page;mso-position-vertical-relative:page;z-index:-796672" type="#_x0000_t202" filled="false" stroked="false">
            <v:textbox inset="0,0,0,0">
              <w:txbxContent>
                <w:p>
                  <w:pPr>
                    <w:pStyle w:val="BodyText"/>
                    <w:spacing w:line="240" w:lineRule="auto" w:before="10"/>
                    <w:ind w:left="0" w:right="0"/>
                    <w:jc w:val="left"/>
                  </w:pPr>
                  <w:r>
                    <w:rPr/>
                    <w:t>慧、</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0" w:right="0"/>
                    <w:jc w:val="left"/>
                  </w:pPr>
                  <w:r>
                    <w:rPr/>
                    <w:t>岚、</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0" w:right="0"/>
                    <w:jc w:val="left"/>
                  </w:pPr>
                  <w:r>
                    <w:rPr/>
                    <w:t>达、</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417"/>
        <w:gridCol w:w="852"/>
        <w:gridCol w:w="3828"/>
        <w:gridCol w:w="850"/>
        <w:gridCol w:w="851"/>
        <w:gridCol w:w="781"/>
      </w:tblGrid>
      <w:tr>
        <w:trPr>
          <w:trHeight w:val="410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23" w:right="20"/>
              <w:jc w:val="left"/>
              <w:rPr>
                <w:rFonts w:ascii="宋体" w:hAnsi="宋体" w:cs="宋体" w:eastAsia="宋体" w:hint="default"/>
                <w:sz w:val="18"/>
                <w:szCs w:val="18"/>
              </w:rPr>
            </w:pPr>
            <w:r>
              <w:rPr>
                <w:rFonts w:ascii="宋体" w:hAnsi="宋体" w:cs="宋体" w:eastAsia="宋体" w:hint="default"/>
                <w:spacing w:val="-25"/>
                <w:sz w:val="18"/>
                <w:szCs w:val="18"/>
              </w:rPr>
              <w:t>宇、柳子尤、刘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潘伟林、王美云 刘新整、黄家林 </w:t>
            </w:r>
            <w:r>
              <w:rPr>
                <w:rFonts w:ascii="宋体" w:hAnsi="宋体" w:cs="宋体" w:eastAsia="宋体" w:hint="default"/>
                <w:spacing w:val="-10"/>
                <w:sz w:val="18"/>
                <w:szCs w:val="18"/>
              </w:rPr>
              <w:t>王斌、宋文功、王</w:t>
            </w:r>
            <w:r>
              <w:rPr>
                <w:rFonts w:ascii="宋体" w:hAnsi="宋体" w:cs="宋体" w:eastAsia="宋体" w:hint="default"/>
                <w:sz w:val="18"/>
                <w:szCs w:val="18"/>
              </w:rPr>
              <w:t> </w:t>
            </w:r>
            <w:r>
              <w:rPr>
                <w:rFonts w:ascii="宋体" w:hAnsi="宋体" w:cs="宋体" w:eastAsia="宋体" w:hint="default"/>
                <w:spacing w:val="-10"/>
                <w:sz w:val="18"/>
                <w:szCs w:val="18"/>
              </w:rPr>
              <w:t>玺功、罗丽珺、肖</w:t>
            </w:r>
            <w:r>
              <w:rPr>
                <w:rFonts w:ascii="宋体" w:hAnsi="宋体" w:cs="宋体" w:eastAsia="宋体" w:hint="default"/>
                <w:sz w:val="18"/>
                <w:szCs w:val="18"/>
              </w:rPr>
              <w:t> </w:t>
            </w:r>
            <w:r>
              <w:rPr>
                <w:rFonts w:ascii="宋体" w:hAnsi="宋体" w:cs="宋体" w:eastAsia="宋体" w:hint="default"/>
                <w:spacing w:val="-10"/>
                <w:sz w:val="18"/>
                <w:szCs w:val="18"/>
              </w:rPr>
              <w:t>立英、林云、周永</w:t>
            </w:r>
            <w:r>
              <w:rPr>
                <w:rFonts w:ascii="宋体" w:hAnsi="宋体" w:cs="宋体" w:eastAsia="宋体" w:hint="default"/>
                <w:sz w:val="18"/>
                <w:szCs w:val="18"/>
              </w:rPr>
              <w:t> </w:t>
            </w:r>
            <w:r>
              <w:rPr>
                <w:rFonts w:ascii="宋体" w:hAnsi="宋体" w:cs="宋体" w:eastAsia="宋体" w:hint="default"/>
                <w:spacing w:val="-25"/>
                <w:sz w:val="18"/>
                <w:szCs w:val="18"/>
              </w:rPr>
              <w:t>强、杨尚真、罗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李红波、曾瑶、向</w:t>
            </w:r>
            <w:r>
              <w:rPr>
                <w:rFonts w:ascii="宋体" w:hAnsi="宋体" w:cs="宋体" w:eastAsia="宋体" w:hint="default"/>
                <w:sz w:val="18"/>
                <w:szCs w:val="18"/>
              </w:rPr>
              <w:t> </w:t>
            </w:r>
            <w:r>
              <w:rPr>
                <w:rFonts w:ascii="宋体" w:hAnsi="宋体" w:cs="宋体" w:eastAsia="宋体" w:hint="default"/>
                <w:spacing w:val="-10"/>
                <w:sz w:val="18"/>
                <w:szCs w:val="18"/>
              </w:rPr>
              <w:t>雁鸣、陈忠威、柳</w:t>
            </w:r>
            <w:r>
              <w:rPr>
                <w:rFonts w:ascii="宋体" w:hAnsi="宋体" w:cs="宋体" w:eastAsia="宋体" w:hint="default"/>
                <w:sz w:val="18"/>
                <w:szCs w:val="18"/>
              </w:rPr>
              <w:t> </w:t>
            </w:r>
            <w:r>
              <w:rPr>
                <w:rFonts w:ascii="宋体" w:hAnsi="宋体" w:cs="宋体" w:eastAsia="宋体" w:hint="default"/>
                <w:spacing w:val="-10"/>
                <w:sz w:val="18"/>
                <w:szCs w:val="18"/>
              </w:rPr>
              <w:t>璞虞、彭富民、伍</w:t>
            </w:r>
            <w:r>
              <w:rPr>
                <w:rFonts w:ascii="宋体" w:hAnsi="宋体" w:cs="宋体" w:eastAsia="宋体" w:hint="default"/>
                <w:sz w:val="18"/>
                <w:szCs w:val="18"/>
              </w:rPr>
              <w:t> </w:t>
            </w:r>
            <w:r>
              <w:rPr>
                <w:rFonts w:ascii="宋体" w:hAnsi="宋体" w:cs="宋体" w:eastAsia="宋体" w:hint="default"/>
                <w:spacing w:val="-10"/>
                <w:sz w:val="18"/>
                <w:szCs w:val="18"/>
              </w:rPr>
              <w:t>华力、聂智威、石</w:t>
            </w:r>
            <w:r>
              <w:rPr>
                <w:rFonts w:ascii="宋体" w:hAnsi="宋体" w:cs="宋体" w:eastAsia="宋体" w:hint="default"/>
                <w:sz w:val="18"/>
                <w:szCs w:val="18"/>
              </w:rPr>
              <w:t> </w:t>
            </w:r>
            <w:r>
              <w:rPr>
                <w:rFonts w:ascii="宋体" w:hAnsi="宋体" w:cs="宋体" w:eastAsia="宋体" w:hint="default"/>
                <w:spacing w:val="-25"/>
                <w:sz w:val="18"/>
                <w:szCs w:val="18"/>
              </w:rPr>
              <w:t>劲柏、刘昕、文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史毅、朱建平</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382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81"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338" w:hRule="exact"/>
        </w:trPr>
        <w:tc>
          <w:tcPr>
            <w:tcW w:w="993"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5"/>
              <w:jc w:val="left"/>
              <w:rPr>
                <w:rFonts w:ascii="宋体" w:hAnsi="宋体" w:cs="宋体" w:eastAsia="宋体" w:hint="default"/>
                <w:sz w:val="18"/>
                <w:szCs w:val="18"/>
              </w:rPr>
            </w:pPr>
            <w:r>
              <w:rPr>
                <w:rFonts w:ascii="宋体" w:hAnsi="宋体" w:cs="宋体" w:eastAsia="宋体" w:hint="default"/>
                <w:spacing w:val="13"/>
                <w:sz w:val="18"/>
                <w:szCs w:val="18"/>
              </w:rPr>
              <w:t>中南大学资产经</w:t>
            </w:r>
            <w:r>
              <w:rPr>
                <w:rFonts w:ascii="宋体" w:hAnsi="宋体" w:cs="宋体" w:eastAsia="宋体" w:hint="default"/>
                <w:spacing w:val="-86"/>
                <w:sz w:val="18"/>
                <w:szCs w:val="18"/>
              </w:rPr>
              <w:t> </w:t>
            </w:r>
            <w:r>
              <w:rPr>
                <w:rFonts w:ascii="宋体" w:hAnsi="宋体" w:cs="宋体" w:eastAsia="宋体" w:hint="default"/>
                <w:sz w:val="18"/>
                <w:szCs w:val="18"/>
              </w:rPr>
              <w:t>营有限公司</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3"/>
              <w:jc w:val="left"/>
              <w:rPr>
                <w:rFonts w:ascii="宋体" w:hAnsi="宋体" w:cs="宋体" w:eastAsia="宋体" w:hint="default"/>
                <w:sz w:val="18"/>
                <w:szCs w:val="18"/>
              </w:rPr>
            </w:pPr>
            <w:r>
              <w:rPr>
                <w:rFonts w:ascii="宋体" w:hAnsi="宋体" w:cs="宋体" w:eastAsia="宋体" w:hint="default"/>
                <w:spacing w:val="18"/>
                <w:sz w:val="18"/>
                <w:szCs w:val="18"/>
              </w:rPr>
              <w:t>股份锁定</w:t>
            </w:r>
            <w:r>
              <w:rPr>
                <w:rFonts w:ascii="宋体" w:hAnsi="宋体" w:cs="宋体" w:eastAsia="宋体" w:hint="default"/>
                <w:spacing w:val="-87"/>
                <w:sz w:val="18"/>
                <w:szCs w:val="18"/>
              </w:rPr>
              <w:t> </w:t>
            </w:r>
            <w:r>
              <w:rPr>
                <w:rFonts w:ascii="宋体" w:hAnsi="宋体" w:cs="宋体" w:eastAsia="宋体" w:hint="default"/>
                <w:sz w:val="18"/>
                <w:szCs w:val="18"/>
              </w:rPr>
              <w:t>承诺</w:t>
            </w:r>
          </w:p>
        </w:tc>
        <w:tc>
          <w:tcPr>
            <w:tcW w:w="38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8"/>
                <w:sz w:val="18"/>
                <w:szCs w:val="18"/>
              </w:rPr>
              <w:t>自科创信息股票上市之日起三十六个月内不转</w:t>
            </w:r>
            <w:r>
              <w:rPr>
                <w:rFonts w:ascii="宋体" w:hAnsi="宋体" w:cs="宋体" w:eastAsia="宋体" w:hint="default"/>
                <w:sz w:val="18"/>
                <w:szCs w:val="18"/>
              </w:rPr>
              <w:t> </w:t>
            </w:r>
            <w:r>
              <w:rPr>
                <w:rFonts w:ascii="宋体" w:hAnsi="宋体" w:cs="宋体" w:eastAsia="宋体" w:hint="default"/>
                <w:spacing w:val="8"/>
                <w:sz w:val="18"/>
                <w:szCs w:val="18"/>
              </w:rPr>
              <w:t>让或者委托他人管理本公司在本次公开发行前</w:t>
            </w:r>
            <w:r>
              <w:rPr>
                <w:rFonts w:ascii="宋体" w:hAnsi="宋体" w:cs="宋体" w:eastAsia="宋体" w:hint="default"/>
                <w:sz w:val="18"/>
                <w:szCs w:val="18"/>
              </w:rPr>
              <w:t> </w:t>
            </w:r>
            <w:r>
              <w:rPr>
                <w:rFonts w:ascii="宋体" w:hAnsi="宋体" w:cs="宋体" w:eastAsia="宋体" w:hint="default"/>
                <w:spacing w:val="-1"/>
                <w:sz w:val="18"/>
                <w:szCs w:val="18"/>
              </w:rPr>
              <w:t>持有的科创信息的股份，也不由科创信息回购本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公司持有的股份。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8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93" w:right="25"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5394" w:hRule="exact"/>
        </w:trPr>
        <w:tc>
          <w:tcPr>
            <w:tcW w:w="993"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0"/>
              <w:jc w:val="both"/>
              <w:rPr>
                <w:rFonts w:ascii="宋体" w:hAnsi="宋体" w:cs="宋体" w:eastAsia="宋体" w:hint="default"/>
                <w:sz w:val="18"/>
                <w:szCs w:val="18"/>
              </w:rPr>
            </w:pPr>
            <w:r>
              <w:rPr>
                <w:rFonts w:ascii="宋体" w:hAnsi="宋体" w:cs="宋体" w:eastAsia="宋体" w:hint="default"/>
                <w:spacing w:val="-10"/>
                <w:sz w:val="18"/>
                <w:szCs w:val="18"/>
              </w:rPr>
              <w:t>费耀平、李杰、李</w:t>
            </w:r>
            <w:r>
              <w:rPr>
                <w:rFonts w:ascii="宋体" w:hAnsi="宋体" w:cs="宋体" w:eastAsia="宋体" w:hint="default"/>
                <w:sz w:val="18"/>
                <w:szCs w:val="18"/>
              </w:rPr>
              <w:t> </w:t>
            </w:r>
            <w:r>
              <w:rPr>
                <w:rFonts w:ascii="宋体" w:hAnsi="宋体" w:cs="宋体" w:eastAsia="宋体" w:hint="default"/>
                <w:spacing w:val="-10"/>
                <w:sz w:val="18"/>
                <w:szCs w:val="18"/>
              </w:rPr>
              <w:t>建华、刘星沙、刘</w:t>
            </w:r>
            <w:r>
              <w:rPr>
                <w:rFonts w:ascii="宋体" w:hAnsi="宋体" w:cs="宋体" w:eastAsia="宋体" w:hint="default"/>
                <w:sz w:val="18"/>
                <w:szCs w:val="18"/>
              </w:rPr>
              <w:t> 应龙</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3"/>
              <w:jc w:val="left"/>
              <w:rPr>
                <w:rFonts w:ascii="宋体" w:hAnsi="宋体" w:cs="宋体" w:eastAsia="宋体" w:hint="default"/>
                <w:sz w:val="18"/>
                <w:szCs w:val="18"/>
              </w:rPr>
            </w:pPr>
            <w:r>
              <w:rPr>
                <w:rFonts w:ascii="宋体" w:hAnsi="宋体" w:cs="宋体" w:eastAsia="宋体" w:hint="default"/>
                <w:spacing w:val="18"/>
                <w:sz w:val="18"/>
                <w:szCs w:val="18"/>
              </w:rPr>
              <w:t>股份减持</w:t>
            </w:r>
            <w:r>
              <w:rPr>
                <w:rFonts w:ascii="宋体" w:hAnsi="宋体" w:cs="宋体" w:eastAsia="宋体" w:hint="default"/>
                <w:spacing w:val="-87"/>
                <w:sz w:val="18"/>
                <w:szCs w:val="18"/>
              </w:rPr>
              <w:t> </w:t>
            </w:r>
            <w:r>
              <w:rPr>
                <w:rFonts w:ascii="宋体" w:hAnsi="宋体" w:cs="宋体" w:eastAsia="宋体" w:hint="default"/>
                <w:sz w:val="18"/>
                <w:szCs w:val="18"/>
              </w:rPr>
              <w:t>意向</w:t>
            </w:r>
          </w:p>
        </w:tc>
        <w:tc>
          <w:tcPr>
            <w:tcW w:w="38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13"/>
              <w:jc w:val="both"/>
              <w:rPr>
                <w:rFonts w:ascii="宋体" w:hAnsi="宋体" w:cs="宋体" w:eastAsia="宋体" w:hint="default"/>
                <w:sz w:val="18"/>
                <w:szCs w:val="18"/>
              </w:rPr>
            </w:pPr>
            <w:r>
              <w:rPr>
                <w:rFonts w:ascii="宋体" w:hAnsi="宋体" w:cs="宋体" w:eastAsia="宋体" w:hint="default"/>
                <w:sz w:val="18"/>
                <w:szCs w:val="18"/>
              </w:rPr>
              <w:t>本人拟长期持有公司股票。如果在锁定期满后， 本人拟减持股票的，将认真遵守中国证监会、证 券交易所关于股东减持的相关规定，结合公司稳 定股价、开展经营、资本运作的需要，审慎制定 股票减持计划，在股票锁定期满后逐步减持。本 人减持公司股份应符合相关法律、法规、规章的 规定，具体方式包括但不限于交易所集中竞价交 易方式、大宗交易方式、协议转让方式等。本人 减持公司股份前，应提前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个交易日向公司提交 减持原因、减持数量、未来减持计划、减持对公 司治理结构及持续经营影响的说明，并提前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w:t>
            </w:r>
            <w:r>
              <w:rPr>
                <w:rFonts w:ascii="宋体" w:hAnsi="宋体" w:cs="宋体" w:eastAsia="宋体" w:hint="default"/>
                <w:spacing w:val="8"/>
                <w:sz w:val="18"/>
                <w:szCs w:val="18"/>
              </w:rPr>
              <w:t>交易日予以公告，并按照证券交易所的规则及</w:t>
            </w:r>
            <w:r>
              <w:rPr>
                <w:rFonts w:ascii="宋体" w:hAnsi="宋体" w:cs="宋体" w:eastAsia="宋体" w:hint="default"/>
                <w:sz w:val="18"/>
                <w:szCs w:val="18"/>
              </w:rPr>
              <w:t> 时、准确地履行信息披露义务（本人持有公司股 份低于</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以下时除外）。如果本人所持科创信息</w:t>
            </w:r>
            <w:r>
              <w:rPr>
                <w:rFonts w:ascii="宋体" w:hAnsi="宋体" w:cs="宋体" w:eastAsia="宋体" w:hint="default"/>
                <w:sz w:val="18"/>
                <w:szCs w:val="18"/>
              </w:rPr>
              <w:t> </w:t>
            </w:r>
            <w:r>
              <w:rPr>
                <w:rFonts w:ascii="宋体" w:hAnsi="宋体" w:cs="宋体" w:eastAsia="宋体" w:hint="default"/>
                <w:spacing w:val="8"/>
                <w:sz w:val="18"/>
                <w:szCs w:val="18"/>
              </w:rPr>
              <w:t>首次公开发行股票之前已发行的股份在锁定期</w:t>
            </w:r>
            <w:r>
              <w:rPr>
                <w:rFonts w:ascii="宋体" w:hAnsi="宋体" w:cs="宋体" w:eastAsia="宋体" w:hint="default"/>
                <w:sz w:val="18"/>
                <w:szCs w:val="18"/>
              </w:rPr>
              <w:t> 满后两年内减持的，本人减持价格将不低于科创 信息首次公开发行股票的发行价。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78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93" w:right="25"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85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3" w:right="5"/>
              <w:jc w:val="left"/>
              <w:rPr>
                <w:rFonts w:ascii="宋体" w:hAnsi="宋体" w:cs="宋体" w:eastAsia="宋体" w:hint="default"/>
                <w:sz w:val="18"/>
                <w:szCs w:val="18"/>
              </w:rPr>
            </w:pPr>
            <w:r>
              <w:rPr>
                <w:rFonts w:ascii="宋体" w:hAnsi="宋体" w:cs="宋体" w:eastAsia="宋体" w:hint="default"/>
                <w:spacing w:val="13"/>
                <w:sz w:val="18"/>
                <w:szCs w:val="18"/>
              </w:rPr>
              <w:t>中南大学资产经</w:t>
            </w:r>
            <w:r>
              <w:rPr>
                <w:rFonts w:ascii="宋体" w:hAnsi="宋体" w:cs="宋体" w:eastAsia="宋体" w:hint="default"/>
                <w:spacing w:val="-86"/>
                <w:sz w:val="18"/>
                <w:szCs w:val="18"/>
              </w:rPr>
              <w:t> </w:t>
            </w:r>
            <w:r>
              <w:rPr>
                <w:rFonts w:ascii="宋体" w:hAnsi="宋体" w:cs="宋体" w:eastAsia="宋体" w:hint="default"/>
                <w:sz w:val="18"/>
                <w:szCs w:val="18"/>
              </w:rPr>
              <w:t>营有限公司</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3" w:right="-3"/>
              <w:jc w:val="left"/>
              <w:rPr>
                <w:rFonts w:ascii="宋体" w:hAnsi="宋体" w:cs="宋体" w:eastAsia="宋体" w:hint="default"/>
                <w:sz w:val="18"/>
                <w:szCs w:val="18"/>
              </w:rPr>
            </w:pPr>
            <w:r>
              <w:rPr>
                <w:rFonts w:ascii="宋体" w:hAnsi="宋体" w:cs="宋体" w:eastAsia="宋体" w:hint="default"/>
                <w:spacing w:val="18"/>
                <w:sz w:val="18"/>
                <w:szCs w:val="18"/>
              </w:rPr>
              <w:t>股份减持</w:t>
            </w:r>
            <w:r>
              <w:rPr>
                <w:rFonts w:ascii="宋体" w:hAnsi="宋体" w:cs="宋体" w:eastAsia="宋体" w:hint="default"/>
                <w:spacing w:val="-87"/>
                <w:sz w:val="18"/>
                <w:szCs w:val="18"/>
              </w:rPr>
              <w:t> </w:t>
            </w:r>
            <w:r>
              <w:rPr>
                <w:rFonts w:ascii="宋体" w:hAnsi="宋体" w:cs="宋体" w:eastAsia="宋体" w:hint="default"/>
                <w:sz w:val="18"/>
                <w:szCs w:val="18"/>
              </w:rPr>
              <w:t>意向</w:t>
            </w:r>
          </w:p>
        </w:tc>
        <w:tc>
          <w:tcPr>
            <w:tcW w:w="38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本公司减持科创信息股份前，应提前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个交易 </w:t>
            </w:r>
            <w:r>
              <w:rPr>
                <w:rFonts w:ascii="宋体" w:hAnsi="宋体" w:cs="宋体" w:eastAsia="宋体" w:hint="default"/>
                <w:spacing w:val="-1"/>
                <w:sz w:val="18"/>
                <w:szCs w:val="18"/>
              </w:rPr>
              <w:t>日向科创信息提交减持原因、减持数量、未来减</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持计划、减持对公司治理结构及持续经营影响的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说明，并提前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个交易日予以公告，并按照证 </w:t>
            </w:r>
            <w:r>
              <w:rPr>
                <w:rFonts w:ascii="宋体" w:hAnsi="宋体" w:cs="宋体" w:eastAsia="宋体" w:hint="default"/>
                <w:spacing w:val="-1"/>
                <w:sz w:val="18"/>
                <w:szCs w:val="18"/>
              </w:rPr>
              <w:t>券交易所的规则及时、准确地履行信息披露义务</w:t>
            </w:r>
          </w:p>
          <w:p>
            <w:pPr>
              <w:pStyle w:val="TableParagraph"/>
              <w:spacing w:line="312" w:lineRule="auto" w:before="24"/>
              <w:ind w:left="22" w:right="22"/>
              <w:jc w:val="both"/>
              <w:rPr>
                <w:rFonts w:ascii="宋体" w:hAnsi="宋体" w:cs="宋体" w:eastAsia="宋体" w:hint="default"/>
                <w:sz w:val="18"/>
                <w:szCs w:val="18"/>
              </w:rPr>
            </w:pPr>
            <w:r>
              <w:rPr>
                <w:rFonts w:ascii="宋体" w:hAnsi="宋体" w:cs="宋体" w:eastAsia="宋体" w:hint="default"/>
                <w:spacing w:val="9"/>
                <w:sz w:val="18"/>
                <w:szCs w:val="18"/>
              </w:rPr>
              <w:t>（本公司持有科创信息股份低于</w:t>
            </w:r>
            <w:r>
              <w:rPr>
                <w:rFonts w:ascii="宋体" w:hAnsi="宋体" w:cs="宋体" w:eastAsia="宋体" w:hint="default"/>
                <w:spacing w:val="23"/>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以下时除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外）。锁定期满后，本公司减持股份应符合相关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法律、法规、规章的规定，具体方式包括但不限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于交易所集中竞价交易方式、大宗交易方式、协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78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93" w:right="25"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3.220001pt;margin-top:121.79998pt;width:120.2pt;height:163.85pt;mso-position-horizontal-relative:page;mso-position-vertical-relative:page;z-index:-7966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pStyle w:val="BodyText"/>
                    <w:spacing w:line="240" w:lineRule="auto"/>
                    <w:ind w:left="0" w:right="0"/>
                    <w:jc w:val="left"/>
                  </w:pPr>
                  <w:r>
                    <w:rPr/>
                    <w:t>承诺函签署之日起，</w:t>
                  </w:r>
                </w:p>
              </w:txbxContent>
            </v:textbox>
            <w10:wrap type="none"/>
          </v:shape>
        </w:pict>
      </w:r>
      <w:r>
        <w:rPr/>
        <w:pict>
          <v:shape style="position:absolute;margin-left:405.220001pt;margin-top:583.23999pt;width:48.2pt;height:54.6pt;mso-position-horizontal-relative:page;mso-position-vertical-relative:page;z-index:-796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w:t>
                  </w:r>
                </w:p>
              </w:txbxContent>
            </v:textbox>
            <w10:wrap type="none"/>
          </v:shape>
        </w:pict>
      </w:r>
      <w:r>
        <w:rPr/>
        <w:pict>
          <v:group style="position:absolute;margin-left:411.420013pt;margin-top:121.79998pt;width:42pt;height:163.85pt;mso-position-horizontal-relative:page;mso-position-vertical-relative:page;z-index:-796600" coordorigin="8228,2436" coordsize="840,3277">
            <v:shape style="position:absolute;left:8228;top:2436;width:840;height:3277" coordorigin="8228,2436" coordsize="840,3277" path="m8228,5712l9068,5712,9068,2436,8228,2436,8228,5712xe" filled="true" fillcolor="#ffffff" stroked="false">
              <v:path arrowok="t"/>
              <v:fill type="solid"/>
            </v:shape>
            <w10:wrap type="none"/>
          </v:group>
        </w:pict>
      </w:r>
      <w:r>
        <w:rPr/>
        <w:pict>
          <v:group style="position:absolute;margin-left:411.420013pt;margin-top:583.23999pt;width:42pt;height:54.6pt;mso-position-horizontal-relative:page;mso-position-vertical-relative:page;z-index:-796576" coordorigin="8228,11665" coordsize="840,1092">
            <v:shape style="position:absolute;left:8228;top:11665;width:840;height:1092" coordorigin="8228,11665" coordsize="840,1092" path="m8228,12757l9068,12757,9068,11665,8228,11665,8228,12757xe" filled="true" fillcolor="#ffffff" stroked="false">
              <v:path arrowok="t"/>
              <v:fill type="solid"/>
            </v:shape>
            <w10:wrap type="none"/>
          </v:group>
        </w:pict>
      </w:r>
      <w:r>
        <w:rPr/>
        <w:pict>
          <v:group style="position:absolute;margin-left:412.559998pt;margin-top:728.159973pt;width:39.75pt;height:17.6pt;mso-position-horizontal-relative:page;mso-position-vertical-relative:page;z-index:-796552" coordorigin="8251,14563" coordsize="795,352">
            <v:shape style="position:absolute;left:8251;top:14563;width:795;height:352" coordorigin="8251,14563" coordsize="795,352" path="m8251,14915l9046,14915,9046,14563,8251,14563,8251,1491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417"/>
        <w:gridCol w:w="852"/>
        <w:gridCol w:w="3828"/>
        <w:gridCol w:w="850"/>
        <w:gridCol w:w="851"/>
        <w:gridCol w:w="778"/>
      </w:tblGrid>
      <w:tr>
        <w:trPr>
          <w:trHeight w:val="31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C6ECCC"/>
          </w:tcPr>
          <w:p>
            <w:pPr/>
          </w:p>
        </w:tc>
        <w:tc>
          <w:tcPr>
            <w:tcW w:w="852" w:type="dxa"/>
            <w:vMerge w:val="restart"/>
            <w:tcBorders>
              <w:top w:val="single" w:sz="4" w:space="0" w:color="000000"/>
              <w:left w:val="single" w:sz="4" w:space="0" w:color="000000"/>
              <w:right w:val="single" w:sz="4" w:space="0" w:color="000000"/>
            </w:tcBorders>
            <w:shd w:val="clear" w:color="auto" w:fill="C6ECCC"/>
          </w:tcPr>
          <w:p>
            <w:pPr/>
          </w:p>
        </w:tc>
        <w:tc>
          <w:tcPr>
            <w:tcW w:w="3828"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议转让方式等；减持股份的价格根据当时的二级</w:t>
            </w: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shd w:val="clear" w:color="auto" w:fill="C6ECCC"/>
          </w:tcPr>
          <w:p>
            <w:pPr/>
          </w:p>
        </w:tc>
        <w:tc>
          <w:tcPr>
            <w:tcW w:w="778" w:type="dxa"/>
            <w:vMerge w:val="restart"/>
            <w:tcBorders>
              <w:top w:val="single" w:sz="4" w:space="0" w:color="000000"/>
              <w:left w:val="single" w:sz="4" w:space="0" w:color="000000"/>
              <w:right w:val="single" w:sz="4" w:space="0" w:color="000000"/>
            </w:tcBorders>
            <w:shd w:val="clear" w:color="auto" w:fill="C6ECCC"/>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C6ECCC"/>
          </w:tcPr>
          <w:p>
            <w:pPr/>
          </w:p>
        </w:tc>
        <w:tc>
          <w:tcPr>
            <w:tcW w:w="852" w:type="dxa"/>
            <w:vMerge/>
            <w:tcBorders>
              <w:left w:val="single" w:sz="4" w:space="0" w:color="000000"/>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市场价格确定，并应符合相关法律、法规及证券</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shd w:val="clear" w:color="auto" w:fill="C6ECCC"/>
          </w:tcPr>
          <w:p>
            <w:pPr/>
          </w:p>
        </w:tc>
        <w:tc>
          <w:tcPr>
            <w:tcW w:w="778" w:type="dxa"/>
            <w:vMerge/>
            <w:tcBorders>
              <w:left w:val="single" w:sz="4" w:space="0" w:color="000000"/>
              <w:right w:val="single" w:sz="4" w:space="0" w:color="000000"/>
            </w:tcBorders>
            <w:shd w:val="clear" w:color="auto" w:fill="C6ECCC"/>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C6ECCC"/>
          </w:tcPr>
          <w:p>
            <w:pPr/>
          </w:p>
        </w:tc>
        <w:tc>
          <w:tcPr>
            <w:tcW w:w="852" w:type="dxa"/>
            <w:vMerge/>
            <w:tcBorders>
              <w:left w:val="single" w:sz="4" w:space="0" w:color="000000"/>
              <w:bottom w:val="single" w:sz="4" w:space="0" w:color="000000"/>
              <w:right w:val="single" w:sz="4" w:space="0" w:color="000000"/>
            </w:tcBorders>
            <w:shd w:val="clear" w:color="auto" w:fill="C6ECCC"/>
          </w:tcPr>
          <w:p>
            <w:pPr/>
          </w:p>
        </w:tc>
        <w:tc>
          <w:tcPr>
            <w:tcW w:w="382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交易所规则的要求。</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shd w:val="clear" w:color="auto" w:fill="C6ECCC"/>
          </w:tcPr>
          <w:p>
            <w:pPr/>
          </w:p>
        </w:tc>
        <w:tc>
          <w:tcPr>
            <w:tcW w:w="778" w:type="dxa"/>
            <w:vMerge/>
            <w:tcBorders>
              <w:left w:val="single" w:sz="4" w:space="0" w:color="000000"/>
              <w:bottom w:val="single" w:sz="4" w:space="0" w:color="000000"/>
              <w:right w:val="single" w:sz="4" w:space="0" w:color="000000"/>
            </w:tcBorders>
            <w:shd w:val="clear" w:color="auto" w:fill="C6ECCC"/>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C6ECCC"/>
          </w:tcPr>
          <w:p>
            <w:pPr/>
          </w:p>
        </w:tc>
        <w:tc>
          <w:tcPr>
            <w:tcW w:w="852" w:type="dxa"/>
            <w:tcBorders>
              <w:top w:val="single" w:sz="4" w:space="0" w:color="000000"/>
              <w:left w:val="single" w:sz="4" w:space="0" w:color="000000"/>
              <w:bottom w:val="nil" w:sz="6" w:space="0" w:color="auto"/>
              <w:right w:val="single" w:sz="4" w:space="0" w:color="000000"/>
            </w:tcBorders>
            <w:shd w:val="clear" w:color="auto" w:fill="C6ECCC"/>
          </w:tcPr>
          <w:p>
            <w:pPr/>
          </w:p>
        </w:tc>
        <w:tc>
          <w:tcPr>
            <w:tcW w:w="3828"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、在本承诺函签署之日，本公司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本人及所控制</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shd w:val="clear" w:color="auto" w:fill="C6ECCC"/>
          </w:tcPr>
          <w:p>
            <w:pPr/>
          </w:p>
        </w:tc>
        <w:tc>
          <w:tcPr>
            <w:tcW w:w="778"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的公司和拥有权益的公司均未生产、开发任何与</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科创信息产品构成竞争或可能竞争的产品，未直</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接或间接经营任何与科创信息经营的业务构成</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竞争或可能竞争的业务，也未参与投资任何与科</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创信息生产的产品或经营的业务构成竞争或可</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能竞争的其他企业。</w:t>
            </w:r>
            <w:r>
              <w:rPr>
                <w:rFonts w:ascii="宋体" w:hAnsi="宋体" w:cs="宋体" w:eastAsia="宋体" w:hint="default"/>
                <w:spacing w:val="-48"/>
                <w:sz w:val="18"/>
                <w:szCs w:val="18"/>
              </w:rPr>
              <w:t> </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、自本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6"/>
                <w:sz w:val="18"/>
                <w:szCs w:val="18"/>
              </w:rPr>
              <w:t>本公司</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本人及所控制的公司和拥有权益的公司</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将不生产、开发任何与科创信息产品构成竞争或</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10"/>
                <w:sz w:val="18"/>
                <w:szCs w:val="18"/>
              </w:rPr>
              <w:t>费耀平、李杰、李</w:t>
            </w: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可能竞争的产品，不直接或间接经营任何与科创</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940"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3" w:right="-34"/>
              <w:jc w:val="both"/>
              <w:rPr>
                <w:rFonts w:ascii="宋体" w:hAnsi="宋体" w:cs="宋体" w:eastAsia="宋体" w:hint="default"/>
                <w:sz w:val="18"/>
                <w:szCs w:val="18"/>
              </w:rPr>
            </w:pPr>
            <w:r>
              <w:rPr>
                <w:rFonts w:ascii="宋体" w:hAnsi="宋体" w:cs="宋体" w:eastAsia="宋体" w:hint="default"/>
                <w:spacing w:val="-10"/>
                <w:sz w:val="18"/>
                <w:szCs w:val="18"/>
              </w:rPr>
              <w:t>建华、刘星沙、刘</w:t>
            </w:r>
            <w:r>
              <w:rPr>
                <w:rFonts w:ascii="宋体" w:hAnsi="宋体" w:cs="宋体" w:eastAsia="宋体" w:hint="default"/>
                <w:sz w:val="18"/>
                <w:szCs w:val="18"/>
              </w:rPr>
              <w:t> </w:t>
            </w:r>
            <w:r>
              <w:rPr>
                <w:rFonts w:ascii="宋体" w:hAnsi="宋体" w:cs="宋体" w:eastAsia="宋体" w:hint="default"/>
                <w:spacing w:val="-3"/>
                <w:sz w:val="18"/>
                <w:szCs w:val="18"/>
              </w:rPr>
              <w:t>应龙、中南资产、</w:t>
            </w:r>
            <w:r>
              <w:rPr>
                <w:rFonts w:ascii="宋体" w:hAnsi="宋体" w:cs="宋体" w:eastAsia="宋体" w:hint="default"/>
                <w:spacing w:val="-23"/>
                <w:sz w:val="18"/>
                <w:szCs w:val="18"/>
              </w:rPr>
              <w:t> </w:t>
            </w:r>
            <w:r>
              <w:rPr>
                <w:rFonts w:ascii="宋体" w:hAnsi="宋体" w:cs="宋体" w:eastAsia="宋体" w:hint="default"/>
                <w:spacing w:val="-10"/>
                <w:sz w:val="18"/>
                <w:szCs w:val="18"/>
              </w:rPr>
              <w:t>中科岳麓、金信置</w:t>
            </w:r>
          </w:p>
        </w:tc>
        <w:tc>
          <w:tcPr>
            <w:tcW w:w="85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1"/>
              <w:ind w:left="23" w:right="-3"/>
              <w:jc w:val="both"/>
              <w:rPr>
                <w:rFonts w:ascii="宋体" w:hAnsi="宋体" w:cs="宋体" w:eastAsia="宋体" w:hint="default"/>
                <w:sz w:val="18"/>
                <w:szCs w:val="18"/>
              </w:rPr>
            </w:pPr>
            <w:r>
              <w:rPr>
                <w:rFonts w:ascii="宋体" w:hAnsi="宋体" w:cs="宋体" w:eastAsia="宋体" w:hint="default"/>
                <w:spacing w:val="18"/>
                <w:sz w:val="18"/>
                <w:szCs w:val="18"/>
              </w:rPr>
              <w:t>避免同业</w:t>
            </w:r>
            <w:r>
              <w:rPr>
                <w:rFonts w:ascii="宋体" w:hAnsi="宋体" w:cs="宋体" w:eastAsia="宋体" w:hint="default"/>
                <w:spacing w:val="-87"/>
                <w:sz w:val="18"/>
                <w:szCs w:val="18"/>
              </w:rPr>
              <w:t> </w:t>
            </w:r>
            <w:r>
              <w:rPr>
                <w:rFonts w:ascii="宋体" w:hAnsi="宋体" w:cs="宋体" w:eastAsia="宋体" w:hint="default"/>
                <w:spacing w:val="18"/>
                <w:sz w:val="18"/>
                <w:szCs w:val="18"/>
              </w:rPr>
              <w:t>竞争的承</w:t>
            </w:r>
            <w:r>
              <w:rPr>
                <w:rFonts w:ascii="宋体" w:hAnsi="宋体" w:cs="宋体" w:eastAsia="宋体" w:hint="default"/>
                <w:spacing w:val="-87"/>
                <w:sz w:val="18"/>
                <w:szCs w:val="18"/>
              </w:rPr>
              <w:t> </w:t>
            </w:r>
            <w:r>
              <w:rPr>
                <w:rFonts w:ascii="宋体" w:hAnsi="宋体" w:cs="宋体" w:eastAsia="宋体" w:hint="default"/>
                <w:sz w:val="18"/>
                <w:szCs w:val="18"/>
              </w:rPr>
              <w:t>诺</w:t>
            </w: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信息经营的业务构成竞争或可能竞争的业务，不 </w:t>
            </w:r>
            <w:r>
              <w:rPr>
                <w:rFonts w:ascii="宋体" w:hAnsi="宋体" w:cs="宋体" w:eastAsia="宋体" w:hint="default"/>
                <w:spacing w:val="8"/>
                <w:sz w:val="18"/>
                <w:szCs w:val="18"/>
              </w:rPr>
              <w:t>参与投资任何与科创信息生产的产品或经营的</w:t>
            </w:r>
            <w:r>
              <w:rPr>
                <w:rFonts w:ascii="宋体" w:hAnsi="宋体" w:cs="宋体" w:eastAsia="宋体" w:hint="default"/>
                <w:sz w:val="18"/>
                <w:szCs w:val="18"/>
              </w:rPr>
              <w:t> 业务构成竞争或可能竞争的其他企业。</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、自本</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93" w:right="22"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业、吕雅莉</w:t>
            </w: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承诺函签署之日起，如科创信息进一步拓展其产</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6"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品和业务范围，本公司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本人及所控制的公司和拥</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8"/>
                <w:sz w:val="18"/>
                <w:szCs w:val="18"/>
              </w:rPr>
              <w:t>有权益的公司将不与科创信息拓展后的产品和</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业务相竞争；若与科创信息拓展后的产品和业务</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相竞争，本公司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本人及所控制的公司和拥有权益</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的公司将采取以下方式避免同业竞争</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停止</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生产或经营相竞争的产品和业务</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将相竞争</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的业务纳入科创信息经营</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向无关联关系的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第三方转让该业务。 </w:t>
            </w:r>
            <w:r>
              <w:rPr>
                <w:rFonts w:ascii="Times New Roman" w:hAnsi="Times New Roman" w:cs="Times New Roman" w:eastAsia="Times New Roman" w:hint="default"/>
                <w:sz w:val="18"/>
                <w:szCs w:val="18"/>
              </w:rPr>
              <w:t>4</w:t>
            </w:r>
            <w:r>
              <w:rPr>
                <w:rFonts w:ascii="宋体" w:hAnsi="宋体" w:cs="宋体" w:eastAsia="宋体" w:hint="default"/>
                <w:sz w:val="18"/>
                <w:szCs w:val="18"/>
              </w:rPr>
              <w:t>、如本承诺函未被遵守，</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5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C6ECCC"/>
          </w:tcPr>
          <w:p>
            <w:pPr/>
          </w:p>
        </w:tc>
        <w:tc>
          <w:tcPr>
            <w:tcW w:w="852" w:type="dxa"/>
            <w:tcBorders>
              <w:top w:val="nil" w:sz="6" w:space="0" w:color="auto"/>
              <w:left w:val="single" w:sz="4" w:space="0" w:color="000000"/>
              <w:bottom w:val="single" w:sz="4" w:space="0" w:color="000000"/>
              <w:right w:val="single" w:sz="4" w:space="0" w:color="000000"/>
            </w:tcBorders>
            <w:shd w:val="clear" w:color="auto" w:fill="C6ECCC"/>
          </w:tcPr>
          <w:p>
            <w:pPr/>
          </w:p>
        </w:tc>
        <w:tc>
          <w:tcPr>
            <w:tcW w:w="382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将向科创信息赔偿一切直接或间接损失。</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shd w:val="clear" w:color="auto" w:fill="C6ECCC"/>
          </w:tcPr>
          <w:p>
            <w:pPr/>
          </w:p>
        </w:tc>
        <w:tc>
          <w:tcPr>
            <w:tcW w:w="778"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1962" w:hRule="exact"/>
        </w:trPr>
        <w:tc>
          <w:tcPr>
            <w:tcW w:w="993"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5"/>
              <w:jc w:val="both"/>
              <w:rPr>
                <w:rFonts w:ascii="宋体" w:hAnsi="宋体" w:cs="宋体" w:eastAsia="宋体" w:hint="default"/>
                <w:sz w:val="18"/>
                <w:szCs w:val="18"/>
              </w:rPr>
            </w:pPr>
            <w:r>
              <w:rPr>
                <w:rFonts w:ascii="宋体" w:hAnsi="宋体" w:cs="宋体" w:eastAsia="宋体" w:hint="default"/>
                <w:spacing w:val="-10"/>
                <w:sz w:val="18"/>
                <w:szCs w:val="18"/>
              </w:rPr>
              <w:t>公司、共同实际控</w:t>
            </w:r>
            <w:r>
              <w:rPr>
                <w:rFonts w:ascii="宋体" w:hAnsi="宋体" w:cs="宋体" w:eastAsia="宋体" w:hint="default"/>
                <w:sz w:val="18"/>
                <w:szCs w:val="18"/>
              </w:rPr>
              <w:t> </w:t>
            </w:r>
            <w:r>
              <w:rPr>
                <w:rFonts w:ascii="宋体" w:hAnsi="宋体" w:cs="宋体" w:eastAsia="宋体" w:hint="default"/>
                <w:spacing w:val="13"/>
                <w:sz w:val="18"/>
                <w:szCs w:val="18"/>
              </w:rPr>
              <w:t>制人费耀平、李</w:t>
            </w:r>
            <w:r>
              <w:rPr>
                <w:rFonts w:ascii="宋体" w:hAnsi="宋体" w:cs="宋体" w:eastAsia="宋体" w:hint="default"/>
                <w:spacing w:val="-86"/>
                <w:sz w:val="18"/>
                <w:szCs w:val="18"/>
              </w:rPr>
              <w:t> </w:t>
            </w:r>
            <w:r>
              <w:rPr>
                <w:rFonts w:ascii="宋体" w:hAnsi="宋体" w:cs="宋体" w:eastAsia="宋体" w:hint="default"/>
                <w:spacing w:val="-10"/>
                <w:sz w:val="18"/>
                <w:szCs w:val="18"/>
              </w:rPr>
              <w:t>杰、李建华、刘星</w:t>
            </w:r>
            <w:r>
              <w:rPr>
                <w:rFonts w:ascii="宋体" w:hAnsi="宋体" w:cs="宋体" w:eastAsia="宋体" w:hint="default"/>
                <w:sz w:val="18"/>
                <w:szCs w:val="18"/>
              </w:rPr>
              <w:t> </w:t>
            </w:r>
            <w:r>
              <w:rPr>
                <w:rFonts w:ascii="宋体" w:hAnsi="宋体" w:cs="宋体" w:eastAsia="宋体" w:hint="default"/>
                <w:spacing w:val="-10"/>
                <w:sz w:val="18"/>
                <w:szCs w:val="18"/>
              </w:rPr>
              <w:t>沙、刘应龙及公司</w:t>
            </w:r>
            <w:r>
              <w:rPr>
                <w:rFonts w:ascii="宋体" w:hAnsi="宋体" w:cs="宋体" w:eastAsia="宋体" w:hint="default"/>
                <w:sz w:val="18"/>
                <w:szCs w:val="18"/>
              </w:rPr>
              <w:t> </w:t>
            </w:r>
            <w:r>
              <w:rPr>
                <w:rFonts w:ascii="宋体" w:hAnsi="宋体" w:cs="宋体" w:eastAsia="宋体" w:hint="default"/>
                <w:spacing w:val="13"/>
                <w:sz w:val="18"/>
                <w:szCs w:val="18"/>
              </w:rPr>
              <w:t>董事及高级管理</w:t>
            </w:r>
            <w:r>
              <w:rPr>
                <w:rFonts w:ascii="宋体" w:hAnsi="宋体" w:cs="宋体" w:eastAsia="宋体" w:hint="default"/>
                <w:spacing w:val="-86"/>
                <w:sz w:val="18"/>
                <w:szCs w:val="18"/>
              </w:rPr>
              <w:t> </w:t>
            </w:r>
            <w:r>
              <w:rPr>
                <w:rFonts w:ascii="宋体" w:hAnsi="宋体" w:cs="宋体" w:eastAsia="宋体" w:hint="default"/>
                <w:sz w:val="18"/>
                <w:szCs w:val="18"/>
              </w:rPr>
              <w:t>人员</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5"/>
              <w:ind w:left="23" w:right="-4"/>
              <w:jc w:val="both"/>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6"/>
                <w:sz w:val="18"/>
                <w:szCs w:val="18"/>
              </w:rPr>
              <w:t> </w:t>
            </w:r>
            <w:r>
              <w:rPr>
                <w:rFonts w:ascii="宋体" w:hAnsi="宋体" w:cs="宋体" w:eastAsia="宋体" w:hint="default"/>
                <w:spacing w:val="13"/>
                <w:sz w:val="18"/>
                <w:szCs w:val="18"/>
              </w:rPr>
              <w:t>稳定</w:t>
            </w:r>
            <w:r>
              <w:rPr>
                <w:rFonts w:ascii="宋体" w:hAnsi="宋体" w:cs="宋体" w:eastAsia="宋体" w:hint="default"/>
                <w:spacing w:val="-63"/>
                <w:sz w:val="18"/>
                <w:szCs w:val="18"/>
              </w:rPr>
              <w:t> </w:t>
            </w:r>
            <w:r>
              <w:rPr>
                <w:rFonts w:ascii="宋体" w:hAnsi="宋体" w:cs="宋体" w:eastAsia="宋体" w:hint="default"/>
                <w:spacing w:val="18"/>
                <w:sz w:val="18"/>
                <w:szCs w:val="18"/>
              </w:rPr>
              <w:t>公司股价</w:t>
            </w:r>
            <w:r>
              <w:rPr>
                <w:rFonts w:ascii="宋体" w:hAnsi="宋体" w:cs="宋体" w:eastAsia="宋体" w:hint="default"/>
                <w:spacing w:val="-87"/>
                <w:sz w:val="18"/>
                <w:szCs w:val="18"/>
              </w:rPr>
              <w:t> </w:t>
            </w:r>
            <w:r>
              <w:rPr>
                <w:rFonts w:ascii="宋体" w:hAnsi="宋体" w:cs="宋体" w:eastAsia="宋体" w:hint="default"/>
                <w:sz w:val="18"/>
                <w:szCs w:val="18"/>
              </w:rPr>
              <w:t>的承诺</w:t>
            </w:r>
          </w:p>
        </w:tc>
        <w:tc>
          <w:tcPr>
            <w:tcW w:w="38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22"/>
              <w:jc w:val="both"/>
              <w:rPr>
                <w:rFonts w:ascii="宋体" w:hAnsi="宋体" w:cs="宋体" w:eastAsia="宋体" w:hint="default"/>
                <w:sz w:val="18"/>
                <w:szCs w:val="18"/>
              </w:rPr>
            </w:pPr>
            <w:r>
              <w:rPr>
                <w:rFonts w:ascii="宋体" w:hAnsi="宋体" w:cs="宋体" w:eastAsia="宋体" w:hint="default"/>
                <w:sz w:val="18"/>
                <w:szCs w:val="18"/>
              </w:rPr>
              <w:t>公司首次公开发行人民币普通股（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股）并在深 </w:t>
            </w:r>
            <w:r>
              <w:rPr>
                <w:rFonts w:ascii="宋体" w:hAnsi="宋体" w:cs="宋体" w:eastAsia="宋体" w:hint="default"/>
                <w:spacing w:val="8"/>
                <w:sz w:val="18"/>
                <w:szCs w:val="18"/>
              </w:rPr>
              <w:t>圳证券交易所创业板上市后三年内股价出现连</w:t>
            </w:r>
            <w:r>
              <w:rPr>
                <w:rFonts w:ascii="宋体" w:hAnsi="宋体" w:cs="宋体" w:eastAsia="宋体" w:hint="default"/>
                <w:sz w:val="18"/>
                <w:szCs w:val="18"/>
              </w:rPr>
              <w:t> 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个交易日收盘价均低于公司上一个会计年 </w:t>
            </w:r>
            <w:r>
              <w:rPr>
                <w:rFonts w:ascii="宋体" w:hAnsi="宋体" w:cs="宋体" w:eastAsia="宋体" w:hint="default"/>
                <w:spacing w:val="-1"/>
                <w:sz w:val="18"/>
                <w:szCs w:val="18"/>
              </w:rPr>
              <w:t>度经审计的每股净资产，公司将按照稳定股价预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案启动稳定股价措施。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93" w:right="22"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C6ECCC"/>
          </w:tcPr>
          <w:p>
            <w:pPr/>
          </w:p>
        </w:tc>
        <w:tc>
          <w:tcPr>
            <w:tcW w:w="852" w:type="dxa"/>
            <w:tcBorders>
              <w:top w:val="single" w:sz="4" w:space="0" w:color="000000"/>
              <w:left w:val="single" w:sz="4" w:space="0" w:color="000000"/>
              <w:bottom w:val="nil" w:sz="6" w:space="0" w:color="auto"/>
              <w:right w:val="single" w:sz="4" w:space="0" w:color="000000"/>
            </w:tcBorders>
            <w:shd w:val="clear" w:color="auto" w:fill="C6ECCC"/>
          </w:tcPr>
          <w:p>
            <w:pPr/>
          </w:p>
        </w:tc>
        <w:tc>
          <w:tcPr>
            <w:tcW w:w="3828"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、不无偿或以不公平条件向其他单位或者个人</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shd w:val="clear" w:color="auto" w:fill="C6ECCC"/>
          </w:tcPr>
          <w:p>
            <w:pPr/>
          </w:p>
        </w:tc>
        <w:tc>
          <w:tcPr>
            <w:tcW w:w="778"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输送利益，也不采用其他方式损害公司利益。</w:t>
            </w:r>
            <w:r>
              <w:rPr>
                <w:rFonts w:ascii="Times New Roman" w:hAnsi="Times New Roman" w:cs="Times New Roman" w:eastAsia="Times New Roman" w:hint="default"/>
                <w:sz w:val="18"/>
                <w:szCs w:val="18"/>
              </w:rPr>
              <w:t>2</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对自身的职务消费行为进行约束。</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、不动用公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932"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10"/>
                <w:sz w:val="18"/>
                <w:szCs w:val="18"/>
              </w:rPr>
              <w:t>公司董事、高级管</w:t>
            </w:r>
            <w:r>
              <w:rPr>
                <w:rFonts w:ascii="宋体" w:hAnsi="宋体" w:cs="宋体" w:eastAsia="宋体" w:hint="default"/>
                <w:sz w:val="18"/>
                <w:szCs w:val="18"/>
              </w:rPr>
              <w:t> 理人员</w:t>
            </w:r>
          </w:p>
        </w:tc>
        <w:tc>
          <w:tcPr>
            <w:tcW w:w="85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6"/>
              <w:ind w:left="23" w:right="-3"/>
              <w:jc w:val="both"/>
              <w:rPr>
                <w:rFonts w:ascii="宋体" w:hAnsi="宋体" w:cs="宋体" w:eastAsia="宋体" w:hint="default"/>
                <w:sz w:val="18"/>
                <w:szCs w:val="18"/>
              </w:rPr>
            </w:pPr>
            <w:r>
              <w:rPr>
                <w:rFonts w:ascii="宋体" w:hAnsi="宋体" w:cs="宋体" w:eastAsia="宋体" w:hint="default"/>
                <w:spacing w:val="18"/>
                <w:sz w:val="18"/>
                <w:szCs w:val="18"/>
              </w:rPr>
              <w:t>填补被摊</w:t>
            </w:r>
            <w:r>
              <w:rPr>
                <w:rFonts w:ascii="宋体" w:hAnsi="宋体" w:cs="宋体" w:eastAsia="宋体" w:hint="default"/>
                <w:spacing w:val="-87"/>
                <w:sz w:val="18"/>
                <w:szCs w:val="18"/>
              </w:rPr>
              <w:t> </w:t>
            </w:r>
            <w:r>
              <w:rPr>
                <w:rFonts w:ascii="宋体" w:hAnsi="宋体" w:cs="宋体" w:eastAsia="宋体" w:hint="default"/>
                <w:spacing w:val="18"/>
                <w:sz w:val="18"/>
                <w:szCs w:val="18"/>
              </w:rPr>
              <w:t>薄即期回</w:t>
            </w:r>
            <w:r>
              <w:rPr>
                <w:rFonts w:ascii="宋体" w:hAnsi="宋体" w:cs="宋体" w:eastAsia="宋体" w:hint="default"/>
                <w:spacing w:val="-87"/>
                <w:sz w:val="18"/>
                <w:szCs w:val="18"/>
              </w:rPr>
              <w:t> </w:t>
            </w:r>
            <w:r>
              <w:rPr>
                <w:rFonts w:ascii="宋体" w:hAnsi="宋体" w:cs="宋体" w:eastAsia="宋体" w:hint="default"/>
                <w:sz w:val="18"/>
                <w:szCs w:val="18"/>
              </w:rPr>
              <w:t>报的承诺</w:t>
            </w: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09" w:lineRule="auto" w:before="5"/>
              <w:ind w:left="22" w:right="22"/>
              <w:jc w:val="both"/>
              <w:rPr>
                <w:rFonts w:ascii="宋体" w:hAnsi="宋体" w:cs="宋体" w:eastAsia="宋体" w:hint="default"/>
                <w:sz w:val="18"/>
                <w:szCs w:val="18"/>
              </w:rPr>
            </w:pPr>
            <w:r>
              <w:rPr>
                <w:rFonts w:ascii="宋体" w:hAnsi="宋体" w:cs="宋体" w:eastAsia="宋体" w:hint="default"/>
                <w:spacing w:val="-1"/>
                <w:sz w:val="18"/>
                <w:szCs w:val="18"/>
              </w:rPr>
              <w:t>司资产从事与自身履行职责无关的投资、消费活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动。</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、由公司董事会或提名与薪酬委员会制订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的薪酬制度与公司填补回报措施的执行情况相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7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93" w:right="22"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挂钩。</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、如公司未来实施股权激励方案，则未</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shd w:val="clear" w:color="auto" w:fill="C6ECCC"/>
          </w:tcPr>
          <w:p>
            <w:pPr/>
          </w:p>
        </w:tc>
        <w:tc>
          <w:tcPr>
            <w:tcW w:w="852" w:type="dxa"/>
            <w:tcBorders>
              <w:top w:val="nil" w:sz="6" w:space="0" w:color="auto"/>
              <w:left w:val="single" w:sz="4" w:space="0" w:color="000000"/>
              <w:bottom w:val="nil" w:sz="6" w:space="0" w:color="auto"/>
              <w:right w:val="single" w:sz="4" w:space="0" w:color="000000"/>
            </w:tcBorders>
            <w:shd w:val="clear" w:color="auto" w:fill="C6ECCC"/>
          </w:tcPr>
          <w:p>
            <w:pPr/>
          </w:p>
        </w:tc>
        <w:tc>
          <w:tcPr>
            <w:tcW w:w="382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8"/>
                <w:sz w:val="18"/>
                <w:szCs w:val="18"/>
              </w:rPr>
              <w:t>来股权激励方案的行权条件将与公司填补回报</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shd w:val="clear" w:color="auto" w:fill="C6ECCC"/>
          </w:tcPr>
          <w:p>
            <w:pPr/>
          </w:p>
        </w:tc>
        <w:tc>
          <w:tcPr>
            <w:tcW w:w="778"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C6ECCC"/>
          </w:tcPr>
          <w:p>
            <w:pPr/>
          </w:p>
        </w:tc>
        <w:tc>
          <w:tcPr>
            <w:tcW w:w="852" w:type="dxa"/>
            <w:tcBorders>
              <w:top w:val="nil" w:sz="6" w:space="0" w:color="auto"/>
              <w:left w:val="single" w:sz="4" w:space="0" w:color="000000"/>
              <w:bottom w:val="single" w:sz="4" w:space="0" w:color="000000"/>
              <w:right w:val="single" w:sz="4" w:space="0" w:color="000000"/>
            </w:tcBorders>
            <w:shd w:val="clear" w:color="auto" w:fill="C6ECCC"/>
          </w:tcPr>
          <w:p>
            <w:pPr/>
          </w:p>
        </w:tc>
        <w:tc>
          <w:tcPr>
            <w:tcW w:w="382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措施的执行情况相挂钩。</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shd w:val="clear" w:color="auto" w:fill="C6ECCC"/>
          </w:tcPr>
          <w:p>
            <w:pPr/>
          </w:p>
        </w:tc>
        <w:tc>
          <w:tcPr>
            <w:tcW w:w="778"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714"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71"/>
              <w:ind w:left="23" w:right="20"/>
              <w:jc w:val="left"/>
              <w:rPr>
                <w:rFonts w:ascii="宋体" w:hAnsi="宋体" w:cs="宋体" w:eastAsia="宋体" w:hint="default"/>
                <w:sz w:val="18"/>
                <w:szCs w:val="18"/>
              </w:rPr>
            </w:pPr>
            <w:r>
              <w:rPr>
                <w:rFonts w:ascii="宋体" w:hAnsi="宋体" w:cs="宋体" w:eastAsia="宋体" w:hint="default"/>
                <w:spacing w:val="-10"/>
                <w:sz w:val="18"/>
                <w:szCs w:val="18"/>
              </w:rPr>
              <w:t>费耀平、李杰、李</w:t>
            </w:r>
            <w:r>
              <w:rPr>
                <w:rFonts w:ascii="宋体" w:hAnsi="宋体" w:cs="宋体" w:eastAsia="宋体" w:hint="default"/>
                <w:sz w:val="18"/>
                <w:szCs w:val="18"/>
              </w:rPr>
              <w:t> </w:t>
            </w:r>
            <w:r>
              <w:rPr>
                <w:rFonts w:ascii="宋体" w:hAnsi="宋体" w:cs="宋体" w:eastAsia="宋体" w:hint="default"/>
                <w:spacing w:val="-10"/>
                <w:sz w:val="18"/>
                <w:szCs w:val="18"/>
              </w:rPr>
              <w:t>建华、刘星沙、刘</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71"/>
              <w:ind w:left="23" w:right="-3"/>
              <w:jc w:val="left"/>
              <w:rPr>
                <w:rFonts w:ascii="宋体" w:hAnsi="宋体" w:cs="宋体" w:eastAsia="宋体" w:hint="default"/>
                <w:sz w:val="18"/>
                <w:szCs w:val="18"/>
              </w:rPr>
            </w:pPr>
            <w:r>
              <w:rPr>
                <w:rFonts w:ascii="宋体" w:hAnsi="宋体" w:cs="宋体" w:eastAsia="宋体" w:hint="default"/>
                <w:spacing w:val="18"/>
                <w:sz w:val="18"/>
                <w:szCs w:val="18"/>
              </w:rPr>
              <w:t>减少和规</w:t>
            </w:r>
            <w:r>
              <w:rPr>
                <w:rFonts w:ascii="宋体" w:hAnsi="宋体" w:cs="宋体" w:eastAsia="宋体" w:hint="default"/>
                <w:spacing w:val="-87"/>
                <w:sz w:val="18"/>
                <w:szCs w:val="18"/>
              </w:rPr>
              <w:t> </w:t>
            </w:r>
            <w:r>
              <w:rPr>
                <w:rFonts w:ascii="宋体" w:hAnsi="宋体" w:cs="宋体" w:eastAsia="宋体" w:hint="default"/>
                <w:spacing w:val="18"/>
                <w:sz w:val="18"/>
                <w:szCs w:val="18"/>
              </w:rPr>
              <w:t>范关联交</w:t>
            </w:r>
            <w:r>
              <w:rPr>
                <w:rFonts w:ascii="宋体" w:hAnsi="宋体" w:cs="宋体" w:eastAsia="宋体" w:hint="default"/>
                <w:spacing w:val="-65"/>
                <w:sz w:val="18"/>
                <w:szCs w:val="18"/>
              </w:rPr>
              <w:t> </w:t>
            </w:r>
            <w:r>
              <w:rPr>
                <w:rFonts w:ascii="宋体" w:hAnsi="宋体" w:cs="宋体" w:eastAsia="宋体" w:hint="default"/>
                <w:sz w:val="18"/>
                <w:szCs w:val="18"/>
              </w:rPr>
            </w:r>
          </w:p>
        </w:tc>
        <w:tc>
          <w:tcPr>
            <w:tcW w:w="3828" w:type="dxa"/>
            <w:tcBorders>
              <w:top w:val="single" w:sz="4" w:space="0" w:color="000000"/>
              <w:left w:val="single" w:sz="4" w:space="0" w:color="000000"/>
              <w:bottom w:val="single" w:sz="4" w:space="0" w:color="000000"/>
              <w:right w:val="single" w:sz="13" w:space="0" w:color="FFFFFF"/>
            </w:tcBorders>
            <w:shd w:val="clear" w:color="auto" w:fill="C6ECCC"/>
          </w:tcPr>
          <w:p>
            <w:pPr>
              <w:pStyle w:val="TableParagraph"/>
              <w:spacing w:line="300" w:lineRule="auto" w:before="71"/>
              <w:ind w:left="22" w:right="-4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、截至本承诺出具之日，除已经披露的情形外，</w:t>
            </w:r>
            <w:r>
              <w:rPr>
                <w:rFonts w:ascii="宋体" w:hAnsi="宋体" w:cs="宋体" w:eastAsia="宋体" w:hint="default"/>
                <w:spacing w:val="-33"/>
                <w:sz w:val="18"/>
                <w:szCs w:val="18"/>
              </w:rPr>
              <w:t> </w:t>
            </w:r>
            <w:r>
              <w:rPr>
                <w:rFonts w:ascii="宋体" w:hAnsi="宋体" w:cs="宋体" w:eastAsia="宋体" w:hint="default"/>
                <w:spacing w:val="8"/>
                <w:sz w:val="18"/>
                <w:szCs w:val="18"/>
              </w:rPr>
              <w:t>本人及所投资或控制的其他企业与科创信息不</w:t>
            </w:r>
          </w:p>
        </w:tc>
        <w:tc>
          <w:tcPr>
            <w:tcW w:w="85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9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93" w:right="22"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417"/>
        <w:gridCol w:w="852"/>
        <w:gridCol w:w="3828"/>
        <w:gridCol w:w="850"/>
        <w:gridCol w:w="851"/>
        <w:gridCol w:w="778"/>
      </w:tblGrid>
      <w:tr>
        <w:trPr>
          <w:trHeight w:val="5979"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应龙</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易的承诺</w:t>
            </w:r>
          </w:p>
        </w:tc>
        <w:tc>
          <w:tcPr>
            <w:tcW w:w="38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0"/>
              <w:ind w:left="22" w:right="13"/>
              <w:jc w:val="both"/>
              <w:rPr>
                <w:rFonts w:ascii="宋体" w:hAnsi="宋体" w:cs="宋体" w:eastAsia="宋体" w:hint="default"/>
                <w:sz w:val="18"/>
                <w:szCs w:val="18"/>
              </w:rPr>
            </w:pPr>
            <w:r>
              <w:rPr>
                <w:rFonts w:ascii="宋体" w:hAnsi="宋体" w:cs="宋体" w:eastAsia="宋体" w:hint="default"/>
                <w:spacing w:val="3"/>
                <w:sz w:val="18"/>
                <w:szCs w:val="18"/>
              </w:rPr>
              <w:t>存在其他重大关联交易。</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、本人及本人控制的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除科创信息以外的其他企业将尽量避免与科创</w:t>
            </w:r>
            <w:r>
              <w:rPr>
                <w:rFonts w:ascii="宋体" w:hAnsi="宋体" w:cs="宋体" w:eastAsia="宋体" w:hint="default"/>
                <w:sz w:val="18"/>
                <w:szCs w:val="18"/>
              </w:rPr>
              <w:t> 信息之间发生关联交易；对于确有必要且无法回 避的关联交易，均按照公平、公允和等价有偿的 </w:t>
            </w:r>
            <w:r>
              <w:rPr>
                <w:rFonts w:ascii="宋体" w:hAnsi="宋体" w:cs="宋体" w:eastAsia="宋体" w:hint="default"/>
                <w:spacing w:val="8"/>
                <w:sz w:val="18"/>
                <w:szCs w:val="18"/>
              </w:rPr>
              <w:t>原则进行，交易价格按市场公认的合理价格确</w:t>
            </w:r>
            <w:r>
              <w:rPr>
                <w:rFonts w:ascii="宋体" w:hAnsi="宋体" w:cs="宋体" w:eastAsia="宋体" w:hint="default"/>
                <w:sz w:val="18"/>
                <w:szCs w:val="18"/>
              </w:rPr>
              <w:t> 定，并按相关法律、法规以及规范性文件的规定 履行交易审批程序及信息披露义务，切实保护科 </w:t>
            </w:r>
            <w:r>
              <w:rPr>
                <w:rFonts w:ascii="宋体" w:hAnsi="宋体" w:cs="宋体" w:eastAsia="宋体" w:hint="default"/>
                <w:spacing w:val="3"/>
                <w:sz w:val="18"/>
                <w:szCs w:val="18"/>
              </w:rPr>
              <w:t>创信息及中小股东利益。</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、本人保证严格遵守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法律法规和中国证券监督管理委员会、证券交易</w:t>
            </w:r>
            <w:r>
              <w:rPr>
                <w:rFonts w:ascii="宋体" w:hAnsi="宋体" w:cs="宋体" w:eastAsia="宋体" w:hint="default"/>
                <w:sz w:val="18"/>
                <w:szCs w:val="18"/>
              </w:rPr>
              <w:t> 所有关规范性文件及《湖南科创信息技术股份有 限公司公司章程》和《湖南科创信息技术股份有 限公司关联交易管理制度》等管理制度的规定， 决不以委托管理、借款、代偿债务、代垫款项或 </w:t>
            </w:r>
            <w:r>
              <w:rPr>
                <w:rFonts w:ascii="宋体" w:hAnsi="宋体" w:cs="宋体" w:eastAsia="宋体" w:hint="default"/>
                <w:spacing w:val="8"/>
                <w:sz w:val="18"/>
                <w:szCs w:val="18"/>
              </w:rPr>
              <w:t>者其他任何方式占用科创信息的资金或其他资</w:t>
            </w:r>
            <w:r>
              <w:rPr>
                <w:rFonts w:ascii="宋体" w:hAnsi="宋体" w:cs="宋体" w:eastAsia="宋体" w:hint="default"/>
                <w:sz w:val="18"/>
                <w:szCs w:val="18"/>
              </w:rPr>
              <w:t> 产，不利用实际控制人的地位谋取不当的利益， 不进行有损科创信息及其他股东的关联交易。如 </w:t>
            </w:r>
            <w:r>
              <w:rPr>
                <w:rFonts w:ascii="宋体" w:hAnsi="宋体" w:cs="宋体" w:eastAsia="宋体" w:hint="default"/>
                <w:spacing w:val="8"/>
                <w:sz w:val="18"/>
                <w:szCs w:val="18"/>
              </w:rPr>
              <w:t>违反上述承诺与科创信息及其控股子公司进行</w:t>
            </w:r>
            <w:r>
              <w:rPr>
                <w:rFonts w:ascii="宋体" w:hAnsi="宋体" w:cs="宋体" w:eastAsia="宋体" w:hint="default"/>
                <w:sz w:val="18"/>
                <w:szCs w:val="18"/>
              </w:rPr>
              <w:t> 交易，而给科创信息及其控股子公司造成损失， 由本人承担赔偿责任。</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7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2586"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20"/>
              <w:jc w:val="both"/>
              <w:rPr>
                <w:rFonts w:ascii="宋体" w:hAnsi="宋体" w:cs="宋体" w:eastAsia="宋体" w:hint="default"/>
                <w:sz w:val="18"/>
                <w:szCs w:val="18"/>
              </w:rPr>
            </w:pPr>
            <w:r>
              <w:rPr>
                <w:rFonts w:ascii="宋体" w:hAnsi="宋体" w:cs="宋体" w:eastAsia="宋体" w:hint="default"/>
                <w:spacing w:val="-10"/>
                <w:sz w:val="18"/>
                <w:szCs w:val="18"/>
              </w:rPr>
              <w:t>费耀平、李杰、李</w:t>
            </w:r>
            <w:r>
              <w:rPr>
                <w:rFonts w:ascii="宋体" w:hAnsi="宋体" w:cs="宋体" w:eastAsia="宋体" w:hint="default"/>
                <w:sz w:val="18"/>
                <w:szCs w:val="18"/>
              </w:rPr>
              <w:t> </w:t>
            </w:r>
            <w:r>
              <w:rPr>
                <w:rFonts w:ascii="宋体" w:hAnsi="宋体" w:cs="宋体" w:eastAsia="宋体" w:hint="default"/>
                <w:spacing w:val="-10"/>
                <w:sz w:val="18"/>
                <w:szCs w:val="18"/>
              </w:rPr>
              <w:t>建华、刘星沙、刘</w:t>
            </w:r>
            <w:r>
              <w:rPr>
                <w:rFonts w:ascii="宋体" w:hAnsi="宋体" w:cs="宋体" w:eastAsia="宋体" w:hint="default"/>
                <w:sz w:val="18"/>
                <w:szCs w:val="18"/>
              </w:rPr>
              <w:t> 应龙</w:t>
            </w: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3"/>
              <w:jc w:val="both"/>
              <w:rPr>
                <w:rFonts w:ascii="宋体" w:hAnsi="宋体" w:cs="宋体" w:eastAsia="宋体" w:hint="default"/>
                <w:sz w:val="18"/>
                <w:szCs w:val="18"/>
              </w:rPr>
            </w:pPr>
            <w:r>
              <w:rPr>
                <w:rFonts w:ascii="宋体" w:hAnsi="宋体" w:cs="宋体" w:eastAsia="宋体" w:hint="default"/>
                <w:spacing w:val="18"/>
                <w:sz w:val="18"/>
                <w:szCs w:val="18"/>
              </w:rPr>
              <w:t>避免资金</w:t>
            </w:r>
            <w:r>
              <w:rPr>
                <w:rFonts w:ascii="宋体" w:hAnsi="宋体" w:cs="宋体" w:eastAsia="宋体" w:hint="default"/>
                <w:spacing w:val="-87"/>
                <w:sz w:val="18"/>
                <w:szCs w:val="18"/>
              </w:rPr>
              <w:t> </w:t>
            </w:r>
            <w:r>
              <w:rPr>
                <w:rFonts w:ascii="宋体" w:hAnsi="宋体" w:cs="宋体" w:eastAsia="宋体" w:hint="default"/>
                <w:spacing w:val="18"/>
                <w:sz w:val="18"/>
                <w:szCs w:val="18"/>
              </w:rPr>
              <w:t>占用的承</w:t>
            </w:r>
            <w:r>
              <w:rPr>
                <w:rFonts w:ascii="宋体" w:hAnsi="宋体" w:cs="宋体" w:eastAsia="宋体" w:hint="default"/>
                <w:spacing w:val="-87"/>
                <w:sz w:val="18"/>
                <w:szCs w:val="18"/>
              </w:rPr>
              <w:t> </w:t>
            </w:r>
            <w:r>
              <w:rPr>
                <w:rFonts w:ascii="宋体" w:hAnsi="宋体" w:cs="宋体" w:eastAsia="宋体" w:hint="default"/>
                <w:sz w:val="18"/>
                <w:szCs w:val="18"/>
              </w:rPr>
              <w:t>诺</w:t>
            </w:r>
          </w:p>
        </w:tc>
        <w:tc>
          <w:tcPr>
            <w:tcW w:w="3828" w:type="dxa"/>
            <w:tcBorders>
              <w:top w:val="single" w:sz="4" w:space="0" w:color="000000"/>
              <w:left w:val="single" w:sz="4" w:space="0" w:color="000000"/>
              <w:bottom w:val="single" w:sz="4" w:space="0" w:color="000000"/>
              <w:right w:val="single" w:sz="13" w:space="0" w:color="FFFFFF"/>
            </w:tcBorders>
            <w:shd w:val="clear" w:color="auto" w:fill="C6ECCC"/>
          </w:tcPr>
          <w:p>
            <w:pPr>
              <w:pStyle w:val="TableParagraph"/>
              <w:spacing w:line="312" w:lineRule="auto" w:before="51"/>
              <w:ind w:left="22" w:right="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、本人保证严格遵守法律法规和中国证监会、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证券交易所有关规范性文件及科创信息公司章</w:t>
            </w:r>
            <w:r>
              <w:rPr>
                <w:rFonts w:ascii="宋体" w:hAnsi="宋体" w:cs="宋体" w:eastAsia="宋体" w:hint="default"/>
                <w:sz w:val="18"/>
                <w:szCs w:val="18"/>
              </w:rPr>
              <w:t> 程等管理制度的规定，决不以委托管理、借款、 代偿债务、代垫款项或其他任何方式占用科创信 息的资金或其他资产。</w:t>
            </w:r>
            <w:r>
              <w:rPr>
                <w:rFonts w:ascii="Times New Roman" w:hAnsi="Times New Roman" w:cs="Times New Roman" w:eastAsia="Times New Roman" w:hint="default"/>
                <w:sz w:val="18"/>
                <w:szCs w:val="18"/>
              </w:rPr>
              <w:t>2</w:t>
            </w:r>
            <w:r>
              <w:rPr>
                <w:rFonts w:ascii="宋体" w:hAnsi="宋体" w:cs="宋体" w:eastAsia="宋体" w:hint="default"/>
                <w:sz w:val="18"/>
                <w:szCs w:val="18"/>
              </w:rPr>
              <w:t>、如本人违反上述承诺 </w:t>
            </w:r>
            <w:r>
              <w:rPr>
                <w:rFonts w:ascii="宋体" w:hAnsi="宋体" w:cs="宋体" w:eastAsia="宋体" w:hint="default"/>
                <w:spacing w:val="8"/>
                <w:sz w:val="18"/>
                <w:szCs w:val="18"/>
              </w:rPr>
              <w:t>占用科创信息及其控股子公司的资金或其他资</w:t>
            </w:r>
            <w:r>
              <w:rPr>
                <w:rFonts w:ascii="宋体" w:hAnsi="宋体" w:cs="宋体" w:eastAsia="宋体" w:hint="default"/>
                <w:sz w:val="18"/>
                <w:szCs w:val="18"/>
              </w:rPr>
              <w:t> 产，而给科创信息及其控股子公司造成损失，由 本人承担赔偿责任。</w:t>
            </w:r>
          </w:p>
        </w:tc>
        <w:tc>
          <w:tcPr>
            <w:tcW w:w="85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3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352"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9.75pt;height:17.650pt;mso-position-horizontal-relative:char;mso-position-vertical-relative:line" coordorigin="0,0" coordsize="795,353">
                  <v:group style="position:absolute;left:0;top:0;width:795;height:353" coordorigin="0,0" coordsize="795,353">
                    <v:shape style="position:absolute;left:0;top:0;width:795;height:353" coordorigin="0,0" coordsize="795,353" path="m0,353l794,353,794,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tc>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9"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93" w:right="22" w:hanging="270"/>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141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382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7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41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5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382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77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58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如承诺超期 未履行完毕 的，应当详 细说明未完 成履行的具 体原因及下 一步的工作 计划</w:t>
            </w:r>
          </w:p>
        </w:tc>
        <w:tc>
          <w:tcPr>
            <w:tcW w:w="8575" w:type="dxa"/>
            <w:gridSpan w:val="6"/>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5"/>
        <w:ind w:left="214"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left="214"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left="214"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left="214"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2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14"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left="2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14"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240" w:lineRule="auto" w:before="133"/>
        <w:ind w:left="636" w:right="0"/>
        <w:jc w:val="left"/>
        <w:rPr>
          <w:b w:val="0"/>
          <w:bCs w:val="0"/>
        </w:rPr>
      </w:pPr>
      <w:r>
        <w:rPr>
          <w:rFonts w:ascii="Times New Roman" w:hAnsi="Times New Roman" w:cs="Times New Roman" w:eastAsia="Times New Roman" w:hint="default"/>
        </w:rPr>
        <w:t>1</w:t>
      </w:r>
      <w:r>
        <w:rPr/>
        <w:t>、会计政策变更</w:t>
      </w:r>
      <w:r>
        <w:rPr>
          <w:b w:val="0"/>
          <w:bCs w:val="0"/>
        </w:rPr>
      </w:r>
    </w:p>
    <w:p>
      <w:pPr>
        <w:spacing w:line="240" w:lineRule="auto" w:before="2"/>
        <w:rPr>
          <w:rFonts w:ascii="宋体" w:hAnsi="宋体" w:cs="宋体" w:eastAsia="宋体" w:hint="default"/>
          <w:b/>
          <w:bCs/>
          <w:sz w:val="21"/>
          <w:szCs w:val="21"/>
        </w:rPr>
      </w:pPr>
    </w:p>
    <w:p>
      <w:pPr>
        <w:pStyle w:val="BodyText"/>
        <w:spacing w:line="240" w:lineRule="auto"/>
        <w:ind w:left="574" w:right="0"/>
        <w:jc w:val="left"/>
      </w:pPr>
      <w:r>
        <w:rPr/>
        <w:t>财政部于</w:t>
      </w:r>
      <w:r>
        <w:rPr>
          <w:spacing w:val="-46"/>
        </w:rPr>
        <w:t> </w:t>
      </w:r>
      <w:r>
        <w:rPr>
          <w:rFonts w:ascii="Times New Roman" w:hAnsi="Times New Roman" w:cs="Times New Roman" w:eastAsia="Times New Roman" w:hint="default"/>
        </w:rPr>
        <w:t>2018 </w:t>
      </w:r>
      <w:r>
        <w:rPr/>
        <w:t>年颁布</w:t>
      </w:r>
      <w:r>
        <w:rPr>
          <w:spacing w:val="-23"/>
        </w:rPr>
        <w:t>了</w:t>
      </w:r>
      <w:r>
        <w:rPr/>
        <w:t>《财政部关于修订印发</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1"/>
        </w:rPr>
        <w:t>度</w:t>
      </w:r>
      <w:r>
        <w:rPr/>
        <w:t>一般企业财务报表格式的通知</w:t>
      </w:r>
      <w:r>
        <w:rPr>
          <w:spacing w:val="-113"/>
        </w:rPr>
        <w:t>》</w:t>
      </w:r>
      <w:r>
        <w:rPr/>
        <w:t>（财会</w:t>
      </w:r>
      <w:r>
        <w:rPr>
          <w:rFonts w:ascii="Times New Roman" w:hAnsi="Times New Roman" w:cs="Times New Roman" w:eastAsia="Times New Roman" w:hint="default"/>
        </w:rPr>
        <w:t>[2018</w:t>
      </w:r>
      <w:r>
        <w:rPr>
          <w:rFonts w:ascii="Times New Roman" w:hAnsi="Times New Roman" w:cs="Times New Roman" w:eastAsia="Times New Roman" w:hint="default"/>
          <w:spacing w:val="-2"/>
        </w:rPr>
        <w:t>]</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w:t>
      </w:r>
      <w:r>
        <w:rPr>
          <w:spacing w:val="-89"/>
        </w:rPr>
        <w:t>）</w:t>
      </w:r>
      <w:r>
        <w:rPr>
          <w:spacing w:val="-23"/>
        </w:rPr>
        <w:t>，</w:t>
      </w:r>
      <w:r>
        <w:rPr/>
        <w:t>本</w:t>
      </w:r>
      <w:r>
        <w:rPr>
          <w:spacing w:val="1"/>
        </w:rPr>
        <w:t>公</w:t>
      </w:r>
      <w:r>
        <w:rPr/>
        <w:t>司经</w:t>
      </w:r>
    </w:p>
    <w:p>
      <w:pPr>
        <w:spacing w:line="516" w:lineRule="auto" w:before="131"/>
        <w:ind w:left="575" w:right="1308" w:hanging="362"/>
        <w:jc w:val="left"/>
        <w:rPr>
          <w:rFonts w:ascii="宋体" w:hAnsi="宋体" w:cs="宋体" w:eastAsia="宋体" w:hint="default"/>
          <w:sz w:val="18"/>
          <w:szCs w:val="18"/>
        </w:rPr>
      </w:pPr>
      <w:r>
        <w:rPr>
          <w:rFonts w:ascii="宋体" w:hAnsi="宋体" w:cs="宋体" w:eastAsia="宋体" w:hint="default"/>
          <w:sz w:val="18"/>
          <w:szCs w:val="18"/>
        </w:rPr>
        <w:t>董事会会议批准，从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日开始按通知规定编制财务报表，并对可比期间的比较数据按照通知规定进行调整。 </w:t>
      </w:r>
      <w:r>
        <w:rPr>
          <w:rFonts w:ascii="宋体" w:hAnsi="宋体" w:cs="宋体" w:eastAsia="宋体" w:hint="default"/>
          <w:b/>
          <w:bCs/>
          <w:sz w:val="18"/>
          <w:szCs w:val="18"/>
        </w:rPr>
        <w:t>该会计政策变化对本公司报告期合并财务报表影响列示如下：</w:t>
      </w:r>
      <w:r>
        <w:rPr>
          <w:rFonts w:ascii="宋体" w:hAnsi="宋体" w:cs="宋体" w:eastAsia="宋体" w:hint="default"/>
          <w:sz w:val="18"/>
          <w:szCs w:val="18"/>
        </w:rPr>
      </w:r>
    </w:p>
    <w:tbl>
      <w:tblPr>
        <w:tblW w:w="0" w:type="auto"/>
        <w:jc w:val="left"/>
        <w:tblInd w:w="101" w:type="dxa"/>
        <w:tblLayout w:type="fixed"/>
        <w:tblCellMar>
          <w:top w:w="0" w:type="dxa"/>
          <w:left w:w="0" w:type="dxa"/>
          <w:bottom w:w="0" w:type="dxa"/>
          <w:right w:w="0" w:type="dxa"/>
        </w:tblCellMar>
        <w:tblLook w:val="01E0"/>
      </w:tblPr>
      <w:tblGrid>
        <w:gridCol w:w="2980"/>
        <w:gridCol w:w="2718"/>
        <w:gridCol w:w="2169"/>
        <w:gridCol w:w="2224"/>
      </w:tblGrid>
      <w:tr>
        <w:trPr>
          <w:trHeight w:val="407"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00"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5" w:right="0"/>
              <w:jc w:val="left"/>
              <w:rPr>
                <w:rFonts w:ascii="宋体" w:hAnsi="宋体" w:cs="宋体" w:eastAsia="宋体" w:hint="default"/>
                <w:sz w:val="18"/>
                <w:szCs w:val="18"/>
              </w:rPr>
            </w:pPr>
            <w:r>
              <w:rPr>
                <w:rFonts w:ascii="宋体" w:hAnsi="宋体" w:cs="宋体" w:eastAsia="宋体" w:hint="default"/>
                <w:b/>
                <w:bCs/>
                <w:sz w:val="18"/>
                <w:szCs w:val="18"/>
              </w:rPr>
              <w:t>影响期末或本期金额</w:t>
            </w:r>
            <w:r>
              <w:rPr>
                <w:rFonts w:ascii="宋体" w:hAnsi="宋体" w:cs="宋体" w:eastAsia="宋体" w:hint="default"/>
                <w:sz w:val="18"/>
                <w:szCs w:val="18"/>
              </w:rPr>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37" w:right="0"/>
              <w:jc w:val="left"/>
              <w:rPr>
                <w:rFonts w:ascii="宋体" w:hAnsi="宋体" w:cs="宋体" w:eastAsia="宋体" w:hint="default"/>
                <w:sz w:val="18"/>
                <w:szCs w:val="18"/>
              </w:rPr>
            </w:pPr>
            <w:r>
              <w:rPr>
                <w:rFonts w:ascii="宋体" w:hAnsi="宋体" w:cs="宋体" w:eastAsia="宋体" w:hint="default"/>
                <w:b/>
                <w:bCs/>
                <w:sz w:val="18"/>
                <w:szCs w:val="18"/>
              </w:rPr>
              <w:t>影响期初或上期金额</w:t>
            </w:r>
            <w:r>
              <w:rPr>
                <w:rFonts w:ascii="宋体" w:hAnsi="宋体" w:cs="宋体" w:eastAsia="宋体" w:hint="default"/>
                <w:sz w:val="18"/>
                <w:szCs w:val="18"/>
              </w:rPr>
            </w:r>
          </w:p>
        </w:tc>
      </w:tr>
      <w:tr>
        <w:trPr>
          <w:trHeight w:val="407" w:hRule="exact"/>
        </w:trPr>
        <w:tc>
          <w:tcPr>
            <w:tcW w:w="29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367" w:lineRule="auto"/>
              <w:ind w:left="103" w:right="97"/>
              <w:jc w:val="left"/>
              <w:rPr>
                <w:rFonts w:ascii="宋体" w:hAnsi="宋体" w:cs="宋体" w:eastAsia="宋体" w:hint="default"/>
                <w:sz w:val="18"/>
                <w:szCs w:val="18"/>
              </w:rPr>
            </w:pPr>
            <w:r>
              <w:rPr>
                <w:rFonts w:ascii="宋体" w:hAnsi="宋体" w:cs="宋体" w:eastAsia="宋体" w:hint="default"/>
                <w:spacing w:val="3"/>
                <w:sz w:val="18"/>
                <w:szCs w:val="18"/>
              </w:rPr>
              <w:t>将应收票据和应收账款合并计入应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收票据及应收账款项目</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1"/>
              <w:jc w:val="right"/>
              <w:rPr>
                <w:rFonts w:ascii="Times New Roman" w:hAnsi="Times New Roman" w:cs="Times New Roman" w:eastAsia="Times New Roman" w:hint="default"/>
                <w:sz w:val="18"/>
                <w:szCs w:val="18"/>
              </w:rPr>
            </w:pPr>
            <w:r>
              <w:rPr>
                <w:rFonts w:ascii="Times New Roman"/>
                <w:w w:val="95"/>
                <w:sz w:val="18"/>
              </w:rPr>
              <w:t>-30,000.00</w:t>
            </w:r>
            <w:r>
              <w:rPr>
                <w:rFonts w:ascii="Times New Roman"/>
                <w:sz w:val="18"/>
              </w:rPr>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0"/>
              <w:jc w:val="right"/>
              <w:rPr>
                <w:rFonts w:ascii="Times New Roman" w:hAnsi="Times New Roman" w:cs="Times New Roman" w:eastAsia="Times New Roman" w:hint="default"/>
                <w:sz w:val="18"/>
                <w:szCs w:val="18"/>
              </w:rPr>
            </w:pPr>
            <w:r>
              <w:rPr>
                <w:rFonts w:ascii="Times New Roman"/>
                <w:spacing w:val="-1"/>
                <w:sz w:val="18"/>
              </w:rPr>
              <w:t>-1,964,488.04</w:t>
            </w:r>
          </w:p>
        </w:tc>
      </w:tr>
      <w:tr>
        <w:trPr>
          <w:trHeight w:val="408" w:hRule="exact"/>
        </w:trPr>
        <w:tc>
          <w:tcPr>
            <w:tcW w:w="2980" w:type="dxa"/>
            <w:vMerge/>
            <w:tcBorders>
              <w:left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3"/>
              <w:jc w:val="right"/>
              <w:rPr>
                <w:rFonts w:ascii="Times New Roman" w:hAnsi="Times New Roman" w:cs="Times New Roman" w:eastAsia="Times New Roman" w:hint="default"/>
                <w:sz w:val="18"/>
                <w:szCs w:val="18"/>
              </w:rPr>
            </w:pPr>
            <w:r>
              <w:rPr>
                <w:rFonts w:ascii="Times New Roman"/>
                <w:sz w:val="18"/>
              </w:rPr>
              <w:t>-</w:t>
            </w:r>
            <w:r>
              <w:rPr>
                <w:rFonts w:ascii="Times New Roman"/>
                <w:spacing w:val="-5"/>
                <w:sz w:val="18"/>
              </w:rPr>
              <w:t> </w:t>
            </w:r>
            <w:r>
              <w:rPr>
                <w:rFonts w:ascii="Times New Roman"/>
                <w:sz w:val="18"/>
              </w:rPr>
              <w:t>155,661,264.58</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0"/>
              <w:jc w:val="right"/>
              <w:rPr>
                <w:rFonts w:ascii="Times New Roman" w:hAnsi="Times New Roman" w:cs="Times New Roman" w:eastAsia="Times New Roman" w:hint="default"/>
                <w:sz w:val="18"/>
                <w:szCs w:val="18"/>
              </w:rPr>
            </w:pPr>
            <w:r>
              <w:rPr>
                <w:rFonts w:ascii="Times New Roman"/>
                <w:spacing w:val="-1"/>
                <w:sz w:val="18"/>
              </w:rPr>
              <w:t>-106,812,607.61</w:t>
            </w:r>
          </w:p>
        </w:tc>
      </w:tr>
      <w:tr>
        <w:trPr>
          <w:trHeight w:val="407" w:hRule="exact"/>
        </w:trPr>
        <w:tc>
          <w:tcPr>
            <w:tcW w:w="2980" w:type="dxa"/>
            <w:vMerge/>
            <w:tcBorders>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41"/>
              <w:jc w:val="right"/>
              <w:rPr>
                <w:rFonts w:ascii="Times New Roman" w:hAnsi="Times New Roman" w:cs="Times New Roman" w:eastAsia="Times New Roman" w:hint="default"/>
                <w:sz w:val="18"/>
                <w:szCs w:val="18"/>
              </w:rPr>
            </w:pPr>
            <w:r>
              <w:rPr>
                <w:rFonts w:ascii="Times New Roman"/>
                <w:spacing w:val="-1"/>
                <w:sz w:val="18"/>
              </w:rPr>
              <w:t>155,691,264.58</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40"/>
              <w:jc w:val="right"/>
              <w:rPr>
                <w:rFonts w:ascii="Times New Roman" w:hAnsi="Times New Roman" w:cs="Times New Roman" w:eastAsia="Times New Roman" w:hint="default"/>
                <w:sz w:val="18"/>
                <w:szCs w:val="18"/>
              </w:rPr>
            </w:pPr>
            <w:r>
              <w:rPr>
                <w:rFonts w:ascii="Times New Roman"/>
                <w:spacing w:val="-1"/>
                <w:sz w:val="18"/>
              </w:rPr>
              <w:t>108,777,095.65</w:t>
            </w:r>
          </w:p>
        </w:tc>
      </w:tr>
      <w:tr>
        <w:trPr>
          <w:trHeight w:val="407" w:hRule="exact"/>
        </w:trPr>
        <w:tc>
          <w:tcPr>
            <w:tcW w:w="29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367" w:lineRule="auto"/>
              <w:ind w:left="103" w:right="165"/>
              <w:jc w:val="left"/>
              <w:rPr>
                <w:rFonts w:ascii="宋体" w:hAnsi="宋体" w:cs="宋体" w:eastAsia="宋体" w:hint="default"/>
                <w:sz w:val="18"/>
                <w:szCs w:val="18"/>
              </w:rPr>
            </w:pPr>
            <w:r>
              <w:rPr>
                <w:rFonts w:ascii="宋体" w:hAnsi="宋体" w:cs="宋体" w:eastAsia="宋体" w:hint="default"/>
                <w:sz w:val="18"/>
                <w:szCs w:val="18"/>
              </w:rPr>
              <w:t>将应付票据和应付账款合并计入应 付票据及应付账款项目</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69" w:type="dxa"/>
            <w:tcBorders>
              <w:top w:val="single" w:sz="4" w:space="0" w:color="000000"/>
              <w:left w:val="single" w:sz="4" w:space="0" w:color="000000"/>
              <w:bottom w:val="single" w:sz="4" w:space="0" w:color="000000"/>
              <w:right w:val="single" w:sz="4" w:space="0" w:color="000000"/>
            </w:tcBorders>
          </w:tcPr>
          <w:p>
            <w:pP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0"/>
              <w:jc w:val="right"/>
              <w:rPr>
                <w:rFonts w:ascii="Times New Roman" w:hAnsi="Times New Roman" w:cs="Times New Roman" w:eastAsia="Times New Roman" w:hint="default"/>
                <w:sz w:val="18"/>
                <w:szCs w:val="18"/>
              </w:rPr>
            </w:pPr>
            <w:r>
              <w:rPr>
                <w:rFonts w:ascii="Times New Roman"/>
                <w:spacing w:val="-1"/>
                <w:sz w:val="18"/>
              </w:rPr>
              <w:t>-13,158,636.00</w:t>
            </w:r>
          </w:p>
        </w:tc>
      </w:tr>
      <w:tr>
        <w:trPr>
          <w:trHeight w:val="407" w:hRule="exact"/>
        </w:trPr>
        <w:tc>
          <w:tcPr>
            <w:tcW w:w="2980" w:type="dxa"/>
            <w:vMerge/>
            <w:tcBorders>
              <w:left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1"/>
              <w:jc w:val="right"/>
              <w:rPr>
                <w:rFonts w:ascii="Times New Roman" w:hAnsi="Times New Roman" w:cs="Times New Roman" w:eastAsia="Times New Roman" w:hint="default"/>
                <w:sz w:val="18"/>
                <w:szCs w:val="18"/>
              </w:rPr>
            </w:pPr>
            <w:r>
              <w:rPr>
                <w:rFonts w:ascii="Times New Roman"/>
                <w:spacing w:val="-1"/>
                <w:sz w:val="18"/>
              </w:rPr>
              <w:t>-56,244,946.79</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0"/>
              <w:jc w:val="right"/>
              <w:rPr>
                <w:rFonts w:ascii="Times New Roman" w:hAnsi="Times New Roman" w:cs="Times New Roman" w:eastAsia="Times New Roman" w:hint="default"/>
                <w:sz w:val="18"/>
                <w:szCs w:val="18"/>
              </w:rPr>
            </w:pPr>
            <w:r>
              <w:rPr>
                <w:rFonts w:ascii="Times New Roman"/>
                <w:spacing w:val="-1"/>
                <w:sz w:val="18"/>
              </w:rPr>
              <w:t>-37,898,597.33</w:t>
            </w:r>
          </w:p>
        </w:tc>
      </w:tr>
      <w:tr>
        <w:trPr>
          <w:trHeight w:val="407" w:hRule="exact"/>
        </w:trPr>
        <w:tc>
          <w:tcPr>
            <w:tcW w:w="2980" w:type="dxa"/>
            <w:vMerge/>
            <w:tcBorders>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1"/>
              <w:jc w:val="right"/>
              <w:rPr>
                <w:rFonts w:ascii="Times New Roman" w:hAnsi="Times New Roman" w:cs="Times New Roman" w:eastAsia="Times New Roman" w:hint="default"/>
                <w:sz w:val="18"/>
                <w:szCs w:val="18"/>
              </w:rPr>
            </w:pPr>
            <w:r>
              <w:rPr>
                <w:rFonts w:ascii="Times New Roman"/>
                <w:spacing w:val="-1"/>
                <w:sz w:val="18"/>
              </w:rPr>
              <w:t>56,244,946.79</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0"/>
              <w:jc w:val="right"/>
              <w:rPr>
                <w:rFonts w:ascii="Times New Roman" w:hAnsi="Times New Roman" w:cs="Times New Roman" w:eastAsia="Times New Roman" w:hint="default"/>
                <w:sz w:val="18"/>
                <w:szCs w:val="18"/>
              </w:rPr>
            </w:pPr>
            <w:r>
              <w:rPr>
                <w:rFonts w:ascii="Times New Roman"/>
                <w:spacing w:val="-1"/>
                <w:sz w:val="18"/>
              </w:rPr>
              <w:t>51,057,233.33</w:t>
            </w:r>
          </w:p>
        </w:tc>
      </w:tr>
      <w:tr>
        <w:trPr>
          <w:trHeight w:val="407" w:hRule="exact"/>
        </w:trPr>
        <w:tc>
          <w:tcPr>
            <w:tcW w:w="2980" w:type="dxa"/>
            <w:vMerge w:val="restart"/>
            <w:tcBorders>
              <w:top w:val="single" w:sz="4" w:space="0" w:color="000000"/>
              <w:left w:val="single" w:sz="4" w:space="0" w:color="000000"/>
              <w:right w:val="single" w:sz="4" w:space="0" w:color="000000"/>
            </w:tcBorders>
          </w:tcPr>
          <w:p>
            <w:pPr>
              <w:pStyle w:val="TableParagraph"/>
              <w:spacing w:line="367" w:lineRule="auto" w:before="121"/>
              <w:ind w:left="103" w:right="103"/>
              <w:jc w:val="left"/>
              <w:rPr>
                <w:rFonts w:ascii="宋体" w:hAnsi="宋体" w:cs="宋体" w:eastAsia="宋体" w:hint="default"/>
                <w:sz w:val="18"/>
                <w:szCs w:val="18"/>
              </w:rPr>
            </w:pPr>
            <w:r>
              <w:rPr>
                <w:rFonts w:ascii="宋体" w:hAnsi="宋体" w:cs="宋体" w:eastAsia="宋体" w:hint="default"/>
                <w:spacing w:val="3"/>
                <w:sz w:val="18"/>
                <w:szCs w:val="18"/>
              </w:rPr>
              <w:t>将原计入管理费用项目的研发费用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单独列示为研发费用项目</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1"/>
              <w:jc w:val="right"/>
              <w:rPr>
                <w:rFonts w:ascii="Times New Roman" w:hAnsi="Times New Roman" w:cs="Times New Roman" w:eastAsia="Times New Roman" w:hint="default"/>
                <w:sz w:val="18"/>
                <w:szCs w:val="18"/>
              </w:rPr>
            </w:pPr>
            <w:r>
              <w:rPr>
                <w:rFonts w:ascii="Times New Roman"/>
                <w:spacing w:val="-1"/>
                <w:sz w:val="18"/>
              </w:rPr>
              <w:t>24,252,042.35</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0"/>
              <w:jc w:val="right"/>
              <w:rPr>
                <w:rFonts w:ascii="Times New Roman" w:hAnsi="Times New Roman" w:cs="Times New Roman" w:eastAsia="Times New Roman" w:hint="default"/>
                <w:sz w:val="18"/>
                <w:szCs w:val="18"/>
              </w:rPr>
            </w:pPr>
            <w:r>
              <w:rPr>
                <w:rFonts w:ascii="Times New Roman"/>
                <w:spacing w:val="-1"/>
                <w:sz w:val="18"/>
              </w:rPr>
              <w:t>22,045,032.76</w:t>
            </w:r>
          </w:p>
        </w:tc>
      </w:tr>
      <w:tr>
        <w:trPr>
          <w:trHeight w:val="408" w:hRule="exact"/>
        </w:trPr>
        <w:tc>
          <w:tcPr>
            <w:tcW w:w="2980" w:type="dxa"/>
            <w:vMerge/>
            <w:tcBorders>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1"/>
              <w:jc w:val="right"/>
              <w:rPr>
                <w:rFonts w:ascii="Times New Roman" w:hAnsi="Times New Roman" w:cs="Times New Roman" w:eastAsia="Times New Roman" w:hint="default"/>
                <w:sz w:val="18"/>
                <w:szCs w:val="18"/>
              </w:rPr>
            </w:pPr>
            <w:r>
              <w:rPr>
                <w:rFonts w:ascii="Times New Roman"/>
                <w:spacing w:val="-1"/>
                <w:sz w:val="18"/>
              </w:rPr>
              <w:t>-24,252,042.35</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0"/>
              <w:jc w:val="right"/>
              <w:rPr>
                <w:rFonts w:ascii="Times New Roman" w:hAnsi="Times New Roman" w:cs="Times New Roman" w:eastAsia="Times New Roman" w:hint="default"/>
                <w:sz w:val="18"/>
                <w:szCs w:val="18"/>
              </w:rPr>
            </w:pPr>
            <w:r>
              <w:rPr>
                <w:rFonts w:ascii="Times New Roman"/>
                <w:spacing w:val="-1"/>
                <w:sz w:val="18"/>
              </w:rPr>
              <w:t>-22,045,032.76</w:t>
            </w:r>
          </w:p>
        </w:tc>
      </w:tr>
      <w:tr>
        <w:trPr>
          <w:trHeight w:val="407" w:hRule="exact"/>
        </w:trPr>
        <w:tc>
          <w:tcPr>
            <w:tcW w:w="2980" w:type="dxa"/>
            <w:vMerge w:val="restart"/>
            <w:tcBorders>
              <w:top w:val="single" w:sz="4" w:space="0" w:color="000000"/>
              <w:left w:val="single" w:sz="4" w:space="0" w:color="000000"/>
              <w:right w:val="single" w:sz="4" w:space="0" w:color="000000"/>
            </w:tcBorders>
          </w:tcPr>
          <w:p>
            <w:pPr>
              <w:pStyle w:val="TableParagraph"/>
              <w:spacing w:line="367" w:lineRule="auto" w:before="119"/>
              <w:ind w:left="103" w:right="104"/>
              <w:jc w:val="left"/>
              <w:rPr>
                <w:rFonts w:ascii="宋体" w:hAnsi="宋体" w:cs="宋体" w:eastAsia="宋体" w:hint="default"/>
                <w:sz w:val="18"/>
                <w:szCs w:val="18"/>
              </w:rPr>
            </w:pPr>
            <w:r>
              <w:rPr>
                <w:rFonts w:ascii="宋体" w:hAnsi="宋体" w:cs="宋体" w:eastAsia="宋体" w:hint="default"/>
                <w:spacing w:val="3"/>
                <w:sz w:val="18"/>
                <w:szCs w:val="18"/>
              </w:rPr>
              <w:t>将原计入营业外收入的个税手续费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返还计入其他收益</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41"/>
              <w:jc w:val="right"/>
              <w:rPr>
                <w:rFonts w:ascii="Times New Roman" w:hAnsi="Times New Roman" w:cs="Times New Roman" w:eastAsia="Times New Roman" w:hint="default"/>
                <w:sz w:val="18"/>
                <w:szCs w:val="18"/>
              </w:rPr>
            </w:pPr>
            <w:r>
              <w:rPr>
                <w:rFonts w:ascii="Times New Roman"/>
                <w:sz w:val="18"/>
              </w:rPr>
              <w:t>77,143.16</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40"/>
              <w:jc w:val="right"/>
              <w:rPr>
                <w:rFonts w:ascii="Times New Roman" w:hAnsi="Times New Roman" w:cs="Times New Roman" w:eastAsia="Times New Roman" w:hint="default"/>
                <w:sz w:val="18"/>
                <w:szCs w:val="18"/>
              </w:rPr>
            </w:pPr>
            <w:r>
              <w:rPr>
                <w:rFonts w:ascii="Times New Roman"/>
                <w:sz w:val="18"/>
              </w:rPr>
              <w:t>84,471.82</w:t>
            </w:r>
          </w:p>
        </w:tc>
      </w:tr>
      <w:tr>
        <w:trPr>
          <w:trHeight w:val="407" w:hRule="exact"/>
        </w:trPr>
        <w:tc>
          <w:tcPr>
            <w:tcW w:w="2980" w:type="dxa"/>
            <w:vMerge/>
            <w:tcBorders>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1"/>
              <w:jc w:val="right"/>
              <w:rPr>
                <w:rFonts w:ascii="Times New Roman" w:hAnsi="Times New Roman" w:cs="Times New Roman" w:eastAsia="Times New Roman" w:hint="default"/>
                <w:sz w:val="18"/>
                <w:szCs w:val="18"/>
              </w:rPr>
            </w:pPr>
            <w:r>
              <w:rPr>
                <w:rFonts w:ascii="Times New Roman"/>
                <w:w w:val="95"/>
                <w:sz w:val="18"/>
              </w:rPr>
              <w:t>-77,143.16</w:t>
            </w:r>
            <w:r>
              <w:rPr>
                <w:rFonts w:ascii="Times New Roman"/>
                <w:sz w:val="18"/>
              </w:rPr>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0"/>
              <w:jc w:val="right"/>
              <w:rPr>
                <w:rFonts w:ascii="Times New Roman" w:hAnsi="Times New Roman" w:cs="Times New Roman" w:eastAsia="Times New Roman" w:hint="default"/>
                <w:sz w:val="18"/>
                <w:szCs w:val="18"/>
              </w:rPr>
            </w:pPr>
            <w:r>
              <w:rPr>
                <w:rFonts w:ascii="Times New Roman"/>
                <w:w w:val="95"/>
                <w:sz w:val="18"/>
              </w:rPr>
              <w:t>-84,471.82</w:t>
            </w:r>
            <w:r>
              <w:rPr>
                <w:rFonts w:ascii="Times New Roman"/>
                <w:sz w:val="18"/>
              </w:rPr>
            </w:r>
          </w:p>
        </w:tc>
      </w:tr>
      <w:tr>
        <w:trPr>
          <w:trHeight w:val="731"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65"/>
              <w:jc w:val="left"/>
              <w:rPr>
                <w:rFonts w:ascii="宋体" w:hAnsi="宋体" w:cs="宋体" w:eastAsia="宋体" w:hint="default"/>
                <w:sz w:val="18"/>
                <w:szCs w:val="18"/>
              </w:rPr>
            </w:pPr>
            <w:r>
              <w:rPr>
                <w:rFonts w:ascii="宋体" w:hAnsi="宋体" w:cs="宋体" w:eastAsia="宋体" w:hint="default"/>
                <w:sz w:val="18"/>
                <w:szCs w:val="18"/>
              </w:rPr>
              <w:t>将与资产相关的政府补助计入收到 的其他与经营活动有关的现金</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1" w:right="264"/>
              <w:jc w:val="left"/>
              <w:rPr>
                <w:rFonts w:ascii="宋体" w:hAnsi="宋体" w:cs="宋体" w:eastAsia="宋体" w:hint="default"/>
                <w:sz w:val="18"/>
                <w:szCs w:val="18"/>
              </w:rPr>
            </w:pPr>
            <w:r>
              <w:rPr>
                <w:rFonts w:ascii="宋体" w:hAnsi="宋体" w:cs="宋体" w:eastAsia="宋体" w:hint="default"/>
                <w:sz w:val="18"/>
                <w:szCs w:val="18"/>
              </w:rPr>
              <w:t>收到的其他与投资活动有关的 现金</w:t>
            </w:r>
            <w:r>
              <w:rPr>
                <w:rFonts w:ascii="宋体" w:hAnsi="宋体" w:cs="宋体" w:eastAsia="宋体" w:hint="default"/>
                <w:sz w:val="18"/>
                <w:szCs w:val="18"/>
              </w:rPr>
              <w:t>-</w:t>
            </w:r>
            <w:r>
              <w:rPr>
                <w:rFonts w:ascii="宋体" w:hAnsi="宋体" w:cs="宋体" w:eastAsia="宋体" w:hint="default"/>
                <w:sz w:val="18"/>
                <w:szCs w:val="18"/>
              </w:rPr>
              <w:t>与资产相关的政府补助</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-1,500,000.00</w:t>
            </w:r>
          </w:p>
        </w:tc>
        <w:tc>
          <w:tcPr>
            <w:tcW w:w="222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20" w:right="0"/>
        </w:sectPr>
      </w:pPr>
    </w:p>
    <w:p>
      <w:pPr>
        <w:spacing w:line="240" w:lineRule="auto" w:before="6"/>
        <w:rPr>
          <w:rFonts w:ascii="宋体" w:hAnsi="宋体" w:cs="宋体" w:eastAsia="宋体" w:hint="default"/>
          <w:b/>
          <w:bCs/>
          <w:sz w:val="28"/>
          <w:szCs w:val="28"/>
        </w:rPr>
      </w:pPr>
    </w:p>
    <w:tbl>
      <w:tblPr>
        <w:tblW w:w="0" w:type="auto"/>
        <w:jc w:val="left"/>
        <w:tblInd w:w="101" w:type="dxa"/>
        <w:tblLayout w:type="fixed"/>
        <w:tblCellMar>
          <w:top w:w="0" w:type="dxa"/>
          <w:left w:w="0" w:type="dxa"/>
          <w:bottom w:w="0" w:type="dxa"/>
          <w:right w:w="0" w:type="dxa"/>
        </w:tblCellMar>
        <w:tblLook w:val="01E0"/>
      </w:tblPr>
      <w:tblGrid>
        <w:gridCol w:w="2980"/>
        <w:gridCol w:w="2718"/>
        <w:gridCol w:w="2169"/>
        <w:gridCol w:w="2224"/>
      </w:tblGrid>
      <w:tr>
        <w:trPr>
          <w:trHeight w:val="407"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00"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5" w:right="0"/>
              <w:jc w:val="left"/>
              <w:rPr>
                <w:rFonts w:ascii="宋体" w:hAnsi="宋体" w:cs="宋体" w:eastAsia="宋体" w:hint="default"/>
                <w:sz w:val="18"/>
                <w:szCs w:val="18"/>
              </w:rPr>
            </w:pPr>
            <w:r>
              <w:rPr>
                <w:rFonts w:ascii="宋体" w:hAnsi="宋体" w:cs="宋体" w:eastAsia="宋体" w:hint="default"/>
                <w:b/>
                <w:bCs/>
                <w:sz w:val="18"/>
                <w:szCs w:val="18"/>
              </w:rPr>
              <w:t>影响期末或本期金额</w:t>
            </w:r>
            <w:r>
              <w:rPr>
                <w:rFonts w:ascii="宋体" w:hAnsi="宋体" w:cs="宋体" w:eastAsia="宋体" w:hint="default"/>
                <w:sz w:val="18"/>
                <w:szCs w:val="18"/>
              </w:rPr>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37" w:right="0"/>
              <w:jc w:val="left"/>
              <w:rPr>
                <w:rFonts w:ascii="宋体" w:hAnsi="宋体" w:cs="宋体" w:eastAsia="宋体" w:hint="default"/>
                <w:sz w:val="18"/>
                <w:szCs w:val="18"/>
              </w:rPr>
            </w:pPr>
            <w:r>
              <w:rPr>
                <w:rFonts w:ascii="宋体" w:hAnsi="宋体" w:cs="宋体" w:eastAsia="宋体" w:hint="default"/>
                <w:b/>
                <w:bCs/>
                <w:sz w:val="18"/>
                <w:szCs w:val="18"/>
              </w:rPr>
              <w:t>影响期初或上期金额</w:t>
            </w:r>
            <w:r>
              <w:rPr>
                <w:rFonts w:ascii="宋体" w:hAnsi="宋体" w:cs="宋体" w:eastAsia="宋体" w:hint="default"/>
                <w:sz w:val="18"/>
                <w:szCs w:val="18"/>
              </w:rPr>
            </w:r>
          </w:p>
        </w:tc>
      </w:tr>
      <w:tr>
        <w:trPr>
          <w:trHeight w:val="731" w:hRule="exact"/>
        </w:trPr>
        <w:tc>
          <w:tcPr>
            <w:tcW w:w="2980" w:type="dxa"/>
            <w:tcBorders>
              <w:top w:val="single" w:sz="4" w:space="0" w:color="000000"/>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
              <w:ind w:left="101" w:right="264"/>
              <w:jc w:val="left"/>
              <w:rPr>
                <w:rFonts w:ascii="宋体" w:hAnsi="宋体" w:cs="宋体" w:eastAsia="宋体" w:hint="default"/>
                <w:sz w:val="18"/>
                <w:szCs w:val="18"/>
              </w:rPr>
            </w:pPr>
            <w:r>
              <w:rPr>
                <w:rFonts w:ascii="宋体" w:hAnsi="宋体" w:cs="宋体" w:eastAsia="宋体" w:hint="default"/>
                <w:sz w:val="18"/>
                <w:szCs w:val="18"/>
              </w:rPr>
              <w:t>收到的其他与经营活动有关的 现金</w:t>
            </w:r>
            <w:r>
              <w:rPr>
                <w:rFonts w:ascii="宋体" w:hAnsi="宋体" w:cs="宋体" w:eastAsia="宋体" w:hint="default"/>
                <w:sz w:val="18"/>
                <w:szCs w:val="18"/>
              </w:rPr>
              <w:t>-</w:t>
            </w:r>
            <w:r>
              <w:rPr>
                <w:rFonts w:ascii="宋体" w:hAnsi="宋体" w:cs="宋体" w:eastAsia="宋体" w:hint="default"/>
                <w:sz w:val="18"/>
                <w:szCs w:val="18"/>
              </w:rPr>
              <w:t>政府补助</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3"/>
                <w:szCs w:val="23"/>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Times New Roman"/>
                <w:sz w:val="18"/>
              </w:rPr>
              <w:t>1,500,000.00</w:t>
            </w:r>
          </w:p>
        </w:tc>
        <w:tc>
          <w:tcPr>
            <w:tcW w:w="2224"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65"/>
              <w:jc w:val="left"/>
              <w:rPr>
                <w:rFonts w:ascii="宋体" w:hAnsi="宋体" w:cs="宋体" w:eastAsia="宋体" w:hint="default"/>
                <w:sz w:val="18"/>
                <w:szCs w:val="18"/>
              </w:rPr>
            </w:pPr>
            <w:r>
              <w:rPr>
                <w:rFonts w:ascii="宋体" w:hAnsi="宋体" w:cs="宋体" w:eastAsia="宋体" w:hint="default"/>
                <w:sz w:val="18"/>
                <w:szCs w:val="18"/>
              </w:rPr>
              <w:t>新增“设定受益计划变动额结转留 存收益”项目</w:t>
            </w:r>
          </w:p>
        </w:tc>
        <w:tc>
          <w:tcPr>
            <w:tcW w:w="71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合并所有者权益变动表：无影响</w:t>
            </w:r>
          </w:p>
        </w:tc>
      </w:tr>
    </w:tbl>
    <w:p>
      <w:pPr>
        <w:spacing w:line="240" w:lineRule="auto" w:before="12"/>
        <w:rPr>
          <w:rFonts w:ascii="宋体" w:hAnsi="宋体" w:cs="宋体" w:eastAsia="宋体" w:hint="default"/>
          <w:b/>
          <w:bCs/>
          <w:sz w:val="23"/>
          <w:szCs w:val="23"/>
        </w:rPr>
      </w:pPr>
    </w:p>
    <w:p>
      <w:pPr>
        <w:pStyle w:val="Heading5"/>
        <w:spacing w:line="240" w:lineRule="auto"/>
        <w:ind w:left="575" w:right="0"/>
        <w:jc w:val="left"/>
        <w:rPr>
          <w:b w:val="0"/>
          <w:bCs w:val="0"/>
        </w:rPr>
      </w:pPr>
      <w:r>
        <w:rPr/>
        <w:t>该会计政策变化对公司报告期母公司财务报表影响列示如下：</w:t>
      </w:r>
      <w:r>
        <w:rPr>
          <w:b w:val="0"/>
          <w:bCs w:val="0"/>
        </w:rPr>
      </w:r>
    </w:p>
    <w:p>
      <w:pPr>
        <w:spacing w:line="240" w:lineRule="auto" w:before="8"/>
        <w:rPr>
          <w:rFonts w:ascii="宋体" w:hAnsi="宋体" w:cs="宋体" w:eastAsia="宋体" w:hint="default"/>
          <w:b/>
          <w:bCs/>
          <w:sz w:val="15"/>
          <w:szCs w:val="15"/>
        </w:rPr>
      </w:pPr>
    </w:p>
    <w:tbl>
      <w:tblPr>
        <w:tblW w:w="0" w:type="auto"/>
        <w:jc w:val="left"/>
        <w:tblInd w:w="101" w:type="dxa"/>
        <w:tblLayout w:type="fixed"/>
        <w:tblCellMar>
          <w:top w:w="0" w:type="dxa"/>
          <w:left w:w="0" w:type="dxa"/>
          <w:bottom w:w="0" w:type="dxa"/>
          <w:right w:w="0" w:type="dxa"/>
        </w:tblCellMar>
        <w:tblLook w:val="01E0"/>
      </w:tblPr>
      <w:tblGrid>
        <w:gridCol w:w="2980"/>
        <w:gridCol w:w="2555"/>
        <w:gridCol w:w="2132"/>
        <w:gridCol w:w="2069"/>
      </w:tblGrid>
      <w:tr>
        <w:trPr>
          <w:trHeight w:val="407"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400"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48" w:right="0"/>
              <w:jc w:val="left"/>
              <w:rPr>
                <w:rFonts w:ascii="宋体" w:hAnsi="宋体" w:cs="宋体" w:eastAsia="宋体" w:hint="default"/>
                <w:sz w:val="18"/>
                <w:szCs w:val="18"/>
              </w:rPr>
            </w:pPr>
            <w:r>
              <w:rPr>
                <w:rFonts w:ascii="宋体" w:hAnsi="宋体" w:cs="宋体" w:eastAsia="宋体" w:hint="default"/>
                <w:b/>
                <w:bCs/>
                <w:sz w:val="18"/>
                <w:szCs w:val="18"/>
              </w:rPr>
              <w:t>影响期末或本期金额</w:t>
            </w:r>
            <w:r>
              <w:rPr>
                <w:rFonts w:ascii="宋体" w:hAnsi="宋体" w:cs="宋体" w:eastAsia="宋体" w:hint="default"/>
                <w:sz w:val="18"/>
                <w:szCs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72"/>
              <w:jc w:val="right"/>
              <w:rPr>
                <w:rFonts w:ascii="宋体" w:hAnsi="宋体" w:cs="宋体" w:eastAsia="宋体" w:hint="default"/>
                <w:sz w:val="18"/>
                <w:szCs w:val="18"/>
              </w:rPr>
            </w:pPr>
            <w:r>
              <w:rPr>
                <w:rFonts w:ascii="宋体" w:hAnsi="宋体" w:cs="宋体" w:eastAsia="宋体" w:hint="default"/>
                <w:b/>
                <w:bCs/>
                <w:w w:val="95"/>
                <w:sz w:val="18"/>
                <w:szCs w:val="18"/>
              </w:rPr>
              <w:t>影响期初或上期金额</w:t>
            </w:r>
            <w:r>
              <w:rPr>
                <w:rFonts w:ascii="宋体" w:hAnsi="宋体" w:cs="宋体" w:eastAsia="宋体" w:hint="default"/>
                <w:sz w:val="18"/>
                <w:szCs w:val="18"/>
              </w:rPr>
            </w:r>
          </w:p>
        </w:tc>
      </w:tr>
      <w:tr>
        <w:trPr>
          <w:trHeight w:val="407" w:hRule="exact"/>
        </w:trPr>
        <w:tc>
          <w:tcPr>
            <w:tcW w:w="29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367" w:lineRule="auto"/>
              <w:ind w:left="103" w:right="102"/>
              <w:jc w:val="left"/>
              <w:rPr>
                <w:rFonts w:ascii="宋体" w:hAnsi="宋体" w:cs="宋体" w:eastAsia="宋体" w:hint="default"/>
                <w:sz w:val="18"/>
                <w:szCs w:val="18"/>
              </w:rPr>
            </w:pPr>
            <w:r>
              <w:rPr>
                <w:rFonts w:ascii="宋体" w:hAnsi="宋体" w:cs="宋体" w:eastAsia="宋体" w:hint="default"/>
                <w:spacing w:val="3"/>
                <w:sz w:val="18"/>
                <w:szCs w:val="18"/>
              </w:rPr>
              <w:t>将应收票据和应收账款合并计入应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收票据及应收账款项目</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16"/>
              <w:jc w:val="right"/>
              <w:rPr>
                <w:rFonts w:ascii="Times New Roman" w:hAnsi="Times New Roman" w:cs="Times New Roman" w:eastAsia="Times New Roman" w:hint="default"/>
                <w:sz w:val="18"/>
                <w:szCs w:val="18"/>
              </w:rPr>
            </w:pPr>
            <w:r>
              <w:rPr>
                <w:rFonts w:ascii="Times New Roman"/>
                <w:w w:val="95"/>
                <w:sz w:val="18"/>
              </w:rPr>
              <w:t>-30,000.00</w:t>
            </w:r>
            <w:r>
              <w:rPr>
                <w:rFonts w:ascii="Times New Roman"/>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31"/>
              <w:jc w:val="right"/>
              <w:rPr>
                <w:rFonts w:ascii="Times New Roman" w:hAnsi="Times New Roman" w:cs="Times New Roman" w:eastAsia="Times New Roman" w:hint="default"/>
                <w:sz w:val="18"/>
                <w:szCs w:val="18"/>
              </w:rPr>
            </w:pPr>
            <w:r>
              <w:rPr>
                <w:rFonts w:ascii="Times New Roman"/>
                <w:spacing w:val="-1"/>
                <w:sz w:val="18"/>
              </w:rPr>
              <w:t>-1,964,488.04</w:t>
            </w:r>
          </w:p>
        </w:tc>
      </w:tr>
      <w:tr>
        <w:trPr>
          <w:trHeight w:val="407" w:hRule="exact"/>
        </w:trPr>
        <w:tc>
          <w:tcPr>
            <w:tcW w:w="2980" w:type="dxa"/>
            <w:vMerge/>
            <w:tcBorders>
              <w:left w:val="single" w:sz="4" w:space="0" w:color="000000"/>
              <w:right w:val="single" w:sz="4" w:space="0" w:color="000000"/>
            </w:tcBorders>
          </w:tcPr>
          <w:p>
            <w:pP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6"/>
              <w:jc w:val="right"/>
              <w:rPr>
                <w:rFonts w:ascii="Times New Roman" w:hAnsi="Times New Roman" w:cs="Times New Roman" w:eastAsia="Times New Roman" w:hint="default"/>
                <w:sz w:val="18"/>
                <w:szCs w:val="18"/>
              </w:rPr>
            </w:pPr>
            <w:r>
              <w:rPr>
                <w:rFonts w:ascii="Times New Roman"/>
                <w:spacing w:val="-1"/>
                <w:sz w:val="18"/>
              </w:rPr>
              <w:t>-154,881,114.50</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31"/>
              <w:jc w:val="right"/>
              <w:rPr>
                <w:rFonts w:ascii="Times New Roman" w:hAnsi="Times New Roman" w:cs="Times New Roman" w:eastAsia="Times New Roman" w:hint="default"/>
                <w:sz w:val="18"/>
                <w:szCs w:val="18"/>
              </w:rPr>
            </w:pPr>
            <w:r>
              <w:rPr>
                <w:rFonts w:ascii="Times New Roman"/>
                <w:spacing w:val="-1"/>
                <w:sz w:val="18"/>
              </w:rPr>
              <w:t>-106,404,070.70</w:t>
            </w:r>
          </w:p>
        </w:tc>
      </w:tr>
      <w:tr>
        <w:trPr>
          <w:trHeight w:val="407" w:hRule="exact"/>
        </w:trPr>
        <w:tc>
          <w:tcPr>
            <w:tcW w:w="2980" w:type="dxa"/>
            <w:vMerge/>
            <w:tcBorders>
              <w:left w:val="single" w:sz="4" w:space="0" w:color="000000"/>
              <w:bottom w:val="single" w:sz="4" w:space="0" w:color="000000"/>
              <w:right w:val="single" w:sz="4" w:space="0" w:color="000000"/>
            </w:tcBorders>
          </w:tcPr>
          <w:p>
            <w:pP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7"/>
              <w:jc w:val="right"/>
              <w:rPr>
                <w:rFonts w:ascii="Times New Roman" w:hAnsi="Times New Roman" w:cs="Times New Roman" w:eastAsia="Times New Roman" w:hint="default"/>
                <w:sz w:val="18"/>
                <w:szCs w:val="18"/>
              </w:rPr>
            </w:pPr>
            <w:r>
              <w:rPr>
                <w:rFonts w:ascii="Times New Roman"/>
                <w:spacing w:val="-1"/>
                <w:sz w:val="18"/>
              </w:rPr>
              <w:t>154,911,114.50</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31"/>
              <w:jc w:val="right"/>
              <w:rPr>
                <w:rFonts w:ascii="Times New Roman" w:hAnsi="Times New Roman" w:cs="Times New Roman" w:eastAsia="Times New Roman" w:hint="default"/>
                <w:sz w:val="18"/>
                <w:szCs w:val="18"/>
              </w:rPr>
            </w:pPr>
            <w:r>
              <w:rPr>
                <w:rFonts w:ascii="Times New Roman"/>
                <w:spacing w:val="-1"/>
                <w:sz w:val="18"/>
              </w:rPr>
              <w:t>108,368,558.74</w:t>
            </w:r>
          </w:p>
        </w:tc>
      </w:tr>
      <w:tr>
        <w:trPr>
          <w:trHeight w:val="407" w:hRule="exact"/>
        </w:trPr>
        <w:tc>
          <w:tcPr>
            <w:tcW w:w="29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367" w:lineRule="auto"/>
              <w:ind w:left="103" w:right="165"/>
              <w:jc w:val="left"/>
              <w:rPr>
                <w:rFonts w:ascii="宋体" w:hAnsi="宋体" w:cs="宋体" w:eastAsia="宋体" w:hint="default"/>
                <w:sz w:val="18"/>
                <w:szCs w:val="18"/>
              </w:rPr>
            </w:pPr>
            <w:r>
              <w:rPr>
                <w:rFonts w:ascii="宋体" w:hAnsi="宋体" w:cs="宋体" w:eastAsia="宋体" w:hint="default"/>
                <w:sz w:val="18"/>
                <w:szCs w:val="18"/>
              </w:rPr>
              <w:t>将应付票据和应付账款合并计入应 付票据及应付账款项目</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32"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31"/>
              <w:jc w:val="right"/>
              <w:rPr>
                <w:rFonts w:ascii="Times New Roman" w:hAnsi="Times New Roman" w:cs="Times New Roman" w:eastAsia="Times New Roman" w:hint="default"/>
                <w:sz w:val="18"/>
                <w:szCs w:val="18"/>
              </w:rPr>
            </w:pPr>
            <w:r>
              <w:rPr>
                <w:rFonts w:ascii="Times New Roman"/>
                <w:spacing w:val="-1"/>
                <w:sz w:val="18"/>
              </w:rPr>
              <w:t>-13,158,636.00</w:t>
            </w:r>
          </w:p>
        </w:tc>
      </w:tr>
      <w:tr>
        <w:trPr>
          <w:trHeight w:val="408" w:hRule="exact"/>
        </w:trPr>
        <w:tc>
          <w:tcPr>
            <w:tcW w:w="2980" w:type="dxa"/>
            <w:vMerge/>
            <w:tcBorders>
              <w:left w:val="single" w:sz="4" w:space="0" w:color="000000"/>
              <w:right w:val="single" w:sz="4" w:space="0" w:color="000000"/>
            </w:tcBorders>
          </w:tcPr>
          <w:p>
            <w:pP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6"/>
              <w:jc w:val="right"/>
              <w:rPr>
                <w:rFonts w:ascii="Times New Roman" w:hAnsi="Times New Roman" w:cs="Times New Roman" w:eastAsia="Times New Roman" w:hint="default"/>
                <w:sz w:val="18"/>
                <w:szCs w:val="18"/>
              </w:rPr>
            </w:pPr>
            <w:r>
              <w:rPr>
                <w:rFonts w:ascii="Times New Roman"/>
                <w:spacing w:val="-1"/>
                <w:sz w:val="18"/>
              </w:rPr>
              <w:t>-50,006,603.40</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31"/>
              <w:jc w:val="right"/>
              <w:rPr>
                <w:rFonts w:ascii="Times New Roman" w:hAnsi="Times New Roman" w:cs="Times New Roman" w:eastAsia="Times New Roman" w:hint="default"/>
                <w:sz w:val="18"/>
                <w:szCs w:val="18"/>
              </w:rPr>
            </w:pPr>
            <w:r>
              <w:rPr>
                <w:rFonts w:ascii="Times New Roman"/>
                <w:spacing w:val="-1"/>
                <w:sz w:val="18"/>
              </w:rPr>
              <w:t>-37,446,448.61</w:t>
            </w:r>
          </w:p>
        </w:tc>
      </w:tr>
      <w:tr>
        <w:trPr>
          <w:trHeight w:val="407" w:hRule="exact"/>
        </w:trPr>
        <w:tc>
          <w:tcPr>
            <w:tcW w:w="2980" w:type="dxa"/>
            <w:vMerge/>
            <w:tcBorders>
              <w:left w:val="single" w:sz="4" w:space="0" w:color="000000"/>
              <w:bottom w:val="single" w:sz="4" w:space="0" w:color="000000"/>
              <w:right w:val="single" w:sz="4" w:space="0" w:color="000000"/>
            </w:tcBorders>
          </w:tcPr>
          <w:p>
            <w:pP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16"/>
              <w:jc w:val="right"/>
              <w:rPr>
                <w:rFonts w:ascii="Times New Roman" w:hAnsi="Times New Roman" w:cs="Times New Roman" w:eastAsia="Times New Roman" w:hint="default"/>
                <w:sz w:val="18"/>
                <w:szCs w:val="18"/>
              </w:rPr>
            </w:pPr>
            <w:r>
              <w:rPr>
                <w:rFonts w:ascii="Times New Roman"/>
                <w:spacing w:val="-1"/>
                <w:sz w:val="18"/>
              </w:rPr>
              <w:t>50,006,603.40</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31"/>
              <w:jc w:val="right"/>
              <w:rPr>
                <w:rFonts w:ascii="Times New Roman" w:hAnsi="Times New Roman" w:cs="Times New Roman" w:eastAsia="Times New Roman" w:hint="default"/>
                <w:sz w:val="18"/>
                <w:szCs w:val="18"/>
              </w:rPr>
            </w:pPr>
            <w:r>
              <w:rPr>
                <w:rFonts w:ascii="Times New Roman"/>
                <w:spacing w:val="-1"/>
                <w:sz w:val="18"/>
              </w:rPr>
              <w:t>50,605,084.61</w:t>
            </w:r>
          </w:p>
        </w:tc>
      </w:tr>
      <w:tr>
        <w:trPr>
          <w:trHeight w:val="407" w:hRule="exact"/>
        </w:trPr>
        <w:tc>
          <w:tcPr>
            <w:tcW w:w="2980" w:type="dxa"/>
            <w:vMerge w:val="restart"/>
            <w:tcBorders>
              <w:top w:val="single" w:sz="4" w:space="0" w:color="000000"/>
              <w:left w:val="single" w:sz="4" w:space="0" w:color="000000"/>
              <w:right w:val="single" w:sz="4" w:space="0" w:color="000000"/>
            </w:tcBorders>
          </w:tcPr>
          <w:p>
            <w:pPr>
              <w:pStyle w:val="TableParagraph"/>
              <w:spacing w:line="367" w:lineRule="auto" w:before="119"/>
              <w:ind w:left="103" w:right="102"/>
              <w:jc w:val="left"/>
              <w:rPr>
                <w:rFonts w:ascii="宋体" w:hAnsi="宋体" w:cs="宋体" w:eastAsia="宋体" w:hint="default"/>
                <w:sz w:val="18"/>
                <w:szCs w:val="18"/>
              </w:rPr>
            </w:pPr>
            <w:r>
              <w:rPr>
                <w:rFonts w:ascii="宋体" w:hAnsi="宋体" w:cs="宋体" w:eastAsia="宋体" w:hint="default"/>
                <w:spacing w:val="3"/>
                <w:sz w:val="18"/>
                <w:szCs w:val="18"/>
              </w:rPr>
              <w:t>将原计入管理费用项目的研发费用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单独列示为研发费用项目</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16"/>
              <w:jc w:val="right"/>
              <w:rPr>
                <w:rFonts w:ascii="Times New Roman" w:hAnsi="Times New Roman" w:cs="Times New Roman" w:eastAsia="Times New Roman" w:hint="default"/>
                <w:sz w:val="18"/>
                <w:szCs w:val="18"/>
              </w:rPr>
            </w:pPr>
            <w:r>
              <w:rPr>
                <w:rFonts w:ascii="Times New Roman"/>
                <w:spacing w:val="-1"/>
                <w:sz w:val="18"/>
              </w:rPr>
              <w:t>23,500,937.22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31"/>
              <w:jc w:val="right"/>
              <w:rPr>
                <w:rFonts w:ascii="Times New Roman" w:hAnsi="Times New Roman" w:cs="Times New Roman" w:eastAsia="Times New Roman" w:hint="default"/>
                <w:sz w:val="18"/>
                <w:szCs w:val="18"/>
              </w:rPr>
            </w:pPr>
            <w:r>
              <w:rPr>
                <w:rFonts w:ascii="Times New Roman"/>
                <w:spacing w:val="-1"/>
                <w:sz w:val="18"/>
              </w:rPr>
              <w:t>21,392,189.57</w:t>
            </w:r>
          </w:p>
        </w:tc>
      </w:tr>
      <w:tr>
        <w:trPr>
          <w:trHeight w:val="407" w:hRule="exact"/>
        </w:trPr>
        <w:tc>
          <w:tcPr>
            <w:tcW w:w="2980" w:type="dxa"/>
            <w:vMerge/>
            <w:tcBorders>
              <w:left w:val="single" w:sz="4" w:space="0" w:color="000000"/>
              <w:bottom w:val="single" w:sz="4" w:space="0" w:color="000000"/>
              <w:right w:val="single" w:sz="4" w:space="0" w:color="000000"/>
            </w:tcBorders>
          </w:tcPr>
          <w:p>
            <w:pP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6"/>
              <w:jc w:val="right"/>
              <w:rPr>
                <w:rFonts w:ascii="Times New Roman" w:hAnsi="Times New Roman" w:cs="Times New Roman" w:eastAsia="Times New Roman" w:hint="default"/>
                <w:sz w:val="18"/>
                <w:szCs w:val="18"/>
              </w:rPr>
            </w:pPr>
            <w:r>
              <w:rPr>
                <w:rFonts w:ascii="Times New Roman"/>
                <w:spacing w:val="-1"/>
                <w:sz w:val="18"/>
              </w:rPr>
              <w:t>-23,500,937.22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31"/>
              <w:jc w:val="right"/>
              <w:rPr>
                <w:rFonts w:ascii="Times New Roman" w:hAnsi="Times New Roman" w:cs="Times New Roman" w:eastAsia="Times New Roman" w:hint="default"/>
                <w:sz w:val="18"/>
                <w:szCs w:val="18"/>
              </w:rPr>
            </w:pPr>
            <w:r>
              <w:rPr>
                <w:rFonts w:ascii="Times New Roman"/>
                <w:spacing w:val="-1"/>
                <w:sz w:val="18"/>
              </w:rPr>
              <w:t>-21,392,189.57</w:t>
            </w:r>
          </w:p>
        </w:tc>
      </w:tr>
      <w:tr>
        <w:trPr>
          <w:trHeight w:val="407" w:hRule="exact"/>
        </w:trPr>
        <w:tc>
          <w:tcPr>
            <w:tcW w:w="2980" w:type="dxa"/>
            <w:vMerge w:val="restart"/>
            <w:tcBorders>
              <w:top w:val="single" w:sz="4" w:space="0" w:color="000000"/>
              <w:left w:val="single" w:sz="4" w:space="0" w:color="000000"/>
              <w:right w:val="single" w:sz="4" w:space="0" w:color="000000"/>
            </w:tcBorders>
          </w:tcPr>
          <w:p>
            <w:pPr>
              <w:pStyle w:val="TableParagraph"/>
              <w:spacing w:line="367" w:lineRule="auto" w:before="119"/>
              <w:ind w:left="103" w:right="102"/>
              <w:jc w:val="left"/>
              <w:rPr>
                <w:rFonts w:ascii="宋体" w:hAnsi="宋体" w:cs="宋体" w:eastAsia="宋体" w:hint="default"/>
                <w:sz w:val="18"/>
                <w:szCs w:val="18"/>
              </w:rPr>
            </w:pPr>
            <w:r>
              <w:rPr>
                <w:rFonts w:ascii="宋体" w:hAnsi="宋体" w:cs="宋体" w:eastAsia="宋体" w:hint="default"/>
                <w:spacing w:val="3"/>
                <w:sz w:val="18"/>
                <w:szCs w:val="18"/>
              </w:rPr>
              <w:t>将原计入营业外收入的个税手续费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返还计入其他收益</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6"/>
              <w:jc w:val="right"/>
              <w:rPr>
                <w:rFonts w:ascii="Times New Roman" w:hAnsi="Times New Roman" w:cs="Times New Roman" w:eastAsia="Times New Roman" w:hint="default"/>
                <w:sz w:val="18"/>
                <w:szCs w:val="18"/>
              </w:rPr>
            </w:pPr>
            <w:r>
              <w:rPr>
                <w:rFonts w:ascii="Times New Roman"/>
                <w:sz w:val="18"/>
              </w:rPr>
              <w:t>77,143.16</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31"/>
              <w:jc w:val="right"/>
              <w:rPr>
                <w:rFonts w:ascii="Times New Roman" w:hAnsi="Times New Roman" w:cs="Times New Roman" w:eastAsia="Times New Roman" w:hint="default"/>
                <w:sz w:val="18"/>
                <w:szCs w:val="18"/>
              </w:rPr>
            </w:pPr>
            <w:r>
              <w:rPr>
                <w:rFonts w:ascii="Times New Roman"/>
                <w:sz w:val="18"/>
              </w:rPr>
              <w:t>79,459.39</w:t>
            </w:r>
          </w:p>
        </w:tc>
      </w:tr>
      <w:tr>
        <w:trPr>
          <w:trHeight w:val="407" w:hRule="exact"/>
        </w:trPr>
        <w:tc>
          <w:tcPr>
            <w:tcW w:w="2980" w:type="dxa"/>
            <w:vMerge/>
            <w:tcBorders>
              <w:left w:val="single" w:sz="4" w:space="0" w:color="000000"/>
              <w:bottom w:val="single" w:sz="4" w:space="0" w:color="000000"/>
              <w:right w:val="single" w:sz="4" w:space="0" w:color="000000"/>
            </w:tcBorders>
          </w:tcPr>
          <w:p>
            <w:pP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6"/>
              <w:jc w:val="right"/>
              <w:rPr>
                <w:rFonts w:ascii="Times New Roman" w:hAnsi="Times New Roman" w:cs="Times New Roman" w:eastAsia="Times New Roman" w:hint="default"/>
                <w:sz w:val="18"/>
                <w:szCs w:val="18"/>
              </w:rPr>
            </w:pPr>
            <w:r>
              <w:rPr>
                <w:rFonts w:ascii="Times New Roman"/>
                <w:w w:val="95"/>
                <w:sz w:val="18"/>
              </w:rPr>
              <w:t>-77,143.16</w:t>
            </w:r>
            <w:r>
              <w:rPr>
                <w:rFonts w:ascii="Times New Roman"/>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31"/>
              <w:jc w:val="right"/>
              <w:rPr>
                <w:rFonts w:ascii="Times New Roman" w:hAnsi="Times New Roman" w:cs="Times New Roman" w:eastAsia="Times New Roman" w:hint="default"/>
                <w:sz w:val="18"/>
                <w:szCs w:val="18"/>
              </w:rPr>
            </w:pPr>
            <w:r>
              <w:rPr>
                <w:rFonts w:ascii="Times New Roman"/>
                <w:w w:val="95"/>
                <w:sz w:val="18"/>
              </w:rPr>
              <w:t>-79,459.39</w:t>
            </w:r>
            <w:r>
              <w:rPr>
                <w:rFonts w:ascii="Times New Roman"/>
                <w:sz w:val="18"/>
              </w:rPr>
            </w:r>
          </w:p>
        </w:tc>
      </w:tr>
      <w:tr>
        <w:trPr>
          <w:trHeight w:val="1091" w:hRule="exact"/>
        </w:trPr>
        <w:tc>
          <w:tcPr>
            <w:tcW w:w="2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67" w:lineRule="auto" w:before="152"/>
              <w:ind w:left="103" w:right="165"/>
              <w:jc w:val="left"/>
              <w:rPr>
                <w:rFonts w:ascii="宋体" w:hAnsi="宋体" w:cs="宋体" w:eastAsia="宋体" w:hint="default"/>
                <w:sz w:val="18"/>
                <w:szCs w:val="18"/>
              </w:rPr>
            </w:pPr>
            <w:r>
              <w:rPr>
                <w:rFonts w:ascii="宋体" w:hAnsi="宋体" w:cs="宋体" w:eastAsia="宋体" w:hint="default"/>
                <w:sz w:val="18"/>
                <w:szCs w:val="18"/>
              </w:rPr>
              <w:t>将与资产相关的政府补助计入收到 的其他与经营活动有关的现金</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
              <w:ind w:left="103" w:right="190"/>
              <w:jc w:val="left"/>
              <w:rPr>
                <w:rFonts w:ascii="宋体" w:hAnsi="宋体" w:cs="宋体" w:eastAsia="宋体" w:hint="default"/>
                <w:sz w:val="18"/>
                <w:szCs w:val="18"/>
              </w:rPr>
            </w:pPr>
            <w:r>
              <w:rPr>
                <w:rFonts w:ascii="宋体" w:hAnsi="宋体" w:cs="宋体" w:eastAsia="宋体" w:hint="default"/>
                <w:sz w:val="18"/>
                <w:szCs w:val="18"/>
              </w:rPr>
              <w:t>收到的其他与投资活动有关 的现金</w:t>
            </w:r>
            <w:r>
              <w:rPr>
                <w:rFonts w:ascii="宋体" w:hAnsi="宋体" w:cs="宋体" w:eastAsia="宋体" w:hint="default"/>
                <w:sz w:val="18"/>
                <w:szCs w:val="18"/>
              </w:rPr>
              <w:t>-</w:t>
            </w:r>
            <w:r>
              <w:rPr>
                <w:rFonts w:ascii="宋体" w:hAnsi="宋体" w:cs="宋体" w:eastAsia="宋体" w:hint="default"/>
                <w:sz w:val="18"/>
                <w:szCs w:val="18"/>
              </w:rPr>
              <w:t>与资产相关的政府补 助</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-1,500,000.00</w:t>
            </w:r>
          </w:p>
        </w:tc>
        <w:tc>
          <w:tcPr>
            <w:tcW w:w="2069"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980" w:type="dxa"/>
            <w:vMerge/>
            <w:tcBorders>
              <w:left w:val="single" w:sz="4" w:space="0" w:color="000000"/>
              <w:bottom w:val="single" w:sz="4" w:space="0" w:color="000000"/>
              <w:right w:val="single" w:sz="4" w:space="0" w:color="000000"/>
            </w:tcBorders>
          </w:tcPr>
          <w:p>
            <w:pP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280"/>
              <w:jc w:val="left"/>
              <w:rPr>
                <w:rFonts w:ascii="宋体" w:hAnsi="宋体" w:cs="宋体" w:eastAsia="宋体" w:hint="default"/>
                <w:sz w:val="18"/>
                <w:szCs w:val="18"/>
              </w:rPr>
            </w:pPr>
            <w:r>
              <w:rPr>
                <w:rFonts w:ascii="宋体" w:hAnsi="宋体" w:cs="宋体" w:eastAsia="宋体" w:hint="default"/>
                <w:sz w:val="18"/>
                <w:szCs w:val="18"/>
              </w:rPr>
              <w:t>收到的其他与经营活动有关 的现金</w:t>
            </w:r>
            <w:r>
              <w:rPr>
                <w:rFonts w:ascii="宋体" w:hAnsi="宋体" w:cs="宋体" w:eastAsia="宋体" w:hint="default"/>
                <w:sz w:val="18"/>
                <w:szCs w:val="18"/>
              </w:rPr>
              <w:t>-</w:t>
            </w:r>
            <w:r>
              <w:rPr>
                <w:rFonts w:ascii="宋体" w:hAnsi="宋体" w:cs="宋体" w:eastAsia="宋体" w:hint="default"/>
                <w:sz w:val="18"/>
                <w:szCs w:val="18"/>
              </w:rPr>
              <w:t>政府补助</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1,500,000.00</w:t>
            </w:r>
          </w:p>
        </w:tc>
        <w:tc>
          <w:tcPr>
            <w:tcW w:w="2069"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65"/>
              <w:jc w:val="left"/>
              <w:rPr>
                <w:rFonts w:ascii="宋体" w:hAnsi="宋体" w:cs="宋体" w:eastAsia="宋体" w:hint="default"/>
                <w:sz w:val="18"/>
                <w:szCs w:val="18"/>
              </w:rPr>
            </w:pPr>
            <w:r>
              <w:rPr>
                <w:rFonts w:ascii="宋体" w:hAnsi="宋体" w:cs="宋体" w:eastAsia="宋体" w:hint="default"/>
                <w:sz w:val="18"/>
                <w:szCs w:val="18"/>
              </w:rPr>
              <w:t>新增“设定受益计划变动额结转留 存收益”项目</w:t>
            </w:r>
          </w:p>
        </w:tc>
        <w:tc>
          <w:tcPr>
            <w:tcW w:w="67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所有者权益变动表：无影响</w:t>
            </w:r>
          </w:p>
        </w:tc>
      </w:tr>
    </w:tbl>
    <w:p>
      <w:pPr>
        <w:spacing w:line="240" w:lineRule="auto" w:before="12"/>
        <w:rPr>
          <w:rFonts w:ascii="宋体" w:hAnsi="宋体" w:cs="宋体" w:eastAsia="宋体" w:hint="default"/>
          <w:b/>
          <w:bCs/>
          <w:sz w:val="21"/>
          <w:szCs w:val="21"/>
        </w:rPr>
      </w:pPr>
    </w:p>
    <w:p>
      <w:pPr>
        <w:spacing w:line="465" w:lineRule="auto" w:before="35"/>
        <w:ind w:left="574" w:right="7332" w:firstLine="62"/>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、会计估计的变更</w:t>
      </w:r>
      <w:r>
        <w:rPr>
          <w:rFonts w:ascii="宋体" w:hAnsi="宋体" w:cs="宋体" w:eastAsia="宋体" w:hint="default"/>
          <w:b/>
          <w:bCs/>
          <w:w w:val="99"/>
          <w:sz w:val="21"/>
          <w:szCs w:val="21"/>
        </w:rPr>
        <w:t> </w:t>
      </w:r>
      <w:r>
        <w:rPr>
          <w:rFonts w:ascii="宋体" w:hAnsi="宋体" w:cs="宋体" w:eastAsia="宋体" w:hint="default"/>
          <w:sz w:val="18"/>
          <w:szCs w:val="18"/>
        </w:rPr>
        <w:t>本公司本报告期未发生会计估计变更。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18"/>
          <w:szCs w:val="18"/>
        </w:rPr>
        <w:t>本公司报告期内无前期会计差错更正。</w:t>
      </w:r>
    </w:p>
    <w:p>
      <w:pPr>
        <w:pStyle w:val="Heading2"/>
        <w:spacing w:line="240" w:lineRule="auto" w:before="140"/>
        <w:ind w:left="214"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214"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after="0" w:line="338" w:lineRule="auto"/>
        <w:jc w:val="left"/>
        <w:sectPr>
          <w:pgSz w:w="11910" w:h="16840"/>
          <w:pgMar w:header="747" w:footer="979" w:top="1060" w:bottom="1160" w:left="92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38</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曾春卫、刘智清、冯俭专</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是否改聘会计师事务所</w:t>
      </w:r>
    </w:p>
    <w:p>
      <w:pPr>
        <w:pStyle w:val="BodyText"/>
        <w:spacing w:line="340" w:lineRule="auto" w:before="116"/>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102"/>
        <w:ind w:right="184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公司报告期无股权激励计划、员工持股计划或其他员工激励措施及其实施情况。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10"/>
        <w:gridCol w:w="767"/>
        <w:gridCol w:w="677"/>
        <w:gridCol w:w="703"/>
        <w:gridCol w:w="680"/>
        <w:gridCol w:w="575"/>
        <w:gridCol w:w="773"/>
        <w:gridCol w:w="674"/>
        <w:gridCol w:w="679"/>
        <w:gridCol w:w="709"/>
        <w:gridCol w:w="635"/>
        <w:gridCol w:w="673"/>
        <w:gridCol w:w="671"/>
        <w:gridCol w:w="644"/>
      </w:tblGrid>
      <w:tr>
        <w:trPr>
          <w:trHeight w:val="1338"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69" w:right="78" w:hanging="90"/>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87" w:right="10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5"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1" w:right="101"/>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1" w:right="10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3" w:right="65"/>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1"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6"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50"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费耀平</w:t>
            </w:r>
          </w:p>
        </w:tc>
        <w:tc>
          <w:tcPr>
            <w:tcW w:w="7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20" w:hanging="2"/>
              <w:jc w:val="center"/>
              <w:rPr>
                <w:rFonts w:ascii="宋体" w:hAnsi="宋体" w:cs="宋体" w:eastAsia="宋体" w:hint="default"/>
                <w:sz w:val="18"/>
                <w:szCs w:val="18"/>
              </w:rPr>
            </w:pPr>
            <w:r>
              <w:rPr>
                <w:rFonts w:ascii="宋体" w:hAnsi="宋体" w:cs="宋体" w:eastAsia="宋体" w:hint="default"/>
                <w:sz w:val="18"/>
                <w:szCs w:val="18"/>
              </w:rPr>
              <w:t>法定代 </w:t>
            </w:r>
            <w:r>
              <w:rPr>
                <w:rFonts w:ascii="宋体" w:hAnsi="宋体" w:cs="宋体" w:eastAsia="宋体" w:hint="default"/>
                <w:spacing w:val="-3"/>
                <w:sz w:val="18"/>
                <w:szCs w:val="18"/>
              </w:rPr>
              <w:t>表人、董</w:t>
            </w:r>
            <w:r>
              <w:rPr>
                <w:rFonts w:ascii="宋体" w:hAnsi="宋体" w:cs="宋体" w:eastAsia="宋体" w:hint="default"/>
                <w:sz w:val="18"/>
                <w:szCs w:val="18"/>
              </w:rPr>
              <w:t> </w:t>
            </w:r>
            <w:r>
              <w:rPr>
                <w:rFonts w:ascii="宋体" w:hAnsi="宋体" w:cs="宋体" w:eastAsia="宋体" w:hint="default"/>
                <w:spacing w:val="-3"/>
                <w:sz w:val="18"/>
                <w:szCs w:val="18"/>
              </w:rPr>
              <w:t>事长、共</w:t>
            </w:r>
            <w:r>
              <w:rPr>
                <w:rFonts w:ascii="宋体" w:hAnsi="宋体" w:cs="宋体" w:eastAsia="宋体" w:hint="default"/>
                <w:sz w:val="18"/>
                <w:szCs w:val="18"/>
              </w:rPr>
              <w:t> 同实际 控制人</w:t>
            </w:r>
          </w:p>
        </w:tc>
        <w:tc>
          <w:tcPr>
            <w:tcW w:w="6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w:t>
            </w:r>
          </w:p>
        </w:tc>
        <w:tc>
          <w:tcPr>
            <w:tcW w:w="7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both"/>
              <w:rPr>
                <w:rFonts w:ascii="宋体" w:hAnsi="宋体" w:cs="宋体" w:eastAsia="宋体" w:hint="default"/>
                <w:sz w:val="18"/>
                <w:szCs w:val="18"/>
              </w:rPr>
            </w:pPr>
            <w:r>
              <w:rPr>
                <w:rFonts w:ascii="宋体" w:hAnsi="宋体" w:cs="宋体" w:eastAsia="宋体" w:hint="default"/>
                <w:sz w:val="18"/>
                <w:szCs w:val="18"/>
              </w:rPr>
              <w:t>费耀平 为公司 提供保 证担保</w:t>
            </w:r>
          </w:p>
        </w:tc>
        <w:tc>
          <w:tcPr>
            <w:tcW w:w="6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无偿担 保</w:t>
            </w:r>
          </w:p>
        </w:tc>
        <w:tc>
          <w:tcPr>
            <w:tcW w:w="5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5,500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5,500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5,500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67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5,500</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2898"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中南大 学</w:t>
            </w:r>
          </w:p>
        </w:tc>
        <w:tc>
          <w:tcPr>
            <w:tcW w:w="7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56" w:right="54" w:firstLine="51"/>
              <w:jc w:val="both"/>
              <w:rPr>
                <w:rFonts w:ascii="Times New Roman" w:hAnsi="Times New Roman" w:cs="Times New Roman" w:eastAsia="Times New Roman" w:hint="default"/>
                <w:sz w:val="18"/>
                <w:szCs w:val="18"/>
              </w:rPr>
            </w:pPr>
            <w:r>
              <w:rPr>
                <w:rFonts w:ascii="宋体" w:hAnsi="宋体" w:cs="宋体" w:eastAsia="宋体" w:hint="default"/>
                <w:sz w:val="18"/>
                <w:szCs w:val="18"/>
              </w:rPr>
              <w:t>中南大 学持有 公司股 东中南 大学资 产经营 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p>
            <w:pPr>
              <w:pStyle w:val="TableParagraph"/>
              <w:spacing w:line="240" w:lineRule="auto"/>
              <w:ind w:left="107" w:right="0"/>
              <w:jc w:val="both"/>
              <w:rPr>
                <w:rFonts w:ascii="宋体" w:hAnsi="宋体" w:cs="宋体" w:eastAsia="宋体" w:hint="default"/>
                <w:sz w:val="18"/>
                <w:szCs w:val="18"/>
              </w:rPr>
            </w:pPr>
            <w:r>
              <w:rPr>
                <w:rFonts w:ascii="宋体" w:hAnsi="宋体" w:cs="宋体" w:eastAsia="宋体" w:hint="default"/>
                <w:sz w:val="18"/>
                <w:szCs w:val="18"/>
              </w:rPr>
              <w:t>的股权</w:t>
            </w:r>
          </w:p>
        </w:tc>
        <w:tc>
          <w:tcPr>
            <w:tcW w:w="6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购销</w:t>
            </w:r>
          </w:p>
        </w:tc>
        <w:tc>
          <w:tcPr>
            <w:tcW w:w="7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2" w:hanging="2"/>
              <w:jc w:val="center"/>
              <w:rPr>
                <w:rFonts w:ascii="宋体" w:hAnsi="宋体" w:cs="宋体" w:eastAsia="宋体" w:hint="default"/>
                <w:sz w:val="18"/>
                <w:szCs w:val="18"/>
              </w:rPr>
            </w:pPr>
            <w:r>
              <w:rPr>
                <w:rFonts w:ascii="宋体" w:hAnsi="宋体" w:cs="宋体" w:eastAsia="宋体" w:hint="default"/>
                <w:sz w:val="18"/>
                <w:szCs w:val="18"/>
              </w:rPr>
              <w:t>系统集 </w:t>
            </w:r>
            <w:r>
              <w:rPr>
                <w:rFonts w:ascii="宋体" w:hAnsi="宋体" w:cs="宋体" w:eastAsia="宋体" w:hint="default"/>
                <w:spacing w:val="-19"/>
                <w:sz w:val="18"/>
                <w:szCs w:val="18"/>
              </w:rPr>
              <w:t>成、信息</w:t>
            </w:r>
            <w:r>
              <w:rPr>
                <w:rFonts w:ascii="宋体" w:hAnsi="宋体" w:cs="宋体" w:eastAsia="宋体" w:hint="default"/>
                <w:sz w:val="18"/>
                <w:szCs w:val="18"/>
              </w:rPr>
              <w:t> 技术服 </w:t>
            </w:r>
            <w:r>
              <w:rPr>
                <w:rFonts w:ascii="宋体" w:hAnsi="宋体" w:cs="宋体" w:eastAsia="宋体" w:hint="default"/>
                <w:spacing w:val="-19"/>
                <w:sz w:val="18"/>
                <w:szCs w:val="18"/>
              </w:rPr>
              <w:t>务、技术</w:t>
            </w:r>
            <w:r>
              <w:rPr>
                <w:rFonts w:ascii="宋体" w:hAnsi="宋体" w:cs="宋体" w:eastAsia="宋体" w:hint="default"/>
                <w:sz w:val="18"/>
                <w:szCs w:val="18"/>
              </w:rPr>
              <w:t> 开发服 务</w:t>
            </w:r>
          </w:p>
        </w:tc>
        <w:tc>
          <w:tcPr>
            <w:tcW w:w="6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57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283.67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z w:val="18"/>
              </w:rPr>
              <w:t>283.67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4,000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5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283.67</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64"/>
              <w:jc w:val="right"/>
              <w:rPr>
                <w:rFonts w:ascii="Times New Roman" w:hAnsi="Times New Roman" w:cs="Times New Roman" w:eastAsia="Times New Roman" w:hint="default"/>
                <w:sz w:val="18"/>
                <w:szCs w:val="18"/>
              </w:rPr>
            </w:pPr>
            <w:r>
              <w:rPr>
                <w:rFonts w:ascii="Times New Roman"/>
                <w:sz w:val="18"/>
              </w:rPr>
              <w:t>5,783.67</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19" w:right="0"/>
              <w:jc w:val="left"/>
              <w:rPr>
                <w:rFonts w:ascii="Times New Roman" w:hAnsi="Times New Roman" w:cs="Times New Roman" w:eastAsia="Times New Roman" w:hint="default"/>
                <w:sz w:val="18"/>
                <w:szCs w:val="18"/>
              </w:rPr>
            </w:pPr>
            <w:r>
              <w:rPr>
                <w:rFonts w:ascii="Times New Roman"/>
                <w:sz w:val="18"/>
              </w:rPr>
              <w:t>9,500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89" w:right="0"/>
              <w:jc w:val="left"/>
              <w:rPr>
                <w:rFonts w:ascii="Times New Roman" w:hAnsi="Times New Roman" w:cs="Times New Roman" w:eastAsia="Times New Roman" w:hint="default"/>
                <w:sz w:val="18"/>
                <w:szCs w:val="18"/>
              </w:rPr>
            </w:pPr>
            <w:r>
              <w:rPr>
                <w:rFonts w:ascii="Times New Roman"/>
                <w:sz w:val="18"/>
              </w:rPr>
              <w:t>--</w:t>
            </w:r>
          </w:p>
        </w:tc>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37" w:hRule="exact"/>
        </w:trPr>
        <w:tc>
          <w:tcPr>
            <w:tcW w:w="285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4" w:type="dxa"/>
            <w:gridSpan w:val="10"/>
            <w:vMerge w:val="restart"/>
            <w:tcBorders>
              <w:top w:val="single" w:sz="4" w:space="0" w:color="000000"/>
              <w:left w:val="single" w:sz="9" w:space="0" w:color="D2D2D2"/>
              <w:right w:val="single" w:sz="4" w:space="0" w:color="000000"/>
            </w:tcBorders>
            <w:shd w:val="clear" w:color="auto" w:fill="C6ECCC"/>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年度与中南大学交易金额不超过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年度，公司与中</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南大学实际交易金额为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283.67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、费耀平先生为公司提供的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万元担保分别于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302" w:lineRule="auto" w:before="63"/>
              <w:ind w:left="16" w:right="10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日到期；报告期内，费耀平先生为公司新增一笔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万元担保，目 前仍在有效期。</w:t>
            </w:r>
          </w:p>
        </w:tc>
      </w:tr>
      <w:tr>
        <w:trPr>
          <w:trHeight w:val="1016" w:hRule="exact"/>
        </w:trPr>
        <w:tc>
          <w:tcPr>
            <w:tcW w:w="2856"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6"/>
                <w:sz w:val="18"/>
                <w:szCs w:val="18"/>
              </w:rPr>
              <w:t>易进行总金额预计的，在报告期内的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实际履行情况（如有）</w:t>
            </w:r>
          </w:p>
        </w:tc>
        <w:tc>
          <w:tcPr>
            <w:tcW w:w="6714" w:type="dxa"/>
            <w:gridSpan w:val="10"/>
            <w:vMerge/>
            <w:tcBorders>
              <w:left w:val="single" w:sz="9" w:space="0" w:color="D2D2D2"/>
              <w:right w:val="single" w:sz="4" w:space="0" w:color="000000"/>
            </w:tcBorders>
            <w:shd w:val="clear" w:color="auto" w:fill="C6ECCC"/>
          </w:tcPr>
          <w:p>
            <w:pPr/>
          </w:p>
        </w:tc>
      </w:tr>
      <w:tr>
        <w:trPr>
          <w:trHeight w:val="337" w:hRule="exact"/>
        </w:trPr>
        <w:tc>
          <w:tcPr>
            <w:tcW w:w="285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4" w:type="dxa"/>
            <w:gridSpan w:val="10"/>
            <w:vMerge/>
            <w:tcBorders>
              <w:left w:val="single" w:sz="9" w:space="0" w:color="D2D2D2"/>
              <w:bottom w:val="single" w:sz="4" w:space="0" w:color="000000"/>
              <w:right w:val="single" w:sz="4" w:space="0" w:color="000000"/>
            </w:tcBorders>
            <w:shd w:val="clear" w:color="auto" w:fill="C6ECCC"/>
          </w:tcPr>
          <w:p>
            <w:pPr/>
          </w:p>
        </w:tc>
      </w:tr>
      <w:tr>
        <w:trPr>
          <w:trHeight w:val="714"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4"/>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spacing w:line="316" w:lineRule="auto" w:before="41"/>
        <w:ind w:left="154" w:right="6652" w:firstLine="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一、</w:t>
      </w:r>
      <w:r>
        <w:rPr>
          <w:rFonts w:ascii="宋体" w:hAnsi="宋体" w:cs="宋体" w:eastAsia="宋体" w:hint="default"/>
          <w:b/>
          <w:bCs/>
          <w:spacing w:val="-73"/>
          <w:sz w:val="18"/>
          <w:szCs w:val="18"/>
        </w:rPr>
        <w:t> </w:t>
      </w:r>
      <w:r>
        <w:rPr>
          <w:rFonts w:ascii="宋体" w:hAnsi="宋体" w:cs="宋体" w:eastAsia="宋体" w:hint="default"/>
          <w:b/>
          <w:bCs/>
          <w:sz w:val="18"/>
          <w:szCs w:val="18"/>
        </w:rPr>
        <w:t>公司租赁其他公司或个人资产情况</w:t>
      </w:r>
      <w:r>
        <w:rPr>
          <w:rFonts w:ascii="宋体" w:hAnsi="宋体" w:cs="宋体" w:eastAsia="宋体" w:hint="default"/>
          <w:b/>
          <w:bCs/>
          <w:w w:val="99"/>
          <w:sz w:val="18"/>
          <w:szCs w:val="18"/>
        </w:rPr>
        <w:t> </w:t>
      </w:r>
      <w:r>
        <w:rPr>
          <w:rFonts w:ascii="宋体" w:hAnsi="宋体" w:cs="宋体" w:eastAsia="宋体" w:hint="default"/>
          <w:sz w:val="18"/>
          <w:szCs w:val="18"/>
        </w:rPr>
        <w:t>报告期内，公司共租赁</w:t>
      </w:r>
      <w:r>
        <w:rPr>
          <w:rFonts w:ascii="Times New Roman" w:hAnsi="Times New Roman" w:cs="Times New Roman" w:eastAsia="Times New Roman" w:hint="default"/>
          <w:sz w:val="18"/>
          <w:szCs w:val="18"/>
        </w:rPr>
        <w:t>8</w:t>
      </w:r>
      <w:r>
        <w:rPr>
          <w:rFonts w:ascii="宋体" w:hAnsi="宋体" w:cs="宋体" w:eastAsia="宋体" w:hint="default"/>
          <w:sz w:val="18"/>
          <w:szCs w:val="18"/>
        </w:rPr>
        <w:t>处房产，具体租赁情况如下</w:t>
      </w:r>
      <w:r>
        <w:rPr>
          <w:rFonts w:ascii="Times New Roman" w:hAnsi="Times New Roman" w:cs="Times New Roman" w:eastAsia="Times New Roman" w:hint="default"/>
          <w:sz w:val="18"/>
          <w:szCs w:val="18"/>
        </w:rPr>
        <w:t>:</w:t>
      </w:r>
    </w:p>
    <w:tbl>
      <w:tblPr>
        <w:tblW w:w="0" w:type="auto"/>
        <w:jc w:val="left"/>
        <w:tblInd w:w="146" w:type="dxa"/>
        <w:tblLayout w:type="fixed"/>
        <w:tblCellMar>
          <w:top w:w="0" w:type="dxa"/>
          <w:left w:w="0" w:type="dxa"/>
          <w:bottom w:w="0" w:type="dxa"/>
          <w:right w:w="0" w:type="dxa"/>
        </w:tblCellMar>
        <w:tblLook w:val="01E0"/>
      </w:tblPr>
      <w:tblGrid>
        <w:gridCol w:w="656"/>
        <w:gridCol w:w="1994"/>
        <w:gridCol w:w="1756"/>
        <w:gridCol w:w="1920"/>
        <w:gridCol w:w="2505"/>
      </w:tblGrid>
      <w:tr>
        <w:trPr>
          <w:trHeight w:val="34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z w:val="18"/>
                <w:szCs w:val="18"/>
              </w:rPr>
              <w:t>承租方</w:t>
            </w:r>
            <w:r>
              <w:rPr>
                <w:rFonts w:ascii="宋体" w:hAnsi="宋体" w:cs="宋体" w:eastAsia="宋体" w:hint="default"/>
                <w:sz w:val="18"/>
                <w:szCs w:val="18"/>
              </w:rPr>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b/>
                <w:bCs/>
                <w:sz w:val="18"/>
                <w:szCs w:val="18"/>
              </w:rPr>
              <w:t>出租方</w:t>
            </w:r>
            <w:r>
              <w:rPr>
                <w:rFonts w:ascii="宋体" w:hAnsi="宋体" w:cs="宋体" w:eastAsia="宋体" w:hint="default"/>
                <w:sz w:val="18"/>
                <w:szCs w:val="18"/>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承租时间</w:t>
            </w:r>
            <w:r>
              <w:rPr>
                <w:rFonts w:ascii="宋体" w:hAnsi="宋体" w:cs="宋体" w:eastAsia="宋体" w:hint="default"/>
                <w:sz w:val="18"/>
                <w:szCs w:val="18"/>
              </w:rPr>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b/>
                <w:bCs/>
                <w:sz w:val="18"/>
                <w:szCs w:val="18"/>
              </w:rPr>
              <w:t>坐落</w:t>
            </w:r>
            <w:r>
              <w:rPr>
                <w:rFonts w:ascii="宋体" w:hAnsi="宋体" w:cs="宋体" w:eastAsia="宋体" w:hint="default"/>
                <w:sz w:val="18"/>
                <w:szCs w:val="18"/>
              </w:rPr>
            </w:r>
          </w:p>
        </w:tc>
      </w:tr>
      <w:tr>
        <w:trPr>
          <w:trHeight w:val="660"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80" w:right="89" w:hanging="90"/>
              <w:jc w:val="left"/>
              <w:rPr>
                <w:rFonts w:ascii="宋体" w:hAnsi="宋体" w:cs="宋体" w:eastAsia="宋体" w:hint="default"/>
                <w:sz w:val="18"/>
                <w:szCs w:val="18"/>
              </w:rPr>
            </w:pPr>
            <w:r>
              <w:rPr>
                <w:rFonts w:ascii="宋体" w:hAnsi="宋体" w:cs="宋体" w:eastAsia="宋体" w:hint="default"/>
                <w:sz w:val="18"/>
                <w:szCs w:val="18"/>
              </w:rPr>
              <w:t>湖南科创信息技术股份 有限公司北京分公司</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601" w:right="58" w:hanging="540"/>
              <w:jc w:val="left"/>
              <w:rPr>
                <w:rFonts w:ascii="宋体" w:hAnsi="宋体" w:cs="宋体" w:eastAsia="宋体" w:hint="default"/>
                <w:sz w:val="18"/>
                <w:szCs w:val="18"/>
              </w:rPr>
            </w:pPr>
            <w:r>
              <w:rPr>
                <w:rFonts w:ascii="宋体" w:hAnsi="宋体" w:cs="宋体" w:eastAsia="宋体" w:hint="default"/>
                <w:sz w:val="18"/>
                <w:szCs w:val="18"/>
              </w:rPr>
              <w:t>北京万开酒店管理有 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2015.02.05-2020.02.04</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0"/>
              <w:ind w:left="524" w:right="13" w:hanging="510"/>
              <w:jc w:val="left"/>
              <w:rPr>
                <w:rFonts w:ascii="宋体" w:hAnsi="宋体" w:cs="宋体" w:eastAsia="宋体" w:hint="default"/>
                <w:sz w:val="18"/>
                <w:szCs w:val="18"/>
              </w:rPr>
            </w:pPr>
            <w:r>
              <w:rPr>
                <w:rFonts w:ascii="宋体" w:hAnsi="宋体" w:cs="宋体" w:eastAsia="宋体" w:hint="default"/>
                <w:sz w:val="18"/>
                <w:szCs w:val="18"/>
              </w:rPr>
              <w:t>北京市丰台区万丰路万开中心</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Times New Roman" w:hAnsi="Times New Roman" w:cs="Times New Roman" w:eastAsia="Times New Roman" w:hint="default"/>
                <w:sz w:val="18"/>
                <w:szCs w:val="18"/>
              </w:rPr>
              <w:t>1</w:t>
            </w:r>
            <w:r>
              <w:rPr>
                <w:rFonts w:ascii="宋体" w:hAnsi="宋体" w:cs="宋体" w:eastAsia="宋体" w:hint="default"/>
                <w:sz w:val="18"/>
                <w:szCs w:val="18"/>
              </w:rPr>
              <w:t>层</w:t>
            </w:r>
            <w:r>
              <w:rPr>
                <w:rFonts w:ascii="Times New Roman" w:hAnsi="Times New Roman" w:cs="Times New Roman" w:eastAsia="Times New Roman" w:hint="default"/>
                <w:sz w:val="18"/>
                <w:szCs w:val="18"/>
              </w:rPr>
              <w:t>B1-26-C</w:t>
            </w:r>
            <w:r>
              <w:rPr>
                <w:rFonts w:ascii="宋体" w:hAnsi="宋体" w:cs="宋体" w:eastAsia="宋体" w:hint="default"/>
                <w:sz w:val="18"/>
                <w:szCs w:val="18"/>
              </w:rPr>
              <w:t>单元</w:t>
            </w:r>
          </w:p>
        </w:tc>
      </w:tr>
      <w:tr>
        <w:trPr>
          <w:trHeight w:val="659"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科创鑫源</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601" w:right="58" w:hanging="540"/>
              <w:jc w:val="left"/>
              <w:rPr>
                <w:rFonts w:ascii="宋体" w:hAnsi="宋体" w:cs="宋体" w:eastAsia="宋体" w:hint="default"/>
                <w:sz w:val="18"/>
                <w:szCs w:val="18"/>
              </w:rPr>
            </w:pPr>
            <w:r>
              <w:rPr>
                <w:rFonts w:ascii="宋体" w:hAnsi="宋体" w:cs="宋体" w:eastAsia="宋体" w:hint="default"/>
                <w:sz w:val="18"/>
                <w:szCs w:val="18"/>
              </w:rPr>
              <w:t>北京万开酒店管理有 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2015.02.05-2020.02.04</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8"/>
              <w:ind w:left="519" w:right="13" w:hanging="506"/>
              <w:jc w:val="left"/>
              <w:rPr>
                <w:rFonts w:ascii="宋体" w:hAnsi="宋体" w:cs="宋体" w:eastAsia="宋体" w:hint="default"/>
                <w:sz w:val="18"/>
                <w:szCs w:val="18"/>
              </w:rPr>
            </w:pPr>
            <w:r>
              <w:rPr>
                <w:rFonts w:ascii="宋体" w:hAnsi="宋体" w:cs="宋体" w:eastAsia="宋体" w:hint="default"/>
                <w:sz w:val="18"/>
                <w:szCs w:val="18"/>
              </w:rPr>
              <w:t>北京市丰台区万丰路万开中心</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Times New Roman" w:hAnsi="Times New Roman" w:cs="Times New Roman" w:eastAsia="Times New Roman" w:hint="default"/>
                <w:sz w:val="18"/>
                <w:szCs w:val="18"/>
              </w:rPr>
              <w:t>1</w:t>
            </w:r>
            <w:r>
              <w:rPr>
                <w:rFonts w:ascii="宋体" w:hAnsi="宋体" w:cs="宋体" w:eastAsia="宋体" w:hint="default"/>
                <w:sz w:val="18"/>
                <w:szCs w:val="18"/>
              </w:rPr>
              <w:t>层</w:t>
            </w:r>
            <w:r>
              <w:rPr>
                <w:rFonts w:ascii="Times New Roman" w:hAnsi="Times New Roman" w:cs="Times New Roman" w:eastAsia="Times New Roman" w:hint="default"/>
                <w:sz w:val="18"/>
                <w:szCs w:val="18"/>
              </w:rPr>
              <w:t>B1-26-A</w:t>
            </w:r>
            <w:r>
              <w:rPr>
                <w:rFonts w:ascii="宋体" w:hAnsi="宋体" w:cs="宋体" w:eastAsia="宋体" w:hint="default"/>
                <w:sz w:val="18"/>
                <w:szCs w:val="18"/>
              </w:rPr>
              <w:t>单元</w:t>
            </w:r>
          </w:p>
        </w:tc>
      </w:tr>
      <w:tr>
        <w:trPr>
          <w:trHeight w:val="659"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80" w:right="89" w:hanging="90"/>
              <w:jc w:val="left"/>
              <w:rPr>
                <w:rFonts w:ascii="宋体" w:hAnsi="宋体" w:cs="宋体" w:eastAsia="宋体" w:hint="default"/>
                <w:sz w:val="18"/>
                <w:szCs w:val="18"/>
              </w:rPr>
            </w:pPr>
            <w:r>
              <w:rPr>
                <w:rFonts w:ascii="宋体" w:hAnsi="宋体" w:cs="宋体" w:eastAsia="宋体" w:hint="default"/>
                <w:sz w:val="18"/>
                <w:szCs w:val="18"/>
              </w:rPr>
              <w:t>湖南科创信息技术股份 有限公司云南分公司</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齐正付、齐国浩</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2016.4.1-2018.8.30</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南屏步行街世纪广场</w:t>
            </w:r>
            <w:r>
              <w:rPr>
                <w:rFonts w:ascii="Times New Roman" w:hAnsi="Times New Roman" w:cs="Times New Roman" w:eastAsia="Times New Roman" w:hint="default"/>
                <w:sz w:val="18"/>
                <w:szCs w:val="18"/>
              </w:rPr>
              <w:t>B2</w:t>
            </w:r>
            <w:r>
              <w:rPr>
                <w:rFonts w:ascii="宋体" w:hAnsi="宋体" w:cs="宋体" w:eastAsia="宋体" w:hint="default"/>
                <w:sz w:val="18"/>
                <w:szCs w:val="18"/>
              </w:rPr>
              <w:t>幢</w:t>
            </w:r>
            <w:r>
              <w:rPr>
                <w:rFonts w:ascii="Times New Roman" w:hAnsi="Times New Roman" w:cs="Times New Roman" w:eastAsia="Times New Roman" w:hint="default"/>
                <w:sz w:val="18"/>
                <w:szCs w:val="18"/>
              </w:rPr>
              <w:t>7</w:t>
            </w:r>
            <w:r>
              <w:rPr>
                <w:rFonts w:ascii="宋体" w:hAnsi="宋体" w:cs="宋体" w:eastAsia="宋体" w:hint="default"/>
                <w:sz w:val="18"/>
                <w:szCs w:val="18"/>
              </w:rPr>
              <w:t>层</w:t>
            </w:r>
          </w:p>
          <w:p>
            <w:pPr>
              <w:pStyle w:val="TableParagraph"/>
              <w:spacing w:line="240" w:lineRule="auto" w:before="6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D-7D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E-7E</w:t>
            </w:r>
            <w:r>
              <w:rPr>
                <w:rFonts w:ascii="宋体" w:hAnsi="宋体" w:cs="宋体" w:eastAsia="宋体" w:hint="default"/>
                <w:sz w:val="18"/>
                <w:szCs w:val="18"/>
              </w:rPr>
              <w:t>号</w:t>
            </w:r>
          </w:p>
        </w:tc>
      </w:tr>
      <w:tr>
        <w:trPr>
          <w:trHeight w:val="659"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永兴科创</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张二红</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2017.8.8-2018.8.7</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0"/>
              <w:ind w:left="1154" w:right="53" w:hanging="1100"/>
              <w:jc w:val="left"/>
              <w:rPr>
                <w:rFonts w:ascii="宋体" w:hAnsi="宋体" w:cs="宋体" w:eastAsia="宋体" w:hint="default"/>
                <w:sz w:val="18"/>
                <w:szCs w:val="18"/>
              </w:rPr>
            </w:pPr>
            <w:r>
              <w:rPr>
                <w:rFonts w:ascii="宋体" w:hAnsi="宋体" w:cs="宋体" w:eastAsia="宋体" w:hint="default"/>
                <w:sz w:val="18"/>
                <w:szCs w:val="18"/>
              </w:rPr>
              <w:t>永兴县大桥路丽江兴城</w:t>
            </w:r>
            <w:r>
              <w:rPr>
                <w:rFonts w:ascii="Times New Roman" w:hAnsi="Times New Roman" w:cs="Times New Roman" w:eastAsia="Times New Roman" w:hint="default"/>
                <w:sz w:val="18"/>
                <w:szCs w:val="18"/>
              </w:rPr>
              <w:t>A</w:t>
            </w:r>
            <w:r>
              <w:rPr>
                <w:rFonts w:ascii="宋体" w:hAnsi="宋体" w:cs="宋体" w:eastAsia="宋体" w:hint="default"/>
                <w:sz w:val="18"/>
                <w:szCs w:val="18"/>
              </w:rPr>
              <w:t>栋</w:t>
            </w:r>
            <w:r>
              <w:rPr>
                <w:rFonts w:ascii="Times New Roman" w:hAnsi="Times New Roman" w:cs="Times New Roman" w:eastAsia="Times New Roman" w:hint="default"/>
                <w:sz w:val="18"/>
                <w:szCs w:val="18"/>
              </w:rPr>
              <w:t>401 </w:t>
            </w:r>
            <w:r>
              <w:rPr>
                <w:rFonts w:ascii="宋体" w:hAnsi="宋体" w:cs="宋体" w:eastAsia="宋体" w:hint="default"/>
                <w:sz w:val="18"/>
                <w:szCs w:val="18"/>
              </w:rPr>
              <w:t>房</w:t>
            </w:r>
          </w:p>
        </w:tc>
      </w:tr>
      <w:tr>
        <w:trPr>
          <w:trHeight w:val="660"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180" w:right="89" w:hanging="90"/>
              <w:jc w:val="left"/>
              <w:rPr>
                <w:rFonts w:ascii="宋体" w:hAnsi="宋体" w:cs="宋体" w:eastAsia="宋体" w:hint="default"/>
                <w:sz w:val="18"/>
                <w:szCs w:val="18"/>
              </w:rPr>
            </w:pPr>
            <w:r>
              <w:rPr>
                <w:rFonts w:ascii="宋体" w:hAnsi="宋体" w:cs="宋体" w:eastAsia="宋体" w:hint="default"/>
                <w:sz w:val="18"/>
                <w:szCs w:val="18"/>
              </w:rPr>
              <w:t>湖南科创信息技术股份 有限公司桂林分公司</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781" w:right="58" w:hanging="720"/>
              <w:jc w:val="left"/>
              <w:rPr>
                <w:rFonts w:ascii="宋体" w:hAnsi="宋体" w:cs="宋体" w:eastAsia="宋体" w:hint="default"/>
                <w:sz w:val="18"/>
                <w:szCs w:val="18"/>
              </w:rPr>
            </w:pPr>
            <w:r>
              <w:rPr>
                <w:rFonts w:ascii="宋体" w:hAnsi="宋体" w:cs="宋体" w:eastAsia="宋体" w:hint="default"/>
                <w:sz w:val="18"/>
                <w:szCs w:val="18"/>
              </w:rPr>
              <w:t>桂林科技企业发展中 心</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2018.1.1-2018.12.31</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 w:right="0" w:firstLine="72"/>
              <w:jc w:val="left"/>
              <w:rPr>
                <w:rFonts w:ascii="宋体" w:hAnsi="宋体" w:cs="宋体" w:eastAsia="宋体" w:hint="default"/>
                <w:sz w:val="18"/>
                <w:szCs w:val="18"/>
              </w:rPr>
            </w:pPr>
            <w:r>
              <w:rPr>
                <w:rFonts w:ascii="宋体" w:hAnsi="宋体" w:cs="宋体" w:eastAsia="宋体" w:hint="default"/>
                <w:sz w:val="18"/>
                <w:szCs w:val="18"/>
              </w:rPr>
              <w:t>桂林市空明西路新建区五号小 </w:t>
            </w:r>
            <w:r>
              <w:rPr>
                <w:rFonts w:ascii="宋体" w:hAnsi="宋体" w:cs="宋体" w:eastAsia="宋体" w:hint="default"/>
                <w:spacing w:val="-2"/>
                <w:sz w:val="18"/>
                <w:szCs w:val="18"/>
              </w:rPr>
              <w:t>区（</w:t>
            </w:r>
            <w:r>
              <w:rPr>
                <w:rFonts w:ascii="Times New Roman" w:hAnsi="Times New Roman" w:cs="Times New Roman" w:eastAsia="Times New Roman" w:hint="default"/>
                <w:spacing w:val="-2"/>
                <w:sz w:val="18"/>
                <w:szCs w:val="18"/>
              </w:rPr>
              <w:t>13-1</w:t>
            </w:r>
            <w:r>
              <w:rPr>
                <w:rFonts w:ascii="宋体" w:hAnsi="宋体" w:cs="宋体" w:eastAsia="宋体" w:hint="default"/>
                <w:spacing w:val="-2"/>
                <w:sz w:val="18"/>
                <w:szCs w:val="18"/>
              </w:rPr>
              <w:t>号）创业大厦</w:t>
            </w: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座</w:t>
            </w:r>
            <w:r>
              <w:rPr>
                <w:rFonts w:ascii="Times New Roman" w:hAnsi="Times New Roman" w:cs="Times New Roman" w:eastAsia="Times New Roman" w:hint="default"/>
                <w:spacing w:val="-2"/>
                <w:sz w:val="18"/>
                <w:szCs w:val="18"/>
              </w:rPr>
              <w:t>407</w:t>
            </w:r>
            <w:r>
              <w:rPr>
                <w:rFonts w:ascii="宋体" w:hAnsi="宋体" w:cs="宋体" w:eastAsia="宋体" w:hint="default"/>
                <w:spacing w:val="-2"/>
                <w:sz w:val="18"/>
                <w:szCs w:val="18"/>
              </w:rPr>
              <w:t>房</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656"/>
        <w:gridCol w:w="1994"/>
        <w:gridCol w:w="1756"/>
        <w:gridCol w:w="1920"/>
        <w:gridCol w:w="2505"/>
      </w:tblGrid>
      <w:tr>
        <w:trPr>
          <w:trHeight w:val="659"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z w:val="18"/>
              </w:rPr>
              <w:t>6</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80" w:right="89" w:hanging="90"/>
              <w:jc w:val="left"/>
              <w:rPr>
                <w:rFonts w:ascii="宋体" w:hAnsi="宋体" w:cs="宋体" w:eastAsia="宋体" w:hint="default"/>
                <w:sz w:val="18"/>
                <w:szCs w:val="18"/>
              </w:rPr>
            </w:pPr>
            <w:r>
              <w:rPr>
                <w:rFonts w:ascii="宋体" w:hAnsi="宋体" w:cs="宋体" w:eastAsia="宋体" w:hint="default"/>
                <w:sz w:val="18"/>
                <w:szCs w:val="18"/>
              </w:rPr>
              <w:t>湖南科创信息技术股份 有限公司郑州分公司</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赵新兴</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2016.9.28-2019.9.30</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郑州市郑东新区升龙广场</w:t>
            </w:r>
            <w:r>
              <w:rPr>
                <w:rFonts w:ascii="Times New Roman" w:hAnsi="Times New Roman" w:cs="Times New Roman" w:eastAsia="Times New Roman" w:hint="default"/>
                <w:sz w:val="18"/>
                <w:szCs w:val="18"/>
              </w:rPr>
              <w:t>1</w:t>
            </w:r>
            <w:r>
              <w:rPr>
                <w:rFonts w:ascii="宋体" w:hAnsi="宋体" w:cs="宋体" w:eastAsia="宋体" w:hint="default"/>
                <w:sz w:val="18"/>
                <w:szCs w:val="18"/>
              </w:rPr>
              <w:t>号楼</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单元</w:t>
            </w:r>
            <w:r>
              <w:rPr>
                <w:rFonts w:ascii="Times New Roman" w:hAnsi="Times New Roman" w:cs="Times New Roman" w:eastAsia="Times New Roman" w:hint="default"/>
                <w:sz w:val="18"/>
                <w:szCs w:val="18"/>
              </w:rPr>
              <w:t>805</w:t>
            </w:r>
            <w:r>
              <w:rPr>
                <w:rFonts w:ascii="宋体" w:hAnsi="宋体" w:cs="宋体" w:eastAsia="宋体" w:hint="default"/>
                <w:sz w:val="18"/>
                <w:szCs w:val="18"/>
              </w:rPr>
              <w:t>室</w:t>
            </w:r>
          </w:p>
        </w:tc>
      </w:tr>
      <w:tr>
        <w:trPr>
          <w:trHeight w:val="659"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z w:val="18"/>
              </w:rPr>
              <w:t>7</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80" w:right="89" w:hanging="90"/>
              <w:jc w:val="left"/>
              <w:rPr>
                <w:rFonts w:ascii="宋体" w:hAnsi="宋体" w:cs="宋体" w:eastAsia="宋体" w:hint="default"/>
                <w:sz w:val="18"/>
                <w:szCs w:val="18"/>
              </w:rPr>
            </w:pPr>
            <w:r>
              <w:rPr>
                <w:rFonts w:ascii="宋体" w:hAnsi="宋体" w:cs="宋体" w:eastAsia="宋体" w:hint="default"/>
                <w:sz w:val="18"/>
                <w:szCs w:val="18"/>
              </w:rPr>
              <w:t>湖南科创信息技术股份 有限公司武汉分公司</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陈荣庆、叶新焱</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2017.4.1-2019.3.31</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楚天都市花园</w:t>
            </w:r>
            <w:r>
              <w:rPr>
                <w:rFonts w:ascii="Times New Roman" w:hAnsi="Times New Roman" w:cs="Times New Roman" w:eastAsia="Times New Roman" w:hint="default"/>
                <w:sz w:val="18"/>
                <w:szCs w:val="18"/>
              </w:rPr>
              <w:t>C</w:t>
            </w:r>
            <w:r>
              <w:rPr>
                <w:rFonts w:ascii="宋体" w:hAnsi="宋体" w:cs="宋体" w:eastAsia="宋体" w:hint="default"/>
                <w:sz w:val="18"/>
                <w:szCs w:val="18"/>
              </w:rPr>
              <w:t>座</w:t>
            </w:r>
            <w:r>
              <w:rPr>
                <w:rFonts w:ascii="Times New Roman" w:hAnsi="Times New Roman" w:cs="Times New Roman" w:eastAsia="Times New Roman" w:hint="default"/>
                <w:sz w:val="18"/>
                <w:szCs w:val="18"/>
              </w:rPr>
              <w:t>16</w:t>
            </w:r>
            <w:r>
              <w:rPr>
                <w:rFonts w:ascii="宋体" w:hAnsi="宋体" w:cs="宋体" w:eastAsia="宋体" w:hint="default"/>
                <w:sz w:val="18"/>
                <w:szCs w:val="18"/>
              </w:rPr>
              <w:t>楼</w:t>
            </w:r>
            <w:r>
              <w:rPr>
                <w:rFonts w:ascii="Times New Roman" w:hAnsi="Times New Roman" w:cs="Times New Roman" w:eastAsia="Times New Roman" w:hint="default"/>
                <w:sz w:val="18"/>
                <w:szCs w:val="18"/>
              </w:rPr>
              <w:t>D</w:t>
            </w:r>
            <w:r>
              <w:rPr>
                <w:rFonts w:ascii="宋体" w:hAnsi="宋体" w:cs="宋体" w:eastAsia="宋体" w:hint="default"/>
                <w:sz w:val="18"/>
                <w:szCs w:val="18"/>
              </w:rPr>
              <w:t>室</w:t>
            </w:r>
          </w:p>
        </w:tc>
      </w:tr>
      <w:tr>
        <w:trPr>
          <w:trHeight w:val="660"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z w:val="18"/>
              </w:rPr>
              <w:t>8</w:t>
            </w:r>
          </w:p>
        </w:tc>
        <w:tc>
          <w:tcPr>
            <w:tcW w:w="1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80" w:right="89" w:hanging="90"/>
              <w:jc w:val="left"/>
              <w:rPr>
                <w:rFonts w:ascii="宋体" w:hAnsi="宋体" w:cs="宋体" w:eastAsia="宋体" w:hint="default"/>
                <w:sz w:val="18"/>
                <w:szCs w:val="18"/>
              </w:rPr>
            </w:pPr>
            <w:r>
              <w:rPr>
                <w:rFonts w:ascii="宋体" w:hAnsi="宋体" w:cs="宋体" w:eastAsia="宋体" w:hint="default"/>
                <w:sz w:val="18"/>
                <w:szCs w:val="18"/>
              </w:rPr>
              <w:t>湖南科创信息技术股份 有限公司广州分公司</w:t>
            </w:r>
          </w:p>
        </w:tc>
        <w:tc>
          <w:tcPr>
            <w:tcW w:w="17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11" w:right="58" w:hanging="450"/>
              <w:jc w:val="left"/>
              <w:rPr>
                <w:rFonts w:ascii="宋体" w:hAnsi="宋体" w:cs="宋体" w:eastAsia="宋体" w:hint="default"/>
                <w:sz w:val="18"/>
                <w:szCs w:val="18"/>
              </w:rPr>
            </w:pPr>
            <w:r>
              <w:rPr>
                <w:rFonts w:ascii="宋体" w:hAnsi="宋体" w:cs="宋体" w:eastAsia="宋体" w:hint="default"/>
                <w:sz w:val="18"/>
                <w:szCs w:val="18"/>
              </w:rPr>
              <w:t>广州市汇诚物业管理 有限公司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2017.5.16-2019.5.15</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50" w:right="75" w:hanging="676"/>
              <w:jc w:val="left"/>
              <w:rPr>
                <w:rFonts w:ascii="宋体" w:hAnsi="宋体" w:cs="宋体" w:eastAsia="宋体" w:hint="default"/>
                <w:sz w:val="18"/>
                <w:szCs w:val="18"/>
              </w:rPr>
            </w:pPr>
            <w:r>
              <w:rPr>
                <w:rFonts w:ascii="宋体" w:hAnsi="宋体" w:cs="宋体" w:eastAsia="宋体" w:hint="default"/>
                <w:sz w:val="18"/>
                <w:szCs w:val="18"/>
              </w:rPr>
              <w:t>广州市天河区东圃大马路天力 街</w:t>
            </w:r>
            <w:r>
              <w:rPr>
                <w:rFonts w:ascii="Times New Roman" w:hAnsi="Times New Roman" w:cs="Times New Roman" w:eastAsia="Times New Roman" w:hint="default"/>
                <w:sz w:val="18"/>
                <w:szCs w:val="18"/>
              </w:rPr>
              <w:t>11</w:t>
            </w:r>
            <w:r>
              <w:rPr>
                <w:rFonts w:ascii="宋体" w:hAnsi="宋体" w:cs="宋体" w:eastAsia="宋体" w:hint="default"/>
                <w:sz w:val="18"/>
                <w:szCs w:val="18"/>
              </w:rPr>
              <w:t>号</w:t>
            </w:r>
            <w:r>
              <w:rPr>
                <w:rFonts w:ascii="Times New Roman" w:hAnsi="Times New Roman" w:cs="Times New Roman" w:eastAsia="Times New Roman" w:hint="default"/>
                <w:sz w:val="18"/>
                <w:szCs w:val="18"/>
              </w:rPr>
              <w:t>427</w:t>
            </w:r>
            <w:r>
              <w:rPr>
                <w:rFonts w:ascii="宋体" w:hAnsi="宋体" w:cs="宋体" w:eastAsia="宋体" w:hint="default"/>
                <w:sz w:val="18"/>
                <w:szCs w:val="18"/>
              </w:rPr>
              <w:t>室</w:t>
            </w:r>
          </w:p>
        </w:tc>
      </w:tr>
    </w:tbl>
    <w:p>
      <w:pPr>
        <w:spacing w:line="240" w:lineRule="auto" w:before="2"/>
        <w:rPr>
          <w:rFonts w:ascii="Times New Roman" w:hAnsi="Times New Roman" w:cs="Times New Roman" w:eastAsia="Times New Roman" w:hint="default"/>
          <w:sz w:val="24"/>
          <w:szCs w:val="24"/>
        </w:rPr>
      </w:pPr>
    </w:p>
    <w:p>
      <w:pPr>
        <w:spacing w:line="316" w:lineRule="auto" w:before="44"/>
        <w:ind w:left="154" w:right="5802" w:firstLine="0"/>
        <w:jc w:val="left"/>
        <w:rPr>
          <w:rFonts w:ascii="宋体" w:hAnsi="宋体" w:cs="宋体" w:eastAsia="宋体" w:hint="default"/>
          <w:sz w:val="18"/>
          <w:szCs w:val="18"/>
        </w:rPr>
      </w:pPr>
      <w:r>
        <w:rPr>
          <w:rFonts w:ascii="宋体" w:hAnsi="宋体" w:cs="宋体" w:eastAsia="宋体" w:hint="default"/>
          <w:b/>
          <w:bCs/>
          <w:sz w:val="18"/>
          <w:szCs w:val="18"/>
        </w:rPr>
        <w:t>二、其他公司或个人租赁公司资产情况</w:t>
      </w:r>
      <w:r>
        <w:rPr>
          <w:rFonts w:ascii="宋体" w:hAnsi="宋体" w:cs="宋体" w:eastAsia="宋体" w:hint="default"/>
          <w:b/>
          <w:bCs/>
          <w:w w:val="99"/>
          <w:sz w:val="18"/>
          <w:szCs w:val="18"/>
        </w:rPr>
        <w:t> </w:t>
      </w:r>
      <w:r>
        <w:rPr>
          <w:rFonts w:ascii="宋体" w:hAnsi="宋体" w:cs="宋体" w:eastAsia="宋体" w:hint="default"/>
          <w:sz w:val="18"/>
          <w:szCs w:val="18"/>
        </w:rPr>
        <w:t>报告期内，共有</w:t>
      </w:r>
      <w:r>
        <w:rPr>
          <w:rFonts w:ascii="Times New Roman" w:hAnsi="Times New Roman" w:cs="Times New Roman" w:eastAsia="Times New Roman" w:hint="default"/>
          <w:sz w:val="18"/>
          <w:szCs w:val="18"/>
        </w:rPr>
        <w:t>5</w:t>
      </w:r>
      <w:r>
        <w:rPr>
          <w:rFonts w:ascii="宋体" w:hAnsi="宋体" w:cs="宋体" w:eastAsia="宋体" w:hint="default"/>
          <w:sz w:val="18"/>
          <w:szCs w:val="18"/>
        </w:rPr>
        <w:t>家公司或个人租赁公司房产，具体情况如下：</w:t>
      </w:r>
    </w:p>
    <w:tbl>
      <w:tblPr>
        <w:tblW w:w="0" w:type="auto"/>
        <w:jc w:val="left"/>
        <w:tblInd w:w="146" w:type="dxa"/>
        <w:tblLayout w:type="fixed"/>
        <w:tblCellMar>
          <w:top w:w="0" w:type="dxa"/>
          <w:left w:w="0" w:type="dxa"/>
          <w:bottom w:w="0" w:type="dxa"/>
          <w:right w:w="0" w:type="dxa"/>
        </w:tblCellMar>
        <w:tblLook w:val="01E0"/>
      </w:tblPr>
      <w:tblGrid>
        <w:gridCol w:w="656"/>
        <w:gridCol w:w="2180"/>
        <w:gridCol w:w="1570"/>
        <w:gridCol w:w="1740"/>
        <w:gridCol w:w="2790"/>
      </w:tblGrid>
      <w:tr>
        <w:trPr>
          <w:trHeight w:val="347"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承租方</w:t>
            </w:r>
            <w:r>
              <w:rPr>
                <w:rFonts w:ascii="宋体" w:hAnsi="宋体" w:cs="宋体" w:eastAsia="宋体" w:hint="default"/>
                <w:sz w:val="18"/>
                <w:szCs w:val="18"/>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06" w:right="0"/>
              <w:jc w:val="left"/>
              <w:rPr>
                <w:rFonts w:ascii="宋体" w:hAnsi="宋体" w:cs="宋体" w:eastAsia="宋体" w:hint="default"/>
                <w:sz w:val="18"/>
                <w:szCs w:val="18"/>
              </w:rPr>
            </w:pPr>
            <w:r>
              <w:rPr>
                <w:rFonts w:ascii="宋体" w:hAnsi="宋体" w:cs="宋体" w:eastAsia="宋体" w:hint="default"/>
                <w:b/>
                <w:bCs/>
                <w:sz w:val="18"/>
                <w:szCs w:val="18"/>
              </w:rPr>
              <w:t>出租方</w:t>
            </w:r>
            <w:r>
              <w:rPr>
                <w:rFonts w:ascii="宋体" w:hAnsi="宋体" w:cs="宋体" w:eastAsia="宋体" w:hint="default"/>
                <w:sz w:val="18"/>
                <w:szCs w:val="18"/>
              </w:rPr>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承租时间</w:t>
            </w:r>
            <w:r>
              <w:rPr>
                <w:rFonts w:ascii="宋体" w:hAnsi="宋体" w:cs="宋体" w:eastAsia="宋体" w:hint="default"/>
                <w:sz w:val="18"/>
                <w:szCs w:val="18"/>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坐落</w:t>
            </w:r>
            <w:r>
              <w:rPr>
                <w:rFonts w:ascii="宋体" w:hAnsi="宋体" w:cs="宋体" w:eastAsia="宋体" w:hint="default"/>
                <w:sz w:val="18"/>
                <w:szCs w:val="18"/>
              </w:rPr>
            </w:r>
          </w:p>
        </w:tc>
      </w:tr>
      <w:tr>
        <w:trPr>
          <w:trHeight w:val="659"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632" w:right="1" w:hanging="630"/>
              <w:jc w:val="left"/>
              <w:rPr>
                <w:rFonts w:ascii="宋体" w:hAnsi="宋体" w:cs="宋体" w:eastAsia="宋体" w:hint="default"/>
                <w:sz w:val="18"/>
                <w:szCs w:val="18"/>
              </w:rPr>
            </w:pPr>
            <w:r>
              <w:rPr>
                <w:rFonts w:ascii="宋体" w:hAnsi="宋体" w:cs="宋体" w:eastAsia="宋体" w:hint="default"/>
                <w:sz w:val="18"/>
                <w:szCs w:val="18"/>
              </w:rPr>
              <w:t>中合慧景（长沙）规划设计 院有限公司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37" w:right="57" w:hanging="180"/>
              <w:jc w:val="left"/>
              <w:rPr>
                <w:rFonts w:ascii="宋体" w:hAnsi="宋体" w:cs="宋体" w:eastAsia="宋体" w:hint="default"/>
                <w:sz w:val="18"/>
                <w:szCs w:val="18"/>
              </w:rPr>
            </w:pPr>
            <w:r>
              <w:rPr>
                <w:rFonts w:ascii="宋体" w:hAnsi="宋体" w:cs="宋体" w:eastAsia="宋体" w:hint="default"/>
                <w:sz w:val="18"/>
                <w:szCs w:val="18"/>
              </w:rPr>
              <w:t>湖南科创信息技术 股份有限公司</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2014.06.01-2019.05.31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0"/>
              <w:ind w:left="171" w:right="11" w:hanging="160"/>
              <w:jc w:val="left"/>
              <w:rPr>
                <w:rFonts w:ascii="宋体" w:hAnsi="宋体" w:cs="宋体" w:eastAsia="宋体" w:hint="default"/>
                <w:sz w:val="18"/>
                <w:szCs w:val="18"/>
              </w:rPr>
            </w:pPr>
            <w:r>
              <w:rPr>
                <w:rFonts w:ascii="宋体" w:hAnsi="宋体" w:cs="宋体" w:eastAsia="宋体" w:hint="default"/>
                <w:sz w:val="18"/>
                <w:szCs w:val="18"/>
              </w:rPr>
              <w:t>长沙市芙蓉南路</w:t>
            </w:r>
            <w:r>
              <w:rPr>
                <w:rFonts w:ascii="Times New Roman" w:hAnsi="Times New Roman" w:cs="Times New Roman" w:eastAsia="Times New Roman" w:hint="default"/>
                <w:sz w:val="18"/>
                <w:szCs w:val="18"/>
              </w:rPr>
              <w:t>368</w:t>
            </w:r>
            <w:r>
              <w:rPr>
                <w:rFonts w:ascii="宋体" w:hAnsi="宋体" w:cs="宋体" w:eastAsia="宋体" w:hint="default"/>
                <w:sz w:val="18"/>
                <w:szCs w:val="18"/>
              </w:rPr>
              <w:t>号</w:t>
            </w:r>
            <w:r>
              <w:rPr>
                <w:rFonts w:ascii="Times New Roman" w:hAnsi="Times New Roman" w:cs="Times New Roman" w:eastAsia="Times New Roman" w:hint="default"/>
                <w:sz w:val="18"/>
                <w:szCs w:val="18"/>
              </w:rPr>
              <w:t>BOBO</w:t>
            </w:r>
            <w:r>
              <w:rPr>
                <w:rFonts w:ascii="宋体" w:hAnsi="宋体" w:cs="宋体" w:eastAsia="宋体" w:hint="default"/>
                <w:sz w:val="18"/>
                <w:szCs w:val="18"/>
              </w:rPr>
              <w:t>天下城 第</w:t>
            </w:r>
            <w:r>
              <w:rPr>
                <w:rFonts w:ascii="Times New Roman" w:hAnsi="Times New Roman" w:cs="Times New Roman" w:eastAsia="Times New Roman" w:hint="default"/>
                <w:sz w:val="18"/>
                <w:szCs w:val="18"/>
              </w:rPr>
              <w:t>1</w:t>
            </w:r>
            <w:r>
              <w:rPr>
                <w:rFonts w:ascii="宋体" w:hAnsi="宋体" w:cs="宋体" w:eastAsia="宋体" w:hint="default"/>
                <w:sz w:val="18"/>
                <w:szCs w:val="18"/>
              </w:rPr>
              <w:t>号栋</w:t>
            </w:r>
            <w:r>
              <w:rPr>
                <w:rFonts w:ascii="Times New Roman" w:hAnsi="Times New Roman" w:cs="Times New Roman" w:eastAsia="Times New Roman" w:hint="default"/>
                <w:sz w:val="18"/>
                <w:szCs w:val="18"/>
              </w:rPr>
              <w:t>CTA</w:t>
            </w:r>
            <w:r>
              <w:rPr>
                <w:rFonts w:ascii="宋体" w:hAnsi="宋体" w:cs="宋体" w:eastAsia="宋体" w:hint="default"/>
                <w:sz w:val="18"/>
                <w:szCs w:val="18"/>
              </w:rPr>
              <w:t>财富中心</w:t>
            </w:r>
            <w:r>
              <w:rPr>
                <w:rFonts w:ascii="Times New Roman" w:hAnsi="Times New Roman" w:cs="Times New Roman" w:eastAsia="Times New Roman" w:hint="default"/>
                <w:sz w:val="18"/>
                <w:szCs w:val="18"/>
              </w:rPr>
              <w:t>29</w:t>
            </w:r>
            <w:r>
              <w:rPr>
                <w:rFonts w:ascii="宋体" w:hAnsi="宋体" w:cs="宋体" w:eastAsia="宋体" w:hint="default"/>
                <w:sz w:val="18"/>
                <w:szCs w:val="18"/>
              </w:rPr>
              <w:t>楼南面</w:t>
            </w:r>
          </w:p>
        </w:tc>
      </w:tr>
      <w:tr>
        <w:trPr>
          <w:trHeight w:val="659"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92" w:right="91"/>
              <w:jc w:val="left"/>
              <w:rPr>
                <w:rFonts w:ascii="宋体" w:hAnsi="宋体" w:cs="宋体" w:eastAsia="宋体" w:hint="default"/>
                <w:sz w:val="18"/>
                <w:szCs w:val="18"/>
              </w:rPr>
            </w:pPr>
            <w:r>
              <w:rPr>
                <w:rFonts w:ascii="宋体" w:hAnsi="宋体" w:cs="宋体" w:eastAsia="宋体" w:hint="default"/>
                <w:sz w:val="18"/>
                <w:szCs w:val="18"/>
              </w:rPr>
              <w:t>湖南知韩教育咨询有限公 司、长沙机床厂技工学校</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0"/>
              <w:ind w:left="237" w:right="57" w:hanging="180"/>
              <w:jc w:val="left"/>
              <w:rPr>
                <w:rFonts w:ascii="宋体" w:hAnsi="宋体" w:cs="宋体" w:eastAsia="宋体" w:hint="default"/>
                <w:sz w:val="18"/>
                <w:szCs w:val="18"/>
              </w:rPr>
            </w:pPr>
            <w:r>
              <w:rPr>
                <w:rFonts w:ascii="宋体" w:hAnsi="宋体" w:cs="宋体" w:eastAsia="宋体" w:hint="default"/>
                <w:sz w:val="18"/>
                <w:szCs w:val="18"/>
              </w:rPr>
              <w:t>湖南科创信息技术 股份有限公司</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2016.6.12-2019.3.31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长沙市岳麓区青山路</w:t>
            </w:r>
            <w:r>
              <w:rPr>
                <w:rFonts w:ascii="Times New Roman" w:hAnsi="Times New Roman" w:cs="Times New Roman" w:eastAsia="Times New Roman" w:hint="default"/>
                <w:sz w:val="18"/>
                <w:szCs w:val="18"/>
              </w:rPr>
              <w:t>678</w:t>
            </w:r>
            <w:r>
              <w:rPr>
                <w:rFonts w:ascii="宋体" w:hAnsi="宋体" w:cs="宋体" w:eastAsia="宋体" w:hint="default"/>
                <w:sz w:val="18"/>
                <w:szCs w:val="18"/>
              </w:rPr>
              <w:t>号</w:t>
            </w:r>
          </w:p>
        </w:tc>
      </w:tr>
      <w:tr>
        <w:trPr>
          <w:trHeight w:val="972"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3</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长沙本信信用服务有限公司</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7" w:right="57" w:hanging="180"/>
              <w:jc w:val="left"/>
              <w:rPr>
                <w:rFonts w:ascii="宋体" w:hAnsi="宋体" w:cs="宋体" w:eastAsia="宋体" w:hint="default"/>
                <w:sz w:val="18"/>
                <w:szCs w:val="18"/>
              </w:rPr>
            </w:pPr>
            <w:r>
              <w:rPr>
                <w:rFonts w:ascii="宋体" w:hAnsi="宋体" w:cs="宋体" w:eastAsia="宋体" w:hint="default"/>
                <w:sz w:val="18"/>
                <w:szCs w:val="18"/>
              </w:rPr>
              <w:t>湖南科创信息技术 股份有限公司</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2017.2.17-2018.8.25</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0"/>
              <w:ind w:left="12" w:right="11"/>
              <w:jc w:val="center"/>
              <w:rPr>
                <w:rFonts w:ascii="宋体" w:hAnsi="宋体" w:cs="宋体" w:eastAsia="宋体" w:hint="default"/>
                <w:sz w:val="18"/>
                <w:szCs w:val="18"/>
              </w:rPr>
            </w:pPr>
            <w:r>
              <w:rPr>
                <w:rFonts w:ascii="宋体" w:hAnsi="宋体" w:cs="宋体" w:eastAsia="宋体" w:hint="default"/>
                <w:sz w:val="18"/>
                <w:szCs w:val="18"/>
              </w:rPr>
              <w:t>长沙市芙蓉南路</w:t>
            </w:r>
            <w:r>
              <w:rPr>
                <w:rFonts w:ascii="Times New Roman" w:hAnsi="Times New Roman" w:cs="Times New Roman" w:eastAsia="Times New Roman" w:hint="default"/>
                <w:sz w:val="18"/>
                <w:szCs w:val="18"/>
              </w:rPr>
              <w:t>368</w:t>
            </w:r>
            <w:r>
              <w:rPr>
                <w:rFonts w:ascii="宋体" w:hAnsi="宋体" w:cs="宋体" w:eastAsia="宋体" w:hint="default"/>
                <w:sz w:val="18"/>
                <w:szCs w:val="18"/>
              </w:rPr>
              <w:t>号</w:t>
            </w:r>
            <w:r>
              <w:rPr>
                <w:rFonts w:ascii="Times New Roman" w:hAnsi="Times New Roman" w:cs="Times New Roman" w:eastAsia="Times New Roman" w:hint="default"/>
                <w:sz w:val="18"/>
                <w:szCs w:val="18"/>
              </w:rPr>
              <w:t>BOBO</w:t>
            </w:r>
            <w:r>
              <w:rPr>
                <w:rFonts w:ascii="宋体" w:hAnsi="宋体" w:cs="宋体" w:eastAsia="宋体" w:hint="default"/>
                <w:sz w:val="18"/>
                <w:szCs w:val="18"/>
              </w:rPr>
              <w:t>天下城 第</w:t>
            </w:r>
            <w:r>
              <w:rPr>
                <w:rFonts w:ascii="Times New Roman" w:hAnsi="Times New Roman" w:cs="Times New Roman" w:eastAsia="Times New Roman" w:hint="default"/>
                <w:sz w:val="18"/>
                <w:szCs w:val="18"/>
              </w:rPr>
              <w:t>1</w:t>
            </w:r>
            <w:r>
              <w:rPr>
                <w:rFonts w:ascii="宋体" w:hAnsi="宋体" w:cs="宋体" w:eastAsia="宋体" w:hint="default"/>
                <w:sz w:val="18"/>
                <w:szCs w:val="18"/>
              </w:rPr>
              <w:t>号栋</w:t>
            </w:r>
            <w:r>
              <w:rPr>
                <w:rFonts w:ascii="Times New Roman" w:hAnsi="Times New Roman" w:cs="Times New Roman" w:eastAsia="Times New Roman" w:hint="default"/>
                <w:sz w:val="18"/>
                <w:szCs w:val="18"/>
              </w:rPr>
              <w:t>CTA</w:t>
            </w:r>
            <w:r>
              <w:rPr>
                <w:rFonts w:ascii="宋体" w:hAnsi="宋体" w:cs="宋体" w:eastAsia="宋体" w:hint="default"/>
                <w:sz w:val="18"/>
                <w:szCs w:val="18"/>
              </w:rPr>
              <w:t>财富中心</w:t>
            </w:r>
            <w:r>
              <w:rPr>
                <w:rFonts w:ascii="Times New Roman" w:hAnsi="Times New Roman" w:cs="Times New Roman" w:eastAsia="Times New Roman" w:hint="default"/>
                <w:sz w:val="18"/>
                <w:szCs w:val="18"/>
              </w:rPr>
              <w:t>29</w:t>
            </w:r>
            <w:r>
              <w:rPr>
                <w:rFonts w:ascii="宋体" w:hAnsi="宋体" w:cs="宋体" w:eastAsia="宋体" w:hint="default"/>
                <w:sz w:val="18"/>
                <w:szCs w:val="18"/>
              </w:rPr>
              <w:t>楼北面 </w:t>
            </w:r>
            <w:r>
              <w:rPr>
                <w:rFonts w:ascii="Times New Roman" w:hAnsi="Times New Roman" w:cs="Times New Roman" w:eastAsia="Times New Roman" w:hint="default"/>
                <w:sz w:val="18"/>
                <w:szCs w:val="18"/>
              </w:rPr>
              <w:t>29002</w:t>
            </w:r>
            <w:r>
              <w:rPr>
                <w:rFonts w:ascii="宋体" w:hAnsi="宋体" w:cs="宋体" w:eastAsia="宋体" w:hint="default"/>
                <w:sz w:val="18"/>
                <w:szCs w:val="18"/>
              </w:rPr>
              <w:t>、</w:t>
            </w:r>
            <w:r>
              <w:rPr>
                <w:rFonts w:ascii="Times New Roman" w:hAnsi="Times New Roman" w:cs="Times New Roman" w:eastAsia="Times New Roman" w:hint="default"/>
                <w:sz w:val="18"/>
                <w:szCs w:val="18"/>
              </w:rPr>
              <w:t>29003</w:t>
            </w:r>
            <w:r>
              <w:rPr>
                <w:rFonts w:ascii="宋体" w:hAnsi="宋体" w:cs="宋体" w:eastAsia="宋体" w:hint="default"/>
                <w:sz w:val="18"/>
                <w:szCs w:val="18"/>
              </w:rPr>
              <w:t>、</w:t>
            </w:r>
            <w:r>
              <w:rPr>
                <w:rFonts w:ascii="Times New Roman" w:hAnsi="Times New Roman" w:cs="Times New Roman" w:eastAsia="Times New Roman" w:hint="default"/>
                <w:sz w:val="18"/>
                <w:szCs w:val="18"/>
              </w:rPr>
              <w:t>29004</w:t>
            </w:r>
            <w:r>
              <w:rPr>
                <w:rFonts w:ascii="宋体" w:hAnsi="宋体" w:cs="宋体" w:eastAsia="宋体" w:hint="default"/>
                <w:sz w:val="18"/>
                <w:szCs w:val="18"/>
              </w:rPr>
              <w:t>房屋</w:t>
            </w:r>
          </w:p>
        </w:tc>
      </w:tr>
      <w:tr>
        <w:trPr>
          <w:trHeight w:val="971"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Times New Roman" w:hAnsi="Times New Roman" w:cs="Times New Roman" w:eastAsia="Times New Roman" w:hint="default"/>
                <w:sz w:val="18"/>
                <w:szCs w:val="18"/>
              </w:rPr>
            </w:pPr>
            <w:r>
              <w:rPr>
                <w:rFonts w:ascii="Times New Roman"/>
                <w:sz w:val="18"/>
              </w:rPr>
              <w:t>4</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阳延</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37" w:right="57" w:hanging="180"/>
              <w:jc w:val="left"/>
              <w:rPr>
                <w:rFonts w:ascii="宋体" w:hAnsi="宋体" w:cs="宋体" w:eastAsia="宋体" w:hint="default"/>
                <w:sz w:val="18"/>
                <w:szCs w:val="18"/>
              </w:rPr>
            </w:pPr>
            <w:r>
              <w:rPr>
                <w:rFonts w:ascii="宋体" w:hAnsi="宋体" w:cs="宋体" w:eastAsia="宋体" w:hint="default"/>
                <w:sz w:val="18"/>
                <w:szCs w:val="18"/>
              </w:rPr>
              <w:t>湖南科创信息技术 股份有限公司</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Times New Roman" w:hAnsi="Times New Roman" w:cs="Times New Roman" w:eastAsia="Times New Roman" w:hint="default"/>
                <w:sz w:val="18"/>
                <w:szCs w:val="18"/>
              </w:rPr>
            </w:pPr>
            <w:r>
              <w:rPr>
                <w:rFonts w:ascii="Times New Roman"/>
                <w:sz w:val="18"/>
              </w:rPr>
              <w:t>2018.12.1-2019.12.19</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8"/>
              <w:ind w:left="12" w:right="11"/>
              <w:jc w:val="center"/>
              <w:rPr>
                <w:rFonts w:ascii="宋体" w:hAnsi="宋体" w:cs="宋体" w:eastAsia="宋体" w:hint="default"/>
                <w:sz w:val="18"/>
                <w:szCs w:val="18"/>
              </w:rPr>
            </w:pPr>
            <w:r>
              <w:rPr>
                <w:rFonts w:ascii="宋体" w:hAnsi="宋体" w:cs="宋体" w:eastAsia="宋体" w:hint="default"/>
                <w:sz w:val="18"/>
                <w:szCs w:val="18"/>
              </w:rPr>
              <w:t>长沙市芙蓉南路</w:t>
            </w:r>
            <w:r>
              <w:rPr>
                <w:rFonts w:ascii="Times New Roman" w:hAnsi="Times New Roman" w:cs="Times New Roman" w:eastAsia="Times New Roman" w:hint="default"/>
                <w:sz w:val="18"/>
                <w:szCs w:val="18"/>
              </w:rPr>
              <w:t>368</w:t>
            </w:r>
            <w:r>
              <w:rPr>
                <w:rFonts w:ascii="宋体" w:hAnsi="宋体" w:cs="宋体" w:eastAsia="宋体" w:hint="default"/>
                <w:sz w:val="18"/>
                <w:szCs w:val="18"/>
              </w:rPr>
              <w:t>号</w:t>
            </w:r>
            <w:r>
              <w:rPr>
                <w:rFonts w:ascii="Times New Roman" w:hAnsi="Times New Roman" w:cs="Times New Roman" w:eastAsia="Times New Roman" w:hint="default"/>
                <w:sz w:val="18"/>
                <w:szCs w:val="18"/>
              </w:rPr>
              <w:t>BOBO</w:t>
            </w:r>
            <w:r>
              <w:rPr>
                <w:rFonts w:ascii="宋体" w:hAnsi="宋体" w:cs="宋体" w:eastAsia="宋体" w:hint="default"/>
                <w:sz w:val="18"/>
                <w:szCs w:val="18"/>
              </w:rPr>
              <w:t>天下城 第</w:t>
            </w:r>
            <w:r>
              <w:rPr>
                <w:rFonts w:ascii="Times New Roman" w:hAnsi="Times New Roman" w:cs="Times New Roman" w:eastAsia="Times New Roman" w:hint="default"/>
                <w:sz w:val="18"/>
                <w:szCs w:val="18"/>
              </w:rPr>
              <w:t>1</w:t>
            </w:r>
            <w:r>
              <w:rPr>
                <w:rFonts w:ascii="宋体" w:hAnsi="宋体" w:cs="宋体" w:eastAsia="宋体" w:hint="default"/>
                <w:sz w:val="18"/>
                <w:szCs w:val="18"/>
              </w:rPr>
              <w:t>号栋</w:t>
            </w:r>
            <w:r>
              <w:rPr>
                <w:rFonts w:ascii="Times New Roman" w:hAnsi="Times New Roman" w:cs="Times New Roman" w:eastAsia="Times New Roman" w:hint="default"/>
                <w:sz w:val="18"/>
                <w:szCs w:val="18"/>
              </w:rPr>
              <w:t>CTA</w:t>
            </w:r>
            <w:r>
              <w:rPr>
                <w:rFonts w:ascii="宋体" w:hAnsi="宋体" w:cs="宋体" w:eastAsia="宋体" w:hint="default"/>
                <w:sz w:val="18"/>
                <w:szCs w:val="18"/>
              </w:rPr>
              <w:t>财富中心</w:t>
            </w:r>
            <w:r>
              <w:rPr>
                <w:rFonts w:ascii="Times New Roman" w:hAnsi="Times New Roman" w:cs="Times New Roman" w:eastAsia="Times New Roman" w:hint="default"/>
                <w:sz w:val="18"/>
                <w:szCs w:val="18"/>
              </w:rPr>
              <w:t>29</w:t>
            </w:r>
            <w:r>
              <w:rPr>
                <w:rFonts w:ascii="宋体" w:hAnsi="宋体" w:cs="宋体" w:eastAsia="宋体" w:hint="default"/>
                <w:sz w:val="18"/>
                <w:szCs w:val="18"/>
              </w:rPr>
              <w:t>楼北面 </w:t>
            </w:r>
            <w:r>
              <w:rPr>
                <w:rFonts w:ascii="Times New Roman" w:hAnsi="Times New Roman" w:cs="Times New Roman" w:eastAsia="Times New Roman" w:hint="default"/>
                <w:sz w:val="18"/>
                <w:szCs w:val="18"/>
              </w:rPr>
              <w:t>29003</w:t>
            </w:r>
            <w:r>
              <w:rPr>
                <w:rFonts w:ascii="宋体" w:hAnsi="宋体" w:cs="宋体" w:eastAsia="宋体" w:hint="default"/>
                <w:sz w:val="18"/>
                <w:szCs w:val="18"/>
              </w:rPr>
              <w:t>房屋</w:t>
            </w:r>
          </w:p>
        </w:tc>
      </w:tr>
      <w:tr>
        <w:trPr>
          <w:trHeight w:val="971" w:hRule="exact"/>
        </w:trPr>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5</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阳钦民</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37" w:right="57" w:hanging="180"/>
              <w:jc w:val="left"/>
              <w:rPr>
                <w:rFonts w:ascii="宋体" w:hAnsi="宋体" w:cs="宋体" w:eastAsia="宋体" w:hint="default"/>
                <w:sz w:val="18"/>
                <w:szCs w:val="18"/>
              </w:rPr>
            </w:pPr>
            <w:r>
              <w:rPr>
                <w:rFonts w:ascii="宋体" w:hAnsi="宋体" w:cs="宋体" w:eastAsia="宋体" w:hint="default"/>
                <w:sz w:val="18"/>
                <w:szCs w:val="18"/>
              </w:rPr>
              <w:t>湖南科创信息技术 股份有限公司</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2018.12.1-2019.12.19</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0"/>
              <w:ind w:left="12" w:right="11"/>
              <w:jc w:val="center"/>
              <w:rPr>
                <w:rFonts w:ascii="宋体" w:hAnsi="宋体" w:cs="宋体" w:eastAsia="宋体" w:hint="default"/>
                <w:sz w:val="18"/>
                <w:szCs w:val="18"/>
              </w:rPr>
            </w:pPr>
            <w:r>
              <w:rPr>
                <w:rFonts w:ascii="宋体" w:hAnsi="宋体" w:cs="宋体" w:eastAsia="宋体" w:hint="default"/>
                <w:sz w:val="18"/>
                <w:szCs w:val="18"/>
              </w:rPr>
              <w:t>长沙市芙蓉南路</w:t>
            </w:r>
            <w:r>
              <w:rPr>
                <w:rFonts w:ascii="Times New Roman" w:hAnsi="Times New Roman" w:cs="Times New Roman" w:eastAsia="Times New Roman" w:hint="default"/>
                <w:sz w:val="18"/>
                <w:szCs w:val="18"/>
              </w:rPr>
              <w:t>368</w:t>
            </w:r>
            <w:r>
              <w:rPr>
                <w:rFonts w:ascii="宋体" w:hAnsi="宋体" w:cs="宋体" w:eastAsia="宋体" w:hint="default"/>
                <w:sz w:val="18"/>
                <w:szCs w:val="18"/>
              </w:rPr>
              <w:t>号</w:t>
            </w:r>
            <w:r>
              <w:rPr>
                <w:rFonts w:ascii="Times New Roman" w:hAnsi="Times New Roman" w:cs="Times New Roman" w:eastAsia="Times New Roman" w:hint="default"/>
                <w:sz w:val="18"/>
                <w:szCs w:val="18"/>
              </w:rPr>
              <w:t>BOBO</w:t>
            </w:r>
            <w:r>
              <w:rPr>
                <w:rFonts w:ascii="宋体" w:hAnsi="宋体" w:cs="宋体" w:eastAsia="宋体" w:hint="default"/>
                <w:sz w:val="18"/>
                <w:szCs w:val="18"/>
              </w:rPr>
              <w:t>天下城 第</w:t>
            </w:r>
            <w:r>
              <w:rPr>
                <w:rFonts w:ascii="Times New Roman" w:hAnsi="Times New Roman" w:cs="Times New Roman" w:eastAsia="Times New Roman" w:hint="default"/>
                <w:sz w:val="18"/>
                <w:szCs w:val="18"/>
              </w:rPr>
              <w:t>1</w:t>
            </w:r>
            <w:r>
              <w:rPr>
                <w:rFonts w:ascii="宋体" w:hAnsi="宋体" w:cs="宋体" w:eastAsia="宋体" w:hint="default"/>
                <w:sz w:val="18"/>
                <w:szCs w:val="18"/>
              </w:rPr>
              <w:t>号栋</w:t>
            </w:r>
            <w:r>
              <w:rPr>
                <w:rFonts w:ascii="Times New Roman" w:hAnsi="Times New Roman" w:cs="Times New Roman" w:eastAsia="Times New Roman" w:hint="default"/>
                <w:sz w:val="18"/>
                <w:szCs w:val="18"/>
              </w:rPr>
              <w:t>CTA</w:t>
            </w:r>
            <w:r>
              <w:rPr>
                <w:rFonts w:ascii="宋体" w:hAnsi="宋体" w:cs="宋体" w:eastAsia="宋体" w:hint="default"/>
                <w:sz w:val="18"/>
                <w:szCs w:val="18"/>
              </w:rPr>
              <w:t>财富中心</w:t>
            </w:r>
            <w:r>
              <w:rPr>
                <w:rFonts w:ascii="Times New Roman" w:hAnsi="Times New Roman" w:cs="Times New Roman" w:eastAsia="Times New Roman" w:hint="default"/>
                <w:sz w:val="18"/>
                <w:szCs w:val="18"/>
              </w:rPr>
              <w:t>29</w:t>
            </w:r>
            <w:r>
              <w:rPr>
                <w:rFonts w:ascii="宋体" w:hAnsi="宋体" w:cs="宋体" w:eastAsia="宋体" w:hint="default"/>
                <w:sz w:val="18"/>
                <w:szCs w:val="18"/>
              </w:rPr>
              <w:t>楼北面 </w:t>
            </w:r>
            <w:r>
              <w:rPr>
                <w:rFonts w:ascii="Times New Roman" w:hAnsi="Times New Roman" w:cs="Times New Roman" w:eastAsia="Times New Roman" w:hint="default"/>
                <w:sz w:val="18"/>
                <w:szCs w:val="18"/>
              </w:rPr>
              <w:t>29004</w:t>
            </w:r>
            <w:r>
              <w:rPr>
                <w:rFonts w:ascii="宋体" w:hAnsi="宋体" w:cs="宋体" w:eastAsia="宋体" w:hint="default"/>
                <w:sz w:val="18"/>
                <w:szCs w:val="18"/>
              </w:rPr>
              <w:t>房屋</w:t>
            </w:r>
          </w:p>
        </w:tc>
      </w:tr>
    </w:tbl>
    <w:p>
      <w:pPr>
        <w:pStyle w:val="BodyText"/>
        <w:spacing w:line="240" w:lineRule="auto" w:before="40"/>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514" w:right="1032"/>
        <w:jc w:val="left"/>
      </w:pPr>
      <w:r>
        <w:rPr/>
        <w:t>（</w:t>
      </w:r>
      <w:r>
        <w:rPr>
          <w:rFonts w:ascii="Times New Roman" w:hAnsi="Times New Roman" w:cs="Times New Roman" w:eastAsia="Times New Roman" w:hint="default"/>
        </w:rPr>
        <w:t>1</w:t>
      </w:r>
      <w:r>
        <w:rPr/>
        <w:t>）股东和债权人权益保护 公司建立了健全的投资者权益保护机制：制度中明确规定了投资者应当享有的各项权利，设置了监事会、审计委员会、</w:t>
      </w:r>
    </w:p>
    <w:p>
      <w:pPr>
        <w:pStyle w:val="BodyText"/>
        <w:spacing w:line="316" w:lineRule="auto" w:before="31"/>
        <w:ind w:right="1131"/>
        <w:jc w:val="both"/>
      </w:pPr>
      <w:r>
        <w:rPr>
          <w:spacing w:val="-2"/>
        </w:rPr>
        <w:t>独立董事及董事会秘书等机构及相应人员，执行、监督各项投资者权益保护机制，形成了涵盖保障投资者收益分配权、维护</w:t>
      </w:r>
      <w:r>
        <w:rPr>
          <w:spacing w:val="-66"/>
        </w:rPr>
        <w:t> </w:t>
      </w:r>
      <w:r>
        <w:rPr>
          <w:spacing w:val="-66"/>
        </w:rPr>
      </w:r>
      <w:r>
        <w:rPr>
          <w:spacing w:val="-2"/>
        </w:rPr>
        <w:t>投资者知情权、保证投资者决策参与权、监督规范控股股东、董事、监事、高级管理人员行为等方面的长效投资者权益保护</w:t>
      </w:r>
      <w:r>
        <w:rPr>
          <w:spacing w:val="-66"/>
        </w:rPr>
        <w:t> </w:t>
      </w:r>
      <w:r>
        <w:rPr>
          <w:spacing w:val="-66"/>
        </w:rPr>
      </w:r>
      <w:r>
        <w:rPr/>
        <w:t>机制体系。</w:t>
      </w:r>
    </w:p>
    <w:p>
      <w:pPr>
        <w:pStyle w:val="BodyText"/>
        <w:spacing w:line="316" w:lineRule="auto" w:before="19"/>
        <w:ind w:right="0" w:firstLine="360"/>
        <w:jc w:val="left"/>
      </w:pPr>
      <w:r>
        <w:rPr>
          <w:spacing w:val="-2"/>
        </w:rPr>
        <w:t>公司严格按照《公司法》、《证券法》等法律法规及《公司章程》的有关规定，依法召开股东大会，认真履行信息披露</w:t>
      </w:r>
      <w:r>
        <w:rPr/>
        <w:t> </w:t>
      </w:r>
      <w:r>
        <w:rPr>
          <w:spacing w:val="-4"/>
        </w:rPr>
        <w:t>义务，确保公开披露的信息真实、准确、完整、及时。通过接听投资者来电、投资者关系互动平台、投资者网上接待日活动、</w:t>
      </w:r>
      <w:r>
        <w:rPr>
          <w:spacing w:val="-47"/>
        </w:rPr>
        <w:t> </w:t>
      </w:r>
      <w:r>
        <w:rPr>
          <w:spacing w:val="-47"/>
        </w:rPr>
      </w:r>
      <w:r>
        <w:rPr/>
        <w:t>业绩网上说明会等多种方式与投资者进行沟通交流，使投资者能更深入全面地了解公司。</w:t>
      </w:r>
    </w:p>
    <w:p>
      <w:pPr>
        <w:pStyle w:val="BodyText"/>
        <w:spacing w:line="316" w:lineRule="auto" w:before="19"/>
        <w:ind w:right="0" w:firstLine="360"/>
        <w:jc w:val="left"/>
      </w:pPr>
      <w:r>
        <w:rPr>
          <w:spacing w:val="-2"/>
        </w:rPr>
        <w:t>报告期内，公司无任何形式的对外担保事项，公司不存在大股东及关联方占用公司资金的情形，亦不存在将资金直接或</w:t>
      </w:r>
      <w:r>
        <w:rPr/>
        <w:t> 间接地提供给大股东及关联方使用等情形。</w:t>
      </w:r>
    </w:p>
    <w:p>
      <w:pPr>
        <w:pStyle w:val="BodyText"/>
        <w:spacing w:line="300" w:lineRule="auto" w:before="19"/>
        <w:ind w:left="514" w:right="0"/>
        <w:jc w:val="left"/>
      </w:pPr>
      <w:r>
        <w:rPr/>
        <w:t>（</w:t>
      </w:r>
      <w:r>
        <w:rPr>
          <w:rFonts w:ascii="Times New Roman" w:hAnsi="Times New Roman" w:cs="Times New Roman" w:eastAsia="Times New Roman" w:hint="default"/>
        </w:rPr>
        <w:t>2</w:t>
      </w:r>
      <w:r>
        <w:rPr/>
        <w:t>）职工权益保护 </w:t>
      </w:r>
      <w:r>
        <w:rPr>
          <w:spacing w:val="-2"/>
        </w:rPr>
        <w:t>公司始终坚持</w:t>
      </w:r>
      <w:r>
        <w:rPr>
          <w:rFonts w:ascii="Times New Roman" w:hAnsi="Times New Roman" w:cs="Times New Roman" w:eastAsia="Times New Roman" w:hint="default"/>
          <w:spacing w:val="-2"/>
        </w:rPr>
        <w:t>“</w:t>
      </w:r>
      <w:r>
        <w:rPr>
          <w:spacing w:val="-2"/>
        </w:rPr>
        <w:t>以人为本</w:t>
      </w:r>
      <w:r>
        <w:rPr>
          <w:rFonts w:ascii="Times New Roman" w:hAnsi="Times New Roman" w:cs="Times New Roman" w:eastAsia="Times New Roman" w:hint="default"/>
          <w:spacing w:val="-2"/>
        </w:rPr>
        <w:t>”</w:t>
      </w:r>
      <w:r>
        <w:rPr>
          <w:spacing w:val="-2"/>
        </w:rPr>
        <w:t>的核心价值观，致力于培养员工的认同感和归属感，实现员工与企业共同成长。公司严格按照</w:t>
      </w:r>
    </w:p>
    <w:p>
      <w:pPr>
        <w:pStyle w:val="BodyText"/>
        <w:spacing w:line="319" w:lineRule="auto" w:before="13"/>
        <w:ind w:right="1032"/>
        <w:jc w:val="left"/>
      </w:pPr>
      <w:r>
        <w:rPr>
          <w:spacing w:val="-2"/>
        </w:rPr>
        <w:t>《中华人民共和国劳动合同法》和有关劳动法律法规等规定，与员工签订劳动合同，并严格执行相应的劳动用工规定和社会</w:t>
      </w:r>
      <w:r>
        <w:rPr>
          <w:spacing w:val="-66"/>
        </w:rPr>
        <w:t> </w:t>
      </w:r>
      <w:r>
        <w:rPr>
          <w:spacing w:val="-66"/>
        </w:rPr>
      </w:r>
      <w:r>
        <w:rPr/>
        <w:t>保障制度，尊重员工，为员工提供健康、安全、舒适的工作环境，保障员工合法权益。同时，公司通过不断完善福利政策， 关怀员工，努力为员工营造优良的技术创新环境，使员工能更好地实现自我价值。</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否 上市公司及其子公司不属于环境保护部门公布的重点排污单位。</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0"/>
        <w:jc w:val="left"/>
        <w:rPr>
          <w:b w:val="0"/>
          <w:bCs w:val="0"/>
        </w:rPr>
      </w:pPr>
      <w:bookmarkStart w:name="_TOC_250006" w:id="101"/>
      <w:bookmarkStart w:name="第六节 股份变动及股东情况" w:id="102"/>
      <w:r>
        <w:rPr>
          <w:b w:val="0"/>
          <w:bCs w:val="0"/>
        </w:rPr>
      </w:r>
      <w:r>
        <w:rPr/>
        <w:t>第六节</w:t>
      </w:r>
      <w:r>
        <w:rPr>
          <w:spacing w:val="-10"/>
        </w:rPr>
        <w:t> </w:t>
      </w:r>
      <w:r>
        <w:rPr/>
        <w:t>股份变动及股东情况</w:t>
      </w:r>
      <w:bookmarkEnd w:id="10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2"/>
        <w:gridCol w:w="1077"/>
        <w:gridCol w:w="636"/>
        <w:gridCol w:w="850"/>
        <w:gridCol w:w="568"/>
        <w:gridCol w:w="992"/>
        <w:gridCol w:w="993"/>
        <w:gridCol w:w="895"/>
        <w:gridCol w:w="948"/>
        <w:gridCol w:w="641"/>
      </w:tblGrid>
      <w:tr>
        <w:trPr>
          <w:trHeight w:val="205"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5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962" w:type="dxa"/>
            <w:vMerge w:val="restart"/>
            <w:tcBorders>
              <w:top w:val="nil" w:sz="6" w:space="0" w:color="auto"/>
              <w:left w:val="single" w:sz="4" w:space="0" w:color="000000"/>
              <w:right w:val="single" w:sz="4" w:space="0" w:color="000000"/>
            </w:tcBorders>
            <w:shd w:val="clear" w:color="auto" w:fill="D2D2D2"/>
          </w:tcPr>
          <w:p>
            <w:pPr/>
          </w:p>
        </w:tc>
        <w:tc>
          <w:tcPr>
            <w:tcW w:w="1713" w:type="dxa"/>
            <w:gridSpan w:val="2"/>
            <w:vMerge/>
            <w:tcBorders>
              <w:left w:val="single" w:sz="4" w:space="0" w:color="000000"/>
              <w:bottom w:val="single" w:sz="4" w:space="0" w:color="000000"/>
              <w:right w:val="single" w:sz="4" w:space="0" w:color="000000"/>
            </w:tcBorders>
            <w:shd w:val="clear" w:color="auto" w:fill="D2D2D2"/>
          </w:tcPr>
          <w:p>
            <w:pPr/>
          </w:p>
        </w:tc>
        <w:tc>
          <w:tcPr>
            <w:tcW w:w="4298" w:type="dxa"/>
            <w:gridSpan w:val="5"/>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62" w:type="dxa"/>
            <w:vMerge/>
            <w:tcBorders>
              <w:left w:val="single" w:sz="4" w:space="0" w:color="000000"/>
              <w:bottom w:val="nil" w:sz="6" w:space="0" w:color="auto"/>
              <w:right w:val="single" w:sz="4" w:space="0" w:color="000000"/>
            </w:tcBorders>
            <w:shd w:val="clear" w:color="auto" w:fill="D2D2D2"/>
          </w:tcPr>
          <w:p>
            <w:pPr/>
          </w:p>
        </w:tc>
        <w:tc>
          <w:tcPr>
            <w:tcW w:w="10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5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7" w:type="dxa"/>
            <w:vMerge/>
            <w:tcBorders>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948"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69,705,999</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48,794,199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-36,072,773</w:t>
            </w:r>
            <w:r>
              <w:rPr>
                <w:rFonts w:ascii="Times New Roman"/>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12,721,426</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82,427,425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52.17%</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6,979,127</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4,885,389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4,885,389</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11,864,516</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62,726,872</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67.49%</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43,908,810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-36,072,773</w:t>
            </w:r>
            <w:r>
              <w:rPr>
                <w:rFonts w:ascii="Times New Roman"/>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7,836,037</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70,562,909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44.66%</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7,574,666</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5,302,266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-12,876,932</w:t>
            </w:r>
            <w:r>
              <w:rPr>
                <w:rFonts w:ascii="Times New Roman"/>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-7,574,666</w:t>
            </w:r>
            <w:r>
              <w:rPr>
                <w:rFonts w:ascii="Times New Roman"/>
                <w:sz w:val="18"/>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55,152,206</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59.34%</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38,606,544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-23,195,841</w:t>
            </w:r>
            <w:r>
              <w:rPr>
                <w:rFonts w:ascii="Times New Roman"/>
                <w:sz w:val="18"/>
              </w:rPr>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15,410,703</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70,562,909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44.66%</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23,240,000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16,268,000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36,072,773</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52,340,773</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75,580,773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47.83%</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23,240,000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16,268,000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36,072,773</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52,340,773</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75,580,773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47.83%</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92,945,999</w:t>
            </w:r>
          </w:p>
        </w:tc>
        <w:tc>
          <w:tcPr>
            <w:tcW w:w="6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65,062,199</w:t>
            </w:r>
          </w:p>
        </w:tc>
        <w:tc>
          <w:tcPr>
            <w:tcW w:w="9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65,062,199</w:t>
            </w:r>
          </w:p>
        </w:tc>
        <w:tc>
          <w:tcPr>
            <w:tcW w:w="94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158,008,19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19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77" w:type="dxa"/>
            <w:vMerge/>
            <w:tcBorders>
              <w:left w:val="single" w:sz="9" w:space="0" w:color="D2D2D2"/>
              <w:right w:val="single" w:sz="4" w:space="0" w:color="000000"/>
            </w:tcBorders>
          </w:tcPr>
          <w:p>
            <w:pPr/>
          </w:p>
        </w:tc>
        <w:tc>
          <w:tcPr>
            <w:tcW w:w="6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3" w:type="dxa"/>
            <w:vMerge/>
            <w:tcBorders>
              <w:left w:val="single" w:sz="4" w:space="0" w:color="000000"/>
              <w:right w:val="single" w:sz="4" w:space="0" w:color="000000"/>
            </w:tcBorders>
          </w:tcPr>
          <w:p>
            <w:pPr/>
          </w:p>
        </w:tc>
        <w:tc>
          <w:tcPr>
            <w:tcW w:w="895" w:type="dxa"/>
            <w:vMerge/>
            <w:tcBorders>
              <w:left w:val="single" w:sz="4" w:space="0" w:color="000000"/>
              <w:right w:val="single" w:sz="4" w:space="0" w:color="000000"/>
            </w:tcBorders>
          </w:tcPr>
          <w:p>
            <w:pPr/>
          </w:p>
        </w:tc>
        <w:tc>
          <w:tcPr>
            <w:tcW w:w="948"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61" w:hRule="exact"/>
        </w:trPr>
        <w:tc>
          <w:tcPr>
            <w:tcW w:w="1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7" w:type="dxa"/>
            <w:vMerge/>
            <w:tcBorders>
              <w:left w:val="single" w:sz="9" w:space="0" w:color="D2D2D2"/>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3" w:type="dxa"/>
            <w:vMerge/>
            <w:tcBorders>
              <w:left w:val="single" w:sz="4" w:space="0" w:color="000000"/>
              <w:bottom w:val="single" w:sz="4" w:space="0" w:color="000000"/>
              <w:right w:val="single" w:sz="4" w:space="0" w:color="000000"/>
            </w:tcBorders>
          </w:tcPr>
          <w:p>
            <w:pPr/>
          </w:p>
        </w:tc>
        <w:tc>
          <w:tcPr>
            <w:tcW w:w="895" w:type="dxa"/>
            <w:vMerge/>
            <w:tcBorders>
              <w:left w:val="single" w:sz="4" w:space="0" w:color="000000"/>
              <w:bottom w:val="single" w:sz="4" w:space="0" w:color="000000"/>
              <w:right w:val="single" w:sz="4" w:space="0" w:color="000000"/>
            </w:tcBorders>
          </w:tcPr>
          <w:p>
            <w:pPr/>
          </w:p>
        </w:tc>
        <w:tc>
          <w:tcPr>
            <w:tcW w:w="948"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338" w:lineRule="auto" w:before="117"/>
        <w:ind w:left="514" w:right="148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报告期内，公司实施了</w:t>
      </w:r>
      <w:r>
        <w:rPr>
          <w:rFonts w:ascii="Times New Roman" w:hAnsi="Times New Roman" w:cs="Times New Roman" w:eastAsia="Times New Roman" w:hint="default"/>
        </w:rPr>
        <w:t>2017</w:t>
      </w:r>
      <w:r>
        <w:rPr/>
        <w:t>年度利润分配方案，本次利润分配方案实施完毕后，公司总股本由</w:t>
      </w:r>
      <w:r>
        <w:rPr>
          <w:rFonts w:ascii="Times New Roman" w:hAnsi="Times New Roman" w:cs="Times New Roman" w:eastAsia="Times New Roman" w:hint="default"/>
        </w:rPr>
        <w:t>92,945,999</w:t>
      </w:r>
      <w:r>
        <w:rPr/>
        <w:t>股增加至</w:t>
      </w:r>
    </w:p>
    <w:p>
      <w:pPr>
        <w:pStyle w:val="BodyText"/>
        <w:spacing w:line="230" w:lineRule="exact"/>
        <w:ind w:right="0"/>
        <w:jc w:val="left"/>
      </w:pPr>
      <w:r>
        <w:rPr>
          <w:rFonts w:ascii="Times New Roman" w:hAnsi="Times New Roman" w:cs="Times New Roman" w:eastAsia="Times New Roman" w:hint="default"/>
        </w:rPr>
        <w:t>158,008,198</w:t>
      </w:r>
      <w:r>
        <w:rPr/>
        <w:t>股。具体内容详见公司于巨潮资讯网披露的《湖南科创信息技术股份有限公司</w:t>
      </w:r>
      <w:r>
        <w:rPr>
          <w:rFonts w:ascii="Times New Roman" w:hAnsi="Times New Roman" w:cs="Times New Roman" w:eastAsia="Times New Roman" w:hint="default"/>
        </w:rPr>
        <w:t>2017</w:t>
      </w:r>
      <w:r>
        <w:rPr/>
        <w:t>年度利润分配实施公告》（公</w:t>
      </w:r>
    </w:p>
    <w:p>
      <w:pPr>
        <w:pStyle w:val="BodyText"/>
        <w:spacing w:line="300" w:lineRule="auto" w:before="63"/>
        <w:ind w:left="514" w:right="1287" w:hanging="360"/>
        <w:jc w:val="left"/>
      </w:pPr>
      <w:r>
        <w:rPr/>
        <w:t>告编号：</w:t>
      </w:r>
      <w:r>
        <w:rPr>
          <w:rFonts w:ascii="Times New Roman" w:hAnsi="Times New Roman" w:cs="Times New Roman" w:eastAsia="Times New Roman" w:hint="default"/>
        </w:rPr>
        <w:t>2018-029</w:t>
      </w:r>
      <w:r>
        <w:rPr/>
        <w:t>）。 报告期内，公司解除限售股份的数量为</w:t>
      </w:r>
      <w:r>
        <w:rPr>
          <w:rFonts w:ascii="Times New Roman" w:hAnsi="Times New Roman" w:cs="Times New Roman" w:eastAsia="Times New Roman" w:hint="default"/>
        </w:rPr>
        <w:t>36,238,523</w:t>
      </w:r>
      <w:r>
        <w:rPr/>
        <w:t>股，占公司总股本的</w:t>
      </w:r>
      <w:r>
        <w:rPr>
          <w:rFonts w:ascii="Times New Roman" w:hAnsi="Times New Roman" w:cs="Times New Roman" w:eastAsia="Times New Roman" w:hint="default"/>
        </w:rPr>
        <w:t>22.93%</w:t>
      </w:r>
      <w:r>
        <w:rPr/>
        <w:t>。其中，戴志扬先生持有公司股份数量</w:t>
      </w:r>
    </w:p>
    <w:p>
      <w:pPr>
        <w:pStyle w:val="BodyText"/>
        <w:spacing w:line="300" w:lineRule="auto" w:before="13"/>
        <w:ind w:right="1132"/>
        <w:jc w:val="left"/>
      </w:pPr>
      <w:r>
        <w:rPr>
          <w:rFonts w:ascii="Times New Roman" w:hAnsi="Times New Roman" w:cs="Times New Roman" w:eastAsia="Times New Roman" w:hint="default"/>
          <w:spacing w:val="-1"/>
        </w:rPr>
        <w:t>221,000</w:t>
      </w:r>
      <w:r>
        <w:rPr>
          <w:spacing w:val="-1"/>
        </w:rPr>
        <w:t>股（占公司总股本的</w:t>
      </w:r>
      <w:r>
        <w:rPr>
          <w:rFonts w:ascii="Times New Roman" w:hAnsi="Times New Roman" w:cs="Times New Roman" w:eastAsia="Times New Roman" w:hint="default"/>
          <w:spacing w:val="-1"/>
        </w:rPr>
        <w:t>0.14%</w:t>
      </w:r>
      <w:r>
        <w:rPr>
          <w:spacing w:val="-1"/>
        </w:rPr>
        <w:t>），由于戴志扬先生担任本公司监事，其本次实际可上市流通股数量为本次解除限售数量</w:t>
      </w:r>
      <w:r>
        <w:rPr>
          <w:spacing w:val="-88"/>
        </w:rPr>
        <w:t> </w:t>
      </w:r>
      <w:r>
        <w:rPr>
          <w:spacing w:val="-88"/>
        </w:rPr>
      </w:r>
      <w:r>
        <w:rPr/>
        <w:t>的</w:t>
      </w:r>
      <w:r>
        <w:rPr>
          <w:rFonts w:ascii="Times New Roman" w:hAnsi="Times New Roman" w:cs="Times New Roman" w:eastAsia="Times New Roman" w:hint="default"/>
        </w:rPr>
        <w:t>25%</w:t>
      </w:r>
      <w:r>
        <w:rPr/>
        <w:t>，即</w:t>
      </w:r>
      <w:r>
        <w:rPr>
          <w:rFonts w:ascii="Times New Roman" w:hAnsi="Times New Roman" w:cs="Times New Roman" w:eastAsia="Times New Roman" w:hint="default"/>
        </w:rPr>
        <w:t>55,250</w:t>
      </w:r>
      <w:r>
        <w:rPr/>
        <w:t>股。报告期末，公司有限售条件股份数为</w:t>
      </w:r>
      <w:r>
        <w:rPr>
          <w:rFonts w:ascii="Times New Roman" w:hAnsi="Times New Roman" w:cs="Times New Roman" w:eastAsia="Times New Roman" w:hint="default"/>
        </w:rPr>
        <w:t>82,427,425</w:t>
      </w:r>
      <w:r>
        <w:rPr/>
        <w:t>股。具体内容详见公司于巨潮资讯网披露的《湖南科 创信息技术股份有限公司关于首次公开发行前已发行股份上市流通提示性公告》（公告编号：</w:t>
      </w:r>
      <w:r>
        <w:rPr>
          <w:rFonts w:ascii="Times New Roman" w:hAnsi="Times New Roman" w:cs="Times New Roman" w:eastAsia="Times New Roman" w:hint="default"/>
        </w:rPr>
        <w:t>2018-043</w:t>
      </w:r>
      <w:r>
        <w:rPr/>
        <w:t>）。</w:t>
      </w:r>
    </w:p>
    <w:p>
      <w:pPr>
        <w:pStyle w:val="BodyText"/>
        <w:spacing w:line="240" w:lineRule="auto" w:before="53"/>
        <w:ind w:right="0"/>
        <w:jc w:val="left"/>
      </w:pPr>
      <w:r>
        <w:rPr/>
        <w:t>股份变动的批准情况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9" w:firstLine="360"/>
        <w:jc w:val="both"/>
      </w:pPr>
      <w:r>
        <w:rPr/>
        <w:t>《关于公司</w:t>
      </w:r>
      <w:r>
        <w:rPr>
          <w:rFonts w:ascii="Times New Roman" w:hAnsi="Times New Roman" w:cs="Times New Roman" w:eastAsia="Times New Roman" w:hint="default"/>
        </w:rPr>
        <w:t>2017</w:t>
      </w:r>
      <w:r>
        <w:rPr/>
        <w:t>年度利润分配的预案》已经公司于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日召开的</w:t>
      </w:r>
      <w:r>
        <w:rPr>
          <w:rFonts w:ascii="Times New Roman" w:hAnsi="Times New Roman" w:cs="Times New Roman" w:eastAsia="Times New Roman" w:hint="default"/>
        </w:rPr>
        <w:t>2017</w:t>
      </w:r>
      <w:r>
        <w:rPr/>
        <w:t>年年度股东大会审议通过，同意以总股本 </w:t>
      </w:r>
      <w:r>
        <w:rPr>
          <w:rFonts w:ascii="Times New Roman" w:hAnsi="Times New Roman" w:cs="Times New Roman" w:eastAsia="Times New Roman" w:hint="default"/>
        </w:rPr>
        <w:t>92,945,999</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股，共计转增</w:t>
      </w:r>
      <w:r>
        <w:rPr>
          <w:rFonts w:ascii="Times New Roman" w:hAnsi="Times New Roman" w:cs="Times New Roman" w:eastAsia="Times New Roman" w:hint="default"/>
        </w:rPr>
        <w:t>65,062,199</w:t>
      </w:r>
      <w:r>
        <w:rPr/>
        <w:t>股。</w:t>
      </w:r>
      <w:r>
        <w:rPr>
          <w:rFonts w:ascii="Times New Roman" w:hAnsi="Times New Roman" w:cs="Times New Roman" w:eastAsia="Times New Roman" w:hint="default"/>
        </w:rPr>
        <w:t>2017</w:t>
      </w:r>
      <w:r>
        <w:rPr/>
        <w:t>年年度股东大会决议公告详见 公司于巨潮资讯网上披露的《</w:t>
      </w:r>
      <w:r>
        <w:rPr>
          <w:rFonts w:ascii="Times New Roman" w:hAnsi="Times New Roman" w:cs="Times New Roman" w:eastAsia="Times New Roman" w:hint="default"/>
        </w:rPr>
        <w:t>2017</w:t>
      </w:r>
      <w:r>
        <w:rPr/>
        <w:t>年年度股东大会决议公告》（公告编号：</w:t>
      </w:r>
      <w:r>
        <w:rPr>
          <w:rFonts w:ascii="Times New Roman" w:hAnsi="Times New Roman" w:cs="Times New Roman" w:eastAsia="Times New Roman" w:hint="default"/>
        </w:rPr>
        <w:t>2018-028</w:t>
      </w:r>
      <w:r>
        <w:rPr/>
        <w:t>）。</w:t>
      </w:r>
    </w:p>
    <w:p>
      <w:pPr>
        <w:pStyle w:val="BodyText"/>
        <w:spacing w:line="360" w:lineRule="auto" w:before="13"/>
        <w:ind w:right="1932" w:firstLine="360"/>
        <w:jc w:val="left"/>
      </w:pPr>
      <w:r>
        <w:rPr/>
        <w:t>报告期内，公司解除限售股份相关事宜已经深圳证券交易所、中国证券登记结算有限公司深圳分公司同意。 股份变动的过户情况</w:t>
      </w:r>
    </w:p>
    <w:p>
      <w:pPr>
        <w:pStyle w:val="BodyText"/>
        <w:spacing w:line="338" w:lineRule="auto" w:before="27"/>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报告期，公司以资本公积金向全体股东转增的</w:t>
      </w:r>
      <w:r>
        <w:rPr>
          <w:rFonts w:ascii="Times New Roman" w:hAnsi="Times New Roman" w:cs="Times New Roman" w:eastAsia="Times New Roman" w:hint="default"/>
        </w:rPr>
        <w:t>65,062,199</w:t>
      </w:r>
      <w:r>
        <w:rPr/>
        <w:t>股已经在中国证券登记结算有限责任公司深圳分公司完成股份</w:t>
      </w:r>
    </w:p>
    <w:p>
      <w:pPr>
        <w:pStyle w:val="BodyText"/>
        <w:spacing w:line="217" w:lineRule="exact"/>
        <w:ind w:right="0"/>
        <w:jc w:val="left"/>
      </w:pPr>
      <w:r>
        <w:rPr/>
        <w:t>登记手续。</w:t>
      </w:r>
    </w:p>
    <w:p>
      <w:pPr>
        <w:pStyle w:val="BodyText"/>
        <w:spacing w:line="240" w:lineRule="auto" w:before="117"/>
        <w:ind w:right="0"/>
        <w:jc w:val="left"/>
      </w:pPr>
      <w:r>
        <w:rPr/>
        <w:t>股份回购的实施进展情况</w:t>
      </w:r>
    </w:p>
    <w:p>
      <w:pPr>
        <w:pStyle w:val="BodyText"/>
        <w:spacing w:line="338" w:lineRule="auto" w:before="117"/>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40" w:lineRule="auto" w:before="42"/>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报告期内，由于公司实施了</w:t>
      </w:r>
      <w:r>
        <w:rPr>
          <w:rFonts w:ascii="Times New Roman" w:hAnsi="Times New Roman" w:cs="Times New Roman" w:eastAsia="Times New Roman" w:hint="default"/>
        </w:rPr>
        <w:t>2017</w:t>
      </w:r>
      <w:r>
        <w:rPr/>
        <w:t>年度利润分配方案，公司股本由期初的</w:t>
      </w:r>
      <w:r>
        <w:rPr>
          <w:rFonts w:ascii="Times New Roman" w:hAnsi="Times New Roman" w:cs="Times New Roman" w:eastAsia="Times New Roman" w:hint="default"/>
        </w:rPr>
        <w:t>92,945,999</w:t>
      </w:r>
      <w:r>
        <w:rPr/>
        <w:t>股变更为期末的</w:t>
      </w:r>
      <w:r>
        <w:rPr>
          <w:rFonts w:ascii="Times New Roman" w:hAnsi="Times New Roman" w:cs="Times New Roman" w:eastAsia="Times New Roman" w:hint="default"/>
        </w:rPr>
        <w:t>158,008,198</w:t>
      </w:r>
      <w:r>
        <w:rPr/>
        <w:t>股，对基</w:t>
      </w:r>
    </w:p>
    <w:p>
      <w:pPr>
        <w:pStyle w:val="BodyText"/>
        <w:spacing w:line="217" w:lineRule="exact"/>
        <w:ind w:right="0"/>
        <w:jc w:val="left"/>
      </w:pPr>
      <w:r>
        <w:rPr/>
        <w:t>本每股收益、归属于公司普通股股东的每股净资产具有一定摊薄作用。</w:t>
      </w:r>
    </w:p>
    <w:p>
      <w:pPr>
        <w:pStyle w:val="BodyText"/>
        <w:spacing w:line="240" w:lineRule="auto" w:before="117"/>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1134"/>
        <w:gridCol w:w="1559"/>
        <w:gridCol w:w="1276"/>
        <w:gridCol w:w="1277"/>
        <w:gridCol w:w="1771"/>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期初限售股数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费耀平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8,181,885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5,727,319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13,909,204</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8,062,933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5,644,053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13,706,986</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李建华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7,249,516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5,074,661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12,324,177</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92" w:right="93"/>
              <w:jc w:val="left"/>
              <w:rPr>
                <w:rFonts w:ascii="宋体" w:hAnsi="宋体" w:cs="宋体" w:eastAsia="宋体" w:hint="default"/>
                <w:sz w:val="18"/>
                <w:szCs w:val="18"/>
              </w:rPr>
            </w:pPr>
            <w:r>
              <w:rPr>
                <w:rFonts w:ascii="宋体" w:hAnsi="宋体" w:cs="宋体" w:eastAsia="宋体" w:hint="default"/>
                <w:sz w:val="18"/>
                <w:szCs w:val="18"/>
              </w:rPr>
              <w:t>中南大学资产 经营有限公司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6,979,127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4,885,389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11,864,516</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刘星沙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6,861,398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4,802,979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11,664,377</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刘应龙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4,345,497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3,041,848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7,387,345</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92" w:right="93"/>
              <w:jc w:val="center"/>
              <w:rPr>
                <w:rFonts w:ascii="宋体" w:hAnsi="宋体" w:cs="宋体" w:eastAsia="宋体" w:hint="default"/>
                <w:sz w:val="18"/>
                <w:szCs w:val="18"/>
              </w:rPr>
            </w:pPr>
            <w:r>
              <w:rPr>
                <w:rFonts w:ascii="宋体" w:hAnsi="宋体" w:cs="宋体" w:eastAsia="宋体" w:hint="default"/>
                <w:sz w:val="18"/>
                <w:szCs w:val="18"/>
              </w:rPr>
              <w:t>湖南中科岳麓 创业投资有限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3,787,333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6,438,466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2,651,133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92" w:right="93"/>
              <w:jc w:val="left"/>
              <w:rPr>
                <w:rFonts w:ascii="宋体" w:hAnsi="宋体" w:cs="宋体" w:eastAsia="宋体" w:hint="default"/>
                <w:sz w:val="18"/>
                <w:szCs w:val="18"/>
              </w:rPr>
            </w:pPr>
            <w:r>
              <w:rPr>
                <w:rFonts w:ascii="宋体" w:hAnsi="宋体" w:cs="宋体" w:eastAsia="宋体" w:hint="default"/>
                <w:sz w:val="18"/>
                <w:szCs w:val="18"/>
              </w:rPr>
              <w:t>长沙金信置业 投资有限公司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3,787,333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6,438,466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2,651,133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吕雅莉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3,657,333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6,217,466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2,560,133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陈尚慧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1,036,174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725,322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1,761,496</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7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1134"/>
        <w:gridCol w:w="1559"/>
        <w:gridCol w:w="1287"/>
        <w:gridCol w:w="1266"/>
        <w:gridCol w:w="1760"/>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谷士文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1,022,606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1,738,430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715,824</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魏伟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927,866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649,506</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1,577,372</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罗昔军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792,290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554,603</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1,346,893</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梁习锋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780,000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1,326,000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546,000</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陈安定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775,744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543,021</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1,318,765</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姚振强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pacing w:val="-3"/>
                <w:sz w:val="18"/>
              </w:rPr>
              <w:t>711,116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1,208,897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497,781</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夏明伟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621,165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1,055,980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434,815</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李典斌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614,276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429,993</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1,044,269</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陈松乔</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589,774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1,002,616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412,842</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杨建宇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4" w:right="0"/>
              <w:jc w:val="left"/>
              <w:rPr>
                <w:rFonts w:ascii="Times New Roman" w:hAnsi="Times New Roman" w:cs="Times New Roman" w:eastAsia="Times New Roman" w:hint="default"/>
                <w:sz w:val="18"/>
                <w:szCs w:val="18"/>
              </w:rPr>
            </w:pPr>
            <w:r>
              <w:rPr>
                <w:rFonts w:ascii="Times New Roman"/>
                <w:sz w:val="18"/>
              </w:rPr>
              <w:t>568,114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965,794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397,680</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柳子尤</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558,522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949,487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390,965</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501,371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852,331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350,960</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潘伟林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486,529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827,099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340,570</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王美云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454,617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772,849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318,232</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谭立球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436,733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305,713</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742,446</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刘新整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378,743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643,863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265,120</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黄家林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378,743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643,863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265,120</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358,371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609,231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250,860</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宋文功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330,151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561,257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231,106</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王玺功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302,995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515,091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212,096</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罗丽珺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260,000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442,000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182,000</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祝明先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239,390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167,573</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406,963</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肖立英</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237,199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403,238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166,039</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肖国荣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230,000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161,000</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391,000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苏黎虹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226,231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158,362</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384,593</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唐宇光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4" w:right="0"/>
              <w:jc w:val="left"/>
              <w:rPr>
                <w:rFonts w:ascii="Times New Roman" w:hAnsi="Times New Roman" w:cs="Times New Roman" w:eastAsia="Times New Roman" w:hint="default"/>
                <w:sz w:val="18"/>
                <w:szCs w:val="18"/>
              </w:rPr>
            </w:pPr>
            <w:r>
              <w:rPr>
                <w:rFonts w:ascii="Times New Roman"/>
                <w:sz w:val="18"/>
              </w:rPr>
              <w:t>211,138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147,797</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358,935</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林云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210,046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357,078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147,032</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周永强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206,609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351,235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144,626</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谢石伟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197,500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138,250</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335,750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杨尚真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189,371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321,931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132,560</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马中峰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185,138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129,597</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314,735</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金卓钧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156,000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109,200</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265,200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罗岚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143,000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243,100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1" w:right="0"/>
              <w:jc w:val="left"/>
              <w:rPr>
                <w:rFonts w:ascii="Times New Roman" w:hAnsi="Times New Roman" w:cs="Times New Roman" w:eastAsia="Times New Roman" w:hint="default"/>
                <w:sz w:val="18"/>
                <w:szCs w:val="18"/>
              </w:rPr>
            </w:pPr>
            <w:r>
              <w:rPr>
                <w:rFonts w:ascii="Times New Roman"/>
                <w:sz w:val="18"/>
              </w:rPr>
              <w:t>100,100</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0</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龙仲</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133,137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93,196</w:t>
            </w:r>
          </w:p>
        </w:tc>
        <w:tc>
          <w:tcPr>
            <w:tcW w:w="1287"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226,333</w:t>
            </w:r>
          </w:p>
        </w:tc>
        <w:tc>
          <w:tcPr>
            <w:tcW w:w="12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8"/>
          <w:szCs w:val="28"/>
        </w:rPr>
      </w:pPr>
    </w:p>
    <w:p>
      <w:pPr>
        <w:pStyle w:val="BodyText"/>
        <w:spacing w:line="240" w:lineRule="auto" w:before="44"/>
        <w:ind w:left="0" w:right="1138"/>
        <w:jc w:val="right"/>
      </w:pPr>
      <w:r>
        <w:rPr/>
        <w:pict>
          <v:shape style="position:absolute;margin-left:56.459999pt;margin-top:-32.048309pt;width:478.65pt;height:545.3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1277"/>
                    <w:gridCol w:w="1134"/>
                    <w:gridCol w:w="1559"/>
                    <w:gridCol w:w="1276"/>
                    <w:gridCol w:w="1277"/>
                    <w:gridCol w:w="1760"/>
                  </w:tblGrid>
                  <w:tr>
                    <w:trPr>
                      <w:trHeight w:val="1650"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戴志扬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130,000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55,250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165,750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57" w:firstLine="48"/>
                          <w:jc w:val="center"/>
                          <w:rPr>
                            <w:rFonts w:ascii="宋体" w:hAnsi="宋体" w:cs="宋体" w:eastAsia="宋体" w:hint="default"/>
                            <w:sz w:val="18"/>
                            <w:szCs w:val="18"/>
                          </w:rPr>
                        </w:pPr>
                        <w:r>
                          <w:rPr>
                            <w:rFonts w:ascii="宋体" w:hAnsi="宋体" w:cs="宋体" w:eastAsia="宋体" w:hint="default"/>
                            <w:sz w:val="18"/>
                            <w:szCs w:val="18"/>
                          </w:rPr>
                          <w:t>任职期间每年转让的 股份不得超过转让时 持有股份总数的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离职后半年内不转让 股份</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李红波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221,000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曾瑶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221,000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何超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114,748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80,324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195,072</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向雁鸣</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176,800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72,800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罗建国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96,399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67,479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163,878</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136,000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魏永森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136,000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陈忠威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75,738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128,755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53,017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柳璞虞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119,000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彭富民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110,500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李中立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85,000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66,300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伍华力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66,300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禹勇平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22,750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55,250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龚春泉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20,020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48,620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蔡薇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44,200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聂智威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石劲柏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13,260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13,260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文达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13,260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史毅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13,260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朱建平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13,260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7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69,705,999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36,072,773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48,794,199</w:t>
                        </w:r>
                      </w:p>
                    </w:tc>
                    <w:tc>
                      <w:tcPr>
                        <w:tcW w:w="127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82,427,425</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2"/>
        <w:spacing w:line="240" w:lineRule="auto" w:before="26"/>
        <w:ind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212" w:firstLine="360"/>
        <w:jc w:val="left"/>
      </w:pPr>
      <w:r>
        <w:rPr/>
        <w:t>报告期内，公司实施了</w:t>
      </w:r>
      <w:r>
        <w:rPr>
          <w:rFonts w:ascii="Times New Roman" w:hAnsi="Times New Roman" w:cs="Times New Roman" w:eastAsia="Times New Roman" w:hint="default"/>
        </w:rPr>
        <w:t>2017</w:t>
      </w:r>
      <w:r>
        <w:rPr/>
        <w:t>年度利润分配方案，以总股本</w:t>
      </w:r>
      <w:r>
        <w:rPr>
          <w:rFonts w:ascii="Times New Roman" w:hAnsi="Times New Roman" w:cs="Times New Roman" w:eastAsia="Times New Roman" w:hint="default"/>
        </w:rPr>
        <w:t>92,945,999</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 </w:t>
      </w:r>
      <w:r>
        <w:rPr/>
        <w:t>股，共计转增</w:t>
      </w:r>
      <w:r>
        <w:rPr>
          <w:rFonts w:ascii="Times New Roman" w:hAnsi="Times New Roman" w:cs="Times New Roman" w:eastAsia="Times New Roman" w:hint="default"/>
        </w:rPr>
        <w:t>65,062,199</w:t>
      </w:r>
      <w:r>
        <w:rPr/>
        <w:t>股。本次利润分配方案实施完毕后，公司总股本由</w:t>
      </w:r>
      <w:r>
        <w:rPr>
          <w:rFonts w:ascii="Times New Roman" w:hAnsi="Times New Roman" w:cs="Times New Roman" w:eastAsia="Times New Roman" w:hint="default"/>
        </w:rPr>
        <w:t>92,945,999</w:t>
      </w:r>
      <w:r>
        <w:rPr/>
        <w:t>股增加至</w:t>
      </w:r>
      <w:r>
        <w:rPr>
          <w:rFonts w:ascii="Times New Roman" w:hAnsi="Times New Roman" w:cs="Times New Roman" w:eastAsia="Times New Roman" w:hint="default"/>
        </w:rPr>
        <w:t>158,008,198</w:t>
      </w:r>
      <w:r>
        <w:rPr/>
        <w:t>股。</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49.277008pt;margin-top:68.351738pt;width:85.6pt;height:31.2pt;mso-position-horizontal-relative:page;mso-position-vertical-relative:paragraph;z-index:-796456" type="#_x0000_t202" filled="false" stroked="false">
            <v:textbox inset="0,0,0,0">
              <w:txbxContent>
                <w:p>
                  <w:pPr>
                    <w:pStyle w:val="BodyText"/>
                    <w:spacing w:line="205" w:lineRule="exact"/>
                    <w:ind w:left="0" w:right="0"/>
                    <w:jc w:val="left"/>
                  </w:pPr>
                  <w:r>
                    <w:rPr/>
                    <w:t>（如有）</w:t>
                  </w:r>
                </w:p>
              </w:txbxContent>
            </v:textbox>
            <w10:wrap type="none"/>
          </v:shape>
        </w:pict>
      </w:r>
      <w:r>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line="624" w:lineRule="exact"/>
        <w:ind w:left="8668"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52.45pt;height:31.2pt;mso-position-horizontal-relative:char;mso-position-vertical-relative:line" coordorigin="0,0" coordsize="1049,624">
            <v:group style="position:absolute;left:0;top:0;width:1049;height:624" coordorigin="0,0" coordsize="1049,624">
              <v:shape style="position:absolute;left:0;top:0;width:1049;height:624" coordorigin="0,0" coordsize="1049,624" path="m0,624l1049,624,1049,0,0,0,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44"/>
        <w:ind w:left="0" w:right="1141"/>
        <w:jc w:val="right"/>
      </w:pPr>
      <w:r>
        <w:rPr/>
        <w:pict>
          <v:shape style="position:absolute;margin-left:56.459999pt;margin-top:-477.288269pt;width:479.2pt;height:504.8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05"/>
                    <w:gridCol w:w="836"/>
                    <w:gridCol w:w="553"/>
                    <w:gridCol w:w="868"/>
                    <w:gridCol w:w="975"/>
                    <w:gridCol w:w="262"/>
                    <w:gridCol w:w="872"/>
                    <w:gridCol w:w="434"/>
                    <w:gridCol w:w="559"/>
                    <w:gridCol w:w="528"/>
                    <w:gridCol w:w="322"/>
                    <w:gridCol w:w="983"/>
                    <w:gridCol w:w="292"/>
                    <w:gridCol w:w="779"/>
                  </w:tblGrid>
                  <w:tr>
                    <w:trPr>
                      <w:trHeight w:val="161" w:hRule="exact"/>
                    </w:trPr>
                    <w:tc>
                      <w:tcPr>
                        <w:tcW w:w="1305" w:type="dxa"/>
                        <w:vMerge w:val="restart"/>
                        <w:tcBorders>
                          <w:top w:val="single" w:sz="4" w:space="0" w:color="000000"/>
                          <w:left w:val="single" w:sz="4" w:space="0" w:color="000000"/>
                          <w:right w:val="single" w:sz="4" w:space="0" w:color="000000"/>
                        </w:tcBorders>
                        <w:shd w:val="clear" w:color="auto" w:fill="D2D2D2"/>
                      </w:tcPr>
                      <w:p>
                        <w:pPr/>
                      </w:p>
                    </w:tc>
                    <w:tc>
                      <w:tcPr>
                        <w:tcW w:w="836"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20,765</w:t>
                        </w:r>
                      </w:p>
                    </w:tc>
                    <w:tc>
                      <w:tcPr>
                        <w:tcW w:w="1421" w:type="dxa"/>
                        <w:gridSpan w:val="2"/>
                        <w:vMerge w:val="restart"/>
                        <w:tcBorders>
                          <w:top w:val="single" w:sz="4" w:space="0" w:color="000000"/>
                          <w:left w:val="single" w:sz="4" w:space="0" w:color="000000"/>
                          <w:right w:val="single" w:sz="4" w:space="0" w:color="000000"/>
                        </w:tcBorders>
                        <w:shd w:val="clear" w:color="auto" w:fill="D2D2D2"/>
                      </w:tcPr>
                      <w:p>
                        <w:pPr/>
                      </w:p>
                    </w:tc>
                    <w:tc>
                      <w:tcPr>
                        <w:tcW w:w="123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19,893</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292" w:type="dxa"/>
                        <w:tcBorders>
                          <w:top w:val="single" w:sz="4" w:space="0" w:color="000000"/>
                          <w:left w:val="single" w:sz="13" w:space="0" w:color="D2D2D2"/>
                          <w:bottom w:val="nil" w:sz="6" w:space="0" w:color="auto"/>
                          <w:right w:val="nil" w:sz="6" w:space="0" w:color="auto"/>
                        </w:tcBorders>
                      </w:tcPr>
                      <w:p>
                        <w:pPr/>
                      </w:p>
                    </w:tc>
                    <w:tc>
                      <w:tcPr>
                        <w:tcW w:w="779"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05" w:type="dxa"/>
                        <w:vMerge/>
                        <w:tcBorders>
                          <w:left w:val="single" w:sz="4" w:space="0" w:color="000000"/>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21" w:type="dxa"/>
                        <w:gridSpan w:val="2"/>
                        <w:vMerge/>
                        <w:tcBorders>
                          <w:left w:val="single" w:sz="4" w:space="0" w:color="000000"/>
                          <w:bottom w:val="nil" w:sz="6" w:space="0" w:color="auto"/>
                          <w:right w:val="single" w:sz="4" w:space="0" w:color="000000"/>
                        </w:tcBorders>
                        <w:shd w:val="clear" w:color="auto" w:fill="D2D2D2"/>
                      </w:tcPr>
                      <w:p>
                        <w:pPr/>
                      </w:p>
                    </w:tc>
                    <w:tc>
                      <w:tcPr>
                        <w:tcW w:w="1237" w:type="dxa"/>
                        <w:gridSpan w:val="2"/>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292" w:type="dxa"/>
                        <w:vMerge w:val="restart"/>
                        <w:tcBorders>
                          <w:top w:val="nil" w:sz="6" w:space="0" w:color="auto"/>
                          <w:left w:val="single" w:sz="13" w:space="0" w:color="D2D2D2"/>
                          <w:right w:val="nil" w:sz="6" w:space="0" w:color="auto"/>
                        </w:tcBorders>
                      </w:tcPr>
                      <w:p>
                        <w:pPr/>
                      </w:p>
                    </w:tc>
                    <w:tc>
                      <w:tcPr>
                        <w:tcW w:w="77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05" w:type="dxa"/>
                        <w:vMerge/>
                        <w:tcBorders>
                          <w:left w:val="single" w:sz="4" w:space="0" w:color="000000"/>
                          <w:bottom w:val="nil" w:sz="6" w:space="0" w:color="auto"/>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2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37"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292" w:type="dxa"/>
                        <w:vMerge/>
                        <w:tcBorders>
                          <w:left w:val="single" w:sz="13" w:space="0" w:color="D2D2D2"/>
                          <w:right w:val="nil" w:sz="6" w:space="0" w:color="auto"/>
                        </w:tcBorders>
                      </w:tcPr>
                      <w:p>
                        <w:pPr/>
                      </w:p>
                    </w:tc>
                    <w:tc>
                      <w:tcPr>
                        <w:tcW w:w="779"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36" w:type="dxa"/>
                        <w:vMerge/>
                        <w:tcBorders>
                          <w:left w:val="single" w:sz="9" w:space="0" w:color="D2D2D2"/>
                          <w:right w:val="single" w:sz="9" w:space="0" w:color="D2D2D2"/>
                        </w:tcBorders>
                      </w:tcPr>
                      <w:p>
                        <w:pPr/>
                      </w:p>
                    </w:tc>
                    <w:tc>
                      <w:tcPr>
                        <w:tcW w:w="1421" w:type="dxa"/>
                        <w:gridSpan w:val="2"/>
                        <w:vMerge/>
                        <w:tcBorders>
                          <w:left w:val="single" w:sz="4" w:space="0" w:color="000000"/>
                          <w:right w:val="single" w:sz="4" w:space="0" w:color="000000"/>
                        </w:tcBorders>
                        <w:shd w:val="clear" w:color="auto" w:fill="D2D2D2"/>
                      </w:tcPr>
                      <w:p>
                        <w:pPr/>
                      </w:p>
                    </w:tc>
                    <w:tc>
                      <w:tcPr>
                        <w:tcW w:w="1237"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292" w:type="dxa"/>
                        <w:vMerge/>
                        <w:tcBorders>
                          <w:left w:val="single" w:sz="13" w:space="0" w:color="D2D2D2"/>
                          <w:right w:val="nil" w:sz="6" w:space="0" w:color="auto"/>
                        </w:tcBorders>
                      </w:tcPr>
                      <w:p>
                        <w:pPr/>
                      </w:p>
                    </w:tc>
                    <w:tc>
                      <w:tcPr>
                        <w:tcW w:w="77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05" w:type="dxa"/>
                        <w:vMerge w:val="restart"/>
                        <w:tcBorders>
                          <w:top w:val="nil" w:sz="6" w:space="0" w:color="auto"/>
                          <w:left w:val="single" w:sz="4" w:space="0" w:color="000000"/>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21" w:type="dxa"/>
                        <w:gridSpan w:val="2"/>
                        <w:vMerge/>
                        <w:tcBorders>
                          <w:left w:val="single" w:sz="4" w:space="0" w:color="000000"/>
                          <w:bottom w:val="nil" w:sz="6" w:space="0" w:color="auto"/>
                          <w:right w:val="single" w:sz="4" w:space="0" w:color="000000"/>
                        </w:tcBorders>
                        <w:shd w:val="clear" w:color="auto" w:fill="D2D2D2"/>
                      </w:tcPr>
                      <w:p>
                        <w:pPr/>
                      </w:p>
                    </w:tc>
                    <w:tc>
                      <w:tcPr>
                        <w:tcW w:w="1237"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292" w:type="dxa"/>
                        <w:vMerge/>
                        <w:tcBorders>
                          <w:left w:val="single" w:sz="13" w:space="0" w:color="D2D2D2"/>
                          <w:right w:val="nil" w:sz="6" w:space="0" w:color="auto"/>
                        </w:tcBorders>
                      </w:tcPr>
                      <w:p>
                        <w:pPr/>
                      </w:p>
                    </w:tc>
                    <w:tc>
                      <w:tcPr>
                        <w:tcW w:w="77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05" w:type="dxa"/>
                        <w:vMerge/>
                        <w:tcBorders>
                          <w:left w:val="single" w:sz="4" w:space="0" w:color="000000"/>
                          <w:right w:val="single" w:sz="4" w:space="0" w:color="000000"/>
                        </w:tcBorders>
                        <w:shd w:val="clear" w:color="auto" w:fill="D2D2D2"/>
                      </w:tcPr>
                      <w:p>
                        <w:pPr/>
                      </w:p>
                    </w:tc>
                    <w:tc>
                      <w:tcPr>
                        <w:tcW w:w="836" w:type="dxa"/>
                        <w:vMerge/>
                        <w:tcBorders>
                          <w:left w:val="single" w:sz="9" w:space="0" w:color="D2D2D2"/>
                          <w:right w:val="single" w:sz="9" w:space="0" w:color="D2D2D2"/>
                        </w:tcBorders>
                      </w:tcPr>
                      <w:p>
                        <w:pPr/>
                      </w:p>
                    </w:tc>
                    <w:tc>
                      <w:tcPr>
                        <w:tcW w:w="1421" w:type="dxa"/>
                        <w:gridSpan w:val="2"/>
                        <w:vMerge w:val="restart"/>
                        <w:tcBorders>
                          <w:top w:val="nil" w:sz="6" w:space="0" w:color="auto"/>
                          <w:left w:val="single" w:sz="4" w:space="0" w:color="000000"/>
                          <w:right w:val="single" w:sz="4" w:space="0" w:color="000000"/>
                        </w:tcBorders>
                        <w:shd w:val="clear" w:color="auto" w:fill="D2D2D2"/>
                      </w:tcPr>
                      <w:p>
                        <w:pPr/>
                      </w:p>
                    </w:tc>
                    <w:tc>
                      <w:tcPr>
                        <w:tcW w:w="1237"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292" w:type="dxa"/>
                        <w:vMerge/>
                        <w:tcBorders>
                          <w:left w:val="single" w:sz="13" w:space="0" w:color="D2D2D2"/>
                          <w:right w:val="nil" w:sz="6" w:space="0" w:color="auto"/>
                        </w:tcBorders>
                      </w:tcPr>
                      <w:p>
                        <w:pPr/>
                      </w:p>
                    </w:tc>
                    <w:tc>
                      <w:tcPr>
                        <w:tcW w:w="779"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05" w:type="dxa"/>
                        <w:vMerge/>
                        <w:tcBorders>
                          <w:left w:val="single" w:sz="4" w:space="0" w:color="000000"/>
                          <w:bottom w:val="single" w:sz="4" w:space="0" w:color="000000"/>
                          <w:right w:val="single" w:sz="4" w:space="0" w:color="000000"/>
                        </w:tcBorders>
                        <w:shd w:val="clear" w:color="auto" w:fill="D2D2D2"/>
                      </w:tcPr>
                      <w:p>
                        <w:pPr/>
                      </w:p>
                    </w:tc>
                    <w:tc>
                      <w:tcPr>
                        <w:tcW w:w="836" w:type="dxa"/>
                        <w:vMerge/>
                        <w:tcBorders>
                          <w:left w:val="single" w:sz="9" w:space="0" w:color="D2D2D2"/>
                          <w:bottom w:val="single" w:sz="4" w:space="0" w:color="000000"/>
                          <w:right w:val="single" w:sz="9" w:space="0" w:color="D2D2D2"/>
                        </w:tcBorders>
                      </w:tcPr>
                      <w:p>
                        <w:pPr/>
                      </w:p>
                    </w:tc>
                    <w:tc>
                      <w:tcPr>
                        <w:tcW w:w="1421" w:type="dxa"/>
                        <w:gridSpan w:val="2"/>
                        <w:vMerge/>
                        <w:tcBorders>
                          <w:left w:val="single" w:sz="4" w:space="0" w:color="000000"/>
                          <w:bottom w:val="single" w:sz="4" w:space="0" w:color="000000"/>
                          <w:right w:val="single" w:sz="4" w:space="0" w:color="000000"/>
                        </w:tcBorders>
                        <w:shd w:val="clear" w:color="auto" w:fill="D2D2D2"/>
                      </w:tcPr>
                      <w:p>
                        <w:pPr/>
                      </w:p>
                    </w:tc>
                    <w:tc>
                      <w:tcPr>
                        <w:tcW w:w="1237"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292" w:type="dxa"/>
                        <w:vMerge/>
                        <w:tcBorders>
                          <w:left w:val="single" w:sz="13" w:space="0" w:color="D2D2D2"/>
                          <w:bottom w:val="single" w:sz="4" w:space="0" w:color="000000"/>
                          <w:right w:val="nil" w:sz="6" w:space="0" w:color="auto"/>
                        </w:tcBorders>
                      </w:tcPr>
                      <w:p>
                        <w:pPr/>
                      </w:p>
                    </w:tc>
                    <w:tc>
                      <w:tcPr>
                        <w:tcW w:w="779"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389" w:type="dxa"/>
                        <w:gridSpan w:val="2"/>
                        <w:vMerge w:val="restart"/>
                        <w:tcBorders>
                          <w:top w:val="single" w:sz="4" w:space="0" w:color="000000"/>
                          <w:left w:val="single" w:sz="4" w:space="0" w:color="000000"/>
                          <w:right w:val="single" w:sz="4" w:space="0" w:color="000000"/>
                        </w:tcBorders>
                        <w:shd w:val="clear" w:color="auto" w:fill="D2D2D2"/>
                      </w:tcPr>
                      <w:p>
                        <w:pPr/>
                      </w:p>
                    </w:tc>
                    <w:tc>
                      <w:tcPr>
                        <w:tcW w:w="868" w:type="dxa"/>
                        <w:vMerge w:val="restart"/>
                        <w:tcBorders>
                          <w:top w:val="single" w:sz="4" w:space="0" w:color="000000"/>
                          <w:left w:val="single" w:sz="4" w:space="0" w:color="000000"/>
                          <w:right w:val="single" w:sz="4" w:space="0" w:color="000000"/>
                        </w:tcBorders>
                        <w:shd w:val="clear" w:color="auto" w:fill="D2D2D2"/>
                      </w:tcPr>
                      <w:p>
                        <w:pPr/>
                      </w:p>
                    </w:tc>
                    <w:tc>
                      <w:tcPr>
                        <w:tcW w:w="9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9" w:right="58"/>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05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05" w:type="dxa"/>
                        <w:vMerge/>
                        <w:tcBorders>
                          <w:left w:val="single" w:sz="4" w:space="0" w:color="000000"/>
                          <w:bottom w:val="nil" w:sz="6" w:space="0" w:color="auto"/>
                          <w:right w:val="single" w:sz="4" w:space="0" w:color="000000"/>
                        </w:tcBorders>
                        <w:shd w:val="clear" w:color="auto" w:fill="D2D2D2"/>
                      </w:tcPr>
                      <w:p>
                        <w:pPr/>
                      </w:p>
                    </w:tc>
                    <w:tc>
                      <w:tcPr>
                        <w:tcW w:w="1389" w:type="dxa"/>
                        <w:gridSpan w:val="2"/>
                        <w:vMerge/>
                        <w:tcBorders>
                          <w:left w:val="single" w:sz="4" w:space="0" w:color="000000"/>
                          <w:bottom w:val="nil" w:sz="6" w:space="0" w:color="auto"/>
                          <w:right w:val="single" w:sz="4" w:space="0" w:color="000000"/>
                        </w:tcBorders>
                        <w:shd w:val="clear" w:color="auto" w:fill="D2D2D2"/>
                      </w:tcPr>
                      <w:p>
                        <w:pPr/>
                      </w:p>
                    </w:tc>
                    <w:tc>
                      <w:tcPr>
                        <w:tcW w:w="868" w:type="dxa"/>
                        <w:vMerge/>
                        <w:tcBorders>
                          <w:left w:val="single" w:sz="4" w:space="0" w:color="000000"/>
                          <w:bottom w:val="nil" w:sz="6" w:space="0" w:color="auto"/>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4" w:right="39"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4"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2054" w:type="dxa"/>
                        <w:gridSpan w:val="3"/>
                        <w:vMerge/>
                        <w:tcBorders>
                          <w:left w:val="single" w:sz="4" w:space="0" w:color="000000"/>
                          <w:right w:val="single" w:sz="4" w:space="0" w:color="000000"/>
                        </w:tcBorders>
                        <w:shd w:val="clear" w:color="auto" w:fill="D2D2D2"/>
                      </w:tcPr>
                      <w:p>
                        <w:pPr/>
                      </w:p>
                    </w:tc>
                  </w:tr>
                  <w:tr>
                    <w:trPr>
                      <w:trHeight w:val="140" w:hRule="exact"/>
                    </w:trPr>
                    <w:tc>
                      <w:tcPr>
                        <w:tcW w:w="13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75"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2054"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305" w:type="dxa"/>
                        <w:vMerge/>
                        <w:tcBorders>
                          <w:left w:val="single" w:sz="4" w:space="0" w:color="000000"/>
                          <w:bottom w:val="nil" w:sz="6" w:space="0" w:color="auto"/>
                          <w:right w:val="single" w:sz="4" w:space="0" w:color="000000"/>
                        </w:tcBorders>
                        <w:shd w:val="clear" w:color="auto" w:fill="D2D2D2"/>
                      </w:tcPr>
                      <w:p>
                        <w:pPr/>
                      </w:p>
                    </w:tc>
                    <w:tc>
                      <w:tcPr>
                        <w:tcW w:w="1389" w:type="dxa"/>
                        <w:gridSpan w:val="2"/>
                        <w:vMerge/>
                        <w:tcBorders>
                          <w:left w:val="single" w:sz="4" w:space="0" w:color="000000"/>
                          <w:bottom w:val="nil" w:sz="6" w:space="0" w:color="auto"/>
                          <w:right w:val="single" w:sz="4" w:space="0" w:color="000000"/>
                        </w:tcBorders>
                        <w:shd w:val="clear" w:color="auto" w:fill="D2D2D2"/>
                      </w:tcPr>
                      <w:p>
                        <w:pPr/>
                      </w:p>
                    </w:tc>
                    <w:tc>
                      <w:tcPr>
                        <w:tcW w:w="868"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12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7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20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05" w:type="dxa"/>
                        <w:vMerge w:val="restart"/>
                        <w:tcBorders>
                          <w:top w:val="nil" w:sz="6" w:space="0" w:color="auto"/>
                          <w:left w:val="single" w:sz="4" w:space="0" w:color="000000"/>
                          <w:right w:val="single" w:sz="4" w:space="0" w:color="000000"/>
                        </w:tcBorders>
                        <w:shd w:val="clear" w:color="auto" w:fill="D2D2D2"/>
                      </w:tcPr>
                      <w:p>
                        <w:pPr/>
                      </w:p>
                    </w:tc>
                    <w:tc>
                      <w:tcPr>
                        <w:tcW w:w="1389" w:type="dxa"/>
                        <w:gridSpan w:val="2"/>
                        <w:vMerge w:val="restart"/>
                        <w:tcBorders>
                          <w:top w:val="nil" w:sz="6" w:space="0" w:color="auto"/>
                          <w:left w:val="single" w:sz="4" w:space="0" w:color="000000"/>
                          <w:right w:val="single" w:sz="4" w:space="0" w:color="000000"/>
                        </w:tcBorders>
                        <w:shd w:val="clear" w:color="auto" w:fill="D2D2D2"/>
                      </w:tcPr>
                      <w:p>
                        <w:pPr/>
                      </w:p>
                    </w:tc>
                    <w:tc>
                      <w:tcPr>
                        <w:tcW w:w="868" w:type="dxa"/>
                        <w:vMerge w:val="restart"/>
                        <w:tcBorders>
                          <w:top w:val="nil" w:sz="6" w:space="0" w:color="auto"/>
                          <w:left w:val="single" w:sz="4" w:space="0" w:color="000000"/>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1276" w:type="dxa"/>
                        <w:gridSpan w:val="2"/>
                        <w:vMerge/>
                        <w:tcBorders>
                          <w:left w:val="single" w:sz="4" w:space="0" w:color="000000"/>
                          <w:right w:val="single" w:sz="4" w:space="0" w:color="000000"/>
                        </w:tcBorders>
                        <w:shd w:val="clear" w:color="auto" w:fill="D2D2D2"/>
                      </w:tcPr>
                      <w:p>
                        <w:pPr/>
                      </w:p>
                    </w:tc>
                    <w:tc>
                      <w:tcPr>
                        <w:tcW w:w="779" w:type="dxa"/>
                        <w:vMerge/>
                        <w:tcBorders>
                          <w:left w:val="single" w:sz="4" w:space="0" w:color="000000"/>
                          <w:right w:val="single" w:sz="4" w:space="0" w:color="000000"/>
                        </w:tcBorders>
                        <w:shd w:val="clear" w:color="auto" w:fill="D2D2D2"/>
                      </w:tcPr>
                      <w:p>
                        <w:pPr/>
                      </w:p>
                    </w:tc>
                  </w:tr>
                  <w:tr>
                    <w:trPr>
                      <w:trHeight w:val="161" w:hRule="exact"/>
                    </w:trPr>
                    <w:tc>
                      <w:tcPr>
                        <w:tcW w:w="1305" w:type="dxa"/>
                        <w:vMerge/>
                        <w:tcBorders>
                          <w:left w:val="single" w:sz="4" w:space="0" w:color="000000"/>
                          <w:bottom w:val="single" w:sz="4" w:space="0" w:color="000000"/>
                          <w:right w:val="single" w:sz="4" w:space="0" w:color="000000"/>
                        </w:tcBorders>
                        <w:shd w:val="clear" w:color="auto" w:fill="D2D2D2"/>
                      </w:tcPr>
                      <w:p>
                        <w:pPr/>
                      </w:p>
                    </w:tc>
                    <w:tc>
                      <w:tcPr>
                        <w:tcW w:w="1389" w:type="dxa"/>
                        <w:gridSpan w:val="2"/>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9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1276" w:type="dxa"/>
                        <w:gridSpan w:val="2"/>
                        <w:vMerge/>
                        <w:tcBorders>
                          <w:left w:val="single" w:sz="4" w:space="0" w:color="000000"/>
                          <w:bottom w:val="single" w:sz="4" w:space="0" w:color="000000"/>
                          <w:right w:val="single" w:sz="4" w:space="0" w:color="000000"/>
                        </w:tcBorders>
                        <w:shd w:val="clear" w:color="auto" w:fill="D2D2D2"/>
                      </w:tcPr>
                      <w:p>
                        <w:pPr/>
                      </w:p>
                    </w:tc>
                    <w:tc>
                      <w:tcPr>
                        <w:tcW w:w="77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费耀平</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3"/>
                          <w:jc w:val="right"/>
                          <w:rPr>
                            <w:rFonts w:ascii="Times New Roman" w:hAnsi="Times New Roman" w:cs="Times New Roman" w:eastAsia="Times New Roman" w:hint="default"/>
                            <w:sz w:val="18"/>
                            <w:szCs w:val="18"/>
                          </w:rPr>
                        </w:pPr>
                        <w:r>
                          <w:rPr>
                            <w:rFonts w:ascii="Times New Roman"/>
                            <w:sz w:val="18"/>
                          </w:rPr>
                          <w:t>8.80%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13,909,204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5,727,319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13,909,204</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8" w:space="0" w:color="D2D2D2"/>
                          <w:left w:val="single" w:sz="4" w:space="0" w:color="000000"/>
                          <w:bottom w:val="single" w:sz="4" w:space="0" w:color="000000"/>
                          <w:right w:val="single" w:sz="4" w:space="0" w:color="000000"/>
                        </w:tcBorders>
                      </w:tcPr>
                      <w:p>
                        <w:pPr/>
                      </w:p>
                    </w:tc>
                    <w:tc>
                      <w:tcPr>
                        <w:tcW w:w="779" w:type="dxa"/>
                        <w:tcBorders>
                          <w:top w:val="single" w:sz="48" w:space="0" w:color="D2D2D2"/>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3"/>
                          <w:jc w:val="right"/>
                          <w:rPr>
                            <w:rFonts w:ascii="Times New Roman" w:hAnsi="Times New Roman" w:cs="Times New Roman" w:eastAsia="Times New Roman" w:hint="default"/>
                            <w:sz w:val="18"/>
                            <w:szCs w:val="18"/>
                          </w:rPr>
                        </w:pPr>
                        <w:r>
                          <w:rPr>
                            <w:rFonts w:ascii="Times New Roman"/>
                            <w:sz w:val="18"/>
                          </w:rPr>
                          <w:t>8.67%</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13,706,986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5,644,053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13,706,986</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李建华</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3"/>
                          <w:jc w:val="right"/>
                          <w:rPr>
                            <w:rFonts w:ascii="Times New Roman" w:hAnsi="Times New Roman" w:cs="Times New Roman" w:eastAsia="Times New Roman" w:hint="default"/>
                            <w:sz w:val="18"/>
                            <w:szCs w:val="18"/>
                          </w:rPr>
                        </w:pPr>
                        <w:r>
                          <w:rPr>
                            <w:rFonts w:ascii="Times New Roman"/>
                            <w:sz w:val="18"/>
                          </w:rPr>
                          <w:t>7.80%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12,324,177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5,074,661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12,324,177</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中南大学资产 经营有限公司</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z w:val="18"/>
                          </w:rPr>
                          <w:t>7.51%</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11,864,516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4,885,389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11,864,516</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刘星沙</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3"/>
                          <w:jc w:val="right"/>
                          <w:rPr>
                            <w:rFonts w:ascii="Times New Roman" w:hAnsi="Times New Roman" w:cs="Times New Roman" w:eastAsia="Times New Roman" w:hint="default"/>
                            <w:sz w:val="18"/>
                            <w:szCs w:val="18"/>
                          </w:rPr>
                        </w:pPr>
                        <w:r>
                          <w:rPr>
                            <w:rFonts w:ascii="Times New Roman"/>
                            <w:sz w:val="18"/>
                          </w:rPr>
                          <w:t>7.38%</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11,664,377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4,802,979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 w:right="0"/>
                          <w:jc w:val="left"/>
                          <w:rPr>
                            <w:rFonts w:ascii="Times New Roman" w:hAnsi="Times New Roman" w:cs="Times New Roman" w:eastAsia="Times New Roman" w:hint="default"/>
                            <w:sz w:val="18"/>
                            <w:szCs w:val="18"/>
                          </w:rPr>
                        </w:pPr>
                        <w:r>
                          <w:rPr>
                            <w:rFonts w:ascii="Times New Roman"/>
                            <w:sz w:val="18"/>
                          </w:rPr>
                          <w:t>11,664,377</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刘应龙</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3"/>
                          <w:jc w:val="right"/>
                          <w:rPr>
                            <w:rFonts w:ascii="Times New Roman" w:hAnsi="Times New Roman" w:cs="Times New Roman" w:eastAsia="Times New Roman" w:hint="default"/>
                            <w:sz w:val="18"/>
                            <w:szCs w:val="18"/>
                          </w:rPr>
                        </w:pPr>
                        <w:r>
                          <w:rPr>
                            <w:rFonts w:ascii="Times New Roman"/>
                            <w:sz w:val="18"/>
                          </w:rPr>
                          <w:t>4.68%</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7,387,345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3,041,848</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7,387,345</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湖南中科岳麓 创业投资有限 公司</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z w:val="18"/>
                          </w:rPr>
                          <w:t>4.07%</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6,438,466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2,651,133</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6,438,466</w:t>
                        </w: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长沙金信置业 控股有限公司</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3"/>
                          <w:jc w:val="right"/>
                          <w:rPr>
                            <w:rFonts w:ascii="Times New Roman" w:hAnsi="Times New Roman" w:cs="Times New Roman" w:eastAsia="Times New Roman" w:hint="default"/>
                            <w:sz w:val="18"/>
                            <w:szCs w:val="18"/>
                          </w:rPr>
                        </w:pPr>
                        <w:r>
                          <w:rPr>
                            <w:rFonts w:ascii="Times New Roman"/>
                            <w:sz w:val="18"/>
                          </w:rPr>
                          <w:t>4.07%</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6,438,466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2,651,133</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6,438,466</w:t>
                        </w: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吕雅莉</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3"/>
                          <w:jc w:val="right"/>
                          <w:rPr>
                            <w:rFonts w:ascii="Times New Roman" w:hAnsi="Times New Roman" w:cs="Times New Roman" w:eastAsia="Times New Roman" w:hint="default"/>
                            <w:sz w:val="18"/>
                            <w:szCs w:val="18"/>
                          </w:rPr>
                        </w:pPr>
                        <w:r>
                          <w:rPr>
                            <w:rFonts w:ascii="Times New Roman"/>
                            <w:sz w:val="18"/>
                          </w:rPr>
                          <w:t>2.93%</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4,637,501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980,168</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4,637,501</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3,400,000</w:t>
                        </w:r>
                      </w:p>
                    </w:tc>
                  </w:tr>
                  <w:tr>
                    <w:trPr>
                      <w:trHeight w:val="402" w:hRule="exact"/>
                    </w:trPr>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陈尚慧</w:t>
                        </w:r>
                      </w:p>
                    </w:tc>
                    <w:tc>
                      <w:tcPr>
                        <w:tcW w:w="1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7"/>
                          <w:jc w:val="right"/>
                          <w:rPr>
                            <w:rFonts w:ascii="Times New Roman" w:hAnsi="Times New Roman" w:cs="Times New Roman" w:eastAsia="Times New Roman" w:hint="default"/>
                            <w:sz w:val="18"/>
                            <w:szCs w:val="18"/>
                          </w:rPr>
                        </w:pPr>
                        <w:r>
                          <w:rPr>
                            <w:rFonts w:ascii="Times New Roman"/>
                            <w:spacing w:val="-2"/>
                            <w:sz w:val="18"/>
                          </w:rPr>
                          <w:t>1.11%</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1,761,496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8" w:right="0"/>
                          <w:jc w:val="left"/>
                          <w:rPr>
                            <w:rFonts w:ascii="Times New Roman" w:hAnsi="Times New Roman" w:cs="Times New Roman" w:eastAsia="Times New Roman" w:hint="default"/>
                            <w:sz w:val="18"/>
                            <w:szCs w:val="18"/>
                          </w:rPr>
                        </w:pPr>
                        <w:r>
                          <w:rPr>
                            <w:rFonts w:ascii="Times New Roman"/>
                            <w:sz w:val="18"/>
                          </w:rPr>
                          <w:t>725,322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1,761,496</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68" w:type="dxa"/>
                        <w:tcBorders>
                          <w:top w:val="single" w:sz="4" w:space="0" w:color="000000"/>
                          <w:left w:val="single" w:sz="4" w:space="0" w:color="000000"/>
                          <w:bottom w:val="single" w:sz="4" w:space="0" w:color="000000"/>
                          <w:right w:val="nil" w:sz="6" w:space="0" w:color="auto"/>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75" w:type="dxa"/>
                        <w:tcBorders>
                          <w:top w:val="single" w:sz="4" w:space="0" w:color="000000"/>
                          <w:left w:val="nil" w:sz="6" w:space="0" w:color="auto"/>
                          <w:bottom w:val="single" w:sz="4" w:space="0" w:color="000000"/>
                          <w:right w:val="nil" w:sz="6" w:space="0" w:color="auto"/>
                        </w:tcBorders>
                        <w:shd w:val="clear" w:color="auto" w:fill="C6ECCC"/>
                      </w:tcPr>
                      <w:p>
                        <w:pPr/>
                      </w:p>
                    </w:tc>
                    <w:tc>
                      <w:tcPr>
                        <w:tcW w:w="262" w:type="dxa"/>
                        <w:tcBorders>
                          <w:top w:val="single" w:sz="4" w:space="0" w:color="000000"/>
                          <w:left w:val="nil" w:sz="6" w:space="0" w:color="auto"/>
                          <w:bottom w:val="single" w:sz="4" w:space="0" w:color="000000"/>
                          <w:right w:val="nil" w:sz="6" w:space="0" w:color="auto"/>
                        </w:tcBorders>
                        <w:shd w:val="clear" w:color="auto" w:fill="C6ECCC"/>
                      </w:tcPr>
                      <w:p>
                        <w:pPr/>
                      </w:p>
                    </w:tc>
                    <w:tc>
                      <w:tcPr>
                        <w:tcW w:w="872" w:type="dxa"/>
                        <w:tcBorders>
                          <w:top w:val="single" w:sz="4" w:space="0" w:color="000000"/>
                          <w:left w:val="nil" w:sz="6" w:space="0" w:color="auto"/>
                          <w:bottom w:val="single" w:sz="4" w:space="0" w:color="000000"/>
                          <w:right w:val="nil" w:sz="6" w:space="0" w:color="auto"/>
                        </w:tcBorders>
                        <w:shd w:val="clear" w:color="auto" w:fill="C6ECCC"/>
                      </w:tcPr>
                      <w:p>
                        <w:pPr/>
                      </w:p>
                    </w:tc>
                    <w:tc>
                      <w:tcPr>
                        <w:tcW w:w="434" w:type="dxa"/>
                        <w:tcBorders>
                          <w:top w:val="single" w:sz="4" w:space="0" w:color="000000"/>
                          <w:left w:val="nil" w:sz="6" w:space="0" w:color="auto"/>
                          <w:bottom w:val="single" w:sz="4" w:space="0" w:color="000000"/>
                          <w:right w:val="nil" w:sz="6" w:space="0" w:color="auto"/>
                        </w:tcBorders>
                        <w:shd w:val="clear" w:color="auto" w:fill="C6ECCC"/>
                      </w:tcPr>
                      <w:p>
                        <w:pPr/>
                      </w:p>
                    </w:tc>
                    <w:tc>
                      <w:tcPr>
                        <w:tcW w:w="559" w:type="dxa"/>
                        <w:tcBorders>
                          <w:top w:val="single" w:sz="4" w:space="0" w:color="000000"/>
                          <w:left w:val="nil" w:sz="6" w:space="0" w:color="auto"/>
                          <w:bottom w:val="single" w:sz="4" w:space="0" w:color="000000"/>
                          <w:right w:val="nil" w:sz="6" w:space="0" w:color="auto"/>
                        </w:tcBorders>
                        <w:shd w:val="clear" w:color="auto" w:fill="C6ECCC"/>
                      </w:tcPr>
                      <w:p>
                        <w:pPr/>
                      </w:p>
                    </w:tc>
                    <w:tc>
                      <w:tcPr>
                        <w:tcW w:w="528" w:type="dxa"/>
                        <w:tcBorders>
                          <w:top w:val="single" w:sz="4" w:space="0" w:color="000000"/>
                          <w:left w:val="nil" w:sz="6" w:space="0" w:color="auto"/>
                          <w:bottom w:val="single" w:sz="4" w:space="0" w:color="000000"/>
                          <w:right w:val="nil" w:sz="6" w:space="0" w:color="auto"/>
                        </w:tcBorders>
                        <w:shd w:val="clear" w:color="auto" w:fill="C6ECCC"/>
                      </w:tcPr>
                      <w:p>
                        <w:pPr/>
                      </w:p>
                    </w:tc>
                    <w:tc>
                      <w:tcPr>
                        <w:tcW w:w="322" w:type="dxa"/>
                        <w:tcBorders>
                          <w:top w:val="single" w:sz="4" w:space="0" w:color="000000"/>
                          <w:left w:val="nil" w:sz="6" w:space="0" w:color="auto"/>
                          <w:bottom w:val="single" w:sz="4" w:space="0" w:color="000000"/>
                          <w:right w:val="nil" w:sz="6" w:space="0" w:color="auto"/>
                        </w:tcBorders>
                        <w:shd w:val="clear" w:color="auto" w:fill="C6ECCC"/>
                      </w:tcPr>
                      <w:p>
                        <w:pPr/>
                      </w:p>
                    </w:tc>
                    <w:tc>
                      <w:tcPr>
                        <w:tcW w:w="983" w:type="dxa"/>
                        <w:tcBorders>
                          <w:top w:val="single" w:sz="4" w:space="0" w:color="000000"/>
                          <w:left w:val="nil" w:sz="6" w:space="0" w:color="auto"/>
                          <w:bottom w:val="single" w:sz="4" w:space="0" w:color="000000"/>
                          <w:right w:val="nil" w:sz="6" w:space="0" w:color="auto"/>
                        </w:tcBorders>
                        <w:shd w:val="clear" w:color="auto" w:fill="C6ECCC"/>
                      </w:tcPr>
                      <w:p>
                        <w:pPr/>
                      </w:p>
                    </w:tc>
                    <w:tc>
                      <w:tcPr>
                        <w:tcW w:w="292" w:type="dxa"/>
                        <w:tcBorders>
                          <w:top w:val="single" w:sz="4" w:space="0" w:color="000000"/>
                          <w:left w:val="nil" w:sz="6" w:space="0" w:color="auto"/>
                          <w:bottom w:val="single" w:sz="4" w:space="0" w:color="000000"/>
                          <w:right w:val="nil" w:sz="6" w:space="0" w:color="auto"/>
                        </w:tcBorders>
                        <w:shd w:val="clear" w:color="auto" w:fill="C6ECCC"/>
                      </w:tcPr>
                      <w:p>
                        <w:pPr/>
                      </w:p>
                    </w:tc>
                    <w:tc>
                      <w:tcPr>
                        <w:tcW w:w="779" w:type="dxa"/>
                        <w:tcBorders>
                          <w:top w:val="single" w:sz="4" w:space="0" w:color="000000"/>
                          <w:left w:val="nil" w:sz="6" w:space="0" w:color="auto"/>
                          <w:bottom w:val="single" w:sz="4" w:space="0" w:color="000000"/>
                          <w:right w:val="single" w:sz="4" w:space="0" w:color="000000"/>
                        </w:tcBorders>
                        <w:shd w:val="clear" w:color="auto" w:fill="C6ECCC"/>
                      </w:tcPr>
                      <w:p>
                        <w:pPr/>
                      </w:p>
                    </w:tc>
                  </w:tr>
                  <w:tr>
                    <w:trPr>
                      <w:trHeight w:val="714" w:hRule="exact"/>
                    </w:trPr>
                    <w:tc>
                      <w:tcPr>
                        <w:tcW w:w="26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74" w:type="dxa"/>
                        <w:gridSpan w:val="11"/>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4"/>
                            <w:sz w:val="18"/>
                            <w:szCs w:val="18"/>
                          </w:rPr>
                          <w:t>费耀平、李杰、李建华、刘星沙和刘应龙五位股东为公司共同实际控制人及一致行动人</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94"/>
        <w:gridCol w:w="4820"/>
        <w:gridCol w:w="1276"/>
        <w:gridCol w:w="779"/>
      </w:tblGrid>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6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8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61"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694" w:type="dxa"/>
            <w:vMerge/>
            <w:tcBorders>
              <w:left w:val="single" w:sz="4" w:space="0" w:color="000000"/>
              <w:bottom w:val="single" w:sz="4" w:space="0" w:color="000000"/>
              <w:right w:val="single" w:sz="4" w:space="0" w:color="000000"/>
            </w:tcBorders>
            <w:shd w:val="clear" w:color="auto" w:fill="D2D2D2"/>
          </w:tcPr>
          <w:p>
            <w:pPr/>
          </w:p>
        </w:tc>
        <w:tc>
          <w:tcPr>
            <w:tcW w:w="482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湖南中科岳麓创业投资有限公司</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6,438,466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6,438,466</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长沙金信置业控股有限公司</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6,438,466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6,438,466</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吕雅莉</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4,637,501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4,637,501</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谷士文</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1,738,430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1,738,430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梁习锋</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1,326,000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1,326,000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夏明伟</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1,095,180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1,095,180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陈松乔</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杨建宇</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潘伟林</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747,299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747,299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王美云</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746,349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746,349</w:t>
            </w:r>
          </w:p>
        </w:tc>
      </w:tr>
      <w:tr>
        <w:trPr>
          <w:trHeight w:val="890"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202" w:lineRule="exact" w:before="24"/>
              <w:ind w:left="22" w:right="4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74"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140"/>
              <w:ind w:left="22" w:right="8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名股东之间不 存在关联关系或一致行动的情况。</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874"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2"/>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29"/>
        <w:gridCol w:w="2007"/>
        <w:gridCol w:w="4133"/>
      </w:tblGrid>
      <w:tr>
        <w:trPr>
          <w:trHeight w:val="397" w:hRule="exact"/>
        </w:trPr>
        <w:tc>
          <w:tcPr>
            <w:tcW w:w="3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5"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7" w:hRule="exact"/>
        </w:trPr>
        <w:tc>
          <w:tcPr>
            <w:tcW w:w="34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费耀平</w:t>
            </w:r>
          </w:p>
        </w:tc>
        <w:tc>
          <w:tcPr>
            <w:tcW w:w="20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20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李建华</w:t>
            </w:r>
          </w:p>
        </w:tc>
        <w:tc>
          <w:tcPr>
            <w:tcW w:w="20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刘应龙</w:t>
            </w:r>
          </w:p>
        </w:tc>
        <w:tc>
          <w:tcPr>
            <w:tcW w:w="20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2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刘星沙</w:t>
            </w:r>
          </w:p>
        </w:tc>
        <w:tc>
          <w:tcPr>
            <w:tcW w:w="20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3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429"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39"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1" w:right="22"/>
              <w:jc w:val="both"/>
              <w:rPr>
                <w:rFonts w:ascii="宋体" w:hAnsi="宋体" w:cs="宋体" w:eastAsia="宋体" w:hint="default"/>
                <w:sz w:val="18"/>
                <w:szCs w:val="18"/>
              </w:rPr>
            </w:pPr>
            <w:r>
              <w:rPr>
                <w:rFonts w:ascii="宋体" w:hAnsi="宋体" w:cs="宋体" w:eastAsia="宋体" w:hint="default"/>
                <w:spacing w:val="-1"/>
                <w:sz w:val="18"/>
                <w:szCs w:val="18"/>
              </w:rPr>
              <w:t>费耀平先生任公司董事长，李杰先生任公司董事兼总经理，李建华先生任公司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董事兼副总经理，刘应龙先生任公司董事兼副总经理，刘星沙女士报告期内辞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去公司副总经理职务后，不再担任公司任何职务。</w:t>
            </w:r>
          </w:p>
        </w:tc>
      </w:tr>
      <w:tr>
        <w:trPr>
          <w:trHeight w:val="161" w:hRule="exact"/>
        </w:trPr>
        <w:tc>
          <w:tcPr>
            <w:tcW w:w="3429" w:type="dxa"/>
            <w:vMerge w:val="restart"/>
            <w:tcBorders>
              <w:top w:val="single" w:sz="4" w:space="0" w:color="000000"/>
              <w:left w:val="single" w:sz="4" w:space="0" w:color="000000"/>
              <w:right w:val="single" w:sz="9" w:space="0" w:color="C6ECCC"/>
            </w:tcBorders>
            <w:shd w:val="clear" w:color="auto" w:fill="D2D2D2"/>
          </w:tcPr>
          <w:p>
            <w:pPr>
              <w:pStyle w:val="TableParagraph"/>
              <w:spacing w:line="316" w:lineRule="auto" w:before="51"/>
              <w:ind w:left="22" w:right="148"/>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39" w:type="dxa"/>
            <w:gridSpan w:val="2"/>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2" w:hRule="exact"/>
        </w:trPr>
        <w:tc>
          <w:tcPr>
            <w:tcW w:w="3429" w:type="dxa"/>
            <w:vMerge/>
            <w:tcBorders>
              <w:left w:val="single" w:sz="4" w:space="0" w:color="000000"/>
              <w:right w:val="single" w:sz="9" w:space="0" w:color="C6ECCC"/>
            </w:tcBorders>
            <w:shd w:val="clear" w:color="auto" w:fill="D2D2D2"/>
          </w:tcPr>
          <w:p>
            <w:pPr/>
          </w:p>
        </w:tc>
        <w:tc>
          <w:tcPr>
            <w:tcW w:w="6139" w:type="dxa"/>
            <w:gridSpan w:val="2"/>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3429" w:type="dxa"/>
            <w:vMerge/>
            <w:tcBorders>
              <w:left w:val="single" w:sz="4" w:space="0" w:color="000000"/>
              <w:bottom w:val="single" w:sz="4" w:space="0" w:color="000000"/>
              <w:right w:val="single" w:sz="9" w:space="0" w:color="C6ECCC"/>
            </w:tcBorders>
            <w:shd w:val="clear" w:color="auto" w:fill="D2D2D2"/>
          </w:tcPr>
          <w:p>
            <w:pPr/>
          </w:p>
        </w:tc>
        <w:tc>
          <w:tcPr>
            <w:tcW w:w="6139" w:type="dxa"/>
            <w:gridSpan w:val="2"/>
            <w:tcBorders>
              <w:top w:val="nil" w:sz="6" w:space="0" w:color="auto"/>
              <w:left w:val="single" w:sz="4" w:space="0" w:color="000000"/>
              <w:bottom w:val="single" w:sz="4" w:space="0" w:color="000000"/>
              <w:right w:val="single" w:sz="4" w:space="0" w:color="000000"/>
            </w:tcBorders>
            <w:shd w:val="clear" w:color="auto" w:fill="C6ECCC"/>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控股股东报告期内变更</w:t>
      </w:r>
    </w:p>
    <w:p>
      <w:pPr>
        <w:pStyle w:val="BodyText"/>
        <w:spacing w:line="340" w:lineRule="auto" w:before="116"/>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及其一致行动人" w:id="113"/>
      <w:bookmarkEnd w:id="11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44"/>
        <w:ind w:left="0" w:right="1138"/>
        <w:jc w:val="right"/>
      </w:pPr>
      <w:r>
        <w:rPr/>
        <w:pict>
          <v:shape style="position:absolute;margin-left:56.459999pt;margin-top:-121.478279pt;width:479.2pt;height:208.1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8"/>
                    <w:gridCol w:w="3414"/>
                    <w:gridCol w:w="1252"/>
                    <w:gridCol w:w="2775"/>
                  </w:tblGrid>
                  <w:tr>
                    <w:trPr>
                      <w:trHeight w:val="401"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3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5"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40"/>
                          <w:jc w:val="right"/>
                          <w:rPr>
                            <w:rFonts w:ascii="宋体" w:hAnsi="宋体" w:cs="宋体" w:eastAsia="宋体" w:hint="default"/>
                            <w:sz w:val="18"/>
                            <w:szCs w:val="18"/>
                          </w:rPr>
                        </w:pPr>
                        <w:r>
                          <w:rPr>
                            <w:rFonts w:ascii="宋体" w:hAnsi="宋体" w:cs="宋体" w:eastAsia="宋体" w:hint="default"/>
                            <w:sz w:val="18"/>
                            <w:szCs w:val="18"/>
                          </w:rPr>
                          <w:t>国籍</w:t>
                        </w:r>
                      </w:p>
                    </w:tc>
                    <w:tc>
                      <w:tcPr>
                        <w:tcW w:w="2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费耀平</w:t>
                        </w:r>
                      </w:p>
                    </w:tc>
                    <w:tc>
                      <w:tcPr>
                        <w:tcW w:w="3414" w:type="dxa"/>
                        <w:tcBorders>
                          <w:top w:val="single" w:sz="4" w:space="0" w:color="000000"/>
                          <w:left w:val="single" w:sz="13" w:space="0" w:color="C6ECCC"/>
                          <w:bottom w:val="single" w:sz="4" w:space="0" w:color="000000"/>
                          <w:right w:val="single" w:sz="9" w:space="0" w:color="C6ECCC"/>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2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440"/>
                          <w:jc w:val="right"/>
                          <w:rPr>
                            <w:rFonts w:ascii="宋体" w:hAnsi="宋体" w:cs="宋体" w:eastAsia="宋体" w:hint="default"/>
                            <w:sz w:val="18"/>
                            <w:szCs w:val="18"/>
                          </w:rPr>
                        </w:pPr>
                        <w:r>
                          <w:rPr>
                            <w:rFonts w:ascii="宋体" w:hAnsi="宋体" w:cs="宋体" w:eastAsia="宋体" w:hint="default"/>
                            <w:sz w:val="18"/>
                            <w:szCs w:val="18"/>
                          </w:rPr>
                          <w:t>中国</w:t>
                        </w:r>
                      </w:p>
                    </w:tc>
                    <w:tc>
                      <w:tcPr>
                        <w:tcW w:w="27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3414" w:type="dxa"/>
                        <w:tcBorders>
                          <w:top w:val="single" w:sz="4" w:space="0" w:color="000000"/>
                          <w:left w:val="single" w:sz="13" w:space="0" w:color="C6ECCC"/>
                          <w:bottom w:val="single" w:sz="4" w:space="0" w:color="000000"/>
                          <w:right w:val="single" w:sz="9" w:space="0" w:color="C6ECCC"/>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2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440"/>
                          <w:jc w:val="right"/>
                          <w:rPr>
                            <w:rFonts w:ascii="宋体" w:hAnsi="宋体" w:cs="宋体" w:eastAsia="宋体" w:hint="default"/>
                            <w:sz w:val="18"/>
                            <w:szCs w:val="18"/>
                          </w:rPr>
                        </w:pPr>
                        <w:r>
                          <w:rPr>
                            <w:rFonts w:ascii="宋体" w:hAnsi="宋体" w:cs="宋体" w:eastAsia="宋体" w:hint="default"/>
                            <w:sz w:val="18"/>
                            <w:szCs w:val="18"/>
                          </w:rPr>
                          <w:t>中国</w:t>
                        </w:r>
                      </w:p>
                    </w:tc>
                    <w:tc>
                      <w:tcPr>
                        <w:tcW w:w="27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李建华</w:t>
                        </w:r>
                      </w:p>
                    </w:tc>
                    <w:tc>
                      <w:tcPr>
                        <w:tcW w:w="3414" w:type="dxa"/>
                        <w:tcBorders>
                          <w:top w:val="single" w:sz="4" w:space="0" w:color="000000"/>
                          <w:left w:val="single" w:sz="13" w:space="0" w:color="C6ECCC"/>
                          <w:bottom w:val="single" w:sz="4" w:space="0" w:color="000000"/>
                          <w:right w:val="single" w:sz="9" w:space="0" w:color="C6ECCC"/>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2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440"/>
                          <w:jc w:val="right"/>
                          <w:rPr>
                            <w:rFonts w:ascii="宋体" w:hAnsi="宋体" w:cs="宋体" w:eastAsia="宋体" w:hint="default"/>
                            <w:sz w:val="18"/>
                            <w:szCs w:val="18"/>
                          </w:rPr>
                        </w:pPr>
                        <w:r>
                          <w:rPr>
                            <w:rFonts w:ascii="宋体" w:hAnsi="宋体" w:cs="宋体" w:eastAsia="宋体" w:hint="default"/>
                            <w:sz w:val="18"/>
                            <w:szCs w:val="18"/>
                          </w:rPr>
                          <w:t>中国</w:t>
                        </w:r>
                      </w:p>
                    </w:tc>
                    <w:tc>
                      <w:tcPr>
                        <w:tcW w:w="27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刘应龙</w:t>
                        </w:r>
                      </w:p>
                    </w:tc>
                    <w:tc>
                      <w:tcPr>
                        <w:tcW w:w="3414" w:type="dxa"/>
                        <w:tcBorders>
                          <w:top w:val="single" w:sz="4" w:space="0" w:color="000000"/>
                          <w:left w:val="single" w:sz="13" w:space="0" w:color="C6ECCC"/>
                          <w:bottom w:val="single" w:sz="4" w:space="0" w:color="000000"/>
                          <w:right w:val="single" w:sz="9" w:space="0" w:color="C6ECCC"/>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2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440"/>
                          <w:jc w:val="right"/>
                          <w:rPr>
                            <w:rFonts w:ascii="宋体" w:hAnsi="宋体" w:cs="宋体" w:eastAsia="宋体" w:hint="default"/>
                            <w:sz w:val="18"/>
                            <w:szCs w:val="18"/>
                          </w:rPr>
                        </w:pPr>
                        <w:r>
                          <w:rPr>
                            <w:rFonts w:ascii="宋体" w:hAnsi="宋体" w:cs="宋体" w:eastAsia="宋体" w:hint="default"/>
                            <w:sz w:val="18"/>
                            <w:szCs w:val="18"/>
                          </w:rPr>
                          <w:t>中国</w:t>
                        </w:r>
                      </w:p>
                    </w:tc>
                    <w:tc>
                      <w:tcPr>
                        <w:tcW w:w="27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刘星沙</w:t>
                        </w:r>
                      </w:p>
                    </w:tc>
                    <w:tc>
                      <w:tcPr>
                        <w:tcW w:w="3414" w:type="dxa"/>
                        <w:tcBorders>
                          <w:top w:val="single" w:sz="4" w:space="0" w:color="000000"/>
                          <w:left w:val="single" w:sz="13" w:space="0" w:color="C6ECCC"/>
                          <w:bottom w:val="single" w:sz="4" w:space="0" w:color="000000"/>
                          <w:right w:val="single" w:sz="9" w:space="0" w:color="C6ECCC"/>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2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440"/>
                          <w:jc w:val="right"/>
                          <w:rPr>
                            <w:rFonts w:ascii="宋体" w:hAnsi="宋体" w:cs="宋体" w:eastAsia="宋体" w:hint="default"/>
                            <w:sz w:val="18"/>
                            <w:szCs w:val="18"/>
                          </w:rPr>
                        </w:pPr>
                        <w:r>
                          <w:rPr>
                            <w:rFonts w:ascii="宋体" w:hAnsi="宋体" w:cs="宋体" w:eastAsia="宋体" w:hint="default"/>
                            <w:sz w:val="18"/>
                            <w:szCs w:val="18"/>
                          </w:rPr>
                          <w:t>中国</w:t>
                        </w:r>
                      </w:p>
                    </w:tc>
                    <w:tc>
                      <w:tcPr>
                        <w:tcW w:w="27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128"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441"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25"/>
                          <w:jc w:val="left"/>
                          <w:rPr>
                            <w:rFonts w:ascii="宋体" w:hAnsi="宋体" w:cs="宋体" w:eastAsia="宋体" w:hint="default"/>
                            <w:sz w:val="18"/>
                            <w:szCs w:val="18"/>
                          </w:rPr>
                        </w:pPr>
                        <w:r>
                          <w:rPr>
                            <w:rFonts w:ascii="宋体" w:hAnsi="宋体" w:cs="宋体" w:eastAsia="宋体" w:hint="default"/>
                            <w:spacing w:val="-3"/>
                            <w:sz w:val="18"/>
                            <w:szCs w:val="18"/>
                          </w:rPr>
                          <w:t>费耀平先生任公司董事长，李杰先生任公司董事兼总经理，李建华先生任公司董事兼副总经理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刘应龙先生任公司董事兼副总经理，刘星沙女士报告期内辞去公司副总经理职务后，不再担任 公司任何职务。</w:t>
                        </w:r>
                      </w:p>
                    </w:tc>
                  </w:tr>
                  <w:tr>
                    <w:trPr>
                      <w:trHeight w:val="161" w:hRule="exact"/>
                    </w:trPr>
                    <w:tc>
                      <w:tcPr>
                        <w:tcW w:w="2128" w:type="dxa"/>
                        <w:vMerge w:val="restart"/>
                        <w:tcBorders>
                          <w:top w:val="single" w:sz="4" w:space="0" w:color="000000"/>
                          <w:left w:val="single" w:sz="4" w:space="0" w:color="000000"/>
                          <w:right w:val="single" w:sz="9" w:space="0" w:color="C6ECCC"/>
                        </w:tcBorders>
                        <w:shd w:val="clear" w:color="auto" w:fill="D2D2D2"/>
                      </w:tcPr>
                      <w:p>
                        <w:pPr>
                          <w:pStyle w:val="TableParagraph"/>
                          <w:spacing w:line="300" w:lineRule="auto" w:before="52"/>
                          <w:ind w:left="22" w:right="16"/>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441" w:type="dxa"/>
                        <w:gridSpan w:val="3"/>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1" w:hRule="exact"/>
                    </w:trPr>
                    <w:tc>
                      <w:tcPr>
                        <w:tcW w:w="2128" w:type="dxa"/>
                        <w:vMerge/>
                        <w:tcBorders>
                          <w:left w:val="single" w:sz="4" w:space="0" w:color="000000"/>
                          <w:right w:val="single" w:sz="9" w:space="0" w:color="C6ECCC"/>
                        </w:tcBorders>
                        <w:shd w:val="clear" w:color="auto" w:fill="D2D2D2"/>
                      </w:tcPr>
                      <w:p>
                        <w:pPr/>
                      </w:p>
                    </w:tc>
                    <w:tc>
                      <w:tcPr>
                        <w:tcW w:w="7441" w:type="dxa"/>
                        <w:gridSpan w:val="3"/>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2128" w:type="dxa"/>
                        <w:vMerge/>
                        <w:tcBorders>
                          <w:left w:val="single" w:sz="4" w:space="0" w:color="000000"/>
                          <w:bottom w:val="single" w:sz="4" w:space="0" w:color="000000"/>
                          <w:right w:val="single" w:sz="9" w:space="0" w:color="C6ECCC"/>
                        </w:tcBorders>
                        <w:shd w:val="clear" w:color="auto" w:fill="D2D2D2"/>
                      </w:tcPr>
                      <w:p>
                        <w:pPr/>
                      </w:p>
                    </w:tc>
                    <w:tc>
                      <w:tcPr>
                        <w:tcW w:w="7441" w:type="dxa"/>
                        <w:gridSpan w:val="3"/>
                        <w:tcBorders>
                          <w:top w:val="nil" w:sz="6" w:space="0" w:color="auto"/>
                          <w:left w:val="single" w:sz="4" w:space="0" w:color="000000"/>
                          <w:bottom w:val="single" w:sz="4" w:space="0" w:color="000000"/>
                          <w:right w:val="single" w:sz="4" w:space="0" w:color="000000"/>
                        </w:tcBorders>
                        <w:shd w:val="clear" w:color="auto" w:fill="C6ECCC"/>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right="0"/>
        <w:jc w:val="left"/>
      </w:pPr>
      <w:r>
        <w:rPr/>
        <w:t>实际控制人报告期内变更</w:t>
      </w:r>
    </w:p>
    <w:p>
      <w:pPr>
        <w:pStyle w:val="BodyText"/>
        <w:spacing w:line="348" w:lineRule="auto" w:before="11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4"/>
        <w:rPr>
          <w:rFonts w:ascii="宋体" w:hAnsi="宋体" w:cs="宋体" w:eastAsia="宋体" w:hint="default"/>
          <w:sz w:val="14"/>
          <w:szCs w:val="14"/>
        </w:rPr>
      </w:pPr>
    </w:p>
    <w:p>
      <w:pPr>
        <w:spacing w:line="4665" w:lineRule="exact"/>
        <w:ind w:left="1356"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4591621" cy="29622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91621" cy="2962275"/>
                    </a:xfrm>
                    <a:prstGeom prst="rect">
                      <a:avLst/>
                    </a:prstGeom>
                  </pic:spPr>
                </pic:pic>
              </a:graphicData>
            </a:graphic>
          </wp:inline>
        </w:drawing>
      </w:r>
      <w:r>
        <w:rPr>
          <w:rFonts w:ascii="宋体" w:hAnsi="宋体" w:cs="宋体" w:eastAsia="宋体" w:hint="default"/>
          <w:position w:val="-92"/>
          <w:sz w:val="20"/>
          <w:szCs w:val="20"/>
        </w:rPr>
      </w:r>
    </w:p>
    <w:p>
      <w:pPr>
        <w:spacing w:after="0" w:line="4665"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16"/>
      <w:bookmarkStart w:name="第七节 优先股相关情况" w:id="117"/>
      <w:r>
        <w:rPr>
          <w:b w:val="0"/>
          <w:bCs w:val="0"/>
        </w:rPr>
      </w:r>
      <w:r>
        <w:rPr/>
        <w:t>第七节</w:t>
      </w:r>
      <w:r>
        <w:rPr>
          <w:spacing w:val="-8"/>
        </w:rPr>
        <w:t> </w:t>
      </w:r>
      <w:r>
        <w:rPr/>
        <w:t>优先股相关情况</w:t>
      </w:r>
      <w:bookmarkEnd w:id="116"/>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18"/>
      <w:bookmarkStart w:name="第八节 董事、监事、高级管理人员和员工情况" w:id="119"/>
      <w:r>
        <w:rPr>
          <w:b w:val="0"/>
          <w:bCs w:val="0"/>
        </w:rPr>
      </w:r>
      <w:r>
        <w:rPr/>
        <w:t>第八节</w:t>
      </w:r>
      <w:r>
        <w:rPr>
          <w:spacing w:val="-16"/>
        </w:rPr>
        <w:t> </w:t>
      </w:r>
      <w:r>
        <w:rPr/>
        <w:t>董事、监事、高级管理人员和员工情况</w:t>
      </w:r>
      <w:bookmarkEnd w:id="118"/>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0"/>
      <w:bookmarkEnd w:id="12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10"/>
        <w:gridCol w:w="992"/>
        <w:gridCol w:w="567"/>
        <w:gridCol w:w="568"/>
        <w:gridCol w:w="426"/>
        <w:gridCol w:w="992"/>
        <w:gridCol w:w="992"/>
        <w:gridCol w:w="992"/>
        <w:gridCol w:w="941"/>
        <w:gridCol w:w="798"/>
        <w:gridCol w:w="671"/>
        <w:gridCol w:w="925"/>
      </w:tblGrid>
      <w:tr>
        <w:trPr>
          <w:trHeight w:val="1025"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00" w:right="39"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5" w:right="10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9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7" w:right="96"/>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费耀平</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8,181,885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5,727,319</w:t>
            </w:r>
          </w:p>
        </w:tc>
        <w:tc>
          <w:tcPr>
            <w:tcW w:w="798"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13,909,204</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6"/>
                <w:sz w:val="18"/>
                <w:szCs w:val="18"/>
              </w:rPr>
              <w:t>董事、总经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8,062,933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5,644,053</w:t>
            </w:r>
          </w:p>
        </w:tc>
        <w:tc>
          <w:tcPr>
            <w:tcW w:w="798"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13,706,986</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李建华</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6"/>
                <w:sz w:val="18"/>
                <w:szCs w:val="18"/>
              </w:rPr>
              <w:t>董事、副总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7,249,516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5,074,661</w:t>
            </w:r>
          </w:p>
        </w:tc>
        <w:tc>
          <w:tcPr>
            <w:tcW w:w="798"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12,324,177</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刘应龙</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6"/>
                <w:sz w:val="18"/>
                <w:szCs w:val="18"/>
              </w:rPr>
              <w:t>董事、副总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4,345,497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3,041,848</w:t>
            </w:r>
          </w:p>
        </w:tc>
        <w:tc>
          <w:tcPr>
            <w:tcW w:w="798"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7,387,345</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罗昔军</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6"/>
                <w:sz w:val="18"/>
                <w:szCs w:val="18"/>
              </w:rPr>
              <w:t>董事、副总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792,290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554,603</w:t>
            </w:r>
          </w:p>
        </w:tc>
        <w:tc>
          <w:tcPr>
            <w:tcW w:w="798"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1,346,893</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胡奕</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王聪</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刘定华</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李新首</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饶卫雄</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谢石伟</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pacing w:val="54"/>
                <w:sz w:val="18"/>
                <w:szCs w:val="18"/>
              </w:rPr>
              <w:t>监事会主</w:t>
            </w:r>
            <w:r>
              <w:rPr>
                <w:rFonts w:ascii="宋体" w:hAnsi="宋体" w:cs="宋体" w:eastAsia="宋体" w:hint="default"/>
                <w:spacing w:val="-18"/>
                <w:sz w:val="18"/>
                <w:szCs w:val="18"/>
              </w:rPr>
              <w:t> </w:t>
            </w:r>
            <w:r>
              <w:rPr>
                <w:rFonts w:ascii="宋体" w:hAnsi="宋体" w:cs="宋体" w:eastAsia="宋体" w:hint="default"/>
                <w:spacing w:val="6"/>
                <w:sz w:val="18"/>
                <w:szCs w:val="18"/>
              </w:rPr>
              <w:t>席、营销管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理部经理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27.85pt;height:15.6pt;mso-position-horizontal-relative:char;mso-position-vertical-relative:line" coordorigin="0,0" coordsize="557,312">
                  <v:group style="position:absolute;left:0;top:0;width:557;height:312" coordorigin="0,0" coordsize="557,312">
                    <v:shape style="position:absolute;left:0;top:0;width:557;height:312" coordorigin="0,0" coordsize="557,312" path="m0,312l557,312,55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197,500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138,250</w:t>
            </w:r>
          </w:p>
        </w:tc>
        <w:tc>
          <w:tcPr>
            <w:tcW w:w="798"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335,750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陈佶骏</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戴志扬</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221,000</w:t>
            </w:r>
          </w:p>
        </w:tc>
      </w:tr>
      <w:tr>
        <w:trPr>
          <w:trHeight w:val="986"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钟莲</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6"/>
                <w:sz w:val="18"/>
                <w:szCs w:val="18"/>
              </w:rPr>
              <w:t>职工代表监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事、人力资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源部部门副</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10"/>
        <w:gridCol w:w="992"/>
        <w:gridCol w:w="567"/>
        <w:gridCol w:w="568"/>
        <w:gridCol w:w="426"/>
        <w:gridCol w:w="992"/>
        <w:gridCol w:w="992"/>
        <w:gridCol w:w="992"/>
        <w:gridCol w:w="941"/>
        <w:gridCol w:w="798"/>
        <w:gridCol w:w="671"/>
        <w:gridCol w:w="925"/>
      </w:tblGrid>
      <w:tr>
        <w:trPr>
          <w:trHeight w:val="362"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李志峰</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6"/>
                <w:sz w:val="18"/>
                <w:szCs w:val="18"/>
              </w:rPr>
              <w:t>职工代表监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事、安可事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业部经理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88"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刘星沙</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6,861,398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4,802,979</w:t>
            </w:r>
          </w:p>
        </w:tc>
        <w:tc>
          <w:tcPr>
            <w:tcW w:w="798"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11,664,377</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金卓钧</w:t>
            </w:r>
          </w:p>
        </w:tc>
        <w:tc>
          <w:tcPr>
            <w:tcW w:w="9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6"/>
                <w:sz w:val="18"/>
                <w:szCs w:val="18"/>
              </w:rPr>
              <w:t>财务总监、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董事会秘书</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265,200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35,977,019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25,183,913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61,160,932</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1"/>
      <w:bookmarkEnd w:id="121"/>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94"/>
        <w:gridCol w:w="1558"/>
        <w:gridCol w:w="992"/>
        <w:gridCol w:w="1560"/>
        <w:gridCol w:w="4464"/>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08"/>
              <w:jc w:val="right"/>
              <w:rPr>
                <w:rFonts w:ascii="宋体" w:hAnsi="宋体" w:cs="宋体" w:eastAsia="宋体" w:hint="default"/>
                <w:sz w:val="18"/>
                <w:szCs w:val="18"/>
              </w:rPr>
            </w:pPr>
            <w:r>
              <w:rPr>
                <w:rFonts w:ascii="宋体" w:hAnsi="宋体" w:cs="宋体" w:eastAsia="宋体" w:hint="default"/>
                <w:sz w:val="18"/>
                <w:szCs w:val="18"/>
              </w:rPr>
              <w:t>类型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刘星沙</w:t>
            </w:r>
          </w:p>
        </w:tc>
        <w:tc>
          <w:tcPr>
            <w:tcW w:w="15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8"/>
              <w:jc w:val="right"/>
              <w:rPr>
                <w:rFonts w:ascii="宋体" w:hAnsi="宋体" w:cs="宋体" w:eastAsia="宋体" w:hint="default"/>
                <w:sz w:val="18"/>
                <w:szCs w:val="18"/>
              </w:rPr>
            </w:pPr>
            <w:r>
              <w:rPr>
                <w:rFonts w:ascii="宋体" w:hAnsi="宋体" w:cs="宋体" w:eastAsia="宋体" w:hint="default"/>
                <w:sz w:val="18"/>
                <w:szCs w:val="18"/>
              </w:rPr>
              <w:t>解聘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因个人原因，刘星沙女士自愿辞去副总经理职务。</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王聪</w:t>
            </w:r>
          </w:p>
        </w:tc>
        <w:tc>
          <w:tcPr>
            <w:tcW w:w="15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08"/>
              <w:jc w:val="right"/>
              <w:rPr>
                <w:rFonts w:ascii="宋体" w:hAnsi="宋体" w:cs="宋体" w:eastAsia="宋体" w:hint="default"/>
                <w:sz w:val="18"/>
                <w:szCs w:val="18"/>
              </w:rPr>
            </w:pPr>
            <w:r>
              <w:rPr>
                <w:rFonts w:ascii="宋体" w:hAnsi="宋体" w:cs="宋体" w:eastAsia="宋体" w:hint="default"/>
                <w:sz w:val="18"/>
                <w:szCs w:val="18"/>
              </w:rPr>
              <w:t>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因个人原因，王聪先生自愿辞去董事职务。</w:t>
            </w:r>
          </w:p>
        </w:tc>
      </w:tr>
      <w:tr>
        <w:trPr>
          <w:trHeight w:val="1652" w:hRule="exact"/>
        </w:trPr>
        <w:tc>
          <w:tcPr>
            <w:tcW w:w="9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罗昔军</w:t>
            </w:r>
          </w:p>
        </w:tc>
        <w:tc>
          <w:tcPr>
            <w:tcW w:w="15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9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4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公司第四届董事会第九次会议、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年年度股东大会分 别审议通过了《关于推荐罗昔军先生为第四届董事会补 </w:t>
            </w:r>
            <w:r>
              <w:rPr>
                <w:rFonts w:ascii="宋体" w:hAnsi="宋体" w:cs="宋体" w:eastAsia="宋体" w:hint="default"/>
                <w:spacing w:val="-4"/>
                <w:sz w:val="18"/>
                <w:szCs w:val="18"/>
              </w:rPr>
              <w:t>选董事候选人的议案》，同意选举罗昔军先生为第四届董</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事会董事，任期自股东大会审议通过之日起至第四届董 事会任期结束。</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2"/>
      <w:bookmarkEnd w:id="12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Heading5"/>
        <w:spacing w:line="240" w:lineRule="auto" w:before="115"/>
        <w:ind w:right="0"/>
        <w:jc w:val="left"/>
        <w:rPr>
          <w:b w:val="0"/>
          <w:bCs w:val="0"/>
        </w:rPr>
      </w:pPr>
      <w:r>
        <w:rPr/>
        <w:t>（一）董事会成员</w:t>
      </w:r>
      <w:r>
        <w:rPr>
          <w:b w:val="0"/>
          <w:bCs w:val="0"/>
        </w:rPr>
      </w:r>
    </w:p>
    <w:p>
      <w:pPr>
        <w:pStyle w:val="BodyText"/>
        <w:spacing w:line="300" w:lineRule="auto" w:before="76"/>
        <w:ind w:right="1139" w:firstLine="360"/>
        <w:jc w:val="both"/>
      </w:pPr>
      <w:r>
        <w:rPr>
          <w:rFonts w:ascii="Times New Roman" w:hAnsi="Times New Roman" w:cs="Times New Roman" w:eastAsia="Times New Roman" w:hint="default"/>
        </w:rPr>
        <w:t>1</w:t>
      </w:r>
      <w:r>
        <w:rPr/>
        <w:t>、费耀平先生，</w:t>
      </w:r>
      <w:r>
        <w:rPr>
          <w:rFonts w:ascii="Times New Roman" w:hAnsi="Times New Roman" w:cs="Times New Roman" w:eastAsia="Times New Roman" w:hint="default"/>
        </w:rPr>
        <w:t>1959</w:t>
      </w:r>
      <w:r>
        <w:rPr/>
        <w:t>年出生，中国国籍，无境外永久居留权，硕士学历。曾任长沙铁道学院信息技术研究中心主任、 副教授、教授，长沙铁道学院科技实业公司法定代表人、总经理，科创有限董事长。</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月起至今任本公司董事长，现 兼任科创鑫源董事长、永兴科创执行董事及科创集成执行董事。</w:t>
      </w:r>
    </w:p>
    <w:p>
      <w:pPr>
        <w:pStyle w:val="BodyText"/>
        <w:spacing w:line="300" w:lineRule="auto" w:before="31"/>
        <w:ind w:right="1139" w:firstLine="360"/>
        <w:jc w:val="both"/>
      </w:pPr>
      <w:r>
        <w:rPr>
          <w:rFonts w:ascii="Times New Roman" w:hAnsi="Times New Roman" w:cs="Times New Roman" w:eastAsia="Times New Roman" w:hint="default"/>
        </w:rPr>
        <w:t>2</w:t>
      </w:r>
      <w:r>
        <w:rPr/>
        <w:t>、李杰先生，</w:t>
      </w:r>
      <w:r>
        <w:rPr>
          <w:rFonts w:ascii="Times New Roman" w:hAnsi="Times New Roman" w:cs="Times New Roman" w:eastAsia="Times New Roman" w:hint="default"/>
        </w:rPr>
        <w:t>1964</w:t>
      </w:r>
      <w:r>
        <w:rPr/>
        <w:t>年出生，中国国籍，无境外永久居留权，硕士学历。曾任长沙铁道学院信息技术研究中心助教、讲 师、副教授、教授，长沙铁道学院科技实业公司副总经理，科创有限董事、总经理。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月起至今任本公司董事兼总经 理。</w:t>
      </w:r>
    </w:p>
    <w:p>
      <w:pPr>
        <w:pStyle w:val="BodyText"/>
        <w:spacing w:line="309" w:lineRule="auto" w:before="31"/>
        <w:ind w:right="1032" w:firstLine="360"/>
        <w:jc w:val="left"/>
      </w:pPr>
      <w:r>
        <w:rPr>
          <w:rFonts w:ascii="Times New Roman" w:hAnsi="Times New Roman" w:cs="Times New Roman" w:eastAsia="Times New Roman" w:hint="default"/>
        </w:rPr>
        <w:t>3</w:t>
      </w:r>
      <w:r>
        <w:rPr/>
        <w:t>、李建华先生，</w:t>
      </w:r>
      <w:r>
        <w:rPr>
          <w:rFonts w:ascii="Times New Roman" w:hAnsi="Times New Roman" w:cs="Times New Roman" w:eastAsia="Times New Roman" w:hint="default"/>
        </w:rPr>
        <w:t>1963</w:t>
      </w:r>
      <w:r>
        <w:rPr/>
        <w:t>年出生，中国国籍，无境外永久居留权，硕士学历。曾任长沙铁道学院计算机中心助教、讲师、 教授，湖南新兴电脑有限公司部门经理、总工程师，长沙铁道学院科技实业公司副总经理，长沙铁道学院信息中心副教授， 科创有限董事、副总经理。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月起至今任本公司董事兼副总经理。</w:t>
      </w:r>
    </w:p>
    <w:p>
      <w:pPr>
        <w:pStyle w:val="BodyText"/>
        <w:spacing w:line="300" w:lineRule="auto" w:before="5"/>
        <w:ind w:right="1141" w:firstLine="360"/>
        <w:jc w:val="both"/>
      </w:pPr>
      <w:r>
        <w:rPr>
          <w:rFonts w:ascii="Times New Roman" w:hAnsi="Times New Roman" w:cs="Times New Roman" w:eastAsia="Times New Roman" w:hint="default"/>
        </w:rPr>
        <w:t>4</w:t>
      </w:r>
      <w:r>
        <w:rPr/>
        <w:t>、刘应龙先生，</w:t>
      </w:r>
      <w:r>
        <w:rPr>
          <w:rFonts w:ascii="Times New Roman" w:hAnsi="Times New Roman" w:cs="Times New Roman" w:eastAsia="Times New Roman" w:hint="default"/>
        </w:rPr>
        <w:t>1958</w:t>
      </w:r>
      <w:r>
        <w:rPr/>
        <w:t>年出生，中国国籍，无境外永久居留权，硕士学历。曾任长沙铁道学院计算机中心助工、讲师、 副教授，科创有限董事、副总经理。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月起至今任本公司董事兼副总经理。</w:t>
      </w:r>
    </w:p>
    <w:p>
      <w:pPr>
        <w:pStyle w:val="BodyText"/>
        <w:spacing w:line="309" w:lineRule="auto" w:before="13"/>
        <w:ind w:right="1130" w:firstLine="360"/>
        <w:jc w:val="both"/>
      </w:pPr>
      <w:r>
        <w:rPr>
          <w:rFonts w:ascii="Times New Roman" w:hAnsi="Times New Roman" w:cs="Times New Roman" w:eastAsia="Times New Roman" w:hint="default"/>
        </w:rPr>
        <w:t>5</w:t>
      </w:r>
      <w:r>
        <w:rPr/>
        <w:t>、罗昔军先生，</w:t>
      </w:r>
      <w:r>
        <w:rPr>
          <w:rFonts w:ascii="Times New Roman" w:hAnsi="Times New Roman" w:cs="Times New Roman" w:eastAsia="Times New Roman" w:hint="default"/>
        </w:rPr>
        <w:t>1972</w:t>
      </w:r>
      <w:r>
        <w:rPr/>
        <w:t>年出生，中国国籍，无境外永久居留权，硕士学历，工程师。曾任长沙铁道学院信息技术中心助 </w:t>
      </w:r>
      <w:r>
        <w:rPr>
          <w:spacing w:val="-2"/>
        </w:rPr>
        <w:t>教、工程师，长沙科创有限软件研发中心工程师、项目经理、技术总监，运营商软件部经理兼技术总监，电子政务软件部经</w:t>
      </w:r>
      <w:r>
        <w:rPr>
          <w:spacing w:val="-67"/>
        </w:rPr>
        <w:t> </w:t>
      </w:r>
      <w:r>
        <w:rPr>
          <w:spacing w:val="-67"/>
        </w:rPr>
      </w:r>
      <w:r>
        <w:rPr/>
        <w:t>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月起任本公司副总经理。现任本公司董事、副总经理兼任科创集成经理。</w:t>
      </w:r>
    </w:p>
    <w:p>
      <w:pPr>
        <w:pStyle w:val="BodyText"/>
        <w:spacing w:line="300" w:lineRule="auto" w:before="5"/>
        <w:ind w:right="1141" w:firstLine="360"/>
        <w:jc w:val="both"/>
      </w:pPr>
      <w:r>
        <w:rPr>
          <w:rFonts w:ascii="Times New Roman" w:hAnsi="Times New Roman" w:cs="Times New Roman" w:eastAsia="Times New Roman" w:hint="default"/>
        </w:rPr>
        <w:t>6</w:t>
      </w:r>
      <w:r>
        <w:rPr/>
        <w:t>、胡奕女士，</w:t>
      </w:r>
      <w:r>
        <w:rPr>
          <w:rFonts w:ascii="Times New Roman" w:hAnsi="Times New Roman" w:cs="Times New Roman" w:eastAsia="Times New Roman" w:hint="default"/>
        </w:rPr>
        <w:t>1974</w:t>
      </w:r>
      <w:r>
        <w:rPr/>
        <w:t>年出生，中国国籍，无境外永久居留权，硕士学历。曾任中南大学湘雅医学院医学信息系讲师，中 南大学专利中心主管。现任本公司董事，中南资产副总经理兼董事，湖南南方博云新材料股份有限公司监事。</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129" w:firstLine="360"/>
        <w:jc w:val="both"/>
      </w:pPr>
      <w:r>
        <w:rPr>
          <w:rFonts w:ascii="Times New Roman" w:hAnsi="Times New Roman" w:cs="Times New Roman" w:eastAsia="Times New Roman" w:hint="default"/>
        </w:rPr>
        <w:t>7</w:t>
      </w:r>
      <w:r>
        <w:rPr/>
        <w:t>、刘定华先生，</w:t>
      </w:r>
      <w:r>
        <w:rPr>
          <w:rFonts w:ascii="Times New Roman" w:hAnsi="Times New Roman" w:cs="Times New Roman" w:eastAsia="Times New Roman" w:hint="default"/>
        </w:rPr>
        <w:t>1944</w:t>
      </w:r>
      <w:r>
        <w:rPr/>
        <w:t>年出生，中国国籍，无境外永久居留权，硕士研究生，湖南大学教授，研究生导师。曾任湖南财 </w:t>
      </w:r>
      <w:r>
        <w:rPr>
          <w:spacing w:val="-2"/>
        </w:rPr>
        <w:t>经学院副教授、教授、法律系主任，湖南大学法学院院长。现任本公司独立董事，盐津铺子食品股份有限公司独立董事，深</w:t>
      </w:r>
      <w:r>
        <w:rPr>
          <w:spacing w:val="-68"/>
        </w:rPr>
        <w:t> </w:t>
      </w:r>
      <w:r>
        <w:rPr>
          <w:spacing w:val="-68"/>
        </w:rPr>
      </w:r>
      <w:r>
        <w:rPr/>
        <w:t>圳市豪恩汽车电子装备股份有限公司独立董事，湖南省法学教育研究会会长，湖南大学法学院教授。</w:t>
      </w:r>
    </w:p>
    <w:p>
      <w:pPr>
        <w:pStyle w:val="BodyText"/>
        <w:spacing w:line="314" w:lineRule="auto" w:before="24"/>
        <w:ind w:right="0" w:firstLine="360"/>
        <w:jc w:val="left"/>
      </w:pPr>
      <w:r>
        <w:rPr>
          <w:rFonts w:ascii="Times New Roman" w:hAnsi="Times New Roman" w:cs="Times New Roman" w:eastAsia="Times New Roman" w:hint="default"/>
        </w:rPr>
        <w:t>8</w:t>
      </w:r>
      <w:r>
        <w:rPr/>
        <w:t>、李新首先生，</w:t>
      </w:r>
      <w:r>
        <w:rPr>
          <w:rFonts w:ascii="Times New Roman" w:hAnsi="Times New Roman" w:cs="Times New Roman" w:eastAsia="Times New Roman" w:hint="default"/>
        </w:rPr>
        <w:t>1971</w:t>
      </w:r>
      <w:r>
        <w:rPr/>
        <w:t>年出生，中国国籍，无境外永久居留权，本科学历，注册会计师、注册资产评估师。曾任湖南利 </w:t>
      </w:r>
      <w:r>
        <w:rPr>
          <w:spacing w:val="-4"/>
        </w:rPr>
        <w:t>安达会计师事务所，利安达会计师事务所湖南分所执行所长。现任本公司独立董事，中审众环会计师事务所（特殊普通合伙）</w:t>
      </w:r>
      <w:r>
        <w:rPr>
          <w:spacing w:val="-46"/>
        </w:rPr>
        <w:t> </w:t>
      </w:r>
      <w:r>
        <w:rPr>
          <w:spacing w:val="-46"/>
        </w:rPr>
      </w:r>
      <w:r>
        <w:rPr>
          <w:spacing w:val="-2"/>
        </w:rPr>
        <w:t>湖南分所所长，中审世纪工程造价咨询（北京）有限公司湖南分公司负责人，湖南智瑞投资管理咨询有限公司董事长，湖南</w:t>
      </w:r>
      <w:r>
        <w:rPr>
          <w:spacing w:val="-66"/>
        </w:rPr>
        <w:t> </w:t>
      </w:r>
      <w:r>
        <w:rPr>
          <w:spacing w:val="-66"/>
        </w:rPr>
      </w:r>
      <w:r>
        <w:rPr>
          <w:spacing w:val="-2"/>
        </w:rPr>
        <w:t>智瑞项目管理有限公司监事，湖南利安达招标咨询有限公司董事，湖南五新隧道智能装备股份有限公司以及中惠旅智慧景区</w:t>
      </w:r>
      <w:r>
        <w:rPr>
          <w:spacing w:val="-64"/>
        </w:rPr>
        <w:t> </w:t>
      </w:r>
      <w:r>
        <w:rPr>
          <w:spacing w:val="-64"/>
        </w:rPr>
      </w:r>
      <w:r>
        <w:rPr/>
        <w:t>管理股份有限公司独立董事。</w:t>
      </w:r>
    </w:p>
    <w:p>
      <w:pPr>
        <w:pStyle w:val="BodyText"/>
        <w:spacing w:line="309" w:lineRule="auto" w:before="20"/>
        <w:ind w:right="1132" w:firstLine="360"/>
        <w:jc w:val="both"/>
      </w:pPr>
      <w:r>
        <w:rPr>
          <w:rFonts w:ascii="Times New Roman" w:hAnsi="Times New Roman" w:cs="Times New Roman" w:eastAsia="Times New Roman" w:hint="default"/>
        </w:rPr>
        <w:t>9</w:t>
      </w:r>
      <w:r>
        <w:rPr/>
        <w:t>、饶卫雄先生，</w:t>
      </w:r>
      <w:r>
        <w:rPr>
          <w:rFonts w:ascii="Times New Roman" w:hAnsi="Times New Roman" w:cs="Times New Roman" w:eastAsia="Times New Roman" w:hint="default"/>
        </w:rPr>
        <w:t>1974</w:t>
      </w:r>
      <w:r>
        <w:rPr/>
        <w:t>年出生，中国国籍，无境外永久居留权，博士学历，同济大学教授，博士生导师。曾任香港科技 </w:t>
      </w:r>
      <w:r>
        <w:rPr>
          <w:spacing w:val="-2"/>
        </w:rPr>
        <w:t>大学计算机科学与工程系博士后研究员，芬兰赫尔辛基大学计算机科学系博士后研究员，英国剑桥大学计算机实验室副研究</w:t>
      </w:r>
      <w:r>
        <w:rPr>
          <w:spacing w:val="-64"/>
        </w:rPr>
        <w:t> </w:t>
      </w:r>
      <w:r>
        <w:rPr>
          <w:spacing w:val="-64"/>
        </w:rPr>
      </w:r>
      <w:r>
        <w:rPr/>
        <w:t>员。现任本公司独立董事、同济大学软件学院教授、博士生导师。</w:t>
      </w:r>
    </w:p>
    <w:p>
      <w:pPr>
        <w:spacing w:line="240" w:lineRule="auto" w:before="9"/>
        <w:rPr>
          <w:rFonts w:ascii="宋体" w:hAnsi="宋体" w:cs="宋体" w:eastAsia="宋体" w:hint="default"/>
          <w:sz w:val="25"/>
          <w:szCs w:val="25"/>
        </w:rPr>
      </w:pPr>
    </w:p>
    <w:p>
      <w:pPr>
        <w:pStyle w:val="Heading5"/>
        <w:spacing w:line="240" w:lineRule="auto" w:before="0"/>
        <w:ind w:right="0"/>
        <w:jc w:val="left"/>
        <w:rPr>
          <w:b w:val="0"/>
          <w:bCs w:val="0"/>
        </w:rPr>
      </w:pPr>
      <w:r>
        <w:rPr/>
        <w:t>（二）监事会成员</w:t>
      </w:r>
      <w:r>
        <w:rPr>
          <w:b w:val="0"/>
          <w:bCs w:val="0"/>
        </w:rPr>
      </w:r>
    </w:p>
    <w:p>
      <w:pPr>
        <w:pStyle w:val="BodyText"/>
        <w:spacing w:line="240" w:lineRule="auto" w:before="76"/>
        <w:ind w:left="514" w:right="0"/>
        <w:jc w:val="left"/>
      </w:pPr>
      <w:r>
        <w:rPr>
          <w:rFonts w:ascii="Times New Roman" w:hAnsi="Times New Roman" w:cs="Times New Roman" w:eastAsia="Times New Roman" w:hint="default"/>
        </w:rPr>
        <w:t>1</w:t>
      </w:r>
      <w:r>
        <w:rPr/>
        <w:t>、谢石伟先生，</w:t>
      </w:r>
      <w:r>
        <w:rPr>
          <w:rFonts w:ascii="Times New Roman" w:hAnsi="Times New Roman" w:cs="Times New Roman" w:eastAsia="Times New Roman" w:hint="default"/>
        </w:rPr>
        <w:t>1976</w:t>
      </w:r>
      <w:r>
        <w:rPr/>
        <w:t>年出生，中国国籍，无境外永久居留权，本科学历。曾任湖南远景信息股份有限公司部门经理。</w:t>
      </w:r>
    </w:p>
    <w:p>
      <w:pPr>
        <w:pStyle w:val="BodyText"/>
        <w:spacing w:line="300" w:lineRule="auto" w:before="63"/>
        <w:ind w:right="1122"/>
        <w:jc w:val="left"/>
      </w:pP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月起在科创有限工作，历任系统集成中心副主任、云南分公司副总经理、市场战略部经理、产品营销事业部经理， 现任本公司监事会主席、营销管理部经理。</w:t>
      </w:r>
    </w:p>
    <w:p>
      <w:pPr>
        <w:pStyle w:val="BodyText"/>
        <w:spacing w:line="300" w:lineRule="auto" w:before="31"/>
        <w:ind w:right="1141" w:firstLine="360"/>
        <w:jc w:val="both"/>
      </w:pPr>
      <w:r>
        <w:rPr>
          <w:rFonts w:ascii="Times New Roman" w:hAnsi="Times New Roman" w:cs="Times New Roman" w:eastAsia="Times New Roman" w:hint="default"/>
        </w:rPr>
        <w:t>2</w:t>
      </w:r>
      <w:r>
        <w:rPr/>
        <w:t>、陈佶骏先生，</w:t>
      </w:r>
      <w:r>
        <w:rPr>
          <w:rFonts w:ascii="Times New Roman" w:hAnsi="Times New Roman" w:cs="Times New Roman" w:eastAsia="Times New Roman" w:hint="default"/>
        </w:rPr>
        <w:t>1990</w:t>
      </w:r>
      <w:r>
        <w:rPr/>
        <w:t>年出生，中国国籍，无境外永久居留权，本科学历。曾任湖南锦鑫房地产评估有限公司评估师。 现任本公司监事，长沙金盛典当有限责任公司业务副总经理。</w:t>
      </w:r>
    </w:p>
    <w:p>
      <w:pPr>
        <w:pStyle w:val="BodyText"/>
        <w:spacing w:line="314" w:lineRule="auto" w:before="31"/>
        <w:ind w:right="1032" w:firstLine="360"/>
        <w:jc w:val="left"/>
      </w:pPr>
      <w:r>
        <w:rPr>
          <w:rFonts w:ascii="Times New Roman" w:hAnsi="Times New Roman" w:cs="Times New Roman" w:eastAsia="Times New Roman" w:hint="default"/>
        </w:rPr>
        <w:t>3</w:t>
      </w:r>
      <w:r>
        <w:rPr/>
        <w:t>、戴志扬先生，</w:t>
      </w:r>
      <w:r>
        <w:rPr>
          <w:rFonts w:ascii="Times New Roman" w:hAnsi="Times New Roman" w:cs="Times New Roman" w:eastAsia="Times New Roman" w:hint="default"/>
        </w:rPr>
        <w:t>1971</w:t>
      </w:r>
      <w:r>
        <w:rPr/>
        <w:t>年出生，中国国籍，无境外永久居留权，本科学历，高级经营师，曾任厦门怡通贸易公司副总， </w:t>
      </w:r>
      <w:r>
        <w:rPr>
          <w:spacing w:val="-2"/>
        </w:rPr>
        <w:t>厦门松达进出口公司财务经理，厦门上野人造花有限公司财务经理，厦门鑫鼎盛证劵咨询公司投资银行部经理，厦门文德投</w:t>
      </w:r>
      <w:r>
        <w:rPr>
          <w:spacing w:val="-65"/>
        </w:rPr>
        <w:t> </w:t>
      </w:r>
      <w:r>
        <w:rPr>
          <w:spacing w:val="-65"/>
        </w:rPr>
      </w:r>
      <w:r>
        <w:rPr>
          <w:spacing w:val="-2"/>
        </w:rPr>
        <w:t>资管理公司投融资总监。现任本公司监事，厦门德宏富厚股权投资管理有限公司执行董事兼总经理，厦门东方汇富股权投资</w:t>
      </w:r>
      <w:r>
        <w:rPr>
          <w:spacing w:val="-66"/>
        </w:rPr>
        <w:t> </w:t>
      </w:r>
      <w:r>
        <w:rPr>
          <w:spacing w:val="-66"/>
        </w:rPr>
      </w:r>
      <w:r>
        <w:rPr/>
        <w:t>管理合伙企业（有限合伙）董事长，厦门东方汇富股权投资合伙企业（有限合伙）总裁，厦门尚宇环保股份有限公司董事， 深圳前海希卓威尔科技有限公司董事。</w:t>
      </w:r>
    </w:p>
    <w:p>
      <w:pPr>
        <w:pStyle w:val="BodyText"/>
        <w:spacing w:line="300" w:lineRule="auto" w:before="20"/>
        <w:ind w:right="1042" w:firstLine="360"/>
        <w:jc w:val="both"/>
      </w:pPr>
      <w:r>
        <w:rPr>
          <w:rFonts w:ascii="Times New Roman" w:hAnsi="Times New Roman" w:cs="Times New Roman" w:eastAsia="Times New Roman" w:hint="default"/>
        </w:rPr>
        <w:t>4</w:t>
      </w:r>
      <w:r>
        <w:rPr/>
        <w:t>、钟莲女士，</w:t>
      </w:r>
      <w:r>
        <w:rPr>
          <w:rFonts w:ascii="Times New Roman" w:hAnsi="Times New Roman" w:cs="Times New Roman" w:eastAsia="Times New Roman" w:hint="default"/>
        </w:rPr>
        <w:t>1976</w:t>
      </w:r>
      <w:r>
        <w:rPr/>
        <w:t>年出生，中国国籍，无境外永久居留权，本科学历，人力资源管理师。曾任长沙吉联软件开发有限 </w:t>
      </w:r>
      <w:r>
        <w:rPr>
          <w:spacing w:val="-3"/>
        </w:rPr>
        <w:t>公司办公室文员。</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12</w:t>
      </w:r>
      <w:r>
        <w:rPr>
          <w:spacing w:val="-3"/>
        </w:rPr>
        <w:t>月起在科创有限工作，历任办事员、办公室主管。现任本公司监事、公司人力资源部部门副经理。</w:t>
      </w:r>
    </w:p>
    <w:p>
      <w:pPr>
        <w:pStyle w:val="BodyText"/>
        <w:spacing w:line="300" w:lineRule="auto" w:before="13"/>
        <w:ind w:right="1130" w:firstLine="360"/>
        <w:jc w:val="both"/>
      </w:pPr>
      <w:r>
        <w:rPr>
          <w:rFonts w:ascii="Times New Roman" w:hAnsi="Times New Roman" w:cs="Times New Roman" w:eastAsia="Times New Roman" w:hint="default"/>
        </w:rPr>
        <w:t>5</w:t>
      </w:r>
      <w:r>
        <w:rPr/>
        <w:t>、李志峰先生，</w:t>
      </w:r>
      <w:r>
        <w:rPr>
          <w:rFonts w:ascii="Times New Roman" w:hAnsi="Times New Roman" w:cs="Times New Roman" w:eastAsia="Times New Roman" w:hint="default"/>
        </w:rPr>
        <w:t>1978</w:t>
      </w:r>
      <w:r>
        <w:rPr/>
        <w:t>年出生，中国国籍，无境外永久居留权，本科学历，系统集成项目管理工程师。曾任湖南邵东县 </w:t>
      </w:r>
      <w:r>
        <w:rPr>
          <w:spacing w:val="-2"/>
        </w:rPr>
        <w:t>自来水公司中化室负责人、北京联信永益湖南办事处高级工程师、长沙申铁公司软件部负责人。</w:t>
      </w:r>
      <w:r>
        <w:rPr>
          <w:rFonts w:ascii="Times New Roman" w:hAnsi="Times New Roman" w:cs="Times New Roman" w:eastAsia="Times New Roman" w:hint="default"/>
          <w:spacing w:val="-2"/>
        </w:rPr>
        <w:t>2007</w:t>
      </w:r>
      <w:r>
        <w:rPr>
          <w:spacing w:val="-2"/>
        </w:rPr>
        <w:t>年起在本公司工作，历</w:t>
      </w:r>
      <w:r>
        <w:rPr>
          <w:spacing w:val="-61"/>
        </w:rPr>
        <w:t> </w:t>
      </w:r>
      <w:r>
        <w:rPr>
          <w:spacing w:val="-61"/>
        </w:rPr>
      </w:r>
      <w:r>
        <w:rPr/>
        <w:t>任软件部项目经理、产品经理、电子政务部副经理、电子政务事业部副经理。现任本公司监事、安可事业部经理。</w:t>
      </w:r>
    </w:p>
    <w:p>
      <w:pPr>
        <w:spacing w:line="240" w:lineRule="auto" w:before="3"/>
        <w:rPr>
          <w:rFonts w:ascii="宋体" w:hAnsi="宋体" w:cs="宋体" w:eastAsia="宋体" w:hint="default"/>
          <w:sz w:val="26"/>
          <w:szCs w:val="26"/>
        </w:rPr>
      </w:pPr>
    </w:p>
    <w:p>
      <w:pPr>
        <w:pStyle w:val="Heading5"/>
        <w:spacing w:line="240" w:lineRule="auto" w:before="0"/>
        <w:ind w:right="0"/>
        <w:jc w:val="left"/>
        <w:rPr>
          <w:b w:val="0"/>
          <w:bCs w:val="0"/>
        </w:rPr>
      </w:pPr>
      <w:r>
        <w:rPr/>
        <w:t>（三）高级管理人员</w:t>
      </w:r>
      <w:r>
        <w:rPr>
          <w:b w:val="0"/>
          <w:bCs w:val="0"/>
        </w:rPr>
      </w:r>
    </w:p>
    <w:p>
      <w:pPr>
        <w:pStyle w:val="BodyText"/>
        <w:spacing w:line="240" w:lineRule="auto" w:before="76"/>
        <w:ind w:left="514" w:right="0"/>
        <w:jc w:val="left"/>
      </w:pPr>
      <w:r>
        <w:rPr>
          <w:rFonts w:ascii="Times New Roman" w:hAnsi="Times New Roman" w:cs="Times New Roman" w:eastAsia="Times New Roman" w:hint="default"/>
        </w:rPr>
        <w:t>1</w:t>
      </w:r>
      <w:r>
        <w:rPr/>
        <w:t>、李杰先生，见（一）董事会成员简介。</w:t>
      </w:r>
    </w:p>
    <w:p>
      <w:pPr>
        <w:pStyle w:val="BodyText"/>
        <w:spacing w:line="240" w:lineRule="auto" w:before="63"/>
        <w:ind w:left="514" w:right="0"/>
        <w:jc w:val="left"/>
      </w:pPr>
      <w:r>
        <w:rPr>
          <w:rFonts w:ascii="Times New Roman" w:hAnsi="Times New Roman" w:cs="Times New Roman" w:eastAsia="Times New Roman" w:hint="default"/>
        </w:rPr>
        <w:t>2</w:t>
      </w:r>
      <w:r>
        <w:rPr/>
        <w:t>、李建华先生，见（一）董事会成员简介。</w:t>
      </w:r>
    </w:p>
    <w:p>
      <w:pPr>
        <w:pStyle w:val="BodyText"/>
        <w:spacing w:line="240" w:lineRule="auto" w:before="63"/>
        <w:ind w:left="514" w:right="0"/>
        <w:jc w:val="left"/>
      </w:pPr>
      <w:r>
        <w:rPr>
          <w:rFonts w:ascii="Times New Roman" w:hAnsi="Times New Roman" w:cs="Times New Roman" w:eastAsia="Times New Roman" w:hint="default"/>
        </w:rPr>
        <w:t>3</w:t>
      </w:r>
      <w:r>
        <w:rPr/>
        <w:t>、刘应龙先生，见（一）董事会成员简介。</w:t>
      </w:r>
    </w:p>
    <w:p>
      <w:pPr>
        <w:pStyle w:val="BodyText"/>
        <w:spacing w:line="240" w:lineRule="auto" w:before="63"/>
        <w:ind w:left="514" w:right="0"/>
        <w:jc w:val="left"/>
      </w:pPr>
      <w:r>
        <w:rPr>
          <w:rFonts w:ascii="Times New Roman" w:hAnsi="Times New Roman" w:cs="Times New Roman" w:eastAsia="Times New Roman" w:hint="default"/>
        </w:rPr>
        <w:t>4</w:t>
      </w:r>
      <w:r>
        <w:rPr/>
        <w:t>、罗昔军先生，见（一）董事会成员简介。</w:t>
      </w:r>
    </w:p>
    <w:p>
      <w:pPr>
        <w:pStyle w:val="BodyText"/>
        <w:spacing w:line="300" w:lineRule="auto" w:before="63"/>
        <w:ind w:right="1139" w:firstLine="360"/>
        <w:jc w:val="both"/>
      </w:pPr>
      <w:r>
        <w:rPr>
          <w:rFonts w:ascii="Times New Roman" w:hAnsi="Times New Roman" w:cs="Times New Roman" w:eastAsia="Times New Roman" w:hint="default"/>
        </w:rPr>
        <w:t>5</w:t>
      </w:r>
      <w:r>
        <w:rPr/>
        <w:t>、金卓钧女士，</w:t>
      </w:r>
      <w:r>
        <w:rPr>
          <w:rFonts w:ascii="Times New Roman" w:hAnsi="Times New Roman" w:cs="Times New Roman" w:eastAsia="Times New Roman" w:hint="default"/>
        </w:rPr>
        <w:t>1974</w:t>
      </w:r>
      <w:r>
        <w:rPr/>
        <w:t>年出生，中国国籍，无境外永久居留权，本科学历。曾任湘火炬汽车集团股份有限公司证券事务 代表，潍柴动力股份有限公司证券事务代表，坤和建设集团股份有限公司证券事务代表。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月起在科创信息工作，现 任本公司财务总监、董事会秘书。</w:t>
      </w:r>
    </w:p>
    <w:p>
      <w:pPr>
        <w:spacing w:after="0" w:line="30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在股东单位任职情况</w:t>
      </w:r>
      <w:r>
        <w:rPr>
          <w:b w:val="0"/>
          <w:bCs w:val="0"/>
        </w:rPr>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90"/>
        <w:gridCol w:w="2910"/>
        <w:gridCol w:w="1343"/>
        <w:gridCol w:w="1196"/>
        <w:gridCol w:w="1430"/>
        <w:gridCol w:w="1488"/>
      </w:tblGrid>
      <w:tr>
        <w:trPr>
          <w:trHeight w:val="710"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95" w:right="35"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9"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166" w:hRule="exact"/>
        </w:trPr>
        <w:tc>
          <w:tcPr>
            <w:tcW w:w="1190" w:type="dxa"/>
            <w:tcBorders>
              <w:top w:val="single" w:sz="4" w:space="0" w:color="000000"/>
              <w:left w:val="single" w:sz="4" w:space="0" w:color="000000"/>
              <w:bottom w:val="nil" w:sz="6" w:space="0" w:color="auto"/>
              <w:right w:val="single" w:sz="4" w:space="0" w:color="000000"/>
            </w:tcBorders>
            <w:shd w:val="clear" w:color="auto" w:fill="C6ECCC"/>
          </w:tcPr>
          <w:p>
            <w:pPr/>
          </w:p>
        </w:tc>
        <w:tc>
          <w:tcPr>
            <w:tcW w:w="2910" w:type="dxa"/>
            <w:tcBorders>
              <w:top w:val="single" w:sz="4" w:space="0" w:color="000000"/>
              <w:left w:val="single" w:sz="4" w:space="0" w:color="000000"/>
              <w:bottom w:val="nil" w:sz="6" w:space="0" w:color="auto"/>
              <w:right w:val="single" w:sz="4" w:space="0" w:color="000000"/>
            </w:tcBorders>
            <w:shd w:val="clear" w:color="auto" w:fill="C6ECCC"/>
          </w:tcPr>
          <w:p>
            <w:pPr/>
          </w:p>
        </w:tc>
        <w:tc>
          <w:tcPr>
            <w:tcW w:w="1343" w:type="dxa"/>
            <w:tcBorders>
              <w:top w:val="single" w:sz="4" w:space="0" w:color="000000"/>
              <w:left w:val="single" w:sz="4" w:space="0" w:color="000000"/>
              <w:bottom w:val="nil" w:sz="6" w:space="0" w:color="auto"/>
              <w:right w:val="single" w:sz="4" w:space="0" w:color="000000"/>
            </w:tcBorders>
            <w:shd w:val="clear" w:color="auto" w:fill="C6ECCC"/>
          </w:tcPr>
          <w:p>
            <w:pPr/>
          </w:p>
        </w:tc>
        <w:tc>
          <w:tcPr>
            <w:tcW w:w="1196" w:type="dxa"/>
            <w:vMerge w:val="restart"/>
            <w:tcBorders>
              <w:top w:val="single" w:sz="4" w:space="0" w:color="000000"/>
              <w:left w:val="single" w:sz="9" w:space="0" w:color="C6ECCC"/>
              <w:right w:val="single" w:sz="4" w:space="0" w:color="000000"/>
            </w:tcBorders>
          </w:tcPr>
          <w:p>
            <w:pPr>
              <w:pStyle w:val="TableParagraph"/>
              <w:spacing w:line="240" w:lineRule="auto" w:before="5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30" w:type="dxa"/>
            <w:vMerge w:val="restart"/>
            <w:tcBorders>
              <w:top w:val="single" w:sz="4" w:space="0" w:color="000000"/>
              <w:left w:val="single" w:sz="4" w:space="0" w:color="000000"/>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19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胡奕</w:t>
            </w:r>
          </w:p>
        </w:tc>
        <w:tc>
          <w:tcPr>
            <w:tcW w:w="29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中南大学资产经营有限公司</w:t>
            </w:r>
          </w:p>
        </w:tc>
        <w:tc>
          <w:tcPr>
            <w:tcW w:w="134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投资部部长</w:t>
            </w:r>
          </w:p>
        </w:tc>
        <w:tc>
          <w:tcPr>
            <w:tcW w:w="1196" w:type="dxa"/>
            <w:vMerge/>
            <w:tcBorders>
              <w:left w:val="single" w:sz="9" w:space="0" w:color="C6ECCC"/>
              <w:right w:val="single" w:sz="4" w:space="0" w:color="000000"/>
            </w:tcBorders>
          </w:tcPr>
          <w:p>
            <w:pPr/>
          </w:p>
        </w:tc>
        <w:tc>
          <w:tcPr>
            <w:tcW w:w="1430"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C6ECCC"/>
          </w:tcPr>
          <w:p>
            <w:pPr/>
          </w:p>
        </w:tc>
        <w:tc>
          <w:tcPr>
            <w:tcW w:w="2910" w:type="dxa"/>
            <w:tcBorders>
              <w:top w:val="nil" w:sz="6" w:space="0" w:color="auto"/>
              <w:left w:val="single" w:sz="4" w:space="0" w:color="000000"/>
              <w:bottom w:val="single" w:sz="4" w:space="0" w:color="000000"/>
              <w:right w:val="single" w:sz="4" w:space="0" w:color="000000"/>
            </w:tcBorders>
            <w:shd w:val="clear" w:color="auto" w:fill="C6ECCC"/>
          </w:tcPr>
          <w:p>
            <w:pPr/>
          </w:p>
        </w:tc>
        <w:tc>
          <w:tcPr>
            <w:tcW w:w="1343" w:type="dxa"/>
            <w:tcBorders>
              <w:top w:val="nil" w:sz="6" w:space="0" w:color="auto"/>
              <w:left w:val="single" w:sz="4" w:space="0" w:color="000000"/>
              <w:bottom w:val="single" w:sz="4" w:space="0" w:color="000000"/>
              <w:right w:val="single" w:sz="4" w:space="0" w:color="000000"/>
            </w:tcBorders>
            <w:shd w:val="clear" w:color="auto" w:fill="C6ECCC"/>
          </w:tcPr>
          <w:p>
            <w:pPr/>
          </w:p>
        </w:tc>
        <w:tc>
          <w:tcPr>
            <w:tcW w:w="1196" w:type="dxa"/>
            <w:vMerge/>
            <w:tcBorders>
              <w:left w:val="single" w:sz="9" w:space="0" w:color="C6ECCC"/>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C6ECCC"/>
          </w:tcPr>
          <w:p>
            <w:pPr/>
          </w:p>
        </w:tc>
        <w:tc>
          <w:tcPr>
            <w:tcW w:w="2910" w:type="dxa"/>
            <w:tcBorders>
              <w:top w:val="single" w:sz="4" w:space="0" w:color="000000"/>
              <w:left w:val="single" w:sz="4" w:space="0" w:color="000000"/>
              <w:bottom w:val="nil" w:sz="6" w:space="0" w:color="auto"/>
              <w:right w:val="single" w:sz="4" w:space="0" w:color="000000"/>
            </w:tcBorders>
            <w:shd w:val="clear" w:color="auto" w:fill="C6ECCC"/>
          </w:tcPr>
          <w:p>
            <w:pPr/>
          </w:p>
        </w:tc>
        <w:tc>
          <w:tcPr>
            <w:tcW w:w="1343" w:type="dxa"/>
            <w:tcBorders>
              <w:top w:val="single" w:sz="4" w:space="0" w:color="000000"/>
              <w:left w:val="single" w:sz="4" w:space="0" w:color="000000"/>
              <w:bottom w:val="nil" w:sz="6" w:space="0" w:color="auto"/>
              <w:right w:val="single" w:sz="4" w:space="0" w:color="000000"/>
            </w:tcBorders>
            <w:shd w:val="clear" w:color="auto" w:fill="C6ECCC"/>
          </w:tcPr>
          <w:p>
            <w:pPr/>
          </w:p>
        </w:tc>
        <w:tc>
          <w:tcPr>
            <w:tcW w:w="1196" w:type="dxa"/>
            <w:vMerge w:val="restart"/>
            <w:tcBorders>
              <w:top w:val="single" w:sz="4" w:space="0" w:color="000000"/>
              <w:left w:val="single" w:sz="9" w:space="0" w:color="C6ECCC"/>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30" w:type="dxa"/>
            <w:vMerge w:val="restart"/>
            <w:tcBorders>
              <w:top w:val="single" w:sz="4" w:space="0" w:color="000000"/>
              <w:left w:val="single" w:sz="4" w:space="0" w:color="000000"/>
              <w:right w:val="single" w:sz="4" w:space="0" w:color="000000"/>
            </w:tcBorders>
          </w:tcPr>
          <w:p>
            <w:pP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19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胡奕</w:t>
            </w:r>
          </w:p>
        </w:tc>
        <w:tc>
          <w:tcPr>
            <w:tcW w:w="29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中南大学资产经营有限公司</w:t>
            </w:r>
          </w:p>
        </w:tc>
        <w:tc>
          <w:tcPr>
            <w:tcW w:w="134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vMerge/>
            <w:tcBorders>
              <w:left w:val="single" w:sz="9" w:space="0" w:color="C6ECCC"/>
              <w:right w:val="single" w:sz="4" w:space="0" w:color="000000"/>
            </w:tcBorders>
          </w:tcPr>
          <w:p>
            <w:pPr/>
          </w:p>
        </w:tc>
        <w:tc>
          <w:tcPr>
            <w:tcW w:w="1430"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C6ECCC"/>
          </w:tcPr>
          <w:p>
            <w:pPr/>
          </w:p>
        </w:tc>
        <w:tc>
          <w:tcPr>
            <w:tcW w:w="2910" w:type="dxa"/>
            <w:tcBorders>
              <w:top w:val="nil" w:sz="6" w:space="0" w:color="auto"/>
              <w:left w:val="single" w:sz="4" w:space="0" w:color="000000"/>
              <w:bottom w:val="single" w:sz="4" w:space="0" w:color="000000"/>
              <w:right w:val="single" w:sz="4" w:space="0" w:color="000000"/>
            </w:tcBorders>
            <w:shd w:val="clear" w:color="auto" w:fill="C6ECCC"/>
          </w:tcPr>
          <w:p>
            <w:pPr/>
          </w:p>
        </w:tc>
        <w:tc>
          <w:tcPr>
            <w:tcW w:w="1343" w:type="dxa"/>
            <w:tcBorders>
              <w:top w:val="nil" w:sz="6" w:space="0" w:color="auto"/>
              <w:left w:val="single" w:sz="4" w:space="0" w:color="000000"/>
              <w:bottom w:val="single" w:sz="4" w:space="0" w:color="000000"/>
              <w:right w:val="single" w:sz="4" w:space="0" w:color="000000"/>
            </w:tcBorders>
            <w:shd w:val="clear" w:color="auto" w:fill="C6ECCC"/>
          </w:tcPr>
          <w:p>
            <w:pPr/>
          </w:p>
        </w:tc>
        <w:tc>
          <w:tcPr>
            <w:tcW w:w="1196" w:type="dxa"/>
            <w:vMerge/>
            <w:tcBorders>
              <w:left w:val="single" w:sz="9" w:space="0" w:color="C6ECCC"/>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C6ECCC"/>
          </w:tcPr>
          <w:p>
            <w:pPr/>
          </w:p>
        </w:tc>
        <w:tc>
          <w:tcPr>
            <w:tcW w:w="2910" w:type="dxa"/>
            <w:tcBorders>
              <w:top w:val="single" w:sz="4" w:space="0" w:color="000000"/>
              <w:left w:val="single" w:sz="4" w:space="0" w:color="000000"/>
              <w:bottom w:val="nil" w:sz="6" w:space="0" w:color="auto"/>
              <w:right w:val="single" w:sz="4" w:space="0" w:color="000000"/>
            </w:tcBorders>
            <w:shd w:val="clear" w:color="auto" w:fill="C6ECCC"/>
          </w:tcPr>
          <w:p>
            <w:pPr/>
          </w:p>
        </w:tc>
        <w:tc>
          <w:tcPr>
            <w:tcW w:w="1343" w:type="dxa"/>
            <w:tcBorders>
              <w:top w:val="single" w:sz="4" w:space="0" w:color="000000"/>
              <w:left w:val="single" w:sz="4" w:space="0" w:color="000000"/>
              <w:bottom w:val="nil" w:sz="6" w:space="0" w:color="auto"/>
              <w:right w:val="single" w:sz="4" w:space="0" w:color="000000"/>
            </w:tcBorders>
            <w:shd w:val="clear" w:color="auto" w:fill="C6ECCC"/>
          </w:tcPr>
          <w:p>
            <w:pPr/>
          </w:p>
        </w:tc>
        <w:tc>
          <w:tcPr>
            <w:tcW w:w="1196" w:type="dxa"/>
            <w:vMerge w:val="restart"/>
            <w:tcBorders>
              <w:top w:val="single" w:sz="4" w:space="0" w:color="000000"/>
              <w:left w:val="single" w:sz="9" w:space="0" w:color="C6ECCC"/>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3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19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胡奕</w:t>
            </w:r>
          </w:p>
        </w:tc>
        <w:tc>
          <w:tcPr>
            <w:tcW w:w="2910"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中南大学资产经营有限公司</w:t>
            </w:r>
          </w:p>
        </w:tc>
        <w:tc>
          <w:tcPr>
            <w:tcW w:w="1343"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vMerge/>
            <w:tcBorders>
              <w:left w:val="single" w:sz="9" w:space="0" w:color="C6ECCC"/>
              <w:right w:val="single" w:sz="4" w:space="0" w:color="000000"/>
            </w:tcBorders>
          </w:tcPr>
          <w:p>
            <w:pPr/>
          </w:p>
        </w:tc>
        <w:tc>
          <w:tcPr>
            <w:tcW w:w="1430" w:type="dxa"/>
            <w:vMerge/>
            <w:tcBorders>
              <w:left w:val="single" w:sz="4" w:space="0" w:color="000000"/>
              <w:right w:val="single" w:sz="4" w:space="0" w:color="000000"/>
            </w:tcBorders>
          </w:tcPr>
          <w:p>
            <w:pPr/>
          </w:p>
        </w:tc>
        <w:tc>
          <w:tcPr>
            <w:tcW w:w="1488"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C6ECCC"/>
          </w:tcPr>
          <w:p>
            <w:pPr/>
          </w:p>
        </w:tc>
        <w:tc>
          <w:tcPr>
            <w:tcW w:w="2910" w:type="dxa"/>
            <w:tcBorders>
              <w:top w:val="nil" w:sz="6" w:space="0" w:color="auto"/>
              <w:left w:val="single" w:sz="4" w:space="0" w:color="000000"/>
              <w:bottom w:val="single" w:sz="4" w:space="0" w:color="000000"/>
              <w:right w:val="single" w:sz="4" w:space="0" w:color="000000"/>
            </w:tcBorders>
            <w:shd w:val="clear" w:color="auto" w:fill="C6ECCC"/>
          </w:tcPr>
          <w:p>
            <w:pPr/>
          </w:p>
        </w:tc>
        <w:tc>
          <w:tcPr>
            <w:tcW w:w="1343" w:type="dxa"/>
            <w:tcBorders>
              <w:top w:val="nil" w:sz="6" w:space="0" w:color="auto"/>
              <w:left w:val="single" w:sz="4" w:space="0" w:color="000000"/>
              <w:bottom w:val="single" w:sz="4" w:space="0" w:color="000000"/>
              <w:right w:val="single" w:sz="4" w:space="0" w:color="000000"/>
            </w:tcBorders>
            <w:shd w:val="clear" w:color="auto" w:fill="C6ECCC"/>
          </w:tcPr>
          <w:p>
            <w:pPr/>
          </w:p>
        </w:tc>
        <w:tc>
          <w:tcPr>
            <w:tcW w:w="1196" w:type="dxa"/>
            <w:vMerge/>
            <w:tcBorders>
              <w:left w:val="single" w:sz="9" w:space="0" w:color="C6ECCC"/>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r>
      <w:tr>
        <w:trPr>
          <w:trHeight w:val="161" w:hRule="exact"/>
        </w:trPr>
        <w:tc>
          <w:tcPr>
            <w:tcW w:w="1190" w:type="dxa"/>
            <w:vMerge w:val="restart"/>
            <w:tcBorders>
              <w:top w:val="single" w:sz="4" w:space="0" w:color="000000"/>
              <w:left w:val="single" w:sz="4" w:space="0" w:color="000000"/>
              <w:right w:val="single" w:sz="9" w:space="0" w:color="C6ECCC"/>
            </w:tcBorders>
            <w:shd w:val="clear" w:color="auto" w:fill="D2D2D2"/>
          </w:tcPr>
          <w:p>
            <w:pPr>
              <w:pStyle w:val="TableParagraph"/>
              <w:spacing w:line="316" w:lineRule="auto" w:before="51"/>
              <w:ind w:left="11" w:right="80"/>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7" w:type="dxa"/>
            <w:gridSpan w:val="5"/>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2" w:hRule="exact"/>
        </w:trPr>
        <w:tc>
          <w:tcPr>
            <w:tcW w:w="1190" w:type="dxa"/>
            <w:vMerge/>
            <w:tcBorders>
              <w:left w:val="single" w:sz="4" w:space="0" w:color="000000"/>
              <w:right w:val="single" w:sz="9" w:space="0" w:color="C6ECCC"/>
            </w:tcBorders>
            <w:shd w:val="clear" w:color="auto" w:fill="D2D2D2"/>
          </w:tcPr>
          <w:p>
            <w:pPr/>
          </w:p>
        </w:tc>
        <w:tc>
          <w:tcPr>
            <w:tcW w:w="8367" w:type="dxa"/>
            <w:gridSpan w:val="5"/>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190" w:type="dxa"/>
            <w:vMerge/>
            <w:tcBorders>
              <w:left w:val="single" w:sz="4" w:space="0" w:color="000000"/>
              <w:bottom w:val="single" w:sz="4" w:space="0" w:color="000000"/>
              <w:right w:val="single" w:sz="9" w:space="0" w:color="C6ECCC"/>
            </w:tcBorders>
            <w:shd w:val="clear" w:color="auto" w:fill="D2D2D2"/>
          </w:tcPr>
          <w:p>
            <w:pPr/>
          </w:p>
        </w:tc>
        <w:tc>
          <w:tcPr>
            <w:tcW w:w="8367" w:type="dxa"/>
            <w:gridSpan w:val="5"/>
            <w:tcBorders>
              <w:top w:val="nil" w:sz="6" w:space="0" w:color="auto"/>
              <w:left w:val="single" w:sz="4" w:space="0" w:color="000000"/>
              <w:bottom w:val="single" w:sz="4" w:space="0" w:color="000000"/>
              <w:right w:val="single" w:sz="4" w:space="0" w:color="000000"/>
            </w:tcBorders>
            <w:shd w:val="clear" w:color="auto" w:fill="C6ECCC"/>
          </w:tcPr>
          <w:p>
            <w:pPr/>
          </w:p>
        </w:tc>
      </w:tr>
    </w:tbl>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r>
        <w:rPr/>
        <w:t>在其他单位任职情况</w:t>
      </w:r>
      <w:r>
        <w:rPr>
          <w:b w:val="0"/>
          <w:bCs w:val="0"/>
        </w:rPr>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51"/>
        <w:gridCol w:w="2836"/>
        <w:gridCol w:w="1559"/>
        <w:gridCol w:w="1700"/>
        <w:gridCol w:w="1560"/>
        <w:gridCol w:w="1062"/>
      </w:tblGrid>
      <w:tr>
        <w:trPr>
          <w:trHeight w:val="1026"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7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94" w:right="53"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费耀平</w:t>
            </w:r>
          </w:p>
        </w:tc>
        <w:tc>
          <w:tcPr>
            <w:tcW w:w="28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科创鑫源</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费耀平</w:t>
            </w:r>
          </w:p>
        </w:tc>
        <w:tc>
          <w:tcPr>
            <w:tcW w:w="28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永兴科创</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费耀平</w:t>
            </w:r>
          </w:p>
        </w:tc>
        <w:tc>
          <w:tcPr>
            <w:tcW w:w="28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科创集成</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罗昔军</w:t>
            </w:r>
          </w:p>
        </w:tc>
        <w:tc>
          <w:tcPr>
            <w:tcW w:w="28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科创集成</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  奕</w:t>
            </w:r>
          </w:p>
        </w:tc>
        <w:tc>
          <w:tcPr>
            <w:tcW w:w="28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湖南南方博云新材料股份有限公司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李新首</w:t>
            </w:r>
          </w:p>
        </w:tc>
        <w:tc>
          <w:tcPr>
            <w:tcW w:w="28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中审世纪工程造价咨询（北京）有 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湖南分公司负责人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李新首</w:t>
            </w:r>
          </w:p>
        </w:tc>
        <w:tc>
          <w:tcPr>
            <w:tcW w:w="28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湖南广信科技股份有限公司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李新首</w:t>
            </w:r>
          </w:p>
        </w:tc>
        <w:tc>
          <w:tcPr>
            <w:tcW w:w="28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湖南智瑞投资管理咨询有限公司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李新首</w:t>
            </w:r>
          </w:p>
        </w:tc>
        <w:tc>
          <w:tcPr>
            <w:tcW w:w="28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湖南智瑞项目管理有限公司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李新首</w:t>
            </w:r>
          </w:p>
        </w:tc>
        <w:tc>
          <w:tcPr>
            <w:tcW w:w="28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湖南利安达招标咨询有限公司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李新首</w:t>
            </w:r>
          </w:p>
        </w:tc>
        <w:tc>
          <w:tcPr>
            <w:tcW w:w="28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中审众环会计师事务所（特殊普通 合伙）</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湖南分所所长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李新首</w:t>
            </w:r>
          </w:p>
        </w:tc>
        <w:tc>
          <w:tcPr>
            <w:tcW w:w="28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湖南五新隧道智能装备股份有限公 司</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李新首</w:t>
            </w:r>
          </w:p>
        </w:tc>
        <w:tc>
          <w:tcPr>
            <w:tcW w:w="28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中惠旅智慧景区管理股份有限公司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刘定华</w:t>
            </w:r>
          </w:p>
        </w:tc>
        <w:tc>
          <w:tcPr>
            <w:tcW w:w="28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湖南大学法学院</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刘定华</w:t>
            </w:r>
          </w:p>
        </w:tc>
        <w:tc>
          <w:tcPr>
            <w:tcW w:w="28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湖南省法学教育研究会</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刘定华</w:t>
            </w:r>
          </w:p>
        </w:tc>
        <w:tc>
          <w:tcPr>
            <w:tcW w:w="28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盐津铺子食品股份有限公司</w:t>
            </w:r>
          </w:p>
        </w:tc>
        <w:tc>
          <w:tcPr>
            <w:tcW w:w="15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851"/>
        <w:gridCol w:w="2824"/>
        <w:gridCol w:w="1548"/>
        <w:gridCol w:w="1712"/>
        <w:gridCol w:w="1560"/>
        <w:gridCol w:w="1062"/>
      </w:tblGrid>
      <w:tr>
        <w:trPr>
          <w:trHeight w:val="161" w:hRule="exact"/>
        </w:trPr>
        <w:tc>
          <w:tcPr>
            <w:tcW w:w="851" w:type="dxa"/>
            <w:tcBorders>
              <w:top w:val="single" w:sz="4" w:space="0" w:color="000000"/>
              <w:left w:val="single" w:sz="4" w:space="0" w:color="000000"/>
              <w:bottom w:val="nil" w:sz="6" w:space="0" w:color="auto"/>
              <w:right w:val="single" w:sz="4" w:space="0" w:color="000000"/>
            </w:tcBorders>
            <w:shd w:val="clear" w:color="auto" w:fill="C6ECCC"/>
          </w:tcPr>
          <w:p>
            <w:pPr/>
          </w:p>
        </w:tc>
        <w:tc>
          <w:tcPr>
            <w:tcW w:w="2824" w:type="dxa"/>
            <w:vMerge w:val="restart"/>
            <w:tcBorders>
              <w:top w:val="single" w:sz="4" w:space="0" w:color="000000"/>
              <w:left w:val="single" w:sz="4" w:space="0" w:color="000000"/>
              <w:right w:val="single" w:sz="4" w:space="0" w:color="000000"/>
            </w:tcBorders>
            <w:shd w:val="clear" w:color="auto" w:fill="C6ECCC"/>
          </w:tcPr>
          <w:p>
            <w:pPr>
              <w:pStyle w:val="TableParagraph"/>
              <w:spacing w:line="319" w:lineRule="auto" w:before="51"/>
              <w:ind w:left="11" w:right="100"/>
              <w:jc w:val="left"/>
              <w:rPr>
                <w:rFonts w:ascii="宋体" w:hAnsi="宋体" w:cs="宋体" w:eastAsia="宋体" w:hint="default"/>
                <w:sz w:val="18"/>
                <w:szCs w:val="18"/>
              </w:rPr>
            </w:pPr>
            <w:r>
              <w:rPr>
                <w:rFonts w:ascii="宋体" w:hAnsi="宋体" w:cs="宋体" w:eastAsia="宋体" w:hint="default"/>
                <w:sz w:val="18"/>
                <w:szCs w:val="18"/>
              </w:rPr>
              <w:t>深圳市豪恩汽车电子装备股份有限 公司</w:t>
            </w:r>
          </w:p>
        </w:tc>
        <w:tc>
          <w:tcPr>
            <w:tcW w:w="1548" w:type="dxa"/>
            <w:tcBorders>
              <w:top w:val="single" w:sz="4" w:space="0" w:color="000000"/>
              <w:left w:val="single" w:sz="4" w:space="0" w:color="000000"/>
              <w:bottom w:val="nil" w:sz="6" w:space="0" w:color="auto"/>
              <w:right w:val="single" w:sz="4" w:space="0" w:color="000000"/>
            </w:tcBorders>
            <w:shd w:val="clear" w:color="auto" w:fill="C6ECCC"/>
          </w:tcPr>
          <w:p>
            <w:pPr/>
          </w:p>
        </w:tc>
        <w:tc>
          <w:tcPr>
            <w:tcW w:w="1712" w:type="dxa"/>
            <w:vMerge w:val="restart"/>
            <w:tcBorders>
              <w:top w:val="single" w:sz="4" w:space="0" w:color="000000"/>
              <w:left w:val="single" w:sz="10" w:space="0" w:color="C6ECCC"/>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85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刘定华</w:t>
            </w:r>
          </w:p>
        </w:tc>
        <w:tc>
          <w:tcPr>
            <w:tcW w:w="2824" w:type="dxa"/>
            <w:vMerge/>
            <w:tcBorders>
              <w:left w:val="single" w:sz="4" w:space="0" w:color="000000"/>
              <w:right w:val="single" w:sz="4" w:space="0" w:color="000000"/>
            </w:tcBorders>
            <w:shd w:val="clear" w:color="auto" w:fill="C6ECCC"/>
          </w:tcPr>
          <w:p>
            <w:pPr/>
          </w:p>
        </w:tc>
        <w:tc>
          <w:tcPr>
            <w:tcW w:w="15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12" w:type="dxa"/>
            <w:vMerge/>
            <w:tcBorders>
              <w:left w:val="single" w:sz="10" w:space="0" w:color="C6ECCC"/>
              <w:right w:val="single" w:sz="4" w:space="0" w:color="000000"/>
            </w:tcBorders>
          </w:tcPr>
          <w:p>
            <w:pPr/>
          </w:p>
        </w:tc>
        <w:tc>
          <w:tcPr>
            <w:tcW w:w="1560"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161" w:hRule="exact"/>
        </w:trPr>
        <w:tc>
          <w:tcPr>
            <w:tcW w:w="851" w:type="dxa"/>
            <w:tcBorders>
              <w:top w:val="nil" w:sz="6" w:space="0" w:color="auto"/>
              <w:left w:val="single" w:sz="4" w:space="0" w:color="000000"/>
              <w:bottom w:val="single" w:sz="4" w:space="0" w:color="000000"/>
              <w:right w:val="single" w:sz="4" w:space="0" w:color="000000"/>
            </w:tcBorders>
            <w:shd w:val="clear" w:color="auto" w:fill="C6ECCC"/>
          </w:tcPr>
          <w:p>
            <w:pPr/>
          </w:p>
        </w:tc>
        <w:tc>
          <w:tcPr>
            <w:tcW w:w="2824" w:type="dxa"/>
            <w:vMerge/>
            <w:tcBorders>
              <w:left w:val="single" w:sz="4" w:space="0" w:color="000000"/>
              <w:bottom w:val="single" w:sz="4" w:space="0" w:color="000000"/>
              <w:right w:val="single" w:sz="4" w:space="0" w:color="000000"/>
            </w:tcBorders>
            <w:shd w:val="clear" w:color="auto" w:fill="C6ECCC"/>
          </w:tcPr>
          <w:p>
            <w:pPr/>
          </w:p>
        </w:tc>
        <w:tc>
          <w:tcPr>
            <w:tcW w:w="1548" w:type="dxa"/>
            <w:tcBorders>
              <w:top w:val="nil" w:sz="6" w:space="0" w:color="auto"/>
              <w:left w:val="single" w:sz="4" w:space="0" w:color="000000"/>
              <w:bottom w:val="single" w:sz="4" w:space="0" w:color="000000"/>
              <w:right w:val="single" w:sz="4" w:space="0" w:color="000000"/>
            </w:tcBorders>
            <w:shd w:val="clear" w:color="auto" w:fill="C6ECCC"/>
          </w:tcPr>
          <w:p>
            <w:pPr/>
          </w:p>
        </w:tc>
        <w:tc>
          <w:tcPr>
            <w:tcW w:w="1712" w:type="dxa"/>
            <w:vMerge/>
            <w:tcBorders>
              <w:left w:val="single" w:sz="10" w:space="0" w:color="C6ECCC"/>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饶卫雄</w:t>
            </w:r>
          </w:p>
        </w:tc>
        <w:tc>
          <w:tcPr>
            <w:tcW w:w="28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同济大学</w:t>
            </w:r>
          </w:p>
        </w:tc>
        <w:tc>
          <w:tcPr>
            <w:tcW w:w="15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教授、博士生导师</w:t>
            </w:r>
          </w:p>
        </w:tc>
        <w:tc>
          <w:tcPr>
            <w:tcW w:w="1712"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陈佶骏</w:t>
            </w:r>
          </w:p>
        </w:tc>
        <w:tc>
          <w:tcPr>
            <w:tcW w:w="28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长沙金盛典当有限责任公司</w:t>
            </w:r>
          </w:p>
        </w:tc>
        <w:tc>
          <w:tcPr>
            <w:tcW w:w="15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业务副总经理</w:t>
            </w:r>
          </w:p>
        </w:tc>
        <w:tc>
          <w:tcPr>
            <w:tcW w:w="1712"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戴志扬</w:t>
            </w:r>
          </w:p>
        </w:tc>
        <w:tc>
          <w:tcPr>
            <w:tcW w:w="28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深圳前海希卓威尔科技有限公司</w:t>
            </w:r>
          </w:p>
        </w:tc>
        <w:tc>
          <w:tcPr>
            <w:tcW w:w="15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12"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戴志扬</w:t>
            </w:r>
          </w:p>
        </w:tc>
        <w:tc>
          <w:tcPr>
            <w:tcW w:w="28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厦门尚宇环保股份有限公司</w:t>
            </w:r>
          </w:p>
        </w:tc>
        <w:tc>
          <w:tcPr>
            <w:tcW w:w="15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12"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851" w:type="dxa"/>
            <w:tcBorders>
              <w:top w:val="single" w:sz="4" w:space="0" w:color="000000"/>
              <w:left w:val="single" w:sz="4" w:space="0" w:color="000000"/>
              <w:bottom w:val="nil" w:sz="6" w:space="0" w:color="auto"/>
              <w:right w:val="single" w:sz="4" w:space="0" w:color="000000"/>
            </w:tcBorders>
            <w:shd w:val="clear" w:color="auto" w:fill="C6ECCC"/>
          </w:tcPr>
          <w:p>
            <w:pPr/>
          </w:p>
        </w:tc>
        <w:tc>
          <w:tcPr>
            <w:tcW w:w="2824" w:type="dxa"/>
            <w:vMerge w:val="restart"/>
            <w:tcBorders>
              <w:top w:val="single" w:sz="4" w:space="0" w:color="000000"/>
              <w:left w:val="single" w:sz="4" w:space="0" w:color="000000"/>
              <w:right w:val="single" w:sz="4" w:space="0" w:color="000000"/>
            </w:tcBorders>
            <w:shd w:val="clear" w:color="auto" w:fill="C6ECCC"/>
          </w:tcPr>
          <w:p>
            <w:pPr>
              <w:pStyle w:val="TableParagraph"/>
              <w:spacing w:line="319" w:lineRule="auto" w:before="51"/>
              <w:ind w:left="11" w:right="100"/>
              <w:jc w:val="left"/>
              <w:rPr>
                <w:rFonts w:ascii="宋体" w:hAnsi="宋体" w:cs="宋体" w:eastAsia="宋体" w:hint="default"/>
                <w:sz w:val="18"/>
                <w:szCs w:val="18"/>
              </w:rPr>
            </w:pPr>
            <w:r>
              <w:rPr>
                <w:rFonts w:ascii="宋体" w:hAnsi="宋体" w:cs="宋体" w:eastAsia="宋体" w:hint="default"/>
                <w:sz w:val="18"/>
                <w:szCs w:val="18"/>
              </w:rPr>
              <w:t>厦门德宏富厚股权投资管理有限公 司</w:t>
            </w:r>
          </w:p>
        </w:tc>
        <w:tc>
          <w:tcPr>
            <w:tcW w:w="1548" w:type="dxa"/>
            <w:tcBorders>
              <w:top w:val="single" w:sz="4" w:space="0" w:color="000000"/>
              <w:left w:val="single" w:sz="4" w:space="0" w:color="000000"/>
              <w:bottom w:val="nil" w:sz="6" w:space="0" w:color="auto"/>
              <w:right w:val="single" w:sz="4" w:space="0" w:color="000000"/>
            </w:tcBorders>
            <w:shd w:val="clear" w:color="auto" w:fill="C6ECCC"/>
          </w:tcPr>
          <w:p>
            <w:pPr/>
          </w:p>
        </w:tc>
        <w:tc>
          <w:tcPr>
            <w:tcW w:w="1712" w:type="dxa"/>
            <w:vMerge w:val="restart"/>
            <w:tcBorders>
              <w:top w:val="single" w:sz="4" w:space="0" w:color="000000"/>
              <w:left w:val="single" w:sz="10" w:space="0" w:color="C6ECCC"/>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85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戴志扬</w:t>
            </w:r>
          </w:p>
        </w:tc>
        <w:tc>
          <w:tcPr>
            <w:tcW w:w="2824" w:type="dxa"/>
            <w:vMerge/>
            <w:tcBorders>
              <w:left w:val="single" w:sz="4" w:space="0" w:color="000000"/>
              <w:right w:val="single" w:sz="4" w:space="0" w:color="000000"/>
            </w:tcBorders>
            <w:shd w:val="clear" w:color="auto" w:fill="C6ECCC"/>
          </w:tcPr>
          <w:p>
            <w:pPr/>
          </w:p>
        </w:tc>
        <w:tc>
          <w:tcPr>
            <w:tcW w:w="15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712" w:type="dxa"/>
            <w:vMerge/>
            <w:tcBorders>
              <w:left w:val="single" w:sz="10" w:space="0" w:color="C6ECCC"/>
              <w:right w:val="single" w:sz="4" w:space="0" w:color="000000"/>
            </w:tcBorders>
          </w:tcPr>
          <w:p>
            <w:pPr/>
          </w:p>
        </w:tc>
        <w:tc>
          <w:tcPr>
            <w:tcW w:w="1560"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161" w:hRule="exact"/>
        </w:trPr>
        <w:tc>
          <w:tcPr>
            <w:tcW w:w="851" w:type="dxa"/>
            <w:tcBorders>
              <w:top w:val="nil" w:sz="6" w:space="0" w:color="auto"/>
              <w:left w:val="single" w:sz="4" w:space="0" w:color="000000"/>
              <w:bottom w:val="single" w:sz="4" w:space="0" w:color="000000"/>
              <w:right w:val="single" w:sz="4" w:space="0" w:color="000000"/>
            </w:tcBorders>
            <w:shd w:val="clear" w:color="auto" w:fill="C6ECCC"/>
          </w:tcPr>
          <w:p>
            <w:pPr/>
          </w:p>
        </w:tc>
        <w:tc>
          <w:tcPr>
            <w:tcW w:w="2824" w:type="dxa"/>
            <w:vMerge/>
            <w:tcBorders>
              <w:left w:val="single" w:sz="4" w:space="0" w:color="000000"/>
              <w:bottom w:val="single" w:sz="4" w:space="0" w:color="000000"/>
              <w:right w:val="single" w:sz="4" w:space="0" w:color="000000"/>
            </w:tcBorders>
            <w:shd w:val="clear" w:color="auto" w:fill="C6ECCC"/>
          </w:tcPr>
          <w:p>
            <w:pPr/>
          </w:p>
        </w:tc>
        <w:tc>
          <w:tcPr>
            <w:tcW w:w="1548" w:type="dxa"/>
            <w:tcBorders>
              <w:top w:val="nil" w:sz="6" w:space="0" w:color="auto"/>
              <w:left w:val="single" w:sz="4" w:space="0" w:color="000000"/>
              <w:bottom w:val="single" w:sz="4" w:space="0" w:color="000000"/>
              <w:right w:val="single" w:sz="4" w:space="0" w:color="000000"/>
            </w:tcBorders>
            <w:shd w:val="clear" w:color="auto" w:fill="C6ECCC"/>
          </w:tcPr>
          <w:p>
            <w:pPr/>
          </w:p>
        </w:tc>
        <w:tc>
          <w:tcPr>
            <w:tcW w:w="1712" w:type="dxa"/>
            <w:vMerge/>
            <w:tcBorders>
              <w:left w:val="single" w:sz="10" w:space="0" w:color="C6ECCC"/>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161" w:hRule="exact"/>
        </w:trPr>
        <w:tc>
          <w:tcPr>
            <w:tcW w:w="851" w:type="dxa"/>
            <w:tcBorders>
              <w:top w:val="single" w:sz="4" w:space="0" w:color="000000"/>
              <w:left w:val="single" w:sz="4" w:space="0" w:color="000000"/>
              <w:bottom w:val="nil" w:sz="6" w:space="0" w:color="auto"/>
              <w:right w:val="single" w:sz="4" w:space="0" w:color="000000"/>
            </w:tcBorders>
            <w:shd w:val="clear" w:color="auto" w:fill="C6ECCC"/>
          </w:tcPr>
          <w:p>
            <w:pPr/>
          </w:p>
        </w:tc>
        <w:tc>
          <w:tcPr>
            <w:tcW w:w="2824" w:type="dxa"/>
            <w:vMerge w:val="restart"/>
            <w:tcBorders>
              <w:top w:val="single" w:sz="4" w:space="0" w:color="000000"/>
              <w:left w:val="single" w:sz="4" w:space="0" w:color="000000"/>
              <w:right w:val="single" w:sz="4" w:space="0" w:color="000000"/>
            </w:tcBorders>
            <w:shd w:val="clear" w:color="auto" w:fill="C6ECCC"/>
          </w:tcPr>
          <w:p>
            <w:pPr>
              <w:pStyle w:val="TableParagraph"/>
              <w:spacing w:line="319" w:lineRule="auto" w:before="51"/>
              <w:ind w:left="11" w:right="100"/>
              <w:jc w:val="left"/>
              <w:rPr>
                <w:rFonts w:ascii="宋体" w:hAnsi="宋体" w:cs="宋体" w:eastAsia="宋体" w:hint="default"/>
                <w:sz w:val="18"/>
                <w:szCs w:val="18"/>
              </w:rPr>
            </w:pPr>
            <w:r>
              <w:rPr>
                <w:rFonts w:ascii="宋体" w:hAnsi="宋体" w:cs="宋体" w:eastAsia="宋体" w:hint="default"/>
                <w:sz w:val="18"/>
                <w:szCs w:val="18"/>
              </w:rPr>
              <w:t>厦门东方汇富股权投资管理合伙企 业（有限合伙）</w:t>
            </w:r>
          </w:p>
        </w:tc>
        <w:tc>
          <w:tcPr>
            <w:tcW w:w="1548" w:type="dxa"/>
            <w:tcBorders>
              <w:top w:val="single" w:sz="4" w:space="0" w:color="000000"/>
              <w:left w:val="single" w:sz="4" w:space="0" w:color="000000"/>
              <w:bottom w:val="nil" w:sz="6" w:space="0" w:color="auto"/>
              <w:right w:val="single" w:sz="4" w:space="0" w:color="000000"/>
            </w:tcBorders>
            <w:shd w:val="clear" w:color="auto" w:fill="C6ECCC"/>
          </w:tcPr>
          <w:p>
            <w:pPr/>
          </w:p>
        </w:tc>
        <w:tc>
          <w:tcPr>
            <w:tcW w:w="1712" w:type="dxa"/>
            <w:vMerge w:val="restart"/>
            <w:tcBorders>
              <w:top w:val="single" w:sz="4" w:space="0" w:color="000000"/>
              <w:left w:val="single" w:sz="10" w:space="0" w:color="C6ECCC"/>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85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戴志扬</w:t>
            </w:r>
          </w:p>
        </w:tc>
        <w:tc>
          <w:tcPr>
            <w:tcW w:w="2824" w:type="dxa"/>
            <w:vMerge/>
            <w:tcBorders>
              <w:left w:val="single" w:sz="4" w:space="0" w:color="000000"/>
              <w:right w:val="single" w:sz="4" w:space="0" w:color="000000"/>
            </w:tcBorders>
            <w:shd w:val="clear" w:color="auto" w:fill="C6ECCC"/>
          </w:tcPr>
          <w:p>
            <w:pPr/>
          </w:p>
        </w:tc>
        <w:tc>
          <w:tcPr>
            <w:tcW w:w="15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12" w:type="dxa"/>
            <w:vMerge/>
            <w:tcBorders>
              <w:left w:val="single" w:sz="10" w:space="0" w:color="C6ECCC"/>
              <w:right w:val="single" w:sz="4" w:space="0" w:color="000000"/>
            </w:tcBorders>
          </w:tcPr>
          <w:p>
            <w:pPr/>
          </w:p>
        </w:tc>
        <w:tc>
          <w:tcPr>
            <w:tcW w:w="1560"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161" w:hRule="exact"/>
        </w:trPr>
        <w:tc>
          <w:tcPr>
            <w:tcW w:w="851" w:type="dxa"/>
            <w:tcBorders>
              <w:top w:val="nil" w:sz="6" w:space="0" w:color="auto"/>
              <w:left w:val="single" w:sz="4" w:space="0" w:color="000000"/>
              <w:bottom w:val="single" w:sz="4" w:space="0" w:color="000000"/>
              <w:right w:val="single" w:sz="4" w:space="0" w:color="000000"/>
            </w:tcBorders>
            <w:shd w:val="clear" w:color="auto" w:fill="C6ECCC"/>
          </w:tcPr>
          <w:p>
            <w:pPr/>
          </w:p>
        </w:tc>
        <w:tc>
          <w:tcPr>
            <w:tcW w:w="2824" w:type="dxa"/>
            <w:vMerge/>
            <w:tcBorders>
              <w:left w:val="single" w:sz="4" w:space="0" w:color="000000"/>
              <w:bottom w:val="single" w:sz="4" w:space="0" w:color="000000"/>
              <w:right w:val="single" w:sz="4" w:space="0" w:color="000000"/>
            </w:tcBorders>
            <w:shd w:val="clear" w:color="auto" w:fill="C6ECCC"/>
          </w:tcPr>
          <w:p>
            <w:pPr/>
          </w:p>
        </w:tc>
        <w:tc>
          <w:tcPr>
            <w:tcW w:w="1548" w:type="dxa"/>
            <w:tcBorders>
              <w:top w:val="nil" w:sz="6" w:space="0" w:color="auto"/>
              <w:left w:val="single" w:sz="4" w:space="0" w:color="000000"/>
              <w:bottom w:val="single" w:sz="4" w:space="0" w:color="000000"/>
              <w:right w:val="single" w:sz="4" w:space="0" w:color="000000"/>
            </w:tcBorders>
            <w:shd w:val="clear" w:color="auto" w:fill="C6ECCC"/>
          </w:tcPr>
          <w:p>
            <w:pPr/>
          </w:p>
        </w:tc>
        <w:tc>
          <w:tcPr>
            <w:tcW w:w="1712" w:type="dxa"/>
            <w:vMerge/>
            <w:tcBorders>
              <w:left w:val="single" w:sz="10" w:space="0" w:color="C6ECCC"/>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161" w:hRule="exact"/>
        </w:trPr>
        <w:tc>
          <w:tcPr>
            <w:tcW w:w="851" w:type="dxa"/>
            <w:tcBorders>
              <w:top w:val="single" w:sz="4" w:space="0" w:color="000000"/>
              <w:left w:val="single" w:sz="4" w:space="0" w:color="000000"/>
              <w:bottom w:val="nil" w:sz="6" w:space="0" w:color="auto"/>
              <w:right w:val="single" w:sz="4" w:space="0" w:color="000000"/>
            </w:tcBorders>
            <w:shd w:val="clear" w:color="auto" w:fill="C6ECCC"/>
          </w:tcPr>
          <w:p>
            <w:pPr/>
          </w:p>
        </w:tc>
        <w:tc>
          <w:tcPr>
            <w:tcW w:w="282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厦门东方汇富股权投资合伙企业</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48" w:type="dxa"/>
            <w:tcBorders>
              <w:top w:val="single" w:sz="4" w:space="0" w:color="000000"/>
              <w:left w:val="single" w:sz="4" w:space="0" w:color="000000"/>
              <w:bottom w:val="nil" w:sz="6" w:space="0" w:color="auto"/>
              <w:right w:val="single" w:sz="4" w:space="0" w:color="000000"/>
            </w:tcBorders>
            <w:shd w:val="clear" w:color="auto" w:fill="C6ECCC"/>
          </w:tcPr>
          <w:p>
            <w:pPr/>
          </w:p>
        </w:tc>
        <w:tc>
          <w:tcPr>
            <w:tcW w:w="1712" w:type="dxa"/>
            <w:vMerge w:val="restart"/>
            <w:tcBorders>
              <w:top w:val="single" w:sz="4" w:space="0" w:color="000000"/>
              <w:left w:val="single" w:sz="10" w:space="0" w:color="C6ECCC"/>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85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戴志扬</w:t>
            </w:r>
          </w:p>
        </w:tc>
        <w:tc>
          <w:tcPr>
            <w:tcW w:w="2824" w:type="dxa"/>
            <w:vMerge/>
            <w:tcBorders>
              <w:left w:val="single" w:sz="4" w:space="0" w:color="000000"/>
              <w:right w:val="single" w:sz="4" w:space="0" w:color="000000"/>
            </w:tcBorders>
            <w:shd w:val="clear" w:color="auto" w:fill="C6ECCC"/>
          </w:tcPr>
          <w:p>
            <w:pPr/>
          </w:p>
        </w:tc>
        <w:tc>
          <w:tcPr>
            <w:tcW w:w="15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712" w:type="dxa"/>
            <w:vMerge/>
            <w:tcBorders>
              <w:left w:val="single" w:sz="10" w:space="0" w:color="C6ECCC"/>
              <w:right w:val="single" w:sz="4" w:space="0" w:color="000000"/>
            </w:tcBorders>
          </w:tcPr>
          <w:p>
            <w:pPr/>
          </w:p>
        </w:tc>
        <w:tc>
          <w:tcPr>
            <w:tcW w:w="1560"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r>
      <w:tr>
        <w:trPr>
          <w:trHeight w:val="166" w:hRule="exact"/>
        </w:trPr>
        <w:tc>
          <w:tcPr>
            <w:tcW w:w="851" w:type="dxa"/>
            <w:tcBorders>
              <w:top w:val="nil" w:sz="6" w:space="0" w:color="auto"/>
              <w:left w:val="single" w:sz="4" w:space="0" w:color="000000"/>
              <w:bottom w:val="single" w:sz="4" w:space="0" w:color="000000"/>
              <w:right w:val="single" w:sz="4" w:space="0" w:color="000000"/>
            </w:tcBorders>
            <w:shd w:val="clear" w:color="auto" w:fill="C6ECCC"/>
          </w:tcPr>
          <w:p>
            <w:pPr/>
          </w:p>
        </w:tc>
        <w:tc>
          <w:tcPr>
            <w:tcW w:w="2824" w:type="dxa"/>
            <w:vMerge/>
            <w:tcBorders>
              <w:left w:val="single" w:sz="4" w:space="0" w:color="000000"/>
              <w:bottom w:val="single" w:sz="4" w:space="0" w:color="000000"/>
              <w:right w:val="single" w:sz="4" w:space="0" w:color="000000"/>
            </w:tcBorders>
            <w:shd w:val="clear" w:color="auto" w:fill="C6ECCC"/>
          </w:tcPr>
          <w:p>
            <w:pPr/>
          </w:p>
        </w:tc>
        <w:tc>
          <w:tcPr>
            <w:tcW w:w="1548" w:type="dxa"/>
            <w:tcBorders>
              <w:top w:val="nil" w:sz="6" w:space="0" w:color="auto"/>
              <w:left w:val="single" w:sz="4" w:space="0" w:color="000000"/>
              <w:bottom w:val="single" w:sz="4" w:space="0" w:color="000000"/>
              <w:right w:val="single" w:sz="4" w:space="0" w:color="000000"/>
            </w:tcBorders>
            <w:shd w:val="clear" w:color="auto" w:fill="C6ECCC"/>
          </w:tcPr>
          <w:p>
            <w:pPr/>
          </w:p>
        </w:tc>
        <w:tc>
          <w:tcPr>
            <w:tcW w:w="1712" w:type="dxa"/>
            <w:vMerge/>
            <w:tcBorders>
              <w:left w:val="single" w:sz="10" w:space="0" w:color="C6ECCC"/>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r>
        <w:trPr>
          <w:trHeight w:val="312" w:hRule="exact"/>
        </w:trPr>
        <w:tc>
          <w:tcPr>
            <w:tcW w:w="851" w:type="dxa"/>
            <w:vMerge w:val="restart"/>
            <w:tcBorders>
              <w:top w:val="single" w:sz="4" w:space="0" w:color="000000"/>
              <w:left w:val="single" w:sz="4" w:space="0" w:color="000000"/>
              <w:right w:val="single" w:sz="9" w:space="0" w:color="C6ECCC"/>
            </w:tcBorders>
            <w:shd w:val="clear" w:color="auto" w:fill="D2D2D2"/>
          </w:tcPr>
          <w:p>
            <w:pPr>
              <w:pStyle w:val="TableParagraph"/>
              <w:spacing w:line="319" w:lineRule="auto" w:before="46"/>
              <w:ind w:left="11" w:right="101"/>
              <w:jc w:val="both"/>
              <w:rPr>
                <w:rFonts w:ascii="宋体" w:hAnsi="宋体" w:cs="宋体" w:eastAsia="宋体" w:hint="default"/>
                <w:sz w:val="18"/>
                <w:szCs w:val="18"/>
              </w:rPr>
            </w:pPr>
            <w:r>
              <w:rPr>
                <w:rFonts w:ascii="宋体" w:hAnsi="宋体" w:cs="宋体" w:eastAsia="宋体" w:hint="default"/>
                <w:sz w:val="18"/>
                <w:szCs w:val="18"/>
              </w:rPr>
              <w:t>在其他单 位任职情 况的说明</w:t>
            </w:r>
          </w:p>
        </w:tc>
        <w:tc>
          <w:tcPr>
            <w:tcW w:w="8706" w:type="dxa"/>
            <w:gridSpan w:val="5"/>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2" w:hRule="exact"/>
        </w:trPr>
        <w:tc>
          <w:tcPr>
            <w:tcW w:w="851" w:type="dxa"/>
            <w:vMerge/>
            <w:tcBorders>
              <w:left w:val="single" w:sz="4" w:space="0" w:color="000000"/>
              <w:right w:val="single" w:sz="9" w:space="0" w:color="C6ECCC"/>
            </w:tcBorders>
            <w:shd w:val="clear" w:color="auto" w:fill="D2D2D2"/>
          </w:tcPr>
          <w:p>
            <w:pPr/>
          </w:p>
        </w:tc>
        <w:tc>
          <w:tcPr>
            <w:tcW w:w="8706" w:type="dxa"/>
            <w:gridSpan w:val="5"/>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851" w:type="dxa"/>
            <w:vMerge/>
            <w:tcBorders>
              <w:left w:val="single" w:sz="4" w:space="0" w:color="000000"/>
              <w:bottom w:val="single" w:sz="4" w:space="0" w:color="000000"/>
              <w:right w:val="single" w:sz="9" w:space="0" w:color="C6ECCC"/>
            </w:tcBorders>
            <w:shd w:val="clear" w:color="auto" w:fill="D2D2D2"/>
          </w:tcPr>
          <w:p>
            <w:pPr/>
          </w:p>
        </w:tc>
        <w:tc>
          <w:tcPr>
            <w:tcW w:w="8706" w:type="dxa"/>
            <w:gridSpan w:val="5"/>
            <w:tcBorders>
              <w:top w:val="nil" w:sz="6" w:space="0" w:color="auto"/>
              <w:left w:val="single" w:sz="4" w:space="0" w:color="000000"/>
              <w:bottom w:val="single" w:sz="4" w:space="0" w:color="000000"/>
              <w:right w:val="single" w:sz="4" w:space="0" w:color="000000"/>
            </w:tcBorders>
            <w:shd w:val="clear" w:color="auto" w:fill="C6ECCC"/>
          </w:tcPr>
          <w:p>
            <w:pP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3"/>
      <w:bookmarkEnd w:id="12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Heading5"/>
        <w:spacing w:line="240" w:lineRule="auto" w:before="0"/>
        <w:ind w:right="0"/>
        <w:jc w:val="left"/>
        <w:rPr>
          <w:b w:val="0"/>
          <w:bCs w:val="0"/>
        </w:rPr>
      </w:pPr>
      <w:r>
        <w:rPr/>
        <w:t>董事、监事、高级管理人员报酬的决策程序、确定依据、实际支付情况</w:t>
      </w:r>
      <w:r>
        <w:rPr>
          <w:b w:val="0"/>
          <w:bCs w:val="0"/>
        </w:rPr>
      </w:r>
    </w:p>
    <w:p>
      <w:pPr>
        <w:pStyle w:val="BodyText"/>
        <w:spacing w:line="300" w:lineRule="auto" w:before="115"/>
        <w:ind w:right="1122" w:firstLine="360"/>
        <w:jc w:val="left"/>
      </w:pPr>
      <w:r>
        <w:rPr>
          <w:rFonts w:ascii="Times New Roman" w:hAnsi="Times New Roman" w:cs="Times New Roman" w:eastAsia="Times New Roman" w:hint="default"/>
        </w:rPr>
        <w:t>1</w:t>
      </w:r>
      <w:r>
        <w:rPr/>
        <w:t>、董事、监事、高级管理人员报酬的决策程序：公司结合董事、监事、高级管理人员岗位的主要范围、职责、工作胜 任能力以及其他相关企业相关岗位的薪酬水平，制定董事、监事、高级管理人员年度薪酬方案，由股东大会审批。</w:t>
      </w:r>
    </w:p>
    <w:p>
      <w:pPr>
        <w:pStyle w:val="BodyText"/>
        <w:spacing w:line="300" w:lineRule="auto" w:before="31"/>
        <w:ind w:right="1122" w:firstLine="360"/>
        <w:jc w:val="left"/>
      </w:pPr>
      <w:r>
        <w:rPr>
          <w:rFonts w:ascii="Times New Roman" w:hAnsi="Times New Roman" w:cs="Times New Roman" w:eastAsia="Times New Roman" w:hint="default"/>
        </w:rPr>
        <w:t>2</w:t>
      </w:r>
      <w:r>
        <w:rPr/>
        <w:t>、董事、监事、高级管理人员报酬的确定依据：除独立董事、外部董事、外部监事外，公司董事、监事、高级管理人 员的薪酬是由基本年薪</w:t>
      </w:r>
      <w:r>
        <w:rPr>
          <w:rFonts w:ascii="Times New Roman" w:hAnsi="Times New Roman" w:cs="Times New Roman" w:eastAsia="Times New Roman" w:hint="default"/>
        </w:rPr>
        <w:t>+</w:t>
      </w:r>
      <w:r>
        <w:rPr/>
        <w:t>绩效年薪构成。基本年薪是每月固定发放，绩效年薪是根据年终绩效评定情况一次性发放。</w:t>
      </w:r>
    </w:p>
    <w:p>
      <w:pPr>
        <w:pStyle w:val="BodyText"/>
        <w:spacing w:line="240" w:lineRule="auto" w:before="13"/>
        <w:ind w:left="514" w:right="0"/>
        <w:jc w:val="left"/>
        <w:rPr>
          <w:rFonts w:ascii="Times New Roman" w:hAnsi="Times New Roman" w:cs="Times New Roman" w:eastAsia="Times New Roman" w:hint="default"/>
        </w:rPr>
      </w:pPr>
      <w:r>
        <w:rPr>
          <w:rFonts w:ascii="Times New Roman" w:hAnsi="Times New Roman" w:cs="Times New Roman" w:eastAsia="Times New Roman" w:hint="default"/>
          <w:spacing w:val="-6"/>
        </w:rPr>
        <w:t>3</w:t>
      </w:r>
      <w:r>
        <w:rPr>
          <w:spacing w:val="-6"/>
        </w:rPr>
        <w:t>、董事、监事、高级管理人员报酬的实际支付情况：报告期内，公司实际支付董事、监事、高级管理人员报酬合计</w:t>
      </w:r>
      <w:r>
        <w:rPr>
          <w:rFonts w:ascii="Times New Roman" w:hAnsi="Times New Roman" w:cs="Times New Roman" w:eastAsia="Times New Roman" w:hint="default"/>
          <w:spacing w:val="-6"/>
        </w:rPr>
        <w:t>318.74</w:t>
      </w:r>
    </w:p>
    <w:p>
      <w:pPr>
        <w:pStyle w:val="BodyText"/>
        <w:spacing w:line="240" w:lineRule="auto" w:before="63"/>
        <w:ind w:right="0"/>
        <w:jc w:val="left"/>
      </w:pPr>
      <w:r>
        <w:rPr/>
        <w:t>万元。</w:t>
      </w:r>
    </w:p>
    <w:p>
      <w:pPr>
        <w:spacing w:line="240" w:lineRule="auto" w:before="5"/>
        <w:rPr>
          <w:rFonts w:ascii="宋体" w:hAnsi="宋体" w:cs="宋体" w:eastAsia="宋体" w:hint="default"/>
          <w:sz w:val="29"/>
          <w:szCs w:val="29"/>
        </w:rPr>
      </w:pPr>
    </w:p>
    <w:p>
      <w:pPr>
        <w:pStyle w:val="Heading5"/>
        <w:spacing w:line="240" w:lineRule="auto"/>
        <w:ind w:right="0"/>
        <w:jc w:val="left"/>
        <w:rPr>
          <w:b w:val="0"/>
          <w:bCs w:val="0"/>
        </w:rPr>
      </w:pPr>
      <w:r>
        <w:rPr/>
        <w:t>公司报告期内董事、监事和高级管理人员报酬情况</w:t>
      </w:r>
      <w:r>
        <w:rPr>
          <w:b w:val="0"/>
          <w:bCs w:val="0"/>
        </w:rPr>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3026"/>
        <w:gridCol w:w="850"/>
        <w:gridCol w:w="709"/>
        <w:gridCol w:w="1134"/>
        <w:gridCol w:w="1276"/>
        <w:gridCol w:w="1207"/>
      </w:tblGrid>
      <w:tr>
        <w:trPr>
          <w:trHeight w:val="709"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7" w:right="59"/>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7"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费耀平</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Times New Roman"/>
                <w:sz w:val="18"/>
              </w:rPr>
              <w:t>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sz w:val="18"/>
              </w:rPr>
              <w:t>39.85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李杰</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38.65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李建华</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38.65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刘应龙</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38.65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罗昔军</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35.65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胡奕</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王聪</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3026"/>
        <w:gridCol w:w="850"/>
        <w:gridCol w:w="709"/>
        <w:gridCol w:w="1134"/>
        <w:gridCol w:w="1276"/>
        <w:gridCol w:w="120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刘定华</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李新首</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饶卫雄</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谢石伟</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监事会主席、营销管理部经理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32.77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陈佶骏</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戴志扬</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钟莲</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r>
              <w:rPr>
                <w:rFonts w:ascii="宋体" w:hAnsi="宋体" w:cs="宋体" w:eastAsia="宋体" w:hint="default"/>
                <w:spacing w:val="-90"/>
                <w:sz w:val="18"/>
                <w:szCs w:val="18"/>
              </w:rPr>
              <w:t>、</w:t>
            </w:r>
            <w:r>
              <w:rPr>
                <w:rFonts w:ascii="宋体" w:hAnsi="宋体" w:cs="宋体" w:eastAsia="宋体" w:hint="default"/>
                <w:sz w:val="18"/>
                <w:szCs w:val="18"/>
              </w:rPr>
              <w:t>人力资源部部门副经理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12.01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李志峰</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职工代表监事、安可事业部经理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26.37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刘星沙</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金卓钧</w:t>
            </w:r>
          </w:p>
        </w:tc>
        <w:tc>
          <w:tcPr>
            <w:tcW w:w="302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财务总监、董事会秘书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34.68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0" w:right="0"/>
              <w:jc w:val="lef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318.74</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37"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4"/>
      <w:bookmarkEnd w:id="124"/>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5"/>
      <w:bookmarkEnd w:id="12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5"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大专专科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26"/>
      <w:bookmarkEnd w:id="12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spacing w:val="-2"/>
        </w:rPr>
        <w:t>公司严格按照《中华人民共和国劳动合同法》和有关劳动法律法规等规定，与员工签订劳动合同，并严格执行相应的劳</w:t>
      </w:r>
      <w:r>
        <w:rPr/>
        <w:t> </w:t>
      </w:r>
      <w:r>
        <w:rPr>
          <w:spacing w:val="-2"/>
        </w:rPr>
        <w:t>动用工规定和社会保障制度，为员工缴纳社会保险和住房公积金。公司采用以岗定酬、同工同酬的方式确定薪酬收入，建立</w:t>
      </w:r>
      <w:r>
        <w:rPr>
          <w:spacing w:val="-66"/>
        </w:rPr>
        <w:t> </w:t>
      </w:r>
      <w:r>
        <w:rPr>
          <w:spacing w:val="-66"/>
        </w:rPr>
      </w:r>
      <w:r>
        <w:rPr>
          <w:spacing w:val="-2"/>
        </w:rPr>
        <w:t>了比较完善的薪酬福利制度。公司薪酬政策始终坚持与岗位价值、技能相匹配的基本原则，遵循竞争性、激励性、公平性和</w:t>
      </w:r>
      <w:r>
        <w:rPr>
          <w:spacing w:val="-66"/>
        </w:rPr>
        <w:t> </w:t>
      </w:r>
      <w:r>
        <w:rPr>
          <w:spacing w:val="-66"/>
        </w:rPr>
      </w:r>
      <w:r>
        <w:rPr/>
        <w:t>经济性原则，并参考市场和行业薪酬水平，以员工绩效考核为依据，作出客观公正的人事决策和奖罚决定，形成吸引人才、 </w:t>
      </w:r>
      <w:r>
        <w:rPr>
          <w:spacing w:val="-2"/>
        </w:rPr>
        <w:t>留住人才的有效机制。绩效考核从工作态度、工作能力和工作业绩三个方面进行绩效考核，以考核的不同岗位相应等级确定</w:t>
      </w:r>
      <w:r>
        <w:rPr>
          <w:spacing w:val="-66"/>
        </w:rPr>
        <w:t> </w:t>
      </w:r>
      <w:r>
        <w:rPr>
          <w:spacing w:val="-66"/>
        </w:rPr>
      </w:r>
      <w:r>
        <w:rPr>
          <w:spacing w:val="-2"/>
        </w:rPr>
        <w:t>对应的薪酬水平。通过考核，奖勤罚懒，优胜劣汰，充分调动员工积极性和创造性，增强其事业心和责任感，使公司综合实</w:t>
      </w:r>
      <w:r>
        <w:rPr>
          <w:spacing w:val="-67"/>
        </w:rPr>
        <w:t> </w:t>
      </w:r>
      <w:r>
        <w:rPr>
          <w:spacing w:val="-67"/>
        </w:rPr>
      </w:r>
      <w:r>
        <w:rPr/>
        <w:t>力不断发展壮大，促进公司战略目标的实现。</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培训计划" w:id="127"/>
      <w:bookmarkEnd w:id="12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26"/>
          <w:szCs w:val="26"/>
        </w:rPr>
      </w:pPr>
    </w:p>
    <w:p>
      <w:pPr>
        <w:pStyle w:val="BodyText"/>
        <w:spacing w:line="314" w:lineRule="auto"/>
        <w:ind w:right="0" w:firstLine="360"/>
        <w:jc w:val="left"/>
      </w:pPr>
      <w:r>
        <w:rPr>
          <w:spacing w:val="-2"/>
        </w:rPr>
        <w:t>报告期初，公司根据战略发展需要和员工职业发展需要，通过收集各部门培训需求及调查，分析并汇总形成年度培训计</w:t>
      </w:r>
      <w:r>
        <w:rPr/>
        <w:t> </w:t>
      </w:r>
      <w:r>
        <w:rPr>
          <w:spacing w:val="-2"/>
        </w:rPr>
        <w:t>划。公司通过</w:t>
      </w:r>
      <w:r>
        <w:rPr>
          <w:rFonts w:ascii="Times New Roman" w:hAnsi="Times New Roman" w:cs="Times New Roman" w:eastAsia="Times New Roman" w:hint="default"/>
          <w:spacing w:val="-2"/>
        </w:rPr>
        <w:t>“</w:t>
      </w:r>
      <w:r>
        <w:rPr>
          <w:spacing w:val="-2"/>
        </w:rPr>
        <w:t>引进来、走出去、内部消化</w:t>
      </w:r>
      <w:r>
        <w:rPr>
          <w:rFonts w:ascii="Times New Roman" w:hAnsi="Times New Roman" w:cs="Times New Roman" w:eastAsia="Times New Roman" w:hint="default"/>
          <w:spacing w:val="-2"/>
        </w:rPr>
        <w:t>”</w:t>
      </w:r>
      <w:r>
        <w:rPr>
          <w:spacing w:val="-2"/>
        </w:rPr>
        <w:t>多种培训方式，有计划地组织中高层管理人员、业务骨干及优秀员工参加国内著</w:t>
      </w:r>
      <w:r>
        <w:rPr>
          <w:spacing w:val="-47"/>
        </w:rPr>
        <w:t> </w:t>
      </w:r>
      <w:r>
        <w:rPr>
          <w:spacing w:val="-47"/>
        </w:rPr>
      </w:r>
      <w:r>
        <w:rPr>
          <w:spacing w:val="-2"/>
        </w:rPr>
        <w:t>名专家讲座、资质职称认证考试以及培训机构的专业培训，不断提高员工的工作技能、知识层次和综合素质，从整体上优化</w:t>
      </w:r>
      <w:r>
        <w:rPr>
          <w:spacing w:val="-66"/>
        </w:rPr>
        <w:t> </w:t>
      </w:r>
      <w:r>
        <w:rPr>
          <w:spacing w:val="-66"/>
        </w:rPr>
      </w:r>
      <w:r>
        <w:rPr>
          <w:spacing w:val="-2"/>
        </w:rPr>
        <w:t>公司人才结构。员工培训作为公司人力资源开发与管理的重要内容，对全体员工知识与技能的更新和提高、创造力与创新精</w:t>
      </w:r>
      <w:r>
        <w:rPr>
          <w:spacing w:val="-66"/>
        </w:rPr>
        <w:t> </w:t>
      </w:r>
      <w:r>
        <w:rPr>
          <w:spacing w:val="-66"/>
        </w:rPr>
      </w:r>
      <w:r>
        <w:rPr>
          <w:spacing w:val="-4"/>
        </w:rPr>
        <w:t>神的发掘和培养、行为准则与责任意识的规范和强化发挥着重要作用。报告期内，公司各部门严格执行公司制定的培训计划，</w:t>
      </w:r>
      <w:r>
        <w:rPr>
          <w:spacing w:val="-44"/>
        </w:rPr>
        <w:t> </w:t>
      </w:r>
      <w:r>
        <w:rPr>
          <w:spacing w:val="-44"/>
        </w:rPr>
      </w:r>
      <w:r>
        <w:rPr/>
        <w:t>积极营造培训氛围，有效提升了员工的业务能力、岗位技能和综合素质。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0"/>
        <w:jc w:val="left"/>
        <w:rPr>
          <w:b w:val="0"/>
          <w:bCs w:val="0"/>
        </w:rPr>
      </w:pPr>
      <w:bookmarkStart w:name="4、劳务外包情况" w:id="128"/>
      <w:bookmarkEnd w:id="12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3"/>
        <w:jc w:val="center"/>
        <w:rPr>
          <w:b w:val="0"/>
          <w:bCs w:val="0"/>
        </w:rPr>
      </w:pPr>
      <w:bookmarkStart w:name="_TOC_250003" w:id="129"/>
      <w:bookmarkStart w:name="第九节 公司治理" w:id="130"/>
      <w:r>
        <w:rPr>
          <w:b w:val="0"/>
          <w:bCs w:val="0"/>
        </w:rPr>
      </w:r>
      <w:r>
        <w:rPr/>
        <w:t>第九节</w:t>
      </w:r>
      <w:r>
        <w:rPr>
          <w:spacing w:val="-5"/>
        </w:rPr>
        <w:t> </w:t>
      </w:r>
      <w:r>
        <w:rPr/>
        <w:t>公司治理</w:t>
      </w:r>
      <w:bookmarkEnd w:id="12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1"/>
      <w:bookmarkEnd w:id="131"/>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0" w:firstLine="360"/>
        <w:jc w:val="left"/>
      </w:pPr>
      <w:r>
        <w:rPr>
          <w:spacing w:val="-4"/>
        </w:rPr>
        <w:t>报告期内，公司严格按照《公司法》、《企业内部控制基本规范》等有关规定，不断完善公司法人治理结构，明确决策、</w:t>
      </w:r>
      <w:r>
        <w:rPr/>
        <w:t> 执行、监督等方面的职责权限，形成科学有效的职责分工和制衡机制，强化内部管理，规范公司运作。公司</w:t>
      </w:r>
      <w:r>
        <w:rPr>
          <w:rFonts w:ascii="Times New Roman" w:hAnsi="Times New Roman" w:cs="Times New Roman" w:eastAsia="Times New Roman" w:hint="default"/>
        </w:rPr>
        <w:t>“</w:t>
      </w:r>
      <w:r>
        <w:rPr/>
        <w:t>三会一层</w:t>
      </w:r>
      <w:r>
        <w:rPr>
          <w:rFonts w:ascii="Times New Roman" w:hAnsi="Times New Roman" w:cs="Times New Roman" w:eastAsia="Times New Roman" w:hint="default"/>
        </w:rPr>
        <w:t>”</w:t>
      </w:r>
      <w:r>
        <w:rPr/>
        <w:t>科学 </w:t>
      </w:r>
      <w:r>
        <w:rPr>
          <w:spacing w:val="-5"/>
        </w:rPr>
        <w:t>分工、权责分明、相互制衡，均能按照各自职责行使权力。</w:t>
      </w:r>
      <w:r>
        <w:rPr>
          <w:rFonts w:ascii="Times New Roman" w:hAnsi="Times New Roman" w:cs="Times New Roman" w:eastAsia="Times New Roman" w:hint="default"/>
          <w:spacing w:val="-5"/>
        </w:rPr>
        <w:t>“</w:t>
      </w:r>
      <w:r>
        <w:rPr>
          <w:spacing w:val="-5"/>
        </w:rPr>
        <w:t>三会</w:t>
      </w:r>
      <w:r>
        <w:rPr>
          <w:rFonts w:ascii="Times New Roman" w:hAnsi="Times New Roman" w:cs="Times New Roman" w:eastAsia="Times New Roman" w:hint="default"/>
          <w:spacing w:val="-5"/>
        </w:rPr>
        <w:t>”</w:t>
      </w:r>
      <w:r>
        <w:rPr>
          <w:spacing w:val="-5"/>
        </w:rPr>
        <w:t>会议的召集召开程序、提案审议程序、决策程序均符合《公</w:t>
      </w:r>
      <w:r>
        <w:rPr>
          <w:spacing w:val="-55"/>
        </w:rPr>
        <w:t> </w:t>
      </w:r>
      <w:r>
        <w:rPr>
          <w:spacing w:val="-55"/>
        </w:rPr>
      </w:r>
      <w:r>
        <w:rPr/>
        <w:t>司法》、《公司章程》等相关规定。</w:t>
      </w:r>
    </w:p>
    <w:p>
      <w:pPr>
        <w:pStyle w:val="BodyText"/>
        <w:spacing w:line="316" w:lineRule="auto" w:before="26"/>
        <w:ind w:right="0" w:firstLine="360"/>
        <w:jc w:val="left"/>
      </w:pPr>
      <w:r>
        <w:rPr>
          <w:spacing w:val="-2"/>
        </w:rPr>
        <w:t>截至报告期末，公司治理的实际状况符合相关法律法规及中国证监会、深圳证券交易所创业板发布的有关上市公司治理</w:t>
      </w:r>
      <w:r>
        <w:rPr/>
        <w:t> 的规范性文件要求。</w:t>
      </w:r>
    </w:p>
    <w:p>
      <w:pPr>
        <w:pStyle w:val="BodyText"/>
        <w:spacing w:line="300" w:lineRule="auto" w:before="19"/>
        <w:ind w:left="514" w:right="0"/>
        <w:jc w:val="left"/>
      </w:pPr>
      <w:r>
        <w:rPr>
          <w:rFonts w:ascii="Times New Roman" w:hAnsi="Times New Roman" w:cs="Times New Roman" w:eastAsia="Times New Roman" w:hint="default"/>
        </w:rPr>
        <w:t>1</w:t>
      </w:r>
      <w:r>
        <w:rPr/>
        <w:t>、关于股东与股东大会 </w:t>
      </w:r>
      <w:r>
        <w:rPr>
          <w:spacing w:val="-4"/>
        </w:rPr>
        <w:t>股东大会的召集、召开、出席股东大会的人员资格及股东大会的表决程序均符合《公司法》、《上市公司股东大会规则》</w:t>
      </w:r>
    </w:p>
    <w:p>
      <w:pPr>
        <w:pStyle w:val="BodyText"/>
        <w:spacing w:line="316" w:lineRule="auto" w:before="31"/>
        <w:ind w:right="1133"/>
        <w:jc w:val="both"/>
      </w:pPr>
      <w:r>
        <w:rPr>
          <w:spacing w:val="-2"/>
        </w:rPr>
        <w:t>和公司《股东大会议事规则》等法规的要求和规定。报告期内，公司公平对待每一位股东，保证股东在股东大会上有充分的</w:t>
      </w:r>
      <w:r>
        <w:rPr>
          <w:spacing w:val="-66"/>
        </w:rPr>
        <w:t> </w:t>
      </w:r>
      <w:r>
        <w:rPr>
          <w:spacing w:val="-66"/>
        </w:rPr>
      </w:r>
      <w:r>
        <w:rPr/>
        <w:t>发言权，确保全体股东尤其是中小股东享有平等地位，充分行使股东的权利。</w:t>
      </w:r>
    </w:p>
    <w:p>
      <w:pPr>
        <w:pStyle w:val="BodyText"/>
        <w:spacing w:line="300" w:lineRule="auto" w:before="19"/>
        <w:ind w:left="514" w:right="0"/>
        <w:jc w:val="left"/>
      </w:pPr>
      <w:r>
        <w:rPr>
          <w:rFonts w:ascii="Times New Roman" w:hAnsi="Times New Roman" w:cs="Times New Roman" w:eastAsia="Times New Roman" w:hint="default"/>
        </w:rPr>
        <w:t>2</w:t>
      </w:r>
      <w:r>
        <w:rPr/>
        <w:t>、关于公司与控股股东 </w:t>
      </w:r>
      <w:r>
        <w:rPr>
          <w:spacing w:val="-2"/>
        </w:rPr>
        <w:t>公司拥有独立的业务和自主经营能力，在业务、人员、资产、机构、财务上实行</w:t>
      </w:r>
      <w:r>
        <w:rPr>
          <w:rFonts w:ascii="Times New Roman" w:hAnsi="Times New Roman" w:cs="Times New Roman" w:eastAsia="Times New Roman" w:hint="default"/>
          <w:spacing w:val="-2"/>
        </w:rPr>
        <w:t>“</w:t>
      </w:r>
      <w:r>
        <w:rPr>
          <w:spacing w:val="-2"/>
        </w:rPr>
        <w:t>五分开</w:t>
      </w:r>
      <w:r>
        <w:rPr>
          <w:rFonts w:ascii="Times New Roman" w:hAnsi="Times New Roman" w:cs="Times New Roman" w:eastAsia="Times New Roman" w:hint="default"/>
          <w:spacing w:val="-2"/>
        </w:rPr>
        <w:t>”</w:t>
      </w:r>
      <w:r>
        <w:rPr>
          <w:spacing w:val="-2"/>
        </w:rPr>
        <w:t>，独立于控股股东。公司董事</w:t>
      </w:r>
    </w:p>
    <w:p>
      <w:pPr>
        <w:pStyle w:val="BodyText"/>
        <w:spacing w:line="316" w:lineRule="auto" w:before="13"/>
        <w:ind w:right="1131"/>
        <w:jc w:val="both"/>
      </w:pPr>
      <w:r>
        <w:rPr>
          <w:spacing w:val="-2"/>
        </w:rPr>
        <w:t>会、监事会和内部机构独立运作。公司独立行使经营管理职权，与控股股东完全分开，不存在超越公司股东大会直接或间接</w:t>
      </w:r>
      <w:r>
        <w:rPr>
          <w:spacing w:val="-66"/>
        </w:rPr>
        <w:t> </w:t>
      </w:r>
      <w:r>
        <w:rPr>
          <w:spacing w:val="-66"/>
        </w:rPr>
      </w:r>
      <w:r>
        <w:rPr/>
        <w:t>干预公司的决策和经营活动的行为，未损害公司及其他股东的利益，亦不存在控股股东占用公司资金的情况。</w:t>
      </w:r>
    </w:p>
    <w:p>
      <w:pPr>
        <w:pStyle w:val="BodyText"/>
        <w:spacing w:line="300" w:lineRule="auto" w:before="19"/>
        <w:ind w:left="514" w:right="1032"/>
        <w:jc w:val="left"/>
      </w:pPr>
      <w:r>
        <w:rPr>
          <w:rFonts w:ascii="Times New Roman" w:hAnsi="Times New Roman" w:cs="Times New Roman" w:eastAsia="Times New Roman" w:hint="default"/>
        </w:rPr>
        <w:t>3</w:t>
      </w:r>
      <w:r>
        <w:rPr/>
        <w:t>、关于董事与董事会 公司严格按照法律法规和《公司章程》规定的选聘程序选举董事，公司董事会由</w:t>
      </w:r>
      <w:r>
        <w:rPr>
          <w:rFonts w:ascii="Times New Roman" w:hAnsi="Times New Roman" w:cs="Times New Roman" w:eastAsia="Times New Roman" w:hint="default"/>
        </w:rPr>
        <w:t>9</w:t>
      </w:r>
      <w:r>
        <w:rPr/>
        <w:t>名董事组成，其中包括</w:t>
      </w:r>
      <w:r>
        <w:rPr>
          <w:rFonts w:ascii="Times New Roman" w:hAnsi="Times New Roman" w:cs="Times New Roman" w:eastAsia="Times New Roman" w:hint="default"/>
        </w:rPr>
        <w:t>3</w:t>
      </w:r>
      <w:r>
        <w:rPr/>
        <w:t>名独立董事，</w:t>
      </w:r>
    </w:p>
    <w:p>
      <w:pPr>
        <w:pStyle w:val="BodyText"/>
        <w:spacing w:line="316" w:lineRule="auto" w:before="13"/>
        <w:ind w:right="1131"/>
        <w:jc w:val="both"/>
      </w:pPr>
      <w:r>
        <w:rPr>
          <w:spacing w:val="-2"/>
        </w:rPr>
        <w:t>董事会的人数及人员构成符合法律法规和《公司章程》的要求。公司全体董事能够依据《董事会议事规则》、《独立董事工</w:t>
      </w:r>
      <w:r>
        <w:rPr>
          <w:spacing w:val="-70"/>
        </w:rPr>
        <w:t> </w:t>
      </w:r>
      <w:r>
        <w:rPr>
          <w:spacing w:val="-70"/>
        </w:rPr>
      </w:r>
      <w:r>
        <w:rPr>
          <w:spacing w:val="-2"/>
        </w:rPr>
        <w:t>作制度》等制度开展工作，本着认真负责的态度按时出席董事会和股东大会，及时熟悉有关法律法规，为公司的规范运作奠</w:t>
      </w:r>
      <w:r>
        <w:rPr>
          <w:spacing w:val="-66"/>
        </w:rPr>
        <w:t> </w:t>
      </w:r>
      <w:r>
        <w:rPr>
          <w:spacing w:val="-66"/>
        </w:rPr>
      </w:r>
      <w:r>
        <w:rPr/>
        <w:t>定了基础。</w:t>
      </w:r>
    </w:p>
    <w:p>
      <w:pPr>
        <w:pStyle w:val="BodyText"/>
        <w:spacing w:line="316" w:lineRule="auto" w:before="19"/>
        <w:ind w:right="0" w:firstLine="360"/>
        <w:jc w:val="left"/>
      </w:pPr>
      <w:r>
        <w:rPr>
          <w:spacing w:val="-2"/>
        </w:rPr>
        <w:t>公司董事会下设审计委员会、提名与薪酬委员会和战略委员会三个专门委员会，报告期内，各委员会认真履行职责，充</w:t>
      </w:r>
      <w:r>
        <w:rPr/>
        <w:t> 分发挥了专门委员会的作用。</w:t>
      </w:r>
    </w:p>
    <w:p>
      <w:pPr>
        <w:pStyle w:val="BodyText"/>
        <w:spacing w:line="300" w:lineRule="auto" w:before="19"/>
        <w:ind w:left="514" w:right="0"/>
        <w:jc w:val="left"/>
      </w:pPr>
      <w:r>
        <w:rPr>
          <w:rFonts w:ascii="Times New Roman" w:hAnsi="Times New Roman" w:cs="Times New Roman" w:eastAsia="Times New Roman" w:hint="default"/>
        </w:rPr>
        <w:t>4</w:t>
      </w:r>
      <w:r>
        <w:rPr/>
        <w:t>、关于监事与监事会 </w:t>
      </w:r>
      <w:r>
        <w:rPr>
          <w:spacing w:val="-4"/>
        </w:rPr>
        <w:t>公司监事会由</w:t>
      </w:r>
      <w:r>
        <w:rPr>
          <w:rFonts w:ascii="Times New Roman" w:hAnsi="Times New Roman" w:cs="Times New Roman" w:eastAsia="Times New Roman" w:hint="default"/>
          <w:spacing w:val="-4"/>
        </w:rPr>
        <w:t>5</w:t>
      </w:r>
      <w:r>
        <w:rPr>
          <w:spacing w:val="-4"/>
        </w:rPr>
        <w:t>名监事组成，包括</w:t>
      </w:r>
      <w:r>
        <w:rPr>
          <w:rFonts w:ascii="Times New Roman" w:hAnsi="Times New Roman" w:cs="Times New Roman" w:eastAsia="Times New Roman" w:hint="default"/>
          <w:spacing w:val="-4"/>
        </w:rPr>
        <w:t>3</w:t>
      </w:r>
      <w:r>
        <w:rPr>
          <w:spacing w:val="-4"/>
        </w:rPr>
        <w:t>名股东代表监事和</w:t>
      </w:r>
      <w:r>
        <w:rPr>
          <w:rFonts w:ascii="Times New Roman" w:hAnsi="Times New Roman" w:cs="Times New Roman" w:eastAsia="Times New Roman" w:hint="default"/>
          <w:spacing w:val="-4"/>
        </w:rPr>
        <w:t>2</w:t>
      </w:r>
      <w:r>
        <w:rPr>
          <w:spacing w:val="-4"/>
        </w:rPr>
        <w:t>名职工代表监事，公司监事会的人数及构成符合《公司法》、《公</w:t>
      </w:r>
    </w:p>
    <w:p>
      <w:pPr>
        <w:pStyle w:val="BodyText"/>
        <w:spacing w:line="316" w:lineRule="auto" w:before="13"/>
        <w:ind w:right="1043"/>
        <w:jc w:val="both"/>
      </w:pPr>
      <w:r>
        <w:rPr>
          <w:spacing w:val="-2"/>
        </w:rPr>
        <w:t>司章程》等法律、法规的规定。公司监事能够按照要求，认真履行相应的职责，积极参加有关培训，对董事会决策程序、决</w:t>
      </w:r>
      <w:r>
        <w:rPr>
          <w:spacing w:val="-71"/>
        </w:rPr>
        <w:t> </w:t>
      </w:r>
      <w:r>
        <w:rPr>
          <w:spacing w:val="-71"/>
        </w:rPr>
      </w:r>
      <w:r>
        <w:rPr>
          <w:spacing w:val="-4"/>
        </w:rPr>
        <w:t>议事项及公司依法运作情况实施监督，对公司董事、经理和其他高级管理人员履行职责的合法合规性等事项进行了有效监督。</w:t>
      </w:r>
    </w:p>
    <w:p>
      <w:pPr>
        <w:pStyle w:val="BodyText"/>
        <w:spacing w:line="300" w:lineRule="auto" w:before="19"/>
        <w:ind w:left="514" w:right="0"/>
        <w:jc w:val="left"/>
      </w:pPr>
      <w:r>
        <w:rPr>
          <w:rFonts w:ascii="Times New Roman" w:hAnsi="Times New Roman" w:cs="Times New Roman" w:eastAsia="Times New Roman" w:hint="default"/>
        </w:rPr>
        <w:t>5</w:t>
      </w:r>
      <w:r>
        <w:rPr/>
        <w:t>、关于信息披露与透明度 </w:t>
      </w:r>
      <w:r>
        <w:rPr>
          <w:spacing w:val="-2"/>
        </w:rPr>
        <w:t>公司严格按照有关法律法规和《公司章程》、《信息披露管理办法》等规定履行信息披露职责，指定董事会秘书为公司</w:t>
      </w:r>
    </w:p>
    <w:p>
      <w:pPr>
        <w:pStyle w:val="BodyText"/>
        <w:spacing w:line="316" w:lineRule="auto" w:before="31"/>
        <w:ind w:right="1051"/>
        <w:jc w:val="both"/>
      </w:pPr>
      <w:r>
        <w:rPr/>
        <w:t>信息披露负责人，负责公司信息披露日常事务。报告期内，公司按照相关要求在中国证监会指定信息披露媒体真实、准确、 完整、及时地披露了公司信息，保证了信息披露的质量。</w:t>
      </w:r>
    </w:p>
    <w:p>
      <w:pPr>
        <w:pStyle w:val="BodyText"/>
        <w:spacing w:line="300" w:lineRule="auto" w:before="19"/>
        <w:ind w:left="514" w:right="1032"/>
        <w:jc w:val="left"/>
      </w:pPr>
      <w:r>
        <w:rPr>
          <w:rFonts w:ascii="Times New Roman" w:hAnsi="Times New Roman" w:cs="Times New Roman" w:eastAsia="Times New Roman" w:hint="default"/>
        </w:rPr>
        <w:t>6</w:t>
      </w:r>
      <w:r>
        <w:rPr/>
        <w:t>、关于投资者关系管理 公司按照相关法律法规和《公司章程》、《投资者关系管理制度》的要求，指定董事会秘书为投资者关系管理负责人，</w:t>
      </w:r>
    </w:p>
    <w:p>
      <w:pPr>
        <w:pStyle w:val="BodyText"/>
        <w:spacing w:line="316" w:lineRule="auto" w:before="31"/>
        <w:ind w:right="1131"/>
        <w:jc w:val="both"/>
      </w:pPr>
      <w:r>
        <w:rPr>
          <w:spacing w:val="-2"/>
        </w:rPr>
        <w:t>负责投资者关系的管理工作。公司通过电话、电子邮箱、互动平台等多种渠道与投资者沟通交流，促进投资者对公司的了解</w:t>
      </w:r>
      <w:r>
        <w:rPr>
          <w:spacing w:val="-66"/>
        </w:rPr>
        <w:t> </w:t>
      </w:r>
      <w:r>
        <w:rPr>
          <w:spacing w:val="-66"/>
        </w:rPr>
      </w:r>
      <w:r>
        <w:rPr/>
        <w:t>和认同，确保所有股东能公平获得信息，保障了投资者的知情权。</w:t>
      </w:r>
    </w:p>
    <w:p>
      <w:pPr>
        <w:pStyle w:val="BodyText"/>
        <w:spacing w:line="300" w:lineRule="auto" w:before="19"/>
        <w:ind w:left="514" w:right="0"/>
        <w:jc w:val="left"/>
      </w:pPr>
      <w:r>
        <w:rPr>
          <w:rFonts w:ascii="Times New Roman" w:hAnsi="Times New Roman" w:cs="Times New Roman" w:eastAsia="Times New Roman" w:hint="default"/>
        </w:rPr>
        <w:t>7</w:t>
      </w:r>
      <w:r>
        <w:rPr/>
        <w:t>、关于绩效评价和激励约束机制 </w:t>
      </w:r>
      <w:r>
        <w:rPr>
          <w:spacing w:val="-2"/>
        </w:rPr>
        <w:t>公司建立了较完善的董事、高级管理人员绩效考评体系和激励约束机制，董事会提名与薪酬委员会负责公司董事、高级</w:t>
      </w:r>
    </w:p>
    <w:p>
      <w:pPr>
        <w:pStyle w:val="BodyText"/>
        <w:spacing w:line="309" w:lineRule="auto" w:before="31"/>
        <w:ind w:left="514" w:right="1118" w:hanging="360"/>
        <w:jc w:val="left"/>
      </w:pPr>
      <w:r>
        <w:rPr/>
        <w:t>管理人员的绩效考核。公司目前的绩效考评和激励约束机制能有效的发挥作用，符合公司实际情况及发展状况。 </w:t>
      </w:r>
      <w:r>
        <w:rPr>
          <w:rFonts w:ascii="Times New Roman" w:hAnsi="Times New Roman" w:cs="Times New Roman" w:eastAsia="Times New Roman" w:hint="default"/>
        </w:rPr>
        <w:t>8</w:t>
      </w:r>
      <w:r>
        <w:rPr/>
        <w:t>、关于相关利益者 </w:t>
      </w:r>
      <w:r>
        <w:rPr>
          <w:spacing w:val="-2"/>
        </w:rPr>
        <w:t>公司充分尊重和维护相关利益者的合法权益，通过加强与各方的沟通与交流，实现社会、股东、公司、员工等各方利益</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的协调平衡，共同推动公司健康、持续、稳定地发展。</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both"/>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2"/>
      <w:bookmarkEnd w:id="132"/>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0"/>
        <w:jc w:val="left"/>
      </w:pPr>
      <w:r>
        <w:rPr/>
        <w:t>（一）业务独立情况 </w:t>
      </w:r>
      <w:r>
        <w:rPr>
          <w:spacing w:val="-2"/>
        </w:rPr>
        <w:t>公司拥有独立完整的采购、研发和销售业务体系，业务独立于共同实际控制人及其控制的其他企业，与共同实际控制人</w:t>
      </w:r>
    </w:p>
    <w:p>
      <w:pPr>
        <w:pStyle w:val="BodyText"/>
        <w:spacing w:line="300" w:lineRule="auto" w:before="19"/>
        <w:ind w:right="1152"/>
        <w:jc w:val="left"/>
      </w:pPr>
      <w:r>
        <w:rPr/>
        <w:t>及其控制的其他企业间不存在同业竞争或者显失公平的关联交易。公司共同实际控制人及持有公司</w:t>
      </w:r>
      <w:r>
        <w:rPr>
          <w:rFonts w:ascii="Times New Roman" w:hAnsi="Times New Roman" w:cs="Times New Roman" w:eastAsia="Times New Roman" w:hint="default"/>
        </w:rPr>
        <w:t>5%</w:t>
      </w:r>
      <w:r>
        <w:rPr/>
        <w:t>以上股份的股东已向 公司出具了《避免同业竞争的承诺函》，承诺不从事与公司形成竞争关系的相关业务。</w:t>
      </w:r>
    </w:p>
    <w:p>
      <w:pPr>
        <w:pStyle w:val="BodyText"/>
        <w:spacing w:line="316" w:lineRule="auto" w:before="31"/>
        <w:ind w:left="514" w:right="0"/>
        <w:jc w:val="left"/>
      </w:pPr>
      <w:r>
        <w:rPr/>
        <w:t>（二）人员独立情况 </w:t>
      </w:r>
      <w:r>
        <w:rPr>
          <w:spacing w:val="-2"/>
        </w:rPr>
        <w:t>公司与全体在册职工签订了劳动合同，员工的劳动、人事、工资关系完全与关联方独立；公司董事、监事及高级管理人</w:t>
      </w:r>
    </w:p>
    <w:p>
      <w:pPr>
        <w:pStyle w:val="BodyText"/>
        <w:spacing w:line="309" w:lineRule="auto" w:before="19"/>
        <w:ind w:right="1132"/>
        <w:jc w:val="both"/>
      </w:pPr>
      <w:r>
        <w:rPr/>
        <w:t>员严格按照《公司法》、《公司章程》的有关规定选举产生</w:t>
      </w:r>
      <w:r>
        <w:rPr>
          <w:rFonts w:ascii="Times New Roman" w:hAnsi="Times New Roman" w:cs="Times New Roman" w:eastAsia="Times New Roman" w:hint="default"/>
        </w:rPr>
        <w:t>;</w:t>
      </w:r>
      <w:r>
        <w:rPr/>
        <w:t>公司的总经理、副总经理、财务负责人和董事会秘书等高级管 </w:t>
      </w:r>
      <w:r>
        <w:rPr>
          <w:spacing w:val="-2"/>
        </w:rPr>
        <w:t>理人员未在共同实际控制人及其控制的其他企业中担任除董事、监事以外的其他职务，未在共同实际控制人及其控制的其他</w:t>
      </w:r>
      <w:r>
        <w:rPr>
          <w:spacing w:val="-64"/>
        </w:rPr>
        <w:t> </w:t>
      </w:r>
      <w:r>
        <w:rPr>
          <w:spacing w:val="-64"/>
        </w:rPr>
      </w:r>
      <w:r>
        <w:rPr/>
        <w:t>企业领薪；公司的财务人员未在共同实际控制人及其控制的其他企业中兼职。</w:t>
      </w:r>
    </w:p>
    <w:p>
      <w:pPr>
        <w:pStyle w:val="BodyText"/>
        <w:spacing w:line="316" w:lineRule="auto" w:before="24"/>
        <w:ind w:left="514" w:right="0"/>
        <w:jc w:val="left"/>
      </w:pPr>
      <w:r>
        <w:rPr/>
        <w:t>（三）资产完整情况 </w:t>
      </w:r>
      <w:r>
        <w:rPr>
          <w:spacing w:val="-2"/>
        </w:rPr>
        <w:t>公司具备与经营有关的业务体系及主要相关资产，合法拥有主要软、硬件设备以及商标、专利、非专利技术等的所有权</w:t>
      </w:r>
    </w:p>
    <w:p>
      <w:pPr>
        <w:pStyle w:val="BodyText"/>
        <w:spacing w:line="316" w:lineRule="auto" w:before="19"/>
        <w:ind w:right="0"/>
        <w:jc w:val="left"/>
      </w:pPr>
      <w:r>
        <w:rPr>
          <w:spacing w:val="-2"/>
        </w:rPr>
        <w:t>或者使用权，具有独立的采购、制作和销售系统，目前不存在依赖股东的资产进行生产经营的情况，不存在关联方违规占用</w:t>
      </w:r>
      <w:r>
        <w:rPr>
          <w:spacing w:val="-66"/>
        </w:rPr>
        <w:t> </w:t>
      </w:r>
      <w:r>
        <w:rPr>
          <w:spacing w:val="-66"/>
        </w:rPr>
      </w:r>
      <w:r>
        <w:rPr/>
        <w:t>公司资金、资产和其他资源的情形。</w:t>
      </w:r>
    </w:p>
    <w:p>
      <w:pPr>
        <w:pStyle w:val="BodyText"/>
        <w:spacing w:line="319" w:lineRule="auto" w:before="19"/>
        <w:ind w:left="514" w:right="0"/>
        <w:jc w:val="left"/>
      </w:pPr>
      <w:r>
        <w:rPr/>
        <w:t>（四）机构独立情况 </w:t>
      </w:r>
      <w:r>
        <w:rPr>
          <w:spacing w:val="-2"/>
        </w:rPr>
        <w:t>公司建立了健全的法人治理结构，设置了股东大会、董事会、监事会等决策及监督机构，同时建立了独立完整的内部组</w:t>
      </w:r>
    </w:p>
    <w:p>
      <w:pPr>
        <w:pStyle w:val="BodyText"/>
        <w:spacing w:line="316" w:lineRule="auto" w:before="17"/>
        <w:ind w:right="0"/>
        <w:jc w:val="left"/>
      </w:pPr>
      <w:r>
        <w:rPr>
          <w:spacing w:val="-2"/>
        </w:rPr>
        <w:t>织机构，各机构按照相关规定在各自职责范围内独立决策、规范运作。公司独立行使经营管理职权，与控股股东及其控制的</w:t>
      </w:r>
      <w:r>
        <w:rPr>
          <w:spacing w:val="-66"/>
        </w:rPr>
        <w:t> </w:t>
      </w:r>
      <w:r>
        <w:rPr>
          <w:spacing w:val="-66"/>
        </w:rPr>
      </w:r>
      <w:r>
        <w:rPr/>
        <w:t>其他企业完全分开，不存在合署办公、机构混同的情况。</w:t>
      </w:r>
    </w:p>
    <w:p>
      <w:pPr>
        <w:pStyle w:val="BodyText"/>
        <w:spacing w:line="316" w:lineRule="auto" w:before="19"/>
        <w:ind w:left="514" w:right="0"/>
        <w:jc w:val="left"/>
      </w:pPr>
      <w:r>
        <w:rPr/>
        <w:t>（五）财务独立情况 </w:t>
      </w:r>
      <w:r>
        <w:rPr>
          <w:spacing w:val="-2"/>
        </w:rPr>
        <w:t>公司已建立独立的财务核算体系、能够独立作出财务决策、具有规范的财务会计制度和对分公司、子公司的财务管理制</w:t>
      </w:r>
    </w:p>
    <w:p>
      <w:pPr>
        <w:pStyle w:val="BodyText"/>
        <w:spacing w:line="316" w:lineRule="auto" w:before="19"/>
        <w:ind w:right="0"/>
        <w:jc w:val="left"/>
      </w:pPr>
      <w:r>
        <w:rPr>
          <w:spacing w:val="-2"/>
        </w:rPr>
        <w:t>度；公司未与共同实际控制人及其控制的其他企业共用银行账户；公司设立了独立的财务部门，配备了专职财务人员；公司</w:t>
      </w:r>
      <w:r>
        <w:rPr>
          <w:spacing w:val="-66"/>
        </w:rPr>
        <w:t> </w:t>
      </w:r>
      <w:r>
        <w:rPr>
          <w:spacing w:val="-66"/>
        </w:rPr>
      </w:r>
      <w:r>
        <w:rPr/>
        <w:t>作为独立的纳税人，依法独立纳税。</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both"/>
        <w:rPr>
          <w:b w:val="0"/>
          <w:bCs w:val="0"/>
        </w:rPr>
      </w:pPr>
      <w:bookmarkStart w:name="三、同业竞争情况" w:id="133"/>
      <w:bookmarkEnd w:id="133"/>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报告期内召开的年度股东大会和临时股东大会的有关情况" w:id="134"/>
      <w:bookmarkEnd w:id="134"/>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本报告期股东大会情况" w:id="135"/>
      <w:bookmarkEnd w:id="13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5"/>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2"/>
              <w:ind w:left="23" w:right="-2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w:t>
            </w:r>
            <w:r>
              <w:rPr>
                <w:rFonts w:ascii="宋体" w:hAnsi="宋体" w:cs="宋体" w:eastAsia="宋体" w:hint="default"/>
                <w:spacing w:val="-10"/>
                <w:sz w:val="18"/>
                <w:szCs w:val="18"/>
              </w:rPr>
              <w:t>大会决议公告》（公</w:t>
            </w:r>
            <w:r>
              <w:rPr>
                <w:rFonts w:ascii="宋体" w:hAnsi="宋体" w:cs="宋体" w:eastAsia="宋体" w:hint="default"/>
                <w:sz w:val="18"/>
                <w:szCs w:val="18"/>
              </w:rPr>
              <w:t> 告编号：</w:t>
            </w:r>
            <w:r>
              <w:rPr>
                <w:rFonts w:ascii="Times New Roman" w:hAnsi="Times New Roman" w:cs="Times New Roman" w:eastAsia="Times New Roman" w:hint="default"/>
                <w:sz w:val="18"/>
                <w:szCs w:val="18"/>
              </w:rPr>
              <w:t>2018-028</w:t>
            </w:r>
            <w:r>
              <w:rPr>
                <w:rFonts w:ascii="宋体" w:hAnsi="宋体" w:cs="宋体" w:eastAsia="宋体" w:hint="default"/>
                <w:sz w:val="18"/>
                <w:szCs w:val="18"/>
              </w:rPr>
              <w:t>）</w:t>
            </w:r>
          </w:p>
        </w:tc>
      </w:tr>
    </w:tbl>
    <w:p>
      <w:pPr>
        <w:spacing w:after="0" w:line="30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2、表决权恢复的优先股股东请求召开临时股东大会" w:id="136"/>
      <w:bookmarkEnd w:id="13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7"/>
      <w:bookmarkEnd w:id="137"/>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38"/>
      <w:bookmarkEnd w:id="13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李新首</w:t>
            </w:r>
          </w:p>
        </w:tc>
        <w:tc>
          <w:tcPr>
            <w:tcW w:w="1164"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刘定华</w:t>
            </w:r>
          </w:p>
        </w:tc>
        <w:tc>
          <w:tcPr>
            <w:tcW w:w="1164"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饶卫雄</w:t>
            </w:r>
          </w:p>
        </w:tc>
        <w:tc>
          <w:tcPr>
            <w:tcW w:w="1164"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31" w:right="0"/>
              <w:jc w:val="lef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w:t>
            </w:r>
          </w:p>
        </w:tc>
      </w:tr>
    </w:tbl>
    <w:p>
      <w:pPr>
        <w:pStyle w:val="BodyText"/>
        <w:spacing w:line="357" w:lineRule="auto" w:before="51"/>
        <w:ind w:right="8052"/>
        <w:jc w:val="left"/>
      </w:pPr>
      <w:r>
        <w:rPr/>
        <w:t>连续两次未亲自出席董事会的说明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独立董事对公司有关事项提出异议的情况" w:id="139"/>
      <w:bookmarkEnd w:id="13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7"/>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0"/>
      <w:bookmarkEnd w:id="14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right="1133" w:firstLine="360"/>
        <w:jc w:val="both"/>
      </w:pPr>
      <w:r>
        <w:rPr>
          <w:spacing w:val="-2"/>
        </w:rPr>
        <w:t>报告期内，独立董事提出的积极合理的建议均被公司采纳。公司独立董事勤勉尽责，严格按照《公司法》、《独立董事</w:t>
      </w:r>
      <w:r>
        <w:rPr/>
        <w:t> </w:t>
      </w:r>
      <w:r>
        <w:rPr>
          <w:spacing w:val="-2"/>
        </w:rPr>
        <w:t>工作细则》及《公司章程》等相关法律法规的要求履行职责，按期出席董事会和股东大会，会议期间认真审议各项议案并提</w:t>
      </w:r>
      <w:r>
        <w:rPr>
          <w:spacing w:val="-66"/>
        </w:rPr>
        <w:t> </w:t>
      </w:r>
      <w:r>
        <w:rPr>
          <w:spacing w:val="-66"/>
        </w:rPr>
      </w:r>
      <w:r>
        <w:rPr/>
        <w:t>出了合理的建议，为完善公司监督机制、维护公司及全体股东的合法权益发挥了积极作用。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六、董事会下设专门委员会在报告期内履行职责情况" w:id="141"/>
      <w:bookmarkEnd w:id="141"/>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1032" w:firstLine="360"/>
        <w:jc w:val="left"/>
      </w:pPr>
      <w:r>
        <w:rPr/>
        <w:t>公司董事会下设审计委员会、战略委员会和提名与薪酬委员会三个专门委员会，各委员会分别由</w:t>
      </w:r>
      <w:r>
        <w:rPr>
          <w:rFonts w:ascii="Times New Roman" w:hAnsi="Times New Roman" w:cs="Times New Roman" w:eastAsia="Times New Roman" w:hint="default"/>
        </w:rPr>
        <w:t>3</w:t>
      </w:r>
      <w:r>
        <w:rPr/>
        <w:t>人组成，委员会人数 </w:t>
      </w:r>
      <w:r>
        <w:rPr>
          <w:spacing w:val="-2"/>
        </w:rPr>
        <w:t>及人员构成符合法律法规及公司章程的要求。报告期内，各委员会严格按照相关法律法规、《公司章程》等有关规定，认真</w:t>
      </w:r>
      <w:r>
        <w:rPr>
          <w:spacing w:val="-67"/>
        </w:rPr>
        <w:t> </w:t>
      </w:r>
      <w:r>
        <w:rPr>
          <w:spacing w:val="-67"/>
        </w:rPr>
      </w:r>
      <w:r>
        <w:rPr/>
        <w:t>履行职责，对公司年度财务决算报告、续聘会计师事务所等事项进行了审议并同意提交董事会审议；利用自身的专业优势， </w:t>
      </w:r>
      <w:r>
        <w:rPr>
          <w:spacing w:val="-2"/>
        </w:rPr>
        <w:t>积极参与公司未来战略、内控等事项的研讨并提出建议，充分发挥了专门委员会的作用，有利于公司健康、持续、稳定的发</w:t>
      </w:r>
      <w:r>
        <w:rPr>
          <w:spacing w:val="-66"/>
        </w:rPr>
        <w:t> </w:t>
      </w:r>
      <w:r>
        <w:rPr>
          <w:spacing w:val="-66"/>
        </w:rPr>
      </w:r>
      <w:r>
        <w:rPr/>
        <w:t>展。</w:t>
      </w:r>
    </w:p>
    <w:p>
      <w:pPr>
        <w:spacing w:after="0" w:line="314"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七、监事会工作情况" w:id="142"/>
      <w:bookmarkEnd w:id="142"/>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3"/>
      <w:bookmarkEnd w:id="143"/>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公司建立了完善的高级管理人员绩效考评体系和薪酬制度，公司高级管理人员的考评实行基本薪酬与工作绩效挂钩的激</w:t>
      </w:r>
      <w:r>
        <w:rPr/>
        <w:t> 励与约束机制，依据其所处岗位的工作范围、职责及绩效考核结果来确定。</w:t>
      </w:r>
    </w:p>
    <w:p>
      <w:pPr>
        <w:spacing w:line="240" w:lineRule="auto" w:before="6"/>
        <w:rPr>
          <w:rFonts w:ascii="宋体" w:hAnsi="宋体" w:cs="宋体" w:eastAsia="宋体" w:hint="default"/>
          <w:sz w:val="13"/>
          <w:szCs w:val="13"/>
        </w:rPr>
      </w:pPr>
    </w:p>
    <w:p>
      <w:pPr>
        <w:pStyle w:val="BodyText"/>
        <w:spacing w:line="319" w:lineRule="auto"/>
        <w:ind w:right="0" w:firstLine="360"/>
        <w:jc w:val="left"/>
      </w:pPr>
      <w:r>
        <w:rPr>
          <w:spacing w:val="-2"/>
        </w:rPr>
        <w:t>公司董事会下设的提名与薪酬委员会根据高级管理人员的年终述职、工作能力、履职能力、目标完成情况等，同时结合</w:t>
      </w:r>
      <w:r>
        <w:rPr/>
        <w:t> 公司年度实际经营情况，对高级管理人员进行年终绩效考核评定，最终制定相应的薪酬方案并报董事会批准。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0"/>
        <w:jc w:val="left"/>
        <w:rPr>
          <w:b w:val="0"/>
          <w:bCs w:val="0"/>
        </w:rPr>
      </w:pPr>
      <w:bookmarkStart w:name="九、内部控制评价报告" w:id="144"/>
      <w:bookmarkEnd w:id="144"/>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5"/>
      <w:bookmarkEnd w:id="14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6"/>
      <w:bookmarkEnd w:id="14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BodyText"/>
        <w:spacing w:line="240" w:lineRule="auto"/>
        <w:ind w:left="0" w:right="1140"/>
        <w:jc w:val="right"/>
      </w:pPr>
      <w:r>
        <w:rPr/>
        <w:pict>
          <v:shape style="position:absolute;margin-left:56.459999pt;margin-top:-201.648285pt;width:479.2pt;height:343.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9"/>
                    <w:gridCol w:w="305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2"/>
                        <w:vMerge w:val="restart"/>
                        <w:tcBorders>
                          <w:top w:val="single" w:sz="4" w:space="0" w:color="000000"/>
                          <w:left w:val="single" w:sz="9" w:space="0" w:color="D2D2D2"/>
                          <w:right w:val="single" w:sz="4" w:space="0" w:color="000000"/>
                        </w:tcBorders>
                        <w:shd w:val="clear" w:color="auto" w:fill="C6ECCC"/>
                      </w:tcPr>
                      <w:p>
                        <w:pPr>
                          <w:pStyle w:val="TableParagraph"/>
                          <w:spacing w:line="300" w:lineRule="auto" w:before="52"/>
                          <w:ind w:left="22" w:right="22" w:firstLine="9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日在巨潮资讯网披露的湖南科创信息技术股份有限公 司《</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年度内部控制自我评价报告》。</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vMerge/>
                        <w:tcBorders>
                          <w:left w:val="single" w:sz="9" w:space="0" w:color="D2D2D2"/>
                          <w:right w:val="single" w:sz="4" w:space="0" w:color="000000"/>
                        </w:tcBorders>
                        <w:shd w:val="clear" w:color="auto" w:fill="C6ECCC"/>
                      </w:tcPr>
                      <w:p>
                        <w:pPr/>
                      </w:p>
                    </w:tc>
                  </w:tr>
                  <w:tr>
                    <w:trPr>
                      <w:trHeight w:val="16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gridSpan w:val="2"/>
                        <w:vMerge/>
                        <w:tcBorders>
                          <w:left w:val="single" w:sz="9" w:space="0" w:color="D2D2D2"/>
                          <w:bottom w:val="single" w:sz="4" w:space="0" w:color="000000"/>
                          <w:right w:val="single" w:sz="4" w:space="0" w:color="000000"/>
                        </w:tcBorders>
                        <w:shd w:val="clear" w:color="auto" w:fill="C6ECCC"/>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96.23%</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96.24%</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1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12" w:space="0" w:color="C6ECCC"/>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556"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shd w:val="clear" w:color="auto" w:fill="C6ECCC"/>
                      </w:tcPr>
                      <w:p>
                        <w:pPr>
                          <w:pStyle w:val="TableParagraph"/>
                          <w:spacing w:line="304" w:lineRule="auto" w:before="61"/>
                          <w:ind w:left="22" w:right="2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、重大缺陷的认定标准：（</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）控制环境无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）公司董事、监事和高级管理人员</w:t>
                        </w:r>
                        <w:r>
                          <w:rPr>
                            <w:rFonts w:ascii="宋体" w:hAnsi="宋体" w:cs="宋体" w:eastAsia="宋体" w:hint="default"/>
                            <w:spacing w:val="-85"/>
                            <w:sz w:val="18"/>
                            <w:szCs w:val="18"/>
                          </w:rPr>
                          <w:t> </w:t>
                        </w:r>
                        <w:r>
                          <w:rPr>
                            <w:rFonts w:ascii="宋体" w:hAnsi="宋体" w:cs="宋体" w:eastAsia="宋体" w:hint="default"/>
                            <w:spacing w:val="-5"/>
                            <w:sz w:val="18"/>
                            <w:szCs w:val="18"/>
                          </w:rPr>
                          <w:t>的舞弊行为；（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）当期财务报表存在重大</w:t>
                        </w:r>
                        <w:r>
                          <w:rPr>
                            <w:rFonts w:ascii="宋体" w:hAnsi="宋体" w:cs="宋体" w:eastAsia="宋体" w:hint="default"/>
                            <w:spacing w:val="-85"/>
                            <w:sz w:val="18"/>
                            <w:szCs w:val="18"/>
                          </w:rPr>
                          <w:t> </w:t>
                        </w:r>
                        <w:r>
                          <w:rPr>
                            <w:rFonts w:ascii="宋体" w:hAnsi="宋体" w:cs="宋体" w:eastAsia="宋体" w:hint="default"/>
                            <w:sz w:val="18"/>
                            <w:szCs w:val="18"/>
                          </w:rPr>
                          <w:t>错报，而内部控制在运行过程中未能发现 </w:t>
                        </w:r>
                        <w:r>
                          <w:rPr>
                            <w:rFonts w:ascii="宋体" w:hAnsi="宋体" w:cs="宋体" w:eastAsia="宋体" w:hint="default"/>
                            <w:spacing w:val="-5"/>
                            <w:sz w:val="18"/>
                            <w:szCs w:val="18"/>
                          </w:rPr>
                          <w:t>该错报；（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）对已经公告的财务报告出现</w:t>
                        </w:r>
                        <w:r>
                          <w:rPr>
                            <w:rFonts w:ascii="宋体" w:hAnsi="宋体" w:cs="宋体" w:eastAsia="宋体" w:hint="default"/>
                            <w:spacing w:val="-85"/>
                            <w:sz w:val="18"/>
                            <w:szCs w:val="18"/>
                          </w:rPr>
                          <w:t> </w:t>
                        </w:r>
                        <w:r>
                          <w:rPr>
                            <w:rFonts w:ascii="宋体" w:hAnsi="宋体" w:cs="宋体" w:eastAsia="宋体" w:hint="default"/>
                            <w:spacing w:val="-5"/>
                            <w:sz w:val="18"/>
                            <w:szCs w:val="18"/>
                          </w:rPr>
                          <w:t>的重大差错进行错报更正；（</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）已经发现</w:t>
                        </w:r>
                        <w:r>
                          <w:rPr>
                            <w:rFonts w:ascii="宋体" w:hAnsi="宋体" w:cs="宋体" w:eastAsia="宋体" w:hint="default"/>
                            <w:spacing w:val="-85"/>
                            <w:sz w:val="18"/>
                            <w:szCs w:val="18"/>
                          </w:rPr>
                          <w:t> </w:t>
                        </w:r>
                        <w:r>
                          <w:rPr>
                            <w:rFonts w:ascii="宋体" w:hAnsi="宋体" w:cs="宋体" w:eastAsia="宋体" w:hint="default"/>
                            <w:sz w:val="18"/>
                            <w:szCs w:val="18"/>
                          </w:rPr>
                          <w:t>并报告给管理层的重大缺陷在合理的时间 </w:t>
                        </w:r>
                        <w:r>
                          <w:rPr>
                            <w:rFonts w:ascii="宋体" w:hAnsi="宋体" w:cs="宋体" w:eastAsia="宋体" w:hint="default"/>
                            <w:spacing w:val="-5"/>
                            <w:sz w:val="18"/>
                            <w:szCs w:val="18"/>
                          </w:rPr>
                          <w:t>内未加以改正；（</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）审计委员会和内部审</w:t>
                        </w:r>
                        <w:r>
                          <w:rPr>
                            <w:rFonts w:ascii="宋体" w:hAnsi="宋体" w:cs="宋体" w:eastAsia="宋体" w:hint="default"/>
                            <w:spacing w:val="-85"/>
                            <w:sz w:val="18"/>
                            <w:szCs w:val="18"/>
                          </w:rPr>
                          <w:t> </w:t>
                        </w:r>
                        <w:r>
                          <w:rPr>
                            <w:rFonts w:ascii="宋体" w:hAnsi="宋体" w:cs="宋体" w:eastAsia="宋体" w:hint="default"/>
                            <w:sz w:val="18"/>
                            <w:szCs w:val="18"/>
                          </w:rPr>
                          <w:t>计部对公司的内部控制监督无效。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、重要缺陷的认定标准：（</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）未依照公认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会计准则选择和应用会计政策；（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w:t>
                        </w:r>
                      </w:p>
                    </w:tc>
                    <w:tc>
                      <w:tcPr>
                        <w:tcW w:w="3051" w:type="dxa"/>
                        <w:vMerge w:val="restart"/>
                        <w:tcBorders>
                          <w:top w:val="single" w:sz="4" w:space="0" w:color="000000"/>
                          <w:left w:val="single" w:sz="4" w:space="0" w:color="000000"/>
                          <w:right w:val="single" w:sz="4" w:space="0" w:color="000000"/>
                        </w:tcBorders>
                        <w:shd w:val="clear" w:color="auto" w:fill="C6ECCC"/>
                      </w:tcPr>
                      <w:p>
                        <w:pPr>
                          <w:pStyle w:val="TableParagraph"/>
                          <w:spacing w:line="307" w:lineRule="auto" w:before="42"/>
                          <w:ind w:left="22"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、重大缺陷：（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）公司经营活动严重</w:t>
                        </w:r>
                        <w:r>
                          <w:rPr>
                            <w:rFonts w:ascii="宋体" w:hAnsi="宋体" w:cs="宋体" w:eastAsia="宋体" w:hint="default"/>
                            <w:sz w:val="18"/>
                            <w:szCs w:val="18"/>
                          </w:rPr>
                          <w:t> </w:t>
                        </w:r>
                        <w:r>
                          <w:rPr>
                            <w:rFonts w:ascii="宋体" w:hAnsi="宋体" w:cs="宋体" w:eastAsia="宋体" w:hint="default"/>
                            <w:spacing w:val="-9"/>
                            <w:sz w:val="18"/>
                            <w:szCs w:val="18"/>
                          </w:rPr>
                          <w:t>违反国家法律法规；（</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）缺乏民主决策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0"/>
                            <w:sz w:val="18"/>
                            <w:szCs w:val="18"/>
                          </w:rPr>
                          <w:t>程序、决策程序不科学，出现重大失误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给公司造成重大财产损失；（</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）公司存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在重大资产被私人占用的行为；（</w:t>
                        </w:r>
                        <w:r>
                          <w:rPr>
                            <w:rFonts w:ascii="Times New Roman" w:hAnsi="Times New Roman" w:cs="Times New Roman" w:eastAsia="Times New Roman" w:hint="default"/>
                            <w:spacing w:val="-11"/>
                            <w:sz w:val="18"/>
                            <w:szCs w:val="18"/>
                          </w:rPr>
                          <w:t>4</w:t>
                        </w:r>
                        <w:r>
                          <w:rPr>
                            <w:rFonts w:ascii="宋体" w:hAnsi="宋体" w:cs="宋体" w:eastAsia="宋体" w:hint="default"/>
                            <w:spacing w:val="-11"/>
                            <w:sz w:val="18"/>
                            <w:szCs w:val="18"/>
                          </w:rPr>
                          <w:t>）公</w:t>
                        </w:r>
                        <w:r>
                          <w:rPr>
                            <w:rFonts w:ascii="宋体" w:hAnsi="宋体" w:cs="宋体" w:eastAsia="宋体" w:hint="default"/>
                            <w:spacing w:val="-81"/>
                            <w:sz w:val="18"/>
                            <w:szCs w:val="18"/>
                          </w:rPr>
                          <w:t> </w:t>
                        </w:r>
                        <w:r>
                          <w:rPr>
                            <w:rFonts w:ascii="宋体" w:hAnsi="宋体" w:cs="宋体" w:eastAsia="宋体" w:hint="default"/>
                            <w:sz w:val="18"/>
                            <w:szCs w:val="18"/>
                          </w:rPr>
                          <w:t>司存在遭受证监会重大处罚事件或证</w:t>
                        </w:r>
                        <w:r>
                          <w:rPr>
                            <w:rFonts w:ascii="宋体" w:hAnsi="宋体" w:cs="宋体" w:eastAsia="宋体" w:hint="default"/>
                            <w:sz w:val="18"/>
                            <w:szCs w:val="18"/>
                          </w:rPr>
                          <w:t> </w:t>
                        </w:r>
                        <w:r>
                          <w:rPr>
                            <w:rFonts w:ascii="宋体" w:hAnsi="宋体" w:cs="宋体" w:eastAsia="宋体" w:hint="default"/>
                            <w:spacing w:val="-9"/>
                            <w:sz w:val="18"/>
                            <w:szCs w:val="18"/>
                          </w:rPr>
                          <w:t>券交易所警告的情况；（</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）公司出现严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4"/>
                            <w:sz w:val="18"/>
                            <w:szCs w:val="18"/>
                          </w:rPr>
                          <w:t>重质量、环境与职业健康安全事件；（</w:t>
                        </w:r>
                        <w:r>
                          <w:rPr>
                            <w:rFonts w:ascii="Times New Roman" w:hAnsi="Times New Roman" w:cs="Times New Roman" w:eastAsia="Times New Roman" w:hint="default"/>
                            <w:spacing w:val="-14"/>
                            <w:sz w:val="18"/>
                            <w:szCs w:val="18"/>
                          </w:rPr>
                          <w:t>6</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重要业务缺乏制度控制或制度系统性 失效。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）公司存在大额资产</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shd w:val="clear" w:color="auto" w:fill="C6ECCC"/>
                      </w:tcPr>
                      <w:p>
                        <w:pPr/>
                      </w:p>
                    </w:tc>
                    <w:tc>
                      <w:tcPr>
                        <w:tcW w:w="3051" w:type="dxa"/>
                        <w:vMerge/>
                        <w:tcBorders>
                          <w:left w:val="single" w:sz="4" w:space="0" w:color="000000"/>
                          <w:right w:val="single" w:sz="4" w:space="0" w:color="000000"/>
                        </w:tcBorders>
                        <w:shd w:val="clear" w:color="auto" w:fill="C6ECCC"/>
                      </w:tcPr>
                      <w:p>
                        <w:pPr/>
                      </w:p>
                    </w:tc>
                  </w:tr>
                  <w:tr>
                    <w:trPr>
                      <w:trHeight w:val="1555"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shd w:val="clear" w:color="auto" w:fill="C6ECCC"/>
                      </w:tcPr>
                      <w:p>
                        <w:pPr/>
                      </w:p>
                    </w:tc>
                    <w:tc>
                      <w:tcPr>
                        <w:tcW w:w="3051" w:type="dxa"/>
                        <w:vMerge/>
                        <w:tcBorders>
                          <w:left w:val="single" w:sz="4" w:space="0" w:color="000000"/>
                          <w:bottom w:val="single" w:sz="4" w:space="0" w:color="000000"/>
                          <w:right w:val="single" w:sz="4" w:space="0" w:color="000000"/>
                        </w:tcBorders>
                        <w:shd w:val="clear" w:color="auto" w:fill="C6ECCC"/>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1140"/>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258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10"/>
              <w:ind w:left="23" w:right="21"/>
              <w:jc w:val="left"/>
              <w:rPr>
                <w:rFonts w:ascii="宋体" w:hAnsi="宋体" w:cs="宋体" w:eastAsia="宋体" w:hint="default"/>
                <w:sz w:val="18"/>
                <w:szCs w:val="18"/>
              </w:rPr>
            </w:pPr>
            <w:r>
              <w:rPr>
                <w:rFonts w:ascii="宋体" w:hAnsi="宋体" w:cs="宋体" w:eastAsia="宋体" w:hint="default"/>
                <w:spacing w:val="-5"/>
                <w:sz w:val="18"/>
                <w:szCs w:val="18"/>
              </w:rPr>
              <w:t>立反舞弊程序和控制措施；（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w:t>
            </w:r>
            <w:r>
              <w:rPr>
                <w:rFonts w:ascii="宋体" w:hAnsi="宋体" w:cs="宋体" w:eastAsia="宋体" w:hint="default"/>
                <w:spacing w:val="-85"/>
                <w:sz w:val="18"/>
                <w:szCs w:val="18"/>
              </w:rPr>
              <w:t> </w:t>
            </w:r>
            <w:r>
              <w:rPr>
                <w:rFonts w:ascii="宋体" w:hAnsi="宋体" w:cs="宋体" w:eastAsia="宋体" w:hint="default"/>
                <w:sz w:val="18"/>
                <w:szCs w:val="18"/>
              </w:rPr>
              <w:t>规或特殊交易的账务处理没有建立相应的 控制机制或没有实施且没有相应的补偿性 </w:t>
            </w:r>
            <w:r>
              <w:rPr>
                <w:rFonts w:ascii="宋体" w:hAnsi="宋体" w:cs="宋体" w:eastAsia="宋体" w:hint="default"/>
                <w:spacing w:val="-5"/>
                <w:sz w:val="18"/>
                <w:szCs w:val="18"/>
              </w:rPr>
              <w:t>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）对于期末财务报告过程的控制</w:t>
            </w:r>
            <w:r>
              <w:rPr>
                <w:rFonts w:ascii="宋体" w:hAnsi="宋体" w:cs="宋体" w:eastAsia="宋体" w:hint="default"/>
                <w:spacing w:val="-85"/>
                <w:sz w:val="18"/>
                <w:szCs w:val="18"/>
              </w:rPr>
              <w:t> </w:t>
            </w:r>
            <w:r>
              <w:rPr>
                <w:rFonts w:ascii="宋体" w:hAnsi="宋体" w:cs="宋体" w:eastAsia="宋体" w:hint="default"/>
                <w:sz w:val="18"/>
                <w:szCs w:val="18"/>
              </w:rPr>
              <w:t>存在一项或多项缺陷且不能合理保证编制 的财务报表达到真实、完整的目标。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、一般缺陷的认定标准：是指除上述重大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缺陷、重要缺陷之外的其他控制缺陷。</w:t>
            </w:r>
          </w:p>
        </w:tc>
        <w:tc>
          <w:tcPr>
            <w:tcW w:w="30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4" w:lineRule="auto" w:before="10"/>
              <w:ind w:left="22" w:right="20"/>
              <w:jc w:val="left"/>
              <w:rPr>
                <w:rFonts w:ascii="宋体" w:hAnsi="宋体" w:cs="宋体" w:eastAsia="宋体" w:hint="default"/>
                <w:sz w:val="18"/>
                <w:szCs w:val="18"/>
              </w:rPr>
            </w:pPr>
            <w:r>
              <w:rPr>
                <w:rFonts w:ascii="宋体" w:hAnsi="宋体" w:cs="宋体" w:eastAsia="宋体" w:hint="default"/>
                <w:spacing w:val="-9"/>
                <w:sz w:val="18"/>
                <w:szCs w:val="18"/>
              </w:rPr>
              <w:t>运用失效的行为；（</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）公司关键经营业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务存在缺乏控制标准或标准失效的情 </w:t>
            </w:r>
            <w:r>
              <w:rPr>
                <w:rFonts w:ascii="宋体" w:hAnsi="宋体" w:cs="宋体" w:eastAsia="宋体" w:hint="default"/>
                <w:spacing w:val="-9"/>
                <w:sz w:val="18"/>
                <w:szCs w:val="18"/>
              </w:rPr>
              <w:t>况；（</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）重要业务制度控制或系统存在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缺陷；（</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）公司出现重要的质量、环境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与职业健康安全事件；（</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）公司管理层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存在重要越权行为。</w:t>
            </w:r>
          </w:p>
          <w:p>
            <w:pPr>
              <w:pStyle w:val="TableParagraph"/>
              <w:spacing w:line="302" w:lineRule="auto" w:before="67"/>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、一般缺陷的判断标准是指：除上述 重大、重要缺陷外的其他控制缺陷。</w:t>
            </w:r>
          </w:p>
        </w:tc>
      </w:tr>
      <w:tr>
        <w:trPr>
          <w:trHeight w:val="22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 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、重要缺陷：利润总额的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 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潜在错报</w:t>
            </w:r>
          </w:p>
          <w:p>
            <w:pPr>
              <w:pStyle w:val="TableParagraph"/>
              <w:spacing w:line="300" w:lineRule="auto" w:before="13"/>
              <w:ind w:left="23" w:right="112"/>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、一般缺陷：潜在错报＜利润总额的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潜在错报＜资产总额的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3"/>
              <w:ind w:left="22" w:right="136"/>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pict>
          <v:shape style="position:absolute;margin-left:376.660004pt;margin-top:-123.964371pt;width:158.25pt;height:31.2pt;mso-position-horizontal-relative:page;mso-position-vertical-relative:paragraph;z-index:-796336" type="#_x0000_t202" filled="false" stroked="false">
            <v:textbox inset="0,0,0,0">
              <w:txbxContent>
                <w:p>
                  <w:pPr>
                    <w:pStyle w:val="BodyText"/>
                    <w:spacing w:line="207" w:lineRule="exact"/>
                    <w:ind w:left="0" w:right="0"/>
                    <w:jc w:val="left"/>
                  </w:pPr>
                  <w:r>
                    <w:rPr/>
                    <w:t>；</w:t>
                  </w:r>
                </w:p>
              </w:txbxContent>
            </v:textbox>
            <w10:wrap type="none"/>
          </v:shape>
        </w:pict>
      </w:r>
      <w:bookmarkStart w:name="十、内部控制审计报告或鉴证报告" w:id="147"/>
      <w:bookmarkEnd w:id="147"/>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我们认为，科创信息按照《企业内部控制基本规范》及相关规定于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日在所有重大方面保持了有效的与财 务报告有关的内部控制。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日在巨潮资讯网（</w:t>
            </w:r>
            <w:hyperlink r:id="rId11">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）披露的《内部控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制鉴证报告》。</w:t>
            </w:r>
          </w:p>
        </w:tc>
      </w:tr>
      <w:tr>
        <w:trPr>
          <w:trHeight w:val="402" w:hRule="exact"/>
        </w:trPr>
        <w:tc>
          <w:tcPr>
            <w:tcW w:w="2662"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338" w:lineRule="auto" w:before="117"/>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48"/>
      <w:bookmarkStart w:name="第十节 公司债券相关情况" w:id="149"/>
      <w:r>
        <w:rPr>
          <w:b w:val="0"/>
          <w:bCs w:val="0"/>
        </w:rPr>
      </w:r>
      <w:r>
        <w:rPr/>
        <w:t>第十节</w:t>
      </w:r>
      <w:r>
        <w:rPr>
          <w:spacing w:val="-9"/>
        </w:rPr>
        <w:t> </w:t>
      </w:r>
      <w:r>
        <w:rPr/>
        <w:t>公司债券相关情况</w:t>
      </w:r>
      <w:bookmarkEnd w:id="148"/>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_TOC_250001" w:id="150"/>
      <w:bookmarkStart w:name="第十一节 财务报告" w:id="151"/>
      <w:r>
        <w:rPr>
          <w:b w:val="0"/>
          <w:bCs w:val="0"/>
        </w:rPr>
      </w:r>
      <w:r>
        <w:rPr/>
        <w:t>第十一节</w:t>
      </w:r>
      <w:r>
        <w:rPr>
          <w:spacing w:val="-6"/>
        </w:rPr>
        <w:t> </w:t>
      </w:r>
      <w:r>
        <w:rPr/>
        <w:t>财务报告</w:t>
      </w:r>
      <w:bookmarkEnd w:id="15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2"/>
      <w:bookmarkEnd w:id="152"/>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天职国际会计师事务所（特殊普通合伙）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天职业字</w:t>
            </w:r>
            <w:r>
              <w:rPr>
                <w:rFonts w:ascii="Times New Roman" w:hAnsi="Times New Roman" w:cs="Times New Roman" w:eastAsia="Times New Roman" w:hint="default"/>
                <w:sz w:val="18"/>
                <w:szCs w:val="18"/>
              </w:rPr>
              <w:t>[2019]4578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曾春卫、刘智清、冯俭专</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8"/>
          <w:szCs w:val="28"/>
        </w:rPr>
      </w:pPr>
    </w:p>
    <w:p>
      <w:pPr>
        <w:pStyle w:val="Heading4"/>
        <w:spacing w:line="240" w:lineRule="auto"/>
        <w:ind w:right="-20" w:firstLine="0"/>
        <w:jc w:val="left"/>
      </w:pPr>
      <w:r>
        <w:rPr/>
        <w:t>审计报告</w:t>
      </w:r>
    </w:p>
    <w:p>
      <w:pPr>
        <w:pStyle w:val="BodyText"/>
        <w:spacing w:line="240" w:lineRule="auto" w:before="51"/>
        <w:ind w:left="695" w:right="0"/>
        <w:jc w:val="left"/>
      </w:pPr>
      <w:r>
        <w:rPr/>
        <w:br w:type="column"/>
      </w:r>
      <w:r>
        <w:rPr/>
        <w:t>审计报告正文</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8"/>
          <w:szCs w:val="28"/>
        </w:rPr>
      </w:pPr>
    </w:p>
    <w:p>
      <w:pPr>
        <w:pStyle w:val="Heading4"/>
        <w:spacing w:line="240" w:lineRule="auto"/>
        <w:ind w:left="153" w:right="0" w:firstLine="0"/>
        <w:jc w:val="left"/>
      </w:pPr>
      <w:r>
        <w:rPr/>
        <w:pict>
          <v:shape style="position:absolute;margin-left:243.649994pt;margin-top:-86.946342pt;width:108.0pt;height:81.75pt;mso-position-horizontal-relative:page;mso-position-vertical-relative:paragraph;z-index:1528" type="#_x0000_t75" stroked="false">
            <v:imagedata r:id="rId13" o:title=""/>
          </v:shape>
        </w:pict>
      </w:r>
      <w:r>
        <w:rPr/>
        <w:t>天职业字</w:t>
      </w:r>
      <w:r>
        <w:rPr>
          <w:rFonts w:ascii="Times New Roman" w:hAnsi="Times New Roman" w:cs="Times New Roman" w:eastAsia="Times New Roman" w:hint="default"/>
        </w:rPr>
        <w:t>[2019]4578</w:t>
      </w:r>
      <w:r>
        <w:rPr/>
        <w:t>号</w:t>
      </w:r>
    </w:p>
    <w:p>
      <w:pPr>
        <w:spacing w:after="0" w:line="240" w:lineRule="auto"/>
        <w:jc w:val="left"/>
        <w:sectPr>
          <w:type w:val="continuous"/>
          <w:pgSz w:w="11910" w:h="16840"/>
          <w:pgMar w:top="1060" w:bottom="1160" w:left="980" w:right="0"/>
          <w:cols w:num="3" w:equalWidth="0">
            <w:col w:w="995" w:space="2744"/>
            <w:col w:w="2314" w:space="1556"/>
            <w:col w:w="3321"/>
          </w:cols>
        </w:sectPr>
      </w:pPr>
    </w:p>
    <w:p>
      <w:pPr>
        <w:spacing w:line="240" w:lineRule="auto" w:before="4"/>
        <w:rPr>
          <w:rFonts w:ascii="宋体" w:hAnsi="宋体" w:cs="宋体" w:eastAsia="宋体" w:hint="default"/>
          <w:sz w:val="17"/>
          <w:szCs w:val="17"/>
        </w:rPr>
      </w:pPr>
    </w:p>
    <w:p>
      <w:pPr>
        <w:pStyle w:val="Heading4"/>
        <w:spacing w:line="240" w:lineRule="auto" w:before="35"/>
        <w:ind w:right="0" w:firstLine="0"/>
        <w:jc w:val="left"/>
      </w:pPr>
      <w:r>
        <w:rPr/>
        <w:t>湖南科创信息技术股份有限公司全体股东：</w:t>
      </w:r>
    </w:p>
    <w:p>
      <w:pPr>
        <w:spacing w:line="240" w:lineRule="auto" w:before="4"/>
        <w:rPr>
          <w:rFonts w:ascii="宋体" w:hAnsi="宋体" w:cs="宋体" w:eastAsia="宋体" w:hint="default"/>
          <w:sz w:val="19"/>
          <w:szCs w:val="19"/>
        </w:rPr>
      </w:pPr>
    </w:p>
    <w:p>
      <w:pPr>
        <w:pStyle w:val="Heading2"/>
        <w:spacing w:line="240" w:lineRule="auto"/>
        <w:ind w:left="636" w:right="0"/>
        <w:jc w:val="left"/>
        <w:rPr>
          <w:b w:val="0"/>
          <w:bCs w:val="0"/>
        </w:rPr>
      </w:pPr>
      <w:r>
        <w:rPr/>
        <w:t>一、审计意见</w:t>
      </w:r>
      <w:r>
        <w:rPr>
          <w:b w:val="0"/>
          <w:bCs w:val="0"/>
        </w:rPr>
      </w:r>
    </w:p>
    <w:p>
      <w:pPr>
        <w:spacing w:line="240" w:lineRule="auto" w:before="0"/>
        <w:rPr>
          <w:rFonts w:ascii="宋体" w:hAnsi="宋体" w:cs="宋体" w:eastAsia="宋体" w:hint="default"/>
          <w:b/>
          <w:bCs/>
          <w:sz w:val="20"/>
          <w:szCs w:val="20"/>
        </w:rPr>
      </w:pPr>
    </w:p>
    <w:p>
      <w:pPr>
        <w:pStyle w:val="Heading4"/>
        <w:spacing w:line="256" w:lineRule="auto"/>
        <w:ind w:right="1129"/>
        <w:jc w:val="both"/>
      </w:pPr>
      <w:r>
        <w:rPr>
          <w:spacing w:val="-5"/>
        </w:rPr>
        <w:t>我们审计了湖南科创信息技术股份有限公司（以下简称“科创信息”或“公司”）财务报表，包括</w:t>
      </w:r>
      <w:r>
        <w:rPr>
          <w:rFonts w:ascii="Times New Roman" w:hAnsi="Times New Roman" w:cs="Times New Roman" w:eastAsia="Times New Roman" w:hint="default"/>
          <w:spacing w:val="-5"/>
        </w:rPr>
        <w:t>2018</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日的合并资产负债表及资产负债表，</w:t>
      </w:r>
      <w:r>
        <w:rPr>
          <w:rFonts w:ascii="Times New Roman" w:hAnsi="Times New Roman" w:cs="Times New Roman" w:eastAsia="Times New Roman" w:hint="default"/>
          <w:spacing w:val="-1"/>
        </w:rPr>
        <w:t>2018</w:t>
      </w:r>
      <w:r>
        <w:rPr>
          <w:spacing w:val="-1"/>
        </w:rPr>
        <w:t>年度合并利润表及利润表、合并现金流量表及现金流量</w:t>
      </w:r>
      <w:r>
        <w:rPr>
          <w:spacing w:val="-82"/>
        </w:rPr>
        <w:t> </w:t>
      </w:r>
      <w:r>
        <w:rPr>
          <w:spacing w:val="-82"/>
        </w:rPr>
      </w:r>
      <w:r>
        <w:rPr/>
        <w:t>表、合并所有者权益变动表及所有者权益变动表以及相关财务报表附注。</w:t>
      </w:r>
    </w:p>
    <w:p>
      <w:pPr>
        <w:pStyle w:val="Heading4"/>
        <w:spacing w:line="256" w:lineRule="auto" w:before="142"/>
        <w:ind w:right="1130"/>
        <w:jc w:val="both"/>
      </w:pPr>
      <w:r>
        <w:rPr>
          <w:spacing w:val="-1"/>
        </w:rPr>
        <w:t>我们认为，后附的财务报表在所有重大方面按照企业会计准则的规定编制，公允反映了科创信息</w:t>
      </w:r>
      <w:r>
        <w:rPr>
          <w:rFonts w:ascii="Times New Roman" w:hAnsi="Times New Roman" w:cs="Times New Roman" w:eastAsia="Times New Roman" w:hint="default"/>
          <w:spacing w:val="-1"/>
        </w:rPr>
        <w:t>2018</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日的合并财务状况及财务状况，</w:t>
      </w:r>
      <w:r>
        <w:rPr>
          <w:rFonts w:ascii="Times New Roman" w:hAnsi="Times New Roman" w:cs="Times New Roman" w:eastAsia="Times New Roman" w:hint="default"/>
          <w:spacing w:val="-1"/>
        </w:rPr>
        <w:t>2018</w:t>
      </w:r>
      <w:r>
        <w:rPr>
          <w:spacing w:val="-1"/>
        </w:rPr>
        <w:t>年度的合并经营成果和合并现金流量以及经营成果和现金流</w:t>
      </w:r>
      <w:r>
        <w:rPr>
          <w:spacing w:val="-80"/>
        </w:rPr>
        <w:t> </w:t>
      </w:r>
      <w:r>
        <w:rPr/>
        <w:t>量。</w:t>
      </w:r>
    </w:p>
    <w:p>
      <w:pPr>
        <w:spacing w:line="240" w:lineRule="auto" w:before="3"/>
        <w:rPr>
          <w:rFonts w:ascii="宋体" w:hAnsi="宋体" w:cs="宋体" w:eastAsia="宋体" w:hint="default"/>
          <w:sz w:val="18"/>
          <w:szCs w:val="18"/>
        </w:rPr>
      </w:pPr>
    </w:p>
    <w:p>
      <w:pPr>
        <w:pStyle w:val="Heading2"/>
        <w:spacing w:line="240" w:lineRule="auto"/>
        <w:ind w:left="636" w:right="0"/>
        <w:jc w:val="left"/>
        <w:rPr>
          <w:b w:val="0"/>
          <w:bCs w:val="0"/>
        </w:rPr>
      </w:pPr>
      <w:r>
        <w:rPr/>
        <w:t>二、形成审计意见的基础</w:t>
      </w:r>
      <w:r>
        <w:rPr>
          <w:b w:val="0"/>
          <w:bCs w:val="0"/>
        </w:rPr>
      </w:r>
    </w:p>
    <w:p>
      <w:pPr>
        <w:spacing w:line="240" w:lineRule="auto" w:before="0"/>
        <w:rPr>
          <w:rFonts w:ascii="宋体" w:hAnsi="宋体" w:cs="宋体" w:eastAsia="宋体" w:hint="default"/>
          <w:b/>
          <w:bCs/>
          <w:sz w:val="20"/>
          <w:szCs w:val="20"/>
        </w:rPr>
      </w:pPr>
    </w:p>
    <w:p>
      <w:pPr>
        <w:pStyle w:val="Heading4"/>
        <w:spacing w:line="261" w:lineRule="auto"/>
        <w:ind w:right="1129"/>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 </w:t>
      </w: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部分进一步阐述了我们在这些准则下的责任。按照中国注册会计师职业道德守则，我们独立于科</w:t>
      </w:r>
      <w:r>
        <w:rPr>
          <w:spacing w:val="-25"/>
        </w:rPr>
        <w:t> </w:t>
      </w:r>
      <w:r>
        <w:rPr>
          <w:spacing w:val="-25"/>
        </w:rPr>
      </w:r>
      <w:r>
        <w:rPr>
          <w:spacing w:val="-1"/>
        </w:rPr>
        <w:t>创信息，并履行了职业道德方面的其他责任。我们相信，我们获取的审计证据是充分、适当的，为发表审</w:t>
      </w:r>
      <w:r>
        <w:rPr>
          <w:spacing w:val="-83"/>
        </w:rPr>
        <w:t> </w:t>
      </w:r>
      <w:r>
        <w:rPr>
          <w:spacing w:val="-83"/>
        </w:rPr>
      </w:r>
      <w:r>
        <w:rPr/>
        <w:t>计意见提供了基础。</w:t>
      </w:r>
    </w:p>
    <w:p>
      <w:pPr>
        <w:spacing w:line="240" w:lineRule="auto" w:before="12"/>
        <w:rPr>
          <w:rFonts w:ascii="宋体" w:hAnsi="宋体" w:cs="宋体" w:eastAsia="宋体" w:hint="default"/>
          <w:sz w:val="17"/>
          <w:szCs w:val="17"/>
        </w:rPr>
      </w:pPr>
    </w:p>
    <w:p>
      <w:pPr>
        <w:pStyle w:val="Heading2"/>
        <w:spacing w:line="240" w:lineRule="auto"/>
        <w:ind w:left="636" w:right="0"/>
        <w:jc w:val="left"/>
        <w:rPr>
          <w:b w:val="0"/>
          <w:bCs w:val="0"/>
        </w:rPr>
      </w:pPr>
      <w:r>
        <w:rPr/>
        <w:t>三、关键审计事项</w:t>
      </w:r>
      <w:r>
        <w:rPr>
          <w:b w:val="0"/>
          <w:bCs w:val="0"/>
        </w:rPr>
      </w:r>
    </w:p>
    <w:p>
      <w:pPr>
        <w:spacing w:line="240" w:lineRule="auto" w:before="0"/>
        <w:rPr>
          <w:rFonts w:ascii="宋体" w:hAnsi="宋体" w:cs="宋体" w:eastAsia="宋体" w:hint="default"/>
          <w:b/>
          <w:bCs/>
          <w:sz w:val="20"/>
          <w:szCs w:val="20"/>
        </w:rPr>
      </w:pPr>
    </w:p>
    <w:p>
      <w:pPr>
        <w:pStyle w:val="Heading4"/>
        <w:spacing w:line="273" w:lineRule="auto"/>
        <w:ind w:right="1130"/>
        <w:jc w:val="both"/>
      </w:pPr>
      <w:r>
        <w:rPr>
          <w:spacing w:val="-1"/>
        </w:rPr>
        <w:t>关键审计事项是我们根据职业判断，认为对本期财务报表审计最为重要的事项。这些事项的应对以对</w:t>
      </w:r>
      <w:r>
        <w:rPr/>
        <w:t> 财务报表整体进行审计并形成审计意见为背景，我们不对这些事项单独发表意见。</w:t>
      </w:r>
    </w:p>
    <w:p>
      <w:pPr>
        <w:spacing w:after="0" w:line="273" w:lineRule="auto"/>
        <w:jc w:val="both"/>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firstLine="0"/>
        <w:jc w:val="left"/>
      </w:pPr>
      <w:r>
        <w:rPr/>
        <w:t>审计报告（续）</w:t>
      </w:r>
    </w:p>
    <w:p>
      <w:pPr>
        <w:pStyle w:val="Heading4"/>
        <w:spacing w:line="240" w:lineRule="auto" w:before="37"/>
        <w:ind w:left="0" w:right="1129" w:firstLine="0"/>
        <w:jc w:val="right"/>
      </w:pPr>
      <w:r>
        <w:rPr/>
        <w:t>天职业字</w:t>
      </w:r>
      <w:r>
        <w:rPr>
          <w:rFonts w:ascii="Times New Roman" w:hAnsi="Times New Roman" w:cs="Times New Roman" w:eastAsia="Times New Roman" w:hint="default"/>
        </w:rPr>
        <w:t>[2019]4578</w:t>
      </w:r>
      <w:r>
        <w:rPr/>
        <w:t>号</w:t>
      </w:r>
    </w:p>
    <w:p>
      <w:pPr>
        <w:spacing w:line="240" w:lineRule="auto" w:before="4"/>
        <w:rPr>
          <w:rFonts w:ascii="宋体" w:hAnsi="宋体" w:cs="宋体" w:eastAsia="宋体" w:hint="default"/>
          <w:sz w:val="11"/>
          <w:szCs w:val="11"/>
        </w:rPr>
      </w:pPr>
    </w:p>
    <w:p>
      <w:pPr>
        <w:pStyle w:val="Heading5"/>
        <w:tabs>
          <w:tab w:pos="5524" w:val="left" w:leader="none"/>
        </w:tabs>
        <w:spacing w:line="240" w:lineRule="auto"/>
        <w:ind w:left="1432" w:right="0"/>
        <w:jc w:val="left"/>
        <w:rPr>
          <w:b w:val="0"/>
          <w:bCs w:val="0"/>
        </w:rPr>
      </w:pPr>
      <w:r>
        <w:rPr/>
        <w:pict>
          <v:group style="position:absolute;margin-left:56.34pt;margin-top:.051687pt;width:473.2pt;height:629.85pt;mso-position-horizontal-relative:page;mso-position-vertical-relative:paragraph;z-index:-796264" coordorigin="1127,1" coordsize="9464,12597">
            <v:group style="position:absolute;left:1141;top:15;width:3628;height:2" coordorigin="1141,15" coordsize="3628,2">
              <v:shape style="position:absolute;left:1141;top:15;width:3628;height:2" coordorigin="1141,15" coordsize="3628,0" path="m1141,15l4769,15e" filled="false" stroked="true" strokeweight=".72pt" strokecolor="#000000">
                <v:path arrowok="t"/>
              </v:shape>
            </v:group>
            <v:group style="position:absolute;left:4784;top:15;width:5792;height:2" coordorigin="4784,15" coordsize="5792,2">
              <v:shape style="position:absolute;left:4784;top:15;width:5792;height:2" coordorigin="4784,15" coordsize="5792,0" path="m4784,15l10576,15e" filled="false" stroked="true" strokeweight=".72pt" strokecolor="#000000">
                <v:path arrowok="t"/>
              </v:shape>
            </v:group>
            <v:group style="position:absolute;left:4776;top:8;width:2;height:563" coordorigin="4776,8" coordsize="2,563">
              <v:shape style="position:absolute;left:4776;top:8;width:2;height:563" coordorigin="4776,8" coordsize="0,563" path="m4776,8l4776,571e" filled="false" stroked="true" strokeweight=".72pt" strokecolor="#000000">
                <v:path arrowok="t"/>
              </v:shape>
            </v:group>
            <v:group style="position:absolute;left:1141;top:564;width:3628;height:2" coordorigin="1141,564" coordsize="3628,2">
              <v:shape style="position:absolute;left:1141;top:564;width:3628;height:2" coordorigin="1141,564" coordsize="3628,0" path="m1141,564l4769,564e" filled="false" stroked="true" strokeweight=".72pt" strokecolor="#000000">
                <v:path arrowok="t"/>
              </v:shape>
            </v:group>
            <v:group style="position:absolute;left:4784;top:564;width:5792;height:2" coordorigin="4784,564" coordsize="5792,2">
              <v:shape style="position:absolute;left:4784;top:564;width:5792;height:2" coordorigin="4784,564" coordsize="5792,0" path="m4784,564l10576,564e" filled="false" stroked="true" strokeweight=".72pt" strokecolor="#000000">
                <v:path arrowok="t"/>
              </v:shape>
            </v:group>
            <v:group style="position:absolute;left:4785;top:1132;width:2;height:4665" coordorigin="4785,1132" coordsize="2,4665">
              <v:shape style="position:absolute;left:4785;top:1132;width:2;height:4665" coordorigin="4785,1132" coordsize="0,4665" path="m4785,1132l4785,5796e" filled="false" stroked="true" strokeweight=".12pt" strokecolor="#ffffff">
                <v:path arrowok="t"/>
              </v:shape>
            </v:group>
            <v:group style="position:absolute;left:4784;top:5796;width:5794;height:1758" coordorigin="4784,5796" coordsize="5794,1758">
              <v:shape style="position:absolute;left:4784;top:5796;width:5794;height:1758" coordorigin="4784,5796" coordsize="5794,1758" path="m4784,7553l10577,7553,10577,5796,4784,5796,4784,7553xe" filled="true" fillcolor="#ffffff" stroked="false">
                <v:path arrowok="t"/>
                <v:fill type="solid"/>
              </v:shape>
            </v:group>
            <v:group style="position:absolute;left:4786;top:2208;width:5788;height:359" coordorigin="4786,2208" coordsize="5788,359">
              <v:shape style="position:absolute;left:4786;top:2208;width:5788;height:359" coordorigin="4786,2208" coordsize="5788,359" path="m4786,2567l10573,2567,10573,2208,4786,2208,4786,2567xe" filled="true" fillcolor="#ffffff" stroked="false">
                <v:path arrowok="t"/>
                <v:fill type="solid"/>
              </v:shape>
            </v:group>
            <v:group style="position:absolute;left:1141;top:1114;width:3628;height:2" coordorigin="1141,1114" coordsize="3628,2">
              <v:shape style="position:absolute;left:1141;top:1114;width:3628;height:2" coordorigin="1141,1114" coordsize="3628,0" path="m1141,1114l4769,1114e" filled="false" stroked="true" strokeweight=".72pt" strokecolor="#000000">
                <v:path arrowok="t"/>
              </v:shape>
            </v:group>
            <v:group style="position:absolute;left:4784;top:1114;width:5792;height:2" coordorigin="4784,1114" coordsize="5792,2">
              <v:shape style="position:absolute;left:4784;top:1114;width:5792;height:2" coordorigin="4784,1114" coordsize="5792,0" path="m4784,1114l10576,1114e" filled="false" stroked="true" strokeweight=".72pt" strokecolor="#000000">
                <v:path arrowok="t"/>
              </v:shape>
            </v:group>
            <v:group style="position:absolute;left:4776;top:7547;width:5807;height:2" coordorigin="4776,7547" coordsize="5807,2">
              <v:shape style="position:absolute;left:4776;top:7547;width:5807;height:2" coordorigin="4776,7547" coordsize="5807,0" path="m4776,7547l10583,7547e" filled="false" stroked="true" strokeweight=".48001pt" strokecolor="#ffffff">
                <v:path arrowok="t"/>
              </v:shape>
            </v:group>
            <v:group style="position:absolute;left:1141;top:7561;width:3628;height:2" coordorigin="1141,7561" coordsize="3628,2">
              <v:shape style="position:absolute;left:1141;top:7561;width:3628;height:2" coordorigin="1141,7561" coordsize="3628,0" path="m1141,7561l4769,7561e" filled="false" stroked="true" strokeweight=".72pt" strokecolor="#000000">
                <v:path arrowok="t"/>
              </v:shape>
            </v:group>
            <v:group style="position:absolute;left:4784;top:7561;width:5792;height:2" coordorigin="4784,7561" coordsize="5792,2">
              <v:shape style="position:absolute;left:4784;top:7561;width:5792;height:2" coordorigin="4784,7561" coordsize="5792,0" path="m4784,7561l10576,7561e" filled="false" stroked="true" strokeweight=".72pt" strokecolor="#000000">
                <v:path arrowok="t"/>
              </v:shape>
            </v:group>
            <v:group style="position:absolute;left:4785;top:8107;width:2;height:3588" coordorigin="4785,8107" coordsize="2,3588">
              <v:shape style="position:absolute;left:4785;top:8107;width:2;height:3588" coordorigin="4785,8107" coordsize="0,3588" path="m4785,8107l4785,11695e" filled="false" stroked="true" strokeweight=".12pt" strokecolor="#ffffff">
                <v:path arrowok="t"/>
              </v:shape>
            </v:group>
            <v:group style="position:absolute;left:1141;top:8089;width:3628;height:2" coordorigin="1141,8089" coordsize="3628,2">
              <v:shape style="position:absolute;left:1141;top:8089;width:3628;height:2" coordorigin="1141,8089" coordsize="3628,0" path="m1141,8089l4769,8089e" filled="false" stroked="true" strokeweight=".72003pt" strokecolor="#000000">
                <v:path arrowok="t"/>
              </v:shape>
            </v:group>
            <v:group style="position:absolute;left:4784;top:8089;width:5792;height:2" coordorigin="4784,8089" coordsize="5792,2">
              <v:shape style="position:absolute;left:4784;top:8089;width:5792;height:2" coordorigin="4784,8089" coordsize="5792,0" path="m4784,8089l10576,8089e" filled="false" stroked="true" strokeweight=".72003pt" strokecolor="#000000">
                <v:path arrowok="t"/>
              </v:shape>
            </v:group>
            <v:group style="position:absolute;left:1134;top:8;width:2;height:12582" coordorigin="1134,8" coordsize="2,12582">
              <v:shape style="position:absolute;left:1134;top:8;width:2;height:12582" coordorigin="1134,8" coordsize="0,12582" path="m1134,8l1134,12590e" filled="false" stroked="true" strokeweight=".72pt" strokecolor="#000000">
                <v:path arrowok="t"/>
              </v:shape>
            </v:group>
            <v:group style="position:absolute;left:1141;top:12583;width:3628;height:2" coordorigin="1141,12583" coordsize="3628,2">
              <v:shape style="position:absolute;left:1141;top:12583;width:3628;height:2" coordorigin="1141,12583" coordsize="3628,0" path="m1141,12583l4769,12583e" filled="false" stroked="true" strokeweight=".72003pt" strokecolor="#000000">
                <v:path arrowok="t"/>
              </v:shape>
            </v:group>
            <v:group style="position:absolute;left:4776;top:1107;width:2;height:11484" coordorigin="4776,1107" coordsize="2,11484">
              <v:shape style="position:absolute;left:4776;top:1107;width:2;height:11484" coordorigin="4776,1107" coordsize="0,11484" path="m4776,1107l4776,12590e" filled="false" stroked="true" strokeweight=".72pt" strokecolor="#000000">
                <v:path arrowok="t"/>
              </v:shape>
            </v:group>
            <v:group style="position:absolute;left:4784;top:12583;width:5792;height:2" coordorigin="4784,12583" coordsize="5792,2">
              <v:shape style="position:absolute;left:4784;top:12583;width:5792;height:2" coordorigin="4784,12583" coordsize="5792,0" path="m4784,12583l10576,12583e" filled="false" stroked="true" strokeweight=".72003pt" strokecolor="#000000">
                <v:path arrowok="t"/>
              </v:shape>
            </v:group>
            <v:group style="position:absolute;left:10583;top:8;width:2;height:12582" coordorigin="10583,8" coordsize="2,12582">
              <v:shape style="position:absolute;left:10583;top:8;width:2;height:12582" coordorigin="10583,8" coordsize="0,12582" path="m10583,8l10583,12590e" filled="false" stroked="true" strokeweight=".72003pt" strokecolor="#000000">
                <v:path arrowok="t"/>
              </v:shape>
            </v:group>
            <w10:wrap type="none"/>
          </v:group>
        </w:pict>
      </w:r>
      <w:r>
        <w:rPr>
          <w:w w:val="95"/>
        </w:rPr>
        <w:t>关键审计事项</w:t>
        <w:tab/>
      </w:r>
      <w:r>
        <w:rPr/>
        <w:t>该事项在审计中是如何应对的</w:t>
      </w:r>
      <w:r>
        <w:rPr>
          <w:b w:val="0"/>
          <w:bCs w:val="0"/>
        </w:rPr>
      </w:r>
    </w:p>
    <w:p>
      <w:pPr>
        <w:spacing w:line="240" w:lineRule="auto" w:before="7"/>
        <w:rPr>
          <w:rFonts w:ascii="宋体" w:hAnsi="宋体" w:cs="宋体" w:eastAsia="宋体" w:hint="default"/>
          <w:b/>
          <w:bCs/>
          <w:sz w:val="20"/>
          <w:szCs w:val="20"/>
        </w:rPr>
      </w:pPr>
    </w:p>
    <w:p>
      <w:pPr>
        <w:pStyle w:val="Heading5"/>
        <w:spacing w:line="240" w:lineRule="auto"/>
        <w:ind w:left="163" w:right="0"/>
        <w:jc w:val="left"/>
        <w:rPr>
          <w:b w:val="0"/>
          <w:bCs w:val="0"/>
        </w:rPr>
      </w:pPr>
      <w:r>
        <w:rPr/>
        <w:t>收入确认</w:t>
      </w:r>
      <w:r>
        <w:rPr>
          <w:b w:val="0"/>
          <w:bCs w:val="0"/>
        </w:rPr>
      </w:r>
    </w:p>
    <w:p>
      <w:pPr>
        <w:spacing w:line="240" w:lineRule="auto" w:before="5"/>
        <w:rPr>
          <w:rFonts w:ascii="宋体" w:hAnsi="宋体" w:cs="宋体" w:eastAsia="宋体" w:hint="default"/>
          <w:b/>
          <w:bCs/>
          <w:sz w:val="22"/>
          <w:szCs w:val="22"/>
        </w:rPr>
      </w:pPr>
    </w:p>
    <w:p>
      <w:pPr>
        <w:pStyle w:val="BodyText"/>
        <w:spacing w:line="350" w:lineRule="auto" w:before="44"/>
        <w:ind w:left="163" w:right="1226"/>
        <w:jc w:val="left"/>
      </w:pPr>
      <w:r>
        <w:rPr/>
        <w:t>公司收入类型主要为系统集成收入、软件开发针对该关键审计事项，我们主要实施了以下审计程序：</w:t>
      </w:r>
      <w:r>
        <w:rPr>
          <w:spacing w:val="-53"/>
        </w:rPr>
        <w:t> </w:t>
      </w:r>
      <w:r>
        <w:rPr>
          <w:spacing w:val="-53"/>
        </w:rPr>
      </w:r>
      <w:r>
        <w:rPr/>
        <w:t>收入及</w:t>
      </w:r>
      <w:r>
        <w:rPr>
          <w:rFonts w:ascii="Times New Roman" w:hAnsi="Times New Roman" w:cs="Times New Roman" w:eastAsia="Times New Roman" w:hint="default"/>
        </w:rPr>
        <w:t>IT</w:t>
      </w:r>
      <w:r>
        <w:rPr/>
        <w:t>运维收入。</w:t>
      </w:r>
      <w:r>
        <w:rPr>
          <w:rFonts w:ascii="Times New Roman" w:hAnsi="Times New Roman" w:cs="Times New Roman" w:eastAsia="Times New Roman" w:hint="default"/>
        </w:rPr>
        <w:t>2018</w:t>
      </w:r>
      <w:r>
        <w:rPr/>
        <w:t>年度，公司营业收入</w:t>
      </w:r>
      <w:r>
        <w:rPr>
          <w:spacing w:val="-65"/>
        </w:rPr>
        <w:t> </w:t>
      </w:r>
      <w:r>
        <w:rPr/>
        <w:t>（</w:t>
      </w:r>
      <w:r>
        <w:rPr>
          <w:rFonts w:ascii="Times New Roman" w:hAnsi="Times New Roman" w:cs="Times New Roman" w:eastAsia="Times New Roman" w:hint="default"/>
        </w:rPr>
        <w:t>1</w:t>
      </w:r>
      <w:r>
        <w:rPr/>
        <w:t>）了解、评价收入确认相关内部控制，测试关键控制执行的有效性；</w:t>
      </w:r>
      <w:r>
        <w:rPr>
          <w:spacing w:val="-68"/>
        </w:rPr>
        <w:t> </w:t>
      </w:r>
      <w:r>
        <w:rPr/>
        <w:t>为</w:t>
      </w:r>
      <w:r>
        <w:rPr>
          <w:rFonts w:ascii="Times New Roman" w:hAnsi="Times New Roman" w:cs="Times New Roman" w:eastAsia="Times New Roman" w:hint="default"/>
        </w:rPr>
        <w:t>332,604,355.71</w:t>
      </w:r>
      <w:r>
        <w:rPr/>
        <w:t>元，其中系统集成收入与软件</w:t>
      </w:r>
      <w:r>
        <w:rPr>
          <w:spacing w:val="-78"/>
        </w:rPr>
        <w:t> </w:t>
      </w:r>
      <w:r>
        <w:rPr>
          <w:spacing w:val="-5"/>
        </w:rPr>
        <w:t>（</w:t>
      </w:r>
      <w:r>
        <w:rPr>
          <w:rFonts w:ascii="Times New Roman" w:hAnsi="Times New Roman" w:cs="Times New Roman" w:eastAsia="Times New Roman" w:hint="default"/>
          <w:spacing w:val="-5"/>
        </w:rPr>
        <w:t>2</w:t>
      </w:r>
      <w:r>
        <w:rPr>
          <w:spacing w:val="-5"/>
        </w:rPr>
        <w:t>）通过对管理层访谈，了解收入确认政策，检查主要客户合同相关条款，</w:t>
      </w:r>
      <w:r>
        <w:rPr/>
        <w:t> 开</w:t>
      </w:r>
      <w:r>
        <w:rPr>
          <w:spacing w:val="-42"/>
        </w:rPr>
        <w:t> </w:t>
      </w:r>
      <w:r>
        <w:rPr/>
        <w:t>发</w:t>
      </w:r>
      <w:r>
        <w:rPr>
          <w:spacing w:val="-42"/>
        </w:rPr>
        <w:t> </w:t>
      </w:r>
      <w:r>
        <w:rPr/>
        <w:t>收</w:t>
      </w:r>
      <w:r>
        <w:rPr>
          <w:spacing w:val="-42"/>
        </w:rPr>
        <w:t> </w:t>
      </w:r>
      <w:r>
        <w:rPr/>
        <w:t>入</w:t>
      </w:r>
      <w:r>
        <w:rPr>
          <w:spacing w:val="-42"/>
        </w:rPr>
        <w:t> </w:t>
      </w:r>
      <w:r>
        <w:rPr/>
        <w:t>金</w:t>
      </w:r>
      <w:r>
        <w:rPr>
          <w:spacing w:val="-41"/>
        </w:rPr>
        <w:t> </w:t>
      </w:r>
      <w:r>
        <w:rPr/>
        <w:t>额</w:t>
      </w:r>
      <w:r>
        <w:rPr>
          <w:spacing w:val="-42"/>
        </w:rPr>
        <w:t> </w:t>
      </w:r>
      <w:r>
        <w:rPr/>
        <w:t>分</w:t>
      </w:r>
      <w:r>
        <w:rPr>
          <w:spacing w:val="-42"/>
        </w:rPr>
        <w:t> </w:t>
      </w:r>
      <w:r>
        <w:rPr/>
        <w:t>别</w:t>
      </w:r>
      <w:r>
        <w:rPr>
          <w:spacing w:val="-42"/>
        </w:rPr>
        <w:t> </w:t>
      </w:r>
      <w:r>
        <w:rPr/>
        <w:t>为</w:t>
      </w:r>
      <w:r>
        <w:rPr>
          <w:spacing w:val="-40"/>
        </w:rPr>
        <w:t> </w:t>
      </w:r>
      <w:r>
        <w:rPr>
          <w:rFonts w:ascii="Times New Roman" w:hAnsi="Times New Roman" w:cs="Times New Roman" w:eastAsia="Times New Roman" w:hint="default"/>
        </w:rPr>
        <w:t>131,481,708.00</w:t>
      </w:r>
      <w:r>
        <w:rPr>
          <w:rFonts w:ascii="Times New Roman" w:hAnsi="Times New Roman" w:cs="Times New Roman" w:eastAsia="Times New Roman" w:hint="default"/>
          <w:spacing w:val="4"/>
        </w:rPr>
        <w:t> </w:t>
      </w:r>
      <w:r>
        <w:rPr/>
        <w:t>元</w:t>
      </w:r>
      <w:r>
        <w:rPr>
          <w:spacing w:val="-43"/>
        </w:rPr>
        <w:t> </w:t>
      </w:r>
      <w:r>
        <w:rPr>
          <w:spacing w:val="-2"/>
        </w:rPr>
        <w:t>和分析评价实际执行的收入确认政策是否适当，复核确认政策是否一贯执行；</w:t>
      </w:r>
      <w:r>
        <w:rPr/>
        <w:t> </w:t>
      </w:r>
      <w:r>
        <w:rPr>
          <w:rFonts w:ascii="Times New Roman" w:hAnsi="Times New Roman" w:cs="Times New Roman" w:eastAsia="Times New Roman" w:hint="default"/>
        </w:rPr>
        <w:t>181,827,123.90</w:t>
      </w:r>
      <w:r>
        <w:rPr/>
        <w:t>元，占营业收入的比例分别为（</w:t>
      </w:r>
      <w:r>
        <w:rPr>
          <w:rFonts w:ascii="Times New Roman" w:hAnsi="Times New Roman" w:cs="Times New Roman" w:eastAsia="Times New Roman" w:hint="default"/>
        </w:rPr>
        <w:t>3</w:t>
      </w:r>
      <w:r>
        <w:rPr/>
        <w:t>）执行实质性分析程序，如收入增长变动分析、与同行业比较分析、毛</w:t>
      </w:r>
    </w:p>
    <w:p>
      <w:pPr>
        <w:pStyle w:val="BodyText"/>
        <w:spacing w:line="352" w:lineRule="auto" w:before="18"/>
        <w:ind w:left="163" w:right="0"/>
        <w:jc w:val="left"/>
      </w:pPr>
      <w:r>
        <w:rPr>
          <w:rFonts w:ascii="Times New Roman" w:hAnsi="Times New Roman" w:cs="Times New Roman" w:eastAsia="Times New Roman" w:hint="default"/>
        </w:rPr>
        <w:t>39.53%</w:t>
      </w:r>
      <w:r>
        <w:rPr/>
        <w:t>和</w:t>
      </w:r>
      <w:r>
        <w:rPr>
          <w:rFonts w:ascii="Times New Roman" w:hAnsi="Times New Roman" w:cs="Times New Roman" w:eastAsia="Times New Roman" w:hint="default"/>
        </w:rPr>
        <w:t>54.67</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4"/>
        </w:rPr>
        <w:t>%</w:t>
      </w:r>
      <w:r>
        <w:rPr>
          <w:spacing w:val="-4"/>
        </w:rPr>
        <w:t>。对于系统集成与软件开发收</w:t>
      </w:r>
      <w:r>
        <w:rPr>
          <w:spacing w:val="-70"/>
        </w:rPr>
        <w:t> </w:t>
      </w:r>
      <w:r>
        <w:rPr/>
        <w:t>利率及应收账款周转率分析等；</w:t>
      </w:r>
      <w:r>
        <w:rPr>
          <w:spacing w:val="-80"/>
        </w:rPr>
        <w:t> </w:t>
      </w:r>
      <w:r>
        <w:rPr>
          <w:spacing w:val="-80"/>
        </w:rPr>
      </w:r>
      <w:r>
        <w:rPr>
          <w:spacing w:val="-1"/>
        </w:rPr>
        <w:t>入，公司在系统集成安装完成或将软件及其配（</w:t>
      </w:r>
      <w:r>
        <w:rPr>
          <w:rFonts w:ascii="Times New Roman" w:hAnsi="Times New Roman" w:cs="Times New Roman" w:eastAsia="Times New Roman" w:hint="default"/>
          <w:spacing w:val="-1"/>
        </w:rPr>
        <w:t>4</w:t>
      </w:r>
      <w:r>
        <w:rPr>
          <w:spacing w:val="-1"/>
        </w:rPr>
        <w:t>）采取抽样方式，检查与收入确认相关的支持性文件，包括最终验收单</w:t>
      </w:r>
      <w:r>
        <w:rPr>
          <w:spacing w:val="-66"/>
        </w:rPr>
        <w:t> </w:t>
      </w:r>
      <w:r>
        <w:rPr>
          <w:spacing w:val="-66"/>
        </w:rPr>
      </w:r>
      <w:r>
        <w:rPr/>
        <w:t>套产品交付客户并取得客户的最终验收单或终或终验报告、合同等；核对所选样本收入金额与项目合同金额是否匹配、</w:t>
      </w:r>
      <w:r>
        <w:rPr>
          <w:spacing w:val="-32"/>
        </w:rPr>
        <w:t> </w:t>
      </w:r>
      <w:r>
        <w:rPr>
          <w:spacing w:val="-32"/>
        </w:rPr>
      </w:r>
      <w:r>
        <w:rPr/>
        <w:t>验报告后确认。系统集成及软件开发收入占比验收日期与收入确认期间是否一致；</w:t>
      </w:r>
      <w:r>
        <w:rPr>
          <w:spacing w:val="-53"/>
        </w:rPr>
        <w:t> </w:t>
      </w:r>
      <w:r>
        <w:rPr>
          <w:spacing w:val="-53"/>
        </w:rPr>
      </w:r>
      <w:r>
        <w:rPr>
          <w:spacing w:val="-1"/>
        </w:rPr>
        <w:t>重大，存在不满足收入确认条件提前确认收入（</w:t>
      </w:r>
      <w:r>
        <w:rPr>
          <w:rFonts w:ascii="Times New Roman" w:hAnsi="Times New Roman" w:cs="Times New Roman" w:eastAsia="Times New Roman" w:hint="default"/>
          <w:spacing w:val="-1"/>
        </w:rPr>
        <w:t>5</w:t>
      </w:r>
      <w:r>
        <w:rPr>
          <w:spacing w:val="-1"/>
        </w:rPr>
        <w:t>）针对资产负债表日前后确认的销售收入，抽样检查最终验收单或终验</w:t>
      </w:r>
      <w:r>
        <w:rPr>
          <w:spacing w:val="-66"/>
        </w:rPr>
        <w:t> </w:t>
      </w:r>
      <w:r>
        <w:rPr>
          <w:spacing w:val="-66"/>
        </w:rPr>
      </w:r>
      <w:r>
        <w:rPr/>
        <w:t>的错报风险。故我们将系统集成及软件开发收报告等支持性文件，以检查是否存在提前确认收入的情况；</w:t>
      </w:r>
    </w:p>
    <w:p>
      <w:pPr>
        <w:pStyle w:val="BodyText"/>
        <w:tabs>
          <w:tab w:pos="3805" w:val="left" w:leader="none"/>
        </w:tabs>
        <w:spacing w:line="240" w:lineRule="auto" w:before="38"/>
        <w:ind w:left="163" w:right="0"/>
        <w:jc w:val="left"/>
      </w:pPr>
      <w:r>
        <w:rPr/>
        <w:t>入的确认作为关键审计事项。</w:t>
        <w:tab/>
      </w:r>
      <w:r>
        <w:rPr>
          <w:spacing w:val="-5"/>
        </w:rPr>
        <w:t>（</w:t>
      </w:r>
      <w:r>
        <w:rPr>
          <w:rFonts w:ascii="Times New Roman" w:hAnsi="Times New Roman" w:cs="Times New Roman" w:eastAsia="Times New Roman" w:hint="default"/>
          <w:spacing w:val="-5"/>
        </w:rPr>
        <w:t>6</w:t>
      </w:r>
      <w:r>
        <w:rPr>
          <w:spacing w:val="-5"/>
        </w:rPr>
        <w:t>）结合应收账款审计，对收入信息进行询证，包括合同名称、合同金额、</w:t>
      </w:r>
    </w:p>
    <w:p>
      <w:pPr>
        <w:pStyle w:val="BodyText"/>
        <w:spacing w:line="345" w:lineRule="auto" w:before="109"/>
        <w:ind w:left="163" w:right="3685"/>
        <w:jc w:val="left"/>
        <w:rPr>
          <w:rFonts w:ascii="Times New Roman" w:hAnsi="Times New Roman" w:cs="Times New Roman" w:eastAsia="Times New Roman" w:hint="default"/>
        </w:rPr>
      </w:pPr>
      <w:r>
        <w:rPr/>
        <w:pict>
          <v:shape style="position:absolute;margin-left:233.479996pt;margin-top:21.721704pt;width:295.4pt;height:87.9pt;mso-position-horizontal-relative:page;mso-position-vertical-relative:paragraph;z-index:-796288" type="#_x0000_t202" filled="false" stroked="false">
            <v:textbox inset="0,0,0,0">
              <w:txbxContent>
                <w:p>
                  <w:pPr>
                    <w:pStyle w:val="BodyText"/>
                    <w:spacing w:line="240" w:lineRule="auto" w:before="33"/>
                    <w:ind w:left="0" w:right="0"/>
                    <w:jc w:val="left"/>
                  </w:pPr>
                  <w:r>
                    <w:rPr/>
                    <w:t>。</w:t>
                  </w:r>
                </w:p>
              </w:txbxContent>
            </v:textbox>
            <w10:wrap type="none"/>
          </v:shape>
        </w:pict>
      </w:r>
      <w:r>
        <w:rPr>
          <w:spacing w:val="-3"/>
        </w:rPr>
        <w:t>相关信息参见财务报表附注</w:t>
      </w:r>
      <w:r>
        <w:rPr>
          <w:rFonts w:ascii="Times New Roman" w:hAnsi="Times New Roman" w:cs="Times New Roman" w:eastAsia="Times New Roman" w:hint="default"/>
          <w:spacing w:val="-3"/>
        </w:rPr>
        <w:t>“</w:t>
      </w:r>
      <w:r>
        <w:rPr>
          <w:spacing w:val="-3"/>
        </w:rPr>
        <w:t>三、（二十）收入</w:t>
      </w:r>
      <w:r>
        <w:rPr>
          <w:spacing w:val="-69"/>
        </w:rPr>
        <w:t> </w:t>
      </w:r>
      <w:r>
        <w:rPr/>
        <w:t>开票金额、回款金额以及合同执行情况等。</w:t>
      </w:r>
      <w:r>
        <w:rPr/>
        <w:t> 确认的核算</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六、</w:t>
      </w:r>
      <w:r>
        <w:rPr>
          <w:rFonts w:ascii="Times New Roman" w:hAnsi="Times New Roman" w:cs="Times New Roman" w:eastAsia="Times New Roman" w:hint="default"/>
        </w:rPr>
        <w:t>25.</w:t>
      </w:r>
      <w:r>
        <w:rPr/>
        <w:t>营业收入、营业成本</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pStyle w:val="Heading5"/>
        <w:spacing w:line="240" w:lineRule="auto"/>
        <w:ind w:left="163" w:right="0"/>
        <w:jc w:val="left"/>
        <w:rPr>
          <w:b w:val="0"/>
          <w:bCs w:val="0"/>
        </w:rPr>
      </w:pPr>
      <w:r>
        <w:rPr/>
        <w:t>应收账款坏账准备计提的充分性</w:t>
      </w:r>
      <w:r>
        <w:rPr>
          <w:b w:val="0"/>
          <w:bCs w:val="0"/>
        </w:rPr>
      </w:r>
    </w:p>
    <w:p>
      <w:pPr>
        <w:spacing w:line="240" w:lineRule="auto" w:before="9"/>
        <w:rPr>
          <w:rFonts w:ascii="宋体" w:hAnsi="宋体" w:cs="宋体" w:eastAsia="宋体" w:hint="default"/>
          <w:b/>
          <w:bCs/>
          <w:sz w:val="20"/>
          <w:szCs w:val="20"/>
        </w:rPr>
      </w:pPr>
    </w:p>
    <w:p>
      <w:pPr>
        <w:pStyle w:val="BodyText"/>
        <w:spacing w:line="345" w:lineRule="auto" w:before="44"/>
        <w:ind w:left="163" w:right="2157"/>
        <w:jc w:val="left"/>
      </w:pPr>
      <w:r>
        <w:rPr/>
        <w:t>公司</w:t>
      </w:r>
      <w:r>
        <w:rPr>
          <w:rFonts w:ascii="Times New Roman" w:hAnsi="Times New Roman" w:cs="Times New Roman" w:eastAsia="Times New Roman" w:hint="default"/>
        </w:rPr>
        <w:t>2018</w:t>
      </w:r>
      <w:r>
        <w:rPr/>
        <w:t>年末应收账款余额</w:t>
      </w:r>
      <w:r>
        <w:rPr>
          <w:rFonts w:ascii="Times New Roman" w:hAnsi="Times New Roman" w:cs="Times New Roman" w:eastAsia="Times New Roman" w:hint="default"/>
        </w:rPr>
        <w:t>171,351,709.87</w:t>
      </w:r>
      <w:r>
        <w:rPr/>
        <w:t>元、针对该关键审计事项，我们主要实施了以下审计程序： </w:t>
      </w:r>
      <w:r>
        <w:rPr>
          <w:spacing w:val="45"/>
        </w:rPr>
        <w:t>坏账准备金额</w:t>
      </w:r>
      <w:r>
        <w:rPr>
          <w:spacing w:val="-28"/>
        </w:rPr>
        <w:t> </w:t>
      </w:r>
      <w:r>
        <w:rPr>
          <w:rFonts w:ascii="Times New Roman" w:hAnsi="Times New Roman" w:cs="Times New Roman" w:eastAsia="Times New Roman" w:hint="default"/>
        </w:rPr>
        <w:t>15,690,445.29</w:t>
      </w:r>
      <w:r>
        <w:rPr>
          <w:rFonts w:ascii="Times New Roman" w:hAnsi="Times New Roman" w:cs="Times New Roman" w:eastAsia="Times New Roman" w:hint="default"/>
          <w:spacing w:val="18"/>
        </w:rPr>
        <w:t> </w:t>
      </w:r>
      <w:r>
        <w:rPr>
          <w:spacing w:val="41"/>
        </w:rPr>
        <w:t>元，净额</w:t>
      </w:r>
      <w:r>
        <w:rPr>
          <w:spacing w:val="-28"/>
        </w:rPr>
        <w:t> </w:t>
      </w:r>
      <w:r>
        <w:rPr/>
        <w:t>为（</w:t>
      </w:r>
      <w:r>
        <w:rPr>
          <w:rFonts w:ascii="Times New Roman" w:hAnsi="Times New Roman" w:cs="Times New Roman" w:eastAsia="Times New Roman" w:hint="default"/>
        </w:rPr>
        <w:t>1</w:t>
      </w:r>
      <w:r>
        <w:rPr/>
        <w:t>）对应收账款坏账准备计提的内控进行了解、评价及测试；</w:t>
      </w:r>
    </w:p>
    <w:p>
      <w:pPr>
        <w:pStyle w:val="BodyText"/>
        <w:spacing w:line="355" w:lineRule="auto" w:before="22"/>
        <w:ind w:left="163" w:right="0"/>
        <w:jc w:val="left"/>
      </w:pPr>
      <w:r>
        <w:rPr>
          <w:rFonts w:ascii="Times New Roman" w:hAnsi="Times New Roman" w:cs="Times New Roman" w:eastAsia="Times New Roman" w:hint="default"/>
          <w:spacing w:val="-2"/>
        </w:rPr>
        <w:t>155,661,264.58</w:t>
      </w:r>
      <w:r>
        <w:rPr>
          <w:spacing w:val="-2"/>
        </w:rPr>
        <w:t>元；占期末资产总额的</w:t>
      </w:r>
      <w:r>
        <w:rPr>
          <w:rFonts w:ascii="Times New Roman" w:hAnsi="Times New Roman" w:cs="Times New Roman" w:eastAsia="Times New Roman" w:hint="default"/>
          <w:spacing w:val="-2"/>
        </w:rPr>
        <w:t>25.28%</w:t>
      </w:r>
      <w:r>
        <w:rPr>
          <w:spacing w:val="-2"/>
        </w:rPr>
        <w:t>。（</w:t>
      </w:r>
      <w:r>
        <w:rPr>
          <w:rFonts w:ascii="Times New Roman" w:hAnsi="Times New Roman" w:cs="Times New Roman" w:eastAsia="Times New Roman" w:hint="default"/>
          <w:spacing w:val="-2"/>
        </w:rPr>
        <w:t>2</w:t>
      </w:r>
      <w:r>
        <w:rPr>
          <w:spacing w:val="-2"/>
        </w:rPr>
        <w:t>）对单项金额重大的应收款项，选取样本获取管理层对预计可收回金额</w:t>
      </w:r>
      <w:r>
        <w:rPr>
          <w:spacing w:val="-50"/>
        </w:rPr>
        <w:t> </w:t>
      </w:r>
      <w:r>
        <w:rPr>
          <w:spacing w:val="-50"/>
        </w:rPr>
      </w:r>
      <w:r>
        <w:rPr/>
        <w:t>我们关注应收账账款坏账准备计提的充分性，</w:t>
      </w:r>
      <w:r>
        <w:rPr>
          <w:spacing w:val="-65"/>
        </w:rPr>
        <w:t> </w:t>
      </w:r>
      <w:r>
        <w:rPr/>
        <w:t>的估计及其依据，包括客户信用记录及期后实际还款情况，并复核其合理</w:t>
      </w:r>
      <w:r>
        <w:rPr>
          <w:spacing w:val="-57"/>
        </w:rPr>
        <w:t> </w:t>
      </w:r>
      <w:r>
        <w:rPr>
          <w:spacing w:val="-57"/>
        </w:rPr>
      </w:r>
      <w:r>
        <w:rPr/>
        <w:t>主要因为应收账款期末金额较大，坏账准备的性；</w:t>
      </w:r>
      <w:r>
        <w:rPr>
          <w:spacing w:val="-53"/>
        </w:rPr>
        <w:t> </w:t>
      </w:r>
      <w:r>
        <w:rPr>
          <w:spacing w:val="-53"/>
        </w:rPr>
      </w:r>
      <w:r>
        <w:rPr/>
        <w:t>计提对财务报表影响较大且需要管理层做出判（</w:t>
      </w:r>
      <w:r>
        <w:rPr>
          <w:rFonts w:ascii="Times New Roman" w:hAnsi="Times New Roman" w:cs="Times New Roman" w:eastAsia="Times New Roman" w:hint="default"/>
        </w:rPr>
        <w:t>3</w:t>
      </w:r>
      <w:r>
        <w:rPr/>
        <w:t>）分析应收账款坏账准备会计政策的合理性，包括确定应收账款账龄、</w:t>
      </w:r>
      <w:r>
        <w:rPr>
          <w:spacing w:val="-53"/>
        </w:rPr>
        <w:t> </w:t>
      </w:r>
      <w:r>
        <w:rPr>
          <w:spacing w:val="-1"/>
        </w:rPr>
        <w:t>断与估计。故我们将应收账款坏账准备计提的计提比例等，并选取样本对账龄准确性进行测试，在抽样测试账龄基础上，</w:t>
      </w:r>
    </w:p>
    <w:p>
      <w:pPr>
        <w:pStyle w:val="BodyText"/>
        <w:tabs>
          <w:tab w:pos="3805" w:val="left" w:leader="none"/>
        </w:tabs>
        <w:spacing w:line="240" w:lineRule="auto" w:before="37"/>
        <w:ind w:left="163" w:right="0"/>
        <w:jc w:val="left"/>
      </w:pPr>
      <w:r>
        <w:rPr/>
        <w:t>充分性作为关键审计事项。</w:t>
        <w:tab/>
        <w:t>执行重新计算程序，检查按照账龄分析法组合计提坏账准备的准确性；</w:t>
      </w:r>
    </w:p>
    <w:p>
      <w:pPr>
        <w:pStyle w:val="BodyText"/>
        <w:spacing w:line="240" w:lineRule="auto" w:before="123"/>
        <w:ind w:left="163" w:right="0"/>
        <w:jc w:val="left"/>
      </w:pPr>
      <w:r>
        <w:rPr>
          <w:spacing w:val="-3"/>
        </w:rPr>
        <w:t>相关信息参见财务报表附注</w:t>
      </w:r>
      <w:r>
        <w:rPr>
          <w:rFonts w:ascii="Times New Roman" w:hAnsi="Times New Roman" w:cs="Times New Roman" w:eastAsia="Times New Roman" w:hint="default"/>
          <w:spacing w:val="-3"/>
        </w:rPr>
        <w:t>“</w:t>
      </w:r>
      <w:r>
        <w:rPr>
          <w:spacing w:val="-3"/>
        </w:rPr>
        <w:t>三、（八）金融工</w:t>
      </w:r>
      <w:r>
        <w:rPr>
          <w:spacing w:val="-67"/>
        </w:rPr>
        <w:t> </w:t>
      </w:r>
      <w:r>
        <w:rPr>
          <w:spacing w:val="-2"/>
        </w:rPr>
        <w:t>（</w:t>
      </w:r>
      <w:r>
        <w:rPr>
          <w:rFonts w:ascii="Times New Roman" w:hAnsi="Times New Roman" w:cs="Times New Roman" w:eastAsia="Times New Roman" w:hint="default"/>
          <w:spacing w:val="-2"/>
        </w:rPr>
        <w:t>4</w:t>
      </w:r>
      <w:r>
        <w:rPr>
          <w:spacing w:val="-2"/>
        </w:rPr>
        <w:t>）通过国家企业信用信息公示系统，抽样查阅客户工商信息，关注是否</w:t>
      </w:r>
    </w:p>
    <w:p>
      <w:pPr>
        <w:pStyle w:val="BodyText"/>
        <w:tabs>
          <w:tab w:pos="3805" w:val="left" w:leader="none"/>
        </w:tabs>
        <w:spacing w:line="240" w:lineRule="auto" w:before="109"/>
        <w:ind w:left="163" w:right="0"/>
        <w:jc w:val="left"/>
      </w:pPr>
      <w:r>
        <w:rPr>
          <w:spacing w:val="-1"/>
        </w:rPr>
        <w:t>具</w:t>
      </w:r>
      <w:r>
        <w:rPr>
          <w:rFonts w:ascii="Times New Roman" w:hAnsi="Times New Roman" w:cs="Times New Roman" w:eastAsia="Times New Roman" w:hint="default"/>
          <w:spacing w:val="-1"/>
        </w:rPr>
        <w:t>”</w:t>
      </w:r>
      <w:r>
        <w:rPr>
          <w:spacing w:val="-1"/>
        </w:rPr>
        <w:t>及</w:t>
      </w:r>
      <w:r>
        <w:rPr>
          <w:rFonts w:ascii="Times New Roman" w:hAnsi="Times New Roman" w:cs="Times New Roman" w:eastAsia="Times New Roman" w:hint="default"/>
          <w:spacing w:val="-1"/>
        </w:rPr>
        <w:t>“</w:t>
      </w:r>
      <w:r>
        <w:rPr>
          <w:spacing w:val="-1"/>
        </w:rPr>
        <w:t>六、</w:t>
      </w:r>
      <w:r>
        <w:rPr>
          <w:rFonts w:ascii="Times New Roman" w:hAnsi="Times New Roman" w:cs="Times New Roman" w:eastAsia="Times New Roman" w:hint="default"/>
          <w:spacing w:val="-1"/>
        </w:rPr>
        <w:t>2.</w:t>
      </w:r>
      <w:r>
        <w:rPr>
          <w:spacing w:val="-1"/>
        </w:rPr>
        <w:t>应收票据及应收账款</w:t>
      </w:r>
      <w:r>
        <w:rPr>
          <w:rFonts w:ascii="Times New Roman" w:hAnsi="Times New Roman" w:cs="Times New Roman" w:eastAsia="Times New Roman" w:hint="default"/>
          <w:spacing w:val="-1"/>
        </w:rPr>
        <w:t>”</w:t>
      </w:r>
      <w:r>
        <w:rPr>
          <w:spacing w:val="-1"/>
        </w:rPr>
        <w:t>。</w:t>
        <w:tab/>
      </w:r>
      <w:r>
        <w:rPr/>
        <w:t>存在偿债能力不足的迹象。</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firstLine="0"/>
        <w:jc w:val="left"/>
      </w:pPr>
      <w:r>
        <w:rPr/>
        <w:t>审计报告（续）</w:t>
      </w:r>
    </w:p>
    <w:p>
      <w:pPr>
        <w:pStyle w:val="Heading4"/>
        <w:spacing w:line="240" w:lineRule="auto" w:before="37"/>
        <w:ind w:left="0" w:right="1129" w:firstLine="0"/>
        <w:jc w:val="right"/>
      </w:pPr>
      <w:r>
        <w:rPr/>
        <w:t>天职业字</w:t>
      </w:r>
      <w:r>
        <w:rPr>
          <w:rFonts w:ascii="Times New Roman" w:hAnsi="Times New Roman" w:cs="Times New Roman" w:eastAsia="Times New Roman" w:hint="default"/>
        </w:rPr>
        <w:t>[2019]4578</w:t>
      </w:r>
      <w:r>
        <w:rPr/>
        <w:t>号</w:t>
      </w:r>
    </w:p>
    <w:p>
      <w:pPr>
        <w:spacing w:line="240" w:lineRule="auto" w:before="2"/>
        <w:rPr>
          <w:rFonts w:ascii="宋体" w:hAnsi="宋体" w:cs="宋体" w:eastAsia="宋体" w:hint="default"/>
          <w:sz w:val="16"/>
          <w:szCs w:val="16"/>
        </w:rPr>
      </w:pPr>
    </w:p>
    <w:p>
      <w:pPr>
        <w:pStyle w:val="Heading2"/>
        <w:spacing w:line="240" w:lineRule="auto" w:before="26"/>
        <w:ind w:left="636" w:right="0"/>
        <w:jc w:val="left"/>
        <w:rPr>
          <w:b w:val="0"/>
          <w:bCs w:val="0"/>
        </w:rPr>
      </w:pPr>
      <w:r>
        <w:rPr/>
        <w:t>四、其他信息</w:t>
      </w:r>
      <w:r>
        <w:rPr>
          <w:b w:val="0"/>
          <w:bCs w:val="0"/>
        </w:rPr>
      </w:r>
    </w:p>
    <w:p>
      <w:pPr>
        <w:spacing w:line="240" w:lineRule="auto" w:before="1"/>
        <w:rPr>
          <w:rFonts w:ascii="宋体" w:hAnsi="宋体" w:cs="宋体" w:eastAsia="宋体" w:hint="default"/>
          <w:b/>
          <w:bCs/>
          <w:sz w:val="20"/>
          <w:szCs w:val="20"/>
        </w:rPr>
      </w:pPr>
    </w:p>
    <w:p>
      <w:pPr>
        <w:pStyle w:val="Heading4"/>
        <w:spacing w:line="256" w:lineRule="auto"/>
        <w:ind w:right="1116"/>
        <w:jc w:val="left"/>
      </w:pPr>
      <w:r>
        <w:rPr/>
        <w:t>科创信息管理层（以下简称</w:t>
      </w:r>
      <w:r>
        <w:rPr>
          <w:rFonts w:ascii="Times New Roman" w:hAnsi="Times New Roman" w:cs="Times New Roman" w:eastAsia="Times New Roman" w:hint="default"/>
        </w:rPr>
        <w:t>“</w:t>
      </w:r>
      <w:r>
        <w:rPr/>
        <w:t>管理层</w:t>
      </w:r>
      <w:r>
        <w:rPr>
          <w:rFonts w:ascii="Times New Roman" w:hAnsi="Times New Roman" w:cs="Times New Roman" w:eastAsia="Times New Roman" w:hint="default"/>
        </w:rPr>
        <w:t>”</w:t>
      </w:r>
      <w:r>
        <w:rPr/>
        <w:t>）对其他信息负责。其他信息包括科创信息</w:t>
      </w:r>
      <w:r>
        <w:rPr>
          <w:rFonts w:ascii="Times New Roman" w:hAnsi="Times New Roman" w:cs="Times New Roman" w:eastAsia="Times New Roman" w:hint="default"/>
        </w:rPr>
        <w:t>2018</w:t>
      </w:r>
      <w:r>
        <w:rPr/>
        <w:t>年年度报告中涵 盖的信息，但不包括财务报表和我们的审计报告。</w:t>
      </w:r>
    </w:p>
    <w:p>
      <w:pPr>
        <w:pStyle w:val="Heading4"/>
        <w:spacing w:line="432" w:lineRule="exact" w:before="42"/>
        <w:ind w:left="574" w:right="0" w:firstLine="0"/>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w:t>
      </w:r>
    </w:p>
    <w:p>
      <w:pPr>
        <w:pStyle w:val="Heading4"/>
        <w:spacing w:line="255" w:lineRule="exact"/>
        <w:ind w:right="0" w:firstLine="0"/>
        <w:jc w:val="left"/>
      </w:pPr>
      <w:r>
        <w:rPr/>
        <w:t>表或我们在审计过程中了解到的情况存在重大不一致或者似乎存在重大错报。</w:t>
      </w:r>
    </w:p>
    <w:p>
      <w:pPr>
        <w:pStyle w:val="Heading4"/>
        <w:spacing w:line="273" w:lineRule="auto" w:before="157"/>
        <w:ind w:right="0"/>
        <w:jc w:val="left"/>
      </w:pPr>
      <w:r>
        <w:rPr>
          <w:spacing w:val="-1"/>
        </w:rPr>
        <w:t>基于我们已执行的工作，如果我们确定其他信息存在重大错报，我们应当报告该事实。在这方面，我</w:t>
      </w:r>
      <w:r>
        <w:rPr/>
        <w:t> 们无任何事项需要报告。</w:t>
      </w:r>
    </w:p>
    <w:p>
      <w:pPr>
        <w:spacing w:line="240" w:lineRule="auto" w:before="1"/>
        <w:rPr>
          <w:rFonts w:ascii="宋体" w:hAnsi="宋体" w:cs="宋体" w:eastAsia="宋体" w:hint="default"/>
          <w:sz w:val="17"/>
          <w:szCs w:val="17"/>
        </w:rPr>
      </w:pPr>
    </w:p>
    <w:p>
      <w:pPr>
        <w:pStyle w:val="Heading2"/>
        <w:spacing w:line="240" w:lineRule="auto"/>
        <w:ind w:left="636" w:right="0"/>
        <w:jc w:val="left"/>
        <w:rPr>
          <w:b w:val="0"/>
          <w:bCs w:val="0"/>
        </w:rPr>
      </w:pPr>
      <w:r>
        <w:rPr/>
        <w:t>五、管理层和治理层对财务报表的责任</w:t>
      </w:r>
      <w:r>
        <w:rPr>
          <w:b w:val="0"/>
          <w:bCs w:val="0"/>
        </w:rPr>
      </w:r>
    </w:p>
    <w:p>
      <w:pPr>
        <w:spacing w:line="240" w:lineRule="auto" w:before="0"/>
        <w:rPr>
          <w:rFonts w:ascii="宋体" w:hAnsi="宋体" w:cs="宋体" w:eastAsia="宋体" w:hint="default"/>
          <w:b/>
          <w:bCs/>
          <w:sz w:val="20"/>
          <w:szCs w:val="20"/>
        </w:rPr>
      </w:pPr>
    </w:p>
    <w:p>
      <w:pPr>
        <w:pStyle w:val="Heading4"/>
        <w:spacing w:line="273" w:lineRule="auto"/>
        <w:ind w:right="0"/>
        <w:jc w:val="left"/>
      </w:pPr>
      <w:r>
        <w:rPr>
          <w:spacing w:val="-1"/>
        </w:rPr>
        <w:t>管理层负责按照企业会计准则的规定编制财务报表，使其实现公允反映，并设计、执行和维护必要的</w:t>
      </w:r>
      <w:r>
        <w:rPr/>
        <w:t> 内部控制，以使财务报表不存在由于舞弊或错误导致的重大错报。</w:t>
      </w:r>
    </w:p>
    <w:p>
      <w:pPr>
        <w:pStyle w:val="Heading4"/>
        <w:spacing w:line="273" w:lineRule="auto" w:before="127"/>
        <w:ind w:right="0"/>
        <w:jc w:val="left"/>
      </w:pPr>
      <w:r>
        <w:rPr>
          <w:spacing w:val="-8"/>
        </w:rPr>
        <w:t>在编制财务报表时，管理层负责评估科创信息的持续经营能力，披露与持续经营相关的事项（如适用），</w:t>
      </w:r>
      <w:r>
        <w:rPr/>
        <w:t> 并运用持续经营假设，除非计划进行清算、终止运营或别无其他现实的选择。</w:t>
      </w:r>
    </w:p>
    <w:p>
      <w:pPr>
        <w:pStyle w:val="Heading4"/>
        <w:spacing w:line="240" w:lineRule="auto" w:before="127"/>
        <w:ind w:left="574" w:right="0" w:firstLine="0"/>
        <w:jc w:val="left"/>
      </w:pPr>
      <w:r>
        <w:rPr/>
        <w:t>治理层负责监督科创信息的财务报告过程。</w:t>
      </w:r>
    </w:p>
    <w:p>
      <w:pPr>
        <w:spacing w:line="240" w:lineRule="auto" w:before="5"/>
        <w:rPr>
          <w:rFonts w:ascii="宋体" w:hAnsi="宋体" w:cs="宋体" w:eastAsia="宋体" w:hint="default"/>
          <w:sz w:val="19"/>
          <w:szCs w:val="19"/>
        </w:rPr>
      </w:pPr>
    </w:p>
    <w:p>
      <w:pPr>
        <w:pStyle w:val="Heading2"/>
        <w:spacing w:line="240" w:lineRule="auto"/>
        <w:ind w:left="636" w:right="0"/>
        <w:jc w:val="left"/>
        <w:rPr>
          <w:b w:val="0"/>
          <w:bCs w:val="0"/>
        </w:rPr>
      </w:pPr>
      <w:r>
        <w:rPr/>
        <w:t>六、注册会计师对财务报表审计的责任</w:t>
      </w:r>
      <w:r>
        <w:rPr>
          <w:b w:val="0"/>
          <w:bCs w:val="0"/>
        </w:rPr>
      </w:r>
    </w:p>
    <w:p>
      <w:pPr>
        <w:spacing w:line="240" w:lineRule="auto" w:before="0"/>
        <w:rPr>
          <w:rFonts w:ascii="宋体" w:hAnsi="宋体" w:cs="宋体" w:eastAsia="宋体" w:hint="default"/>
          <w:b/>
          <w:bCs/>
          <w:sz w:val="20"/>
          <w:szCs w:val="20"/>
        </w:rPr>
      </w:pPr>
    </w:p>
    <w:p>
      <w:pPr>
        <w:pStyle w:val="Heading4"/>
        <w:spacing w:line="273" w:lineRule="auto"/>
        <w:ind w:right="1131"/>
        <w:jc w:val="both"/>
      </w:pPr>
      <w:r>
        <w:rPr>
          <w:spacing w:val="-1"/>
        </w:rPr>
        <w:t>我们的目标是对财务报表整体是否不存在由于舞弊或错误导致的重大错报获取合理保证，并出具包含</w:t>
      </w:r>
      <w:r>
        <w:rPr/>
        <w:t> </w:t>
      </w: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4"/>
        <w:spacing w:line="273" w:lineRule="auto"/>
        <w:ind w:right="1118"/>
        <w:jc w:val="left"/>
      </w:pPr>
      <w:r>
        <w:rPr>
          <w:spacing w:val="-1"/>
        </w:rPr>
        <w:t>在按照审计准则执行审计工作的过程中，我们运用职业判断，并保持职业怀疑。同时，我们也执行以</w:t>
      </w:r>
      <w:r>
        <w:rPr/>
        <w:t> 下工作：</w:t>
      </w:r>
    </w:p>
    <w:p>
      <w:pPr>
        <w:pStyle w:val="Heading4"/>
        <w:spacing w:line="266" w:lineRule="auto" w:before="127"/>
        <w:ind w:right="1023"/>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Heading4"/>
        <w:spacing w:line="256" w:lineRule="auto" w:before="134"/>
        <w:ind w:right="1118"/>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 见。</w:t>
      </w:r>
    </w:p>
    <w:p>
      <w:pPr>
        <w:pStyle w:val="Heading4"/>
        <w:spacing w:line="240" w:lineRule="auto" w:before="142"/>
        <w:ind w:left="574" w:right="0" w:firstLine="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Heading4"/>
        <w:spacing w:line="266" w:lineRule="auto" w:before="141"/>
        <w:ind w:right="113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）对管理层使用持续经营假设的恰当性得出结论。同时，根据获取的审计证据，就可能导致对科 </w:t>
      </w:r>
      <w:r>
        <w:rPr>
          <w:spacing w:val="-1"/>
        </w:rPr>
        <w:t>创信息持续经营能力产生重大疑虑的事项或情况是否存在重大不确定性得出结论。如果我们得出结论认为</w:t>
      </w:r>
      <w:r>
        <w:rPr>
          <w:spacing w:val="-80"/>
        </w:rPr>
        <w:t> </w:t>
      </w:r>
      <w:r>
        <w:rPr>
          <w:spacing w:val="-80"/>
        </w:rPr>
      </w:r>
      <w:r>
        <w:rPr>
          <w:spacing w:val="-1"/>
        </w:rPr>
        <w:t>存在重大不确定性，审计准则要求我们在审计报告中提请报表使用者注意财务报表中的相关披露；如果披</w:t>
      </w:r>
      <w:r>
        <w:rPr>
          <w:spacing w:val="-81"/>
        </w:rPr>
        <w:t> </w:t>
      </w:r>
      <w:r>
        <w:rPr>
          <w:spacing w:val="-81"/>
        </w:rPr>
      </w:r>
      <w:r>
        <w:rPr>
          <w:spacing w:val="-1"/>
        </w:rPr>
        <w:t>露不充分，我们应当发表非无保留意见。我们的结论基于截至审计报告日可获得的信息。然而，未来的事</w:t>
      </w:r>
    </w:p>
    <w:p>
      <w:pPr>
        <w:spacing w:after="0" w:line="26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56.339985pt;margin-top:580.839966pt;width:435.25pt;height:.75pt;mso-position-horizontal-relative:page;mso-position-vertical-relative:page;z-index:-796240" coordorigin="1127,11617" coordsize="8705,15">
            <v:group style="position:absolute;left:1134;top:11624;width:4285;height:2" coordorigin="1134,11624" coordsize="4285,2">
              <v:shape style="position:absolute;left:1134;top:11624;width:4285;height:2" coordorigin="1134,11624" coordsize="4285,0" path="m1134,11624l5419,11624e" filled="false" stroked="true" strokeweight=".72003pt" strokecolor="#000000">
                <v:path arrowok="t"/>
              </v:shape>
            </v:group>
            <v:group style="position:absolute;left:5419;top:11624;width:15;height:2" coordorigin="5419,11624" coordsize="15,2">
              <v:shape style="position:absolute;left:5419;top:11624;width:15;height:2" coordorigin="5419,11624" coordsize="15,0" path="m5419,11624l5433,11624e" filled="false" stroked="true" strokeweight=".72003pt" strokecolor="#000000">
                <v:path arrowok="t"/>
              </v:shape>
            </v:group>
            <v:group style="position:absolute;left:5433;top:11624;width:2151;height:2" coordorigin="5433,11624" coordsize="2151,2">
              <v:shape style="position:absolute;left:5433;top:11624;width:2151;height:2" coordorigin="5433,11624" coordsize="2151,0" path="m5433,11624l7584,11624e" filled="false" stroked="true" strokeweight=".72003pt" strokecolor="#000000">
                <v:path arrowok="t"/>
              </v:shape>
            </v:group>
            <v:group style="position:absolute;left:7584;top:11624;width:15;height:2" coordorigin="7584,11624" coordsize="15,2">
              <v:shape style="position:absolute;left:7584;top:11624;width:15;height:2" coordorigin="7584,11624" coordsize="15,0" path="m7584,11624l7598,11624e" filled="false" stroked="true" strokeweight=".72003pt" strokecolor="#000000">
                <v:path arrowok="t"/>
              </v:shape>
            </v:group>
            <v:group style="position:absolute;left:7598;top:11624;width:2227;height:2" coordorigin="7598,11624" coordsize="2227,2">
              <v:shape style="position:absolute;left:7598;top:11624;width:2227;height:2" coordorigin="7598,11624" coordsize="2227,0" path="m7598,11624l9824,11624e" filled="false" stroked="true" strokeweight=".72003pt" strokecolor="#000000">
                <v:path arrowok="t"/>
              </v:shape>
            </v:group>
            <w10:wrap type="none"/>
          </v:group>
        </w:pict>
      </w:r>
      <w:r>
        <w:rPr/>
        <w:pict>
          <v:group style="position:absolute;margin-left:56.340015pt;margin-top:703.73999pt;width:435.25pt;height:.75pt;mso-position-horizontal-relative:page;mso-position-vertical-relative:page;z-index:-796216" coordorigin="1127,14075" coordsize="8705,15">
            <v:group style="position:absolute;left:1134;top:14082;width:4285;height:2" coordorigin="1134,14082" coordsize="4285,2">
              <v:shape style="position:absolute;left:1134;top:14082;width:4285;height:2" coordorigin="1134,14082" coordsize="4285,0" path="m1134,14082l5419,14082e" filled="false" stroked="true" strokeweight=".71997pt" strokecolor="#000000">
                <v:path arrowok="t"/>
              </v:shape>
            </v:group>
            <v:group style="position:absolute;left:5419;top:14082;width:15;height:2" coordorigin="5419,14082" coordsize="15,2">
              <v:shape style="position:absolute;left:5419;top:14082;width:15;height:2" coordorigin="5419,14082" coordsize="15,0" path="m5419,14082l5433,14082e" filled="false" stroked="true" strokeweight=".71997pt" strokecolor="#000000">
                <v:path arrowok="t"/>
              </v:shape>
            </v:group>
            <v:group style="position:absolute;left:5433;top:14082;width:2151;height:2" coordorigin="5433,14082" coordsize="2151,2">
              <v:shape style="position:absolute;left:5433;top:14082;width:2151;height:2" coordorigin="5433,14082" coordsize="2151,0" path="m5433,14082l7584,14082e" filled="false" stroked="true" strokeweight=".71997pt" strokecolor="#000000">
                <v:path arrowok="t"/>
              </v:shape>
            </v:group>
            <v:group style="position:absolute;left:7584;top:14082;width:15;height:2" coordorigin="7584,14082" coordsize="15,2">
              <v:shape style="position:absolute;left:7584;top:14082;width:15;height:2" coordorigin="7584,14082" coordsize="15,0" path="m7584,14082l7598,14082e" filled="false" stroked="true" strokeweight=".71997pt" strokecolor="#000000">
                <v:path arrowok="t"/>
              </v:shape>
            </v:group>
            <v:group style="position:absolute;left:7598;top:14082;width:2227;height:2" coordorigin="7598,14082" coordsize="2227,2">
              <v:shape style="position:absolute;left:7598;top:14082;width:2227;height:2" coordorigin="7598,14082" coordsize="2227,0" path="m7598,14082l9824,14082e" filled="false" stroked="true" strokeweight=".71997pt" strokecolor="#000000">
                <v:path arrowok="t"/>
              </v:shape>
            </v:group>
            <w10:wrap type="none"/>
          </v:group>
        </w:pict>
      </w:r>
    </w:p>
    <w:p>
      <w:pPr>
        <w:pStyle w:val="Heading4"/>
        <w:spacing w:line="240" w:lineRule="auto" w:before="35"/>
        <w:ind w:right="0" w:firstLine="0"/>
        <w:jc w:val="left"/>
      </w:pPr>
      <w:r>
        <w:rPr/>
        <w:t>项或情况可能导致科创信息不能持续经营。</w:t>
      </w:r>
    </w:p>
    <w:p>
      <w:pPr>
        <w:pStyle w:val="Heading4"/>
        <w:spacing w:line="256" w:lineRule="auto" w:before="157"/>
        <w:ind w:right="1141"/>
        <w:jc w:val="both"/>
      </w:pPr>
      <w:r>
        <w:rPr/>
        <w:t>（</w:t>
      </w:r>
      <w:r>
        <w:rPr>
          <w:rFonts w:ascii="Times New Roman" w:hAnsi="Times New Roman" w:cs="Times New Roman" w:eastAsia="Times New Roman" w:hint="default"/>
        </w:rPr>
        <w:t>5</w:t>
      </w:r>
      <w:r>
        <w:rPr/>
        <w:t>）评价财务报表的总体列报、结构和内容（包括披露），并评价财务报表是否公允反映相关交易 和事项。</w:t>
      </w:r>
    </w:p>
    <w:p>
      <w:pPr>
        <w:pStyle w:val="Heading4"/>
        <w:spacing w:line="256" w:lineRule="auto" w:before="143"/>
        <w:ind w:right="1141"/>
        <w:jc w:val="both"/>
      </w:pPr>
      <w:r>
        <w:rPr/>
        <w:t>（</w:t>
      </w:r>
      <w:r>
        <w:rPr>
          <w:rFonts w:ascii="Times New Roman" w:hAnsi="Times New Roman" w:cs="Times New Roman" w:eastAsia="Times New Roman" w:hint="default"/>
        </w:rPr>
        <w:t>6</w:t>
      </w:r>
      <w:r>
        <w:rPr/>
        <w:t>）就科创信息实体或业务活动的财务信息获取充分、适当的审计证据，以对财务报表发表审计意 见。我们负责指导、监督和执行集团审计，并对审计意见承担全部责任。</w:t>
      </w:r>
    </w:p>
    <w:p>
      <w:pPr>
        <w:pStyle w:val="Heading4"/>
        <w:spacing w:line="273" w:lineRule="auto" w:before="142"/>
        <w:ind w:right="1131"/>
        <w:jc w:val="both"/>
      </w:pPr>
      <w:r>
        <w:rPr>
          <w:spacing w:val="-1"/>
        </w:rPr>
        <w:t>我们与治理层就计划的审计范围、时间安排和重大审计发现等事项进行沟通，包括沟通我们在审计中</w:t>
      </w:r>
      <w:r>
        <w:rPr/>
        <w:t> 识别出的值得关注的内部控制缺陷。</w:t>
      </w:r>
    </w:p>
    <w:p>
      <w:pPr>
        <w:pStyle w:val="Heading4"/>
        <w:spacing w:line="273" w:lineRule="auto" w:before="127"/>
        <w:ind w:right="1132"/>
        <w:jc w:val="both"/>
      </w:pPr>
      <w:r>
        <w:rPr>
          <w:spacing w:val="-1"/>
        </w:rPr>
        <w:t>我们还就已遵守与独立性相关的职业道德要求向治理层提供声明，并与治理层沟通可能被合理认为影</w:t>
      </w:r>
      <w:r>
        <w:rPr/>
        <w:t> 响我们独立性的所有关系和其他事项，以及相关的防范措施（如适用）。</w:t>
      </w:r>
    </w:p>
    <w:p>
      <w:pPr>
        <w:pStyle w:val="Heading4"/>
        <w:spacing w:line="273" w:lineRule="auto" w:before="127"/>
        <w:ind w:right="113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0"/>
        </w:rPr>
        <w:t> </w:t>
      </w:r>
      <w:r>
        <w:rPr>
          <w:spacing w:val="-80"/>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4"/>
        <w:spacing w:line="240" w:lineRule="auto"/>
        <w:ind w:right="0" w:firstLine="0"/>
        <w:jc w:val="left"/>
        <w:rPr>
          <w:rFonts w:ascii="Times New Roman" w:hAnsi="Times New Roman" w:cs="Times New Roman" w:eastAsia="Times New Roman" w:hint="default"/>
        </w:rPr>
      </w:pPr>
      <w:r>
        <w:rPr>
          <w:rFonts w:ascii="Times New Roman" w:hAnsi="Times New Roman" w:cs="Times New Roman" w:eastAsia="Times New Roman" w:hint="default"/>
        </w:rPr>
        <w:t>[</w:t>
      </w:r>
      <w:r>
        <w:rPr/>
        <w:t>此页无正文</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6"/>
          <w:szCs w:val="16"/>
        </w:rPr>
      </w:pPr>
    </w:p>
    <w:tbl>
      <w:tblPr>
        <w:tblW w:w="0" w:type="auto"/>
        <w:jc w:val="left"/>
        <w:tblInd w:w="1195" w:type="dxa"/>
        <w:tblLayout w:type="fixed"/>
        <w:tblCellMar>
          <w:top w:w="0" w:type="dxa"/>
          <w:left w:w="0" w:type="dxa"/>
          <w:bottom w:w="0" w:type="dxa"/>
          <w:right w:w="0" w:type="dxa"/>
        </w:tblCellMar>
        <w:tblLook w:val="01E0"/>
      </w:tblPr>
      <w:tblGrid>
        <w:gridCol w:w="3244"/>
        <w:gridCol w:w="2434"/>
        <w:gridCol w:w="1971"/>
      </w:tblGrid>
      <w:tr>
        <w:trPr>
          <w:trHeight w:val="899" w:hRule="exact"/>
        </w:trPr>
        <w:tc>
          <w:tcPr>
            <w:tcW w:w="3244" w:type="dxa"/>
            <w:tcBorders>
              <w:top w:val="nil" w:sz="6" w:space="0" w:color="auto"/>
              <w:left w:val="nil" w:sz="6" w:space="0" w:color="auto"/>
              <w:bottom w:val="nil" w:sz="6" w:space="0" w:color="auto"/>
              <w:right w:val="nil" w:sz="6" w:space="0" w:color="auto"/>
            </w:tcBorders>
          </w:tcPr>
          <w:p>
            <w:pPr/>
          </w:p>
        </w:tc>
        <w:tc>
          <w:tcPr>
            <w:tcW w:w="2434" w:type="dxa"/>
            <w:tcBorders>
              <w:top w:val="nil" w:sz="6" w:space="0" w:color="auto"/>
              <w:left w:val="nil" w:sz="6" w:space="0" w:color="auto"/>
              <w:bottom w:val="single" w:sz="6" w:space="0" w:color="000000"/>
              <w:right w:val="nil" w:sz="6" w:space="0" w:color="auto"/>
            </w:tcBorders>
          </w:tcPr>
          <w:p>
            <w:pPr>
              <w:pStyle w:val="TableParagraph"/>
              <w:spacing w:line="240" w:lineRule="auto" w:before="123"/>
              <w:ind w:left="219" w:right="0"/>
              <w:jc w:val="left"/>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spacing w:line="240" w:lineRule="auto" w:before="157"/>
              <w:ind w:left="219" w:right="0"/>
              <w:jc w:val="left"/>
              <w:rPr>
                <w:rFonts w:ascii="宋体" w:hAnsi="宋体" w:cs="宋体" w:eastAsia="宋体" w:hint="default"/>
                <w:sz w:val="21"/>
                <w:szCs w:val="21"/>
              </w:rPr>
            </w:pPr>
            <w:r>
              <w:rPr>
                <w:rFonts w:ascii="宋体" w:hAnsi="宋体" w:cs="宋体" w:eastAsia="宋体" w:hint="default"/>
                <w:sz w:val="21"/>
                <w:szCs w:val="21"/>
              </w:rPr>
              <w:t>（项目合伙人）</w:t>
            </w:r>
          </w:p>
        </w:tc>
        <w:tc>
          <w:tcPr>
            <w:tcW w:w="1971" w:type="dxa"/>
            <w:tcBorders>
              <w:top w:val="nil" w:sz="6" w:space="0" w:color="auto"/>
              <w:left w:val="nil" w:sz="6" w:space="0" w:color="auto"/>
              <w:bottom w:val="single" w:sz="6" w:space="0" w:color="000000"/>
              <w:right w:val="nil" w:sz="6" w:space="0" w:color="auto"/>
            </w:tcBorders>
          </w:tcPr>
          <w:p>
            <w:pPr>
              <w:pStyle w:val="TableParagraph"/>
              <w:spacing w:line="240" w:lineRule="auto" w:before="123"/>
              <w:ind w:left="534" w:right="0"/>
              <w:jc w:val="left"/>
              <w:rPr>
                <w:rFonts w:ascii="宋体" w:hAnsi="宋体" w:cs="宋体" w:eastAsia="宋体" w:hint="default"/>
                <w:sz w:val="21"/>
                <w:szCs w:val="21"/>
              </w:rPr>
            </w:pPr>
            <w:r>
              <w:rPr>
                <w:rFonts w:ascii="宋体" w:hAnsi="宋体" w:cs="宋体" w:eastAsia="宋体" w:hint="default"/>
                <w:sz w:val="21"/>
                <w:szCs w:val="21"/>
              </w:rPr>
              <w:t>曾春卫</w:t>
            </w:r>
          </w:p>
        </w:tc>
      </w:tr>
      <w:tr>
        <w:trPr>
          <w:trHeight w:val="779"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09" w:lineRule="exact"/>
              <w:ind w:right="1041"/>
              <w:jc w:val="center"/>
              <w:rPr>
                <w:rFonts w:ascii="宋体" w:hAnsi="宋体" w:cs="宋体" w:eastAsia="宋体" w:hint="default"/>
                <w:sz w:val="18"/>
                <w:szCs w:val="18"/>
              </w:rPr>
            </w:pPr>
            <w:r>
              <w:rPr>
                <w:rFonts w:ascii="宋体" w:hAnsi="宋体" w:cs="宋体" w:eastAsia="宋体" w:hint="default"/>
                <w:sz w:val="18"/>
                <w:szCs w:val="18"/>
              </w:rPr>
              <w:t>中国·北京</w:t>
            </w:r>
          </w:p>
          <w:p>
            <w:pPr>
              <w:pStyle w:val="TableParagraph"/>
              <w:spacing w:line="240" w:lineRule="auto" w:before="124"/>
              <w:ind w:right="1041"/>
              <w:jc w:val="center"/>
              <w:rPr>
                <w:rFonts w:ascii="宋体" w:hAnsi="宋体" w:cs="宋体" w:eastAsia="宋体" w:hint="default"/>
                <w:sz w:val="18"/>
                <w:szCs w:val="18"/>
              </w:rPr>
            </w:pPr>
            <w:r>
              <w:rPr>
                <w:rFonts w:ascii="宋体" w:hAnsi="宋体" w:cs="宋体" w:eastAsia="宋体" w:hint="default"/>
                <w:sz w:val="18"/>
                <w:szCs w:val="18"/>
              </w:rPr>
              <w:t>二○一九年四月十八日</w:t>
            </w:r>
          </w:p>
        </w:tc>
        <w:tc>
          <w:tcPr>
            <w:tcW w:w="2434"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19"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c>
          <w:tcPr>
            <w:tcW w:w="1971"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534" w:right="0"/>
              <w:jc w:val="left"/>
              <w:rPr>
                <w:rFonts w:ascii="宋体" w:hAnsi="宋体" w:cs="宋体" w:eastAsia="宋体" w:hint="default"/>
                <w:sz w:val="21"/>
                <w:szCs w:val="21"/>
              </w:rPr>
            </w:pPr>
            <w:r>
              <w:rPr>
                <w:rFonts w:ascii="宋体" w:hAnsi="宋体" w:cs="宋体" w:eastAsia="宋体" w:hint="default"/>
                <w:sz w:val="21"/>
                <w:szCs w:val="21"/>
              </w:rPr>
              <w:t>刘智清</w:t>
            </w:r>
          </w:p>
        </w:tc>
      </w:tr>
      <w:tr>
        <w:trPr>
          <w:trHeight w:val="780" w:hRule="exact"/>
        </w:trPr>
        <w:tc>
          <w:tcPr>
            <w:tcW w:w="3244" w:type="dxa"/>
            <w:tcBorders>
              <w:top w:val="nil" w:sz="6" w:space="0" w:color="auto"/>
              <w:left w:val="nil" w:sz="6" w:space="0" w:color="auto"/>
              <w:bottom w:val="nil" w:sz="6" w:space="0" w:color="auto"/>
              <w:right w:val="nil" w:sz="6" w:space="0" w:color="auto"/>
            </w:tcBorders>
          </w:tcPr>
          <w:p>
            <w:pPr/>
          </w:p>
        </w:tc>
        <w:tc>
          <w:tcPr>
            <w:tcW w:w="2434"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19"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c>
          <w:tcPr>
            <w:tcW w:w="1971"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534" w:right="0"/>
              <w:jc w:val="left"/>
              <w:rPr>
                <w:rFonts w:ascii="宋体" w:hAnsi="宋体" w:cs="宋体" w:eastAsia="宋体" w:hint="default"/>
                <w:sz w:val="21"/>
                <w:szCs w:val="21"/>
              </w:rPr>
            </w:pPr>
            <w:r>
              <w:rPr>
                <w:rFonts w:ascii="宋体" w:hAnsi="宋体" w:cs="宋体" w:eastAsia="宋体" w:hint="default"/>
                <w:sz w:val="21"/>
                <w:szCs w:val="21"/>
              </w:rPr>
              <w:t>冯俭专</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二、财务报表" w:id="153"/>
      <w:bookmarkEnd w:id="153"/>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4"/>
      <w:bookmarkEnd w:id="154"/>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编制单位：湖南科创信息技术股份有限公司</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204,791,776.75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316,170,312.69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8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155,691,264.58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108,777,095.65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1,964,488.04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155,661,264.58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106,812,607.61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3,278,987.87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3,863,588.72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13,627,098.04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12,193,218.50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83,441,284.46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67,578,474.64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6,540.44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9,209.89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460,836,952.14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508,591,900.09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55,704,790.86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6,984,233.82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7,198,662.08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75,427,659.74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65,244,454.67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1,315,641.33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12,619,409.03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13,309,652.29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4,225,517.90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2,913,261.20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154,961,611.35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97,841,671.57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615,798,563.49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606,433,571.66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56,244,946.79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51,057,233.33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63,246,508.94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37,298,630.40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16,403,110.00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17,161,121.88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18,816,613.89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12,097,700.14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2,777,775.29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8,783,455.42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177,488,954.91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196,398,141.17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8,218,899.01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7,452,670.61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24,718,899.01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22,452,670.61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202,207,853.92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218,850,811.78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158,008,198.00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92,945,999.00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81,777,329.80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146,839,528.80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22,741,960.59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19,269,620.84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142,175,563.80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119,830,978.30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404,703,052.19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378,886,126.94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8,887,657.38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8,696,632.94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413,590,709.57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387,582,759.88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49" w:right="0"/>
              <w:jc w:val="left"/>
              <w:rPr>
                <w:rFonts w:ascii="Times New Roman" w:hAnsi="Times New Roman" w:cs="Times New Roman" w:eastAsia="Times New Roman" w:hint="default"/>
                <w:sz w:val="18"/>
                <w:szCs w:val="18"/>
              </w:rPr>
            </w:pPr>
            <w:r>
              <w:rPr>
                <w:rFonts w:ascii="Times New Roman"/>
                <w:sz w:val="18"/>
              </w:rPr>
              <w:t>615,798,563.49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1" w:right="0"/>
              <w:jc w:val="left"/>
              <w:rPr>
                <w:rFonts w:ascii="Times New Roman" w:hAnsi="Times New Roman" w:cs="Times New Roman" w:eastAsia="Times New Roman" w:hint="default"/>
                <w:sz w:val="18"/>
                <w:szCs w:val="18"/>
              </w:rPr>
            </w:pPr>
            <w:r>
              <w:rPr>
                <w:rFonts w:ascii="Times New Roman"/>
                <w:sz w:val="18"/>
              </w:rPr>
              <w:t>606,433,571.66</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法定代表人：费耀平</w:t>
        <w:tab/>
        <w:t>主管会计工作负责人：金卓钧</w:t>
        <w:tab/>
        <w:t>会计机构负责人：龙仲</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5"/>
      <w:bookmarkEnd w:id="155"/>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192,498,436.96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308,800,080.61</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154,911,114.50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108,368,558.74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1,964,488.04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154,881,114.50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106,404,070.70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3,002,916.87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3,863,588.72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14,802,809.53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13,889,816.61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78,754,063.14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65,725,202.39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6,540.44</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443,975,881.44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500,647,247.07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31,348,920.28</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6,984,233.82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7,198,662.08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75,394,862.88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65,197,788.57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1,315,641.33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12,619,409.03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13,309,652.29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4,202,202.88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2,971,469.84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148,629,628.89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103,073,214.11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592,605,510.33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603,720,461.18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50,006,603.40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50,605,084.61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58,643,337.36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46,051,511.84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14,354,273.11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15,114,156.23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18,003,565.54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11,872,630.48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2,695,071.54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8,760,059.12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163,702,850.95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202,403,442.28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7,870,324.26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7,213,481.35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24,370,324.26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22,213,481.35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188,073,175.21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224,616,923.63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158,008,198.00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92,945,999.00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81,777,329.80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146,839,528.80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22,741,960.59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19,269,620.84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142,004,846.73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120,048,388.91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404,532,335.12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379,103,537.55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592,605,510.33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603,720,461.18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56"/>
      <w:bookmarkEnd w:id="156"/>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332,604,355.71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307,423,525.28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332,604,355.71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307,423,525.28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301,342,791.16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268,630,816.30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211,375,198.75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187,706,439.81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3,839,931.62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2,523,028.35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25,203,088.09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20,432,647.18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30,115,220.38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29,030,088.52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24,252,042.35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22,045,032.76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-564,895.18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2,558,774.29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1,452,755.53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2,563,659.46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1,199,006.73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178,656.84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7,122,205.15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4,334,805.39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8,169,146.44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9,805,410.28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-7,460.00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39,430,710.99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48,590,659.26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501,208.00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3,753,285.66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123,583.57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60,814.35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39,808,335.42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52,283,130.57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4,505,785.83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7,715,927.29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35,302,549.59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44,567,203.28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35,302,549.59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44,567,203.28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35,111,525.15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44,494,787.97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191,024.44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72,415.31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35,302,549.59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44,567,203.28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35,111,525.15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44,494,787.97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191,024.44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72,415.31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0.370</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before="44"/>
        <w:ind w:left="0" w:right="1229"/>
        <w:jc w:val="right"/>
      </w:pPr>
      <w:r>
        <w:rPr/>
        <w:t>法定代表人：费耀平</w:t>
        <w:tab/>
        <w:t>主管会计工作负责人：金卓钧</w:t>
        <w:tab/>
        <w:t>会计机构负责人：龙仲</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母公司利润表" w:id="157"/>
      <w:bookmarkEnd w:id="157"/>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320,083,653.47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299,301,234.72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204,850,105.04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183,447,421.91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3,668,860.33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2,384,787.48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22,716,494.48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19,099,240.28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27,720,071.50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27,068,604.61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23,500,937.22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21,392,189.57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-556,586.29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2,555,185.95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1,452,755.53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2,563,659.46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1,179,104.15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170,420.67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7,548,043.99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4,546,951.40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7,961,328.44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9,754,645.02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-1,494,258.11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-7,460.00</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38,597,055.64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47,059,780.43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501,208.00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3,745,481.08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123,583.57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60,814.35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38,974,680.07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50,744,447.16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4,251,282.60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7,680,339.40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34,723,397.47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43,064,107.76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34,723,397.47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43,064,107.76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34,723,397.47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43,064,107.76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58"/>
      <w:bookmarkEnd w:id="158"/>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293,746,676.31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275,350,430.62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9,382,669.61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4,394,075.03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9,851,703.53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6,247,039.61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312,981,049.45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285,991,545.26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157,027,344.94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124,067,680.48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112,606,930.31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91,692,342.49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24,481,191.65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22,205,952.28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38,324,649.92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40,563,493.32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332,440,116.82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278,529,468.57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-19,459,067.37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7,462,076.69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7,188.34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4,793,699.29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4,800,887.63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25,583,472.22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11,158,357.17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25,583,472.22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11,158,357.17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-20,782,584.59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-11,158,357.17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180,528,300.00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7,940,000.00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250,528,300.00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10,747,355.43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8,140,139.38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5,120,754.72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5,837,300.00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85,868,110.15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52,877,439.38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-65,868,110.15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197,650,860.62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-106,109,762.11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193,954,580.14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308,209,155.39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114,254,575.25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202,099,393.28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308,209,155.39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59"/>
      <w:bookmarkEnd w:id="159"/>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277,082,242.22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275,409,579.72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9,174,851.61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4,348,323.20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9,831,800.95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6,225,985.43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296,088,894.78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285,983,888.35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155,967,113.93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123,650,441.58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102,514,143.50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86,451,930.93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23,703,655.41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21,338,033.01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36,573,919.62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39,223,915.52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318,758,832.46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270,664,321.04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-22,669,937.68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15,319,567.31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7,188.34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4,793,699.29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4,800,887.63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22,295,709.62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3,292,807.17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27,295,709.62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15,352,807.17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-22,494,821.99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-15,352,807.17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172,588,300.00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242,588,300.00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10,747,355.43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8,140,139.38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5,120,754.72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5,837,300.00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85,868,110.15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52,877,439.38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-65,868,110.15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189,710,860.62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-111,032,869.82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189,677,620.76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300,838,923.31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111,161,302.55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189,806,053.49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300,838,923.31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60"/>
      <w:bookmarkEnd w:id="160"/>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本期金额</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7"/>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92,945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,999.0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146,839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,528.80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19,269,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620.84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119,830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,978.30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8,696,6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32.94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387,582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,759.88</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92,945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,999.0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146,839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,528.80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19,269,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620.84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119,830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,978.30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8,696,6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32.94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387,582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,759.88</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65,062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,199.0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-65,062,</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199.00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3,472,3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39.75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22,344,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585.50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191,024</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26,007,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949.69</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pacing w:val="-3"/>
                <w:sz w:val="18"/>
              </w:rPr>
              <w:t>35,111,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525.15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 w:right="0"/>
              <w:jc w:val="left"/>
              <w:rPr>
                <w:rFonts w:ascii="Times New Roman" w:hAnsi="Times New Roman" w:cs="Times New Roman" w:eastAsia="Times New Roman" w:hint="default"/>
                <w:sz w:val="18"/>
                <w:szCs w:val="18"/>
              </w:rPr>
            </w:pPr>
            <w:r>
              <w:rPr>
                <w:rFonts w:ascii="Times New Roman"/>
                <w:sz w:val="18"/>
              </w:rPr>
              <w:t>191,024</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35,302,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549.59</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3,472,3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39.75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-12,766,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939.65</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-9,294,5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99.90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3,472,3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39.75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-3,472,3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39.75</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2"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-9,294,5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99.90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-9,294,5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99.90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-65,062,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199.00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-65,062,</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199.00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8,198.</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81,777,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329.80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22,741,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960.59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142,175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,563.80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8,887,6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57.38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413,590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,709.57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44"/>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7,426,6</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28.80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14,963,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210.06</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85,219,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081.03</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684,217</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.63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177,999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,136.52</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7,426,6</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28.80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14,963,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210.06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85,219,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081.03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684,217</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177,999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,136.52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139,412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4,306,4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10.78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34,611,</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897.27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8,012,4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15.31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209,583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,623.36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44,494,</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787.97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44,567,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203.28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139,412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7,940,0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170,592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,900.00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139,412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7,940,0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170,592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4,306,4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10.78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-9,882,8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90.70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-5,576,4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79.92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4,306,4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10.78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-4,306,4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10.78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-5,576,4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79.92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-5,576,4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79.92</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92,945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,999.0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146,839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,528.80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19,269,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620.84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119,830</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,978.30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8,696,6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32.94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387,582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,759.88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61"/>
      <w:bookmarkEnd w:id="161"/>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92,945,9</w:t>
            </w:r>
          </w:p>
          <w:p>
            <w:pPr>
              <w:pStyle w:val="TableParagraph"/>
              <w:spacing w:line="240" w:lineRule="auto" w:before="105"/>
              <w:ind w:left="257" w:right="0"/>
              <w:jc w:val="left"/>
              <w:rPr>
                <w:rFonts w:ascii="Times New Roman" w:hAnsi="Times New Roman" w:cs="Times New Roman" w:eastAsia="Times New Roman" w:hint="default"/>
                <w:sz w:val="18"/>
                <w:szCs w:val="18"/>
              </w:rPr>
            </w:pPr>
            <w:r>
              <w:rPr>
                <w:rFonts w:ascii="Times New Roman"/>
                <w:sz w:val="18"/>
              </w:rPr>
              <w:t>99.00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146,839,5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28.80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19,269,62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0.84</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120,048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,388.91</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379,103,5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37.55</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92,945,9</w:t>
            </w:r>
          </w:p>
          <w:p>
            <w:pPr>
              <w:pStyle w:val="TableParagraph"/>
              <w:spacing w:line="240" w:lineRule="auto" w:before="105"/>
              <w:ind w:left="257" w:right="0"/>
              <w:jc w:val="left"/>
              <w:rPr>
                <w:rFonts w:ascii="Times New Roman" w:hAnsi="Times New Roman" w:cs="Times New Roman" w:eastAsia="Times New Roman" w:hint="default"/>
                <w:sz w:val="18"/>
                <w:szCs w:val="18"/>
              </w:rPr>
            </w:pPr>
            <w:r>
              <w:rPr>
                <w:rFonts w:ascii="Times New Roman"/>
                <w:sz w:val="18"/>
              </w:rPr>
              <w:t>99.00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146,839,5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28.80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19,269,62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0.84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120,048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,388.91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379,103,5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37.55</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65,062,1</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99.00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-65,062,1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3,472,339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21,956,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457.82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25,428,79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7.57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34,723,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397.47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34,723,39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7.47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3,472,339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-12,766,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939.65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-9,294,59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9.90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3,472,339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-3,472,3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39.75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-9,294,5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99.90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-9,294,59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9.90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65,062,1</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99.00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-65,062,1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65,062,1</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99.00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-65,062,1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99.00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158,008,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81,777,32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22,741,96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0.59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142,004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,846.73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404,532,3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35.12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t>上期金额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0"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69,705,9</w:t>
            </w:r>
          </w:p>
          <w:p>
            <w:pPr>
              <w:pStyle w:val="TableParagraph"/>
              <w:spacing w:line="240" w:lineRule="auto" w:before="105"/>
              <w:ind w:left="257" w:right="0"/>
              <w:jc w:val="left"/>
              <w:rPr>
                <w:rFonts w:ascii="Times New Roman" w:hAnsi="Times New Roman" w:cs="Times New Roman" w:eastAsia="Times New Roman" w:hint="default"/>
                <w:sz w:val="18"/>
                <w:szCs w:val="18"/>
              </w:rPr>
            </w:pPr>
            <w:r>
              <w:rPr>
                <w:rFonts w:ascii="Times New Roman"/>
                <w:sz w:val="18"/>
              </w:rPr>
              <w:t>99.00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7,426,628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14,963,21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103" w:right="0"/>
              <w:jc w:val="left"/>
              <w:rPr>
                <w:rFonts w:ascii="Times New Roman" w:hAnsi="Times New Roman" w:cs="Times New Roman" w:eastAsia="Times New Roman" w:hint="default"/>
                <w:sz w:val="18"/>
                <w:szCs w:val="18"/>
              </w:rPr>
            </w:pPr>
            <w:r>
              <w:rPr>
                <w:rFonts w:ascii="Times New Roman"/>
                <w:sz w:val="18"/>
              </w:rPr>
              <w:t>86,867,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171.85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178,963,0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09.71</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69,705,9</w:t>
            </w:r>
          </w:p>
          <w:p>
            <w:pPr>
              <w:pStyle w:val="TableParagraph"/>
              <w:spacing w:line="240" w:lineRule="auto" w:before="105"/>
              <w:ind w:left="257" w:right="0"/>
              <w:jc w:val="left"/>
              <w:rPr>
                <w:rFonts w:ascii="Times New Roman" w:hAnsi="Times New Roman" w:cs="Times New Roman" w:eastAsia="Times New Roman" w:hint="default"/>
                <w:sz w:val="18"/>
                <w:szCs w:val="18"/>
              </w:rPr>
            </w:pPr>
            <w:r>
              <w:rPr>
                <w:rFonts w:ascii="Times New Roman"/>
                <w:sz w:val="18"/>
              </w:rPr>
              <w:t>99.00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7,426,628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14,963,21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86,867,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171.85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178,963,0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09.71</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23,240,0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139,412,9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4,306,410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33,181,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217.06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200,140,5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27.84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43,064,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107.76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43,064,10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7.76</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23,240,0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139,412,9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162,652,9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23,240,0</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139,412,9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162,652,9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4,306,410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-9,882,8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90.70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-5,576,47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9.92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4,306,410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-4,306,4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10.78</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-5,576,4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79.92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-5,576,47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9.92</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92,945,9</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99.00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146,839,5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28.80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19,269,62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0.84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120,048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,388.91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379,103,5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37.55</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62"/>
      <w:bookmarkEnd w:id="162"/>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424" w:lineRule="auto"/>
        <w:ind w:left="511" w:right="5215"/>
        <w:jc w:val="left"/>
      </w:pPr>
      <w:r>
        <w:rPr>
          <w:rFonts w:ascii="Times New Roman" w:hAnsi="Times New Roman" w:cs="Times New Roman" w:eastAsia="Times New Roman" w:hint="default"/>
        </w:rPr>
        <w:t>1</w:t>
      </w:r>
      <w:r>
        <w:rPr/>
        <w:t>、公司注册地、总部地址和组织形式 湖南科创信息技术股份有限公司（以下简称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 公司注册地和总部地址：长沙市岳麓区青山路</w:t>
      </w:r>
      <w:r>
        <w:rPr>
          <w:rFonts w:ascii="Times New Roman" w:hAnsi="Times New Roman" w:cs="Times New Roman" w:eastAsia="Times New Roman" w:hint="default"/>
        </w:rPr>
        <w:t>678</w:t>
      </w:r>
      <w:r>
        <w:rPr/>
        <w:t>号。 组织形式：股份有限公司（上市、自然人投资或控股）。 公司共同控制人：费耀平、李杰、李建华、刘应龙、刘星沙。 </w:t>
      </w:r>
      <w:r>
        <w:rPr>
          <w:rFonts w:ascii="Times New Roman" w:hAnsi="Times New Roman" w:cs="Times New Roman" w:eastAsia="Times New Roman" w:hint="default"/>
        </w:rPr>
        <w:t>2</w:t>
      </w:r>
      <w:r>
        <w:rPr/>
        <w:t>、公司的行业性质、经营范围</w:t>
      </w:r>
    </w:p>
    <w:p>
      <w:pPr>
        <w:pStyle w:val="BodyText"/>
        <w:spacing w:line="300" w:lineRule="auto" w:before="29"/>
        <w:ind w:right="1124" w:firstLine="357"/>
        <w:jc w:val="left"/>
      </w:pPr>
      <w:r>
        <w:rPr/>
        <w:t>公司的行业性质：按中国证监会《上市公司行业分类指引》，公司所处行业的行业编码为</w:t>
      </w:r>
      <w:r>
        <w:rPr>
          <w:spacing w:val="41"/>
        </w:rPr>
        <w:t> </w:t>
      </w:r>
      <w:r>
        <w:rPr>
          <w:rFonts w:ascii="Times New Roman" w:hAnsi="Times New Roman" w:cs="Times New Roman" w:eastAsia="Times New Roman" w:hint="default"/>
        </w:rPr>
        <w:t>I65</w:t>
      </w:r>
      <w:r>
        <w:rPr/>
        <w:t>，即</w:t>
      </w:r>
      <w:r>
        <w:rPr>
          <w:rFonts w:ascii="Times New Roman" w:hAnsi="Times New Roman" w:cs="Times New Roman" w:eastAsia="Times New Roman" w:hint="default"/>
        </w:rPr>
        <w:t>“</w:t>
      </w:r>
      <w:r>
        <w:rPr/>
        <w:t>软件和信息技术服 务业</w:t>
      </w:r>
      <w:r>
        <w:rPr>
          <w:rFonts w:ascii="Times New Roman" w:hAnsi="Times New Roman" w:cs="Times New Roman" w:eastAsia="Times New Roman" w:hint="default"/>
        </w:rPr>
        <w:t>”</w:t>
      </w:r>
      <w:r>
        <w:rPr/>
        <w:t>。</w:t>
      </w:r>
    </w:p>
    <w:p>
      <w:pPr>
        <w:pStyle w:val="BodyText"/>
        <w:spacing w:line="316" w:lineRule="auto" w:before="133"/>
        <w:ind w:right="1032" w:firstLine="357"/>
        <w:jc w:val="left"/>
      </w:pPr>
      <w:r>
        <w:rPr>
          <w:spacing w:val="-4"/>
        </w:rPr>
        <w:t>公司经营范围：计算机技术开发、技术服务；计算机检测控制系统的研究；建筑行业工程设计；监控系统的设计、安装；</w:t>
      </w:r>
      <w:r>
        <w:rPr/>
        <w:t> </w:t>
      </w:r>
      <w:r>
        <w:rPr>
          <w:spacing w:val="-2"/>
        </w:rPr>
        <w:t>互联网信息服务；第二类增值电信业务中的信息服务业务；信息系统集成服务；计算机网络系统工程服务；电子产品及配件</w:t>
      </w:r>
      <w:r>
        <w:rPr>
          <w:spacing w:val="-66"/>
        </w:rPr>
        <w:t> </w:t>
      </w:r>
      <w:r>
        <w:rPr>
          <w:spacing w:val="-66"/>
        </w:rPr>
      </w:r>
      <w:r>
        <w:rPr/>
        <w:t>的技术咨询服务；监控系统工程安装服务；计算机检测控制系统的技术咨询服务；防盗系统的设计、安装；电子产品生产； 工业自动控制系统装置制造；计算机、办公设备和专用设备维修；建设工程施工；监控系统的维护；电子产品、网络技术、 </w:t>
      </w:r>
      <w:r>
        <w:rPr>
          <w:spacing w:val="-2"/>
        </w:rPr>
        <w:t>通讯产品、通讯技术的研发；计算机软件、计算机检测控制系统、家用电器、办公用品的销售。（依法须经批准的项目，经</w:t>
      </w:r>
      <w:r>
        <w:rPr>
          <w:spacing w:val="-66"/>
        </w:rPr>
        <w:t> </w:t>
      </w:r>
      <w:r>
        <w:rPr>
          <w:spacing w:val="-66"/>
        </w:rPr>
      </w:r>
      <w:r>
        <w:rPr/>
        <w:t>相关部门批准后方可开展经营活动）</w:t>
      </w:r>
    </w:p>
    <w:p>
      <w:pPr>
        <w:pStyle w:val="BodyText"/>
        <w:spacing w:line="432" w:lineRule="exact" w:before="3"/>
        <w:ind w:left="511" w:right="0"/>
        <w:jc w:val="left"/>
      </w:pPr>
      <w:r>
        <w:rPr>
          <w:rFonts w:ascii="Times New Roman" w:hAnsi="Times New Roman" w:cs="Times New Roman" w:eastAsia="Times New Roman" w:hint="default"/>
        </w:rPr>
        <w:t>3</w:t>
      </w:r>
      <w:r>
        <w:rPr/>
        <w:t>、财务报告的批准报出机构和财务报告批准报出日 公司财务报告的批准报出机构为公司董事会，财务报告批准报出日为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 </w:t>
      </w:r>
      <w:r>
        <w:rPr>
          <w:spacing w:val="-2"/>
        </w:rPr>
        <w:t>本公司合并财务报表的合并范围以控制为基础确定，包括本公司及全部子公司的财务报表。子公司，是指被本公司控制</w:t>
      </w:r>
    </w:p>
    <w:p>
      <w:pPr>
        <w:pStyle w:val="BodyText"/>
        <w:spacing w:line="316" w:lineRule="auto" w:before="15"/>
        <w:ind w:left="511" w:right="1118" w:hanging="358"/>
        <w:jc w:val="left"/>
      </w:pPr>
      <w:r>
        <w:rPr/>
        <w:t>的企业或主体。 </w:t>
      </w:r>
      <w:r>
        <w:rPr>
          <w:spacing w:val="-2"/>
        </w:rPr>
        <w:t>公司将北京科创鑫源信息技术有限公司、永兴科创南方技术服务有限公司和湖南科创信息系统集成有限公司纳入合并财</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spacing w:val="-4"/>
        </w:rPr>
        <w:t>务报表范围。合并财务报表范围发生变化的详细情况见本财务报表附注</w:t>
      </w:r>
      <w:r>
        <w:rPr>
          <w:rFonts w:ascii="Times New Roman" w:hAnsi="Times New Roman" w:cs="Times New Roman" w:eastAsia="Times New Roman" w:hint="default"/>
          <w:spacing w:val="-4"/>
        </w:rPr>
        <w:t>“</w:t>
      </w:r>
      <w:r>
        <w:rPr>
          <w:spacing w:val="-4"/>
        </w:rPr>
        <w:t>八、合并范围的变动</w:t>
      </w:r>
      <w:r>
        <w:rPr>
          <w:rFonts w:ascii="Times New Roman" w:hAnsi="Times New Roman" w:cs="Times New Roman" w:eastAsia="Times New Roman" w:hint="default"/>
          <w:spacing w:val="-4"/>
        </w:rPr>
        <w:t>”</w:t>
      </w:r>
      <w:r>
        <w:rPr>
          <w:spacing w:val="-4"/>
        </w:rPr>
        <w:t>和</w:t>
      </w:r>
      <w:r>
        <w:rPr>
          <w:spacing w:val="17"/>
        </w:rPr>
        <w:t> </w:t>
      </w:r>
      <w:r>
        <w:rPr>
          <w:rFonts w:ascii="Times New Roman" w:hAnsi="Times New Roman" w:cs="Times New Roman" w:eastAsia="Times New Roman" w:hint="default"/>
          <w:spacing w:val="-5"/>
        </w:rPr>
        <w:t>“</w:t>
      </w:r>
      <w:r>
        <w:rPr>
          <w:spacing w:val="-5"/>
        </w:rPr>
        <w:t>九、在其他主体中的权益</w:t>
      </w:r>
      <w:r>
        <w:rPr>
          <w:rFonts w:ascii="Times New Roman" w:hAnsi="Times New Roman" w:cs="Times New Roman" w:eastAsia="Times New Roman" w:hint="default"/>
          <w:spacing w:val="-5"/>
        </w:rPr>
        <w:t>”</w:t>
      </w:r>
      <w:r>
        <w:rPr>
          <w:spacing w:val="-5"/>
        </w:rPr>
        <w:t>。</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四、财务报表的编制基础" w:id="163"/>
      <w:bookmarkEnd w:id="163"/>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4"/>
      <w:bookmarkEnd w:id="164"/>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本财务报表以公司持续经营假设为基础，根据实际发生的交易事项，按照企业会计准则的有关规定，并基于以下所述重</w:t>
      </w:r>
      <w:r>
        <w:rPr/>
        <w:t> 要会计政策、会计估计进行编制。</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持续经营" w:id="165"/>
      <w:bookmarkEnd w:id="165"/>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本公司自本报告期末起</w:t>
      </w:r>
      <w:r>
        <w:rPr>
          <w:rFonts w:ascii="Times New Roman" w:hAnsi="Times New Roman" w:cs="Times New Roman" w:eastAsia="Times New Roman" w:hint="default"/>
        </w:rPr>
        <w:t>12</w:t>
      </w:r>
      <w:r>
        <w:rPr/>
        <w:t>个月内具备持续经营能力，不存在导致持续经营能力产生重大怀疑的事项。</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66"/>
      <w:bookmarkEnd w:id="166"/>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357" w:lineRule="auto" w:before="26"/>
        <w:ind w:right="8232"/>
        <w:jc w:val="left"/>
      </w:pPr>
      <w:r>
        <w:rPr/>
        <w:t>软件与信息技术服务业 具体会计政策和会计估计提示：</w:t>
      </w:r>
    </w:p>
    <w:p>
      <w:pPr>
        <w:pStyle w:val="BodyText"/>
        <w:spacing w:line="316" w:lineRule="auto" w:before="28"/>
        <w:ind w:right="1118" w:firstLine="360"/>
        <w:jc w:val="left"/>
      </w:pPr>
      <w:r>
        <w:rPr>
          <w:spacing w:val="-2"/>
        </w:rPr>
        <w:t>本公司对应收款项坏账准备计提、固定资产折旧、无形资产摊销、收入确认等交易或事项制定了具体会计政策和会计估</w:t>
      </w:r>
      <w:r>
        <w:rPr/>
        <w:t> 计。</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1、遵循企业会计准则的声明" w:id="167"/>
      <w:bookmarkEnd w:id="167"/>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本公司基于下述编制基础编制的财务报表符合财政部已颁布的最新企业会计准则及其应用指南、解释以及其他相关规 定（统称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）的要求，真实完整地反映了合并及公司的财务状况、经营成果和现金流量等有关信息。</w:t>
      </w:r>
    </w:p>
    <w:p>
      <w:pPr>
        <w:pStyle w:val="BodyText"/>
        <w:spacing w:line="240" w:lineRule="auto" w:before="119"/>
        <w:ind w:left="574" w:right="0"/>
        <w:jc w:val="left"/>
      </w:pPr>
      <w:r>
        <w:rPr/>
        <w:t>此外，本财务报告编制参照了证监会发布的《公开发行证券的公司信息披露编报规则第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p>
    <w:p>
      <w:pPr>
        <w:pStyle w:val="BodyText"/>
        <w:spacing w:line="240" w:lineRule="auto" w:before="63"/>
        <w:ind w:right="0"/>
        <w:jc w:val="left"/>
      </w:pPr>
      <w:r>
        <w:rPr/>
        <w:t>（</w:t>
      </w:r>
      <w:r>
        <w:rPr>
          <w:rFonts w:ascii="Times New Roman" w:hAnsi="Times New Roman" w:cs="Times New Roman" w:eastAsia="Times New Roman" w:hint="default"/>
        </w:rPr>
        <w:t>2014</w:t>
      </w:r>
      <w:r>
        <w:rPr/>
        <w:t>年修订）以及《关于上市公司执行新企业会计准则有关事项的通知》（会计部函〔</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453</w:t>
      </w:r>
      <w:r>
        <w:rPr/>
        <w:t>号）的列报和披露要求。</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会计期间" w:id="168"/>
      <w:bookmarkEnd w:id="168"/>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本公司的会计年度从公历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营业周期" w:id="169"/>
      <w:bookmarkEnd w:id="169"/>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360"/>
        <w:jc w:val="left"/>
      </w:pPr>
      <w:r>
        <w:rPr>
          <w:spacing w:val="-4"/>
        </w:rPr>
        <w:t>正常营业周期，是指企业从购买用于加工的资产起至实现现金或现金等价物的期间。本公司以</w:t>
      </w:r>
      <w:r>
        <w:rPr>
          <w:rFonts w:ascii="Times New Roman" w:hAnsi="Times New Roman" w:cs="Times New Roman" w:eastAsia="Times New Roman" w:hint="default"/>
          <w:spacing w:val="-4"/>
        </w:rPr>
        <w:t>12</w:t>
      </w:r>
      <w:r>
        <w:rPr>
          <w:spacing w:val="-4"/>
        </w:rPr>
        <w:t>个月作为正常营业周期，</w:t>
      </w:r>
      <w:r>
        <w:rPr/>
        <w:t> 并以其作为资产与负债流动性划分的标准。</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4、记账本位币" w:id="170"/>
      <w:bookmarkEnd w:id="170"/>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本公司采用人民币作为记账本位币。</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5、同一控制下和非同一控制下企业合并的会计处理方法" w:id="171"/>
      <w:bookmarkEnd w:id="171"/>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420" w:lineRule="atLeast" w:before="176"/>
        <w:ind w:left="574" w:right="0"/>
        <w:jc w:val="left"/>
      </w:pPr>
      <w:r>
        <w:rPr>
          <w:rFonts w:ascii="Times New Roman" w:hAnsi="Times New Roman" w:cs="Times New Roman" w:eastAsia="Times New Roman" w:hint="default"/>
        </w:rPr>
        <w:t>1</w:t>
      </w:r>
      <w:r>
        <w:rPr/>
        <w:t>、同一控制下企业合并的会计处理方法 本公司在一次交易取得或通过多次交易分步实现同一控制下企业合并，企业合并中取得的资产和负债，按照合并日在</w:t>
      </w:r>
    </w:p>
    <w:p>
      <w:pPr>
        <w:pStyle w:val="BodyText"/>
        <w:spacing w:line="316" w:lineRule="auto" w:before="77"/>
        <w:ind w:right="1131"/>
        <w:jc w:val="both"/>
      </w:pPr>
      <w:r>
        <w:rPr>
          <w:spacing w:val="-2"/>
        </w:rPr>
        <w:t>被合并方在最终控制方合并财务报表中的的账面价值计量。本公司取得的净资产账面价值与支付的合并对价账面价值（或发</w:t>
      </w:r>
      <w:r>
        <w:rPr>
          <w:spacing w:val="-64"/>
        </w:rPr>
        <w:t> </w:t>
      </w:r>
      <w:r>
        <w:rPr>
          <w:spacing w:val="-64"/>
        </w:rPr>
      </w:r>
      <w:r>
        <w:rPr/>
        <w:t>行股份面值总额）的差额，调整资本公积；资本公积不足冲减的，调整留存收益。</w:t>
      </w:r>
    </w:p>
    <w:p>
      <w:pPr>
        <w:pStyle w:val="BodyText"/>
        <w:spacing w:line="432" w:lineRule="exact" w:before="3"/>
        <w:ind w:left="574" w:right="0"/>
        <w:jc w:val="left"/>
      </w:pPr>
      <w:r>
        <w:rPr>
          <w:rFonts w:ascii="Times New Roman" w:hAnsi="Times New Roman" w:cs="Times New Roman" w:eastAsia="Times New Roman" w:hint="default"/>
        </w:rPr>
        <w:t>2</w:t>
      </w:r>
      <w:r>
        <w:rPr/>
        <w:t>、非同一控制下企业合并的会计处理方法 本公司在购买日对合并成本大于合并中取得的被购买方可辨认净资产公允价值份额的差额，确认为商誉；如果合并成</w:t>
      </w:r>
    </w:p>
    <w:p>
      <w:pPr>
        <w:pStyle w:val="BodyText"/>
        <w:spacing w:line="316" w:lineRule="auto" w:before="15"/>
        <w:ind w:right="1132"/>
        <w:jc w:val="both"/>
      </w:pPr>
      <w:r>
        <w:rPr>
          <w:spacing w:val="-2"/>
        </w:rPr>
        <w:t>本小于合并中取得的被购买方可辨认净资产公允价值份额，首先对取得的被购买方各项可辨认资产、负债及或有负债的公允</w:t>
      </w:r>
      <w:r>
        <w:rPr>
          <w:spacing w:val="-64"/>
        </w:rPr>
        <w:t> </w:t>
      </w:r>
      <w:r>
        <w:rPr>
          <w:spacing w:val="-64"/>
        </w:rPr>
      </w:r>
      <w:r>
        <w:rPr>
          <w:spacing w:val="-2"/>
        </w:rPr>
        <w:t>价值以及合并成本的计量进行复核，经复核后合并成本仍小于合并中取得的被购买方可辨认净资产公允价值份额的，其差额</w:t>
      </w:r>
      <w:r>
        <w:rPr>
          <w:spacing w:val="-64"/>
        </w:rPr>
        <w:t> </w:t>
      </w:r>
      <w:r>
        <w:rPr>
          <w:spacing w:val="-64"/>
        </w:rPr>
      </w:r>
      <w:r>
        <w:rPr/>
        <w:t>计入当期损益。</w:t>
      </w:r>
    </w:p>
    <w:p>
      <w:pPr>
        <w:pStyle w:val="BodyText"/>
        <w:spacing w:line="240" w:lineRule="auto" w:before="139"/>
        <w:ind w:left="574" w:right="0"/>
        <w:jc w:val="left"/>
      </w:pPr>
      <w:r>
        <w:rPr/>
        <w:t>通过多次交易分步实现非同一控制下企业合并，应按以下顺序处理：</w:t>
      </w:r>
    </w:p>
    <w:p>
      <w:pPr>
        <w:spacing w:line="240" w:lineRule="auto" w:before="0"/>
        <w:rPr>
          <w:rFonts w:ascii="宋体" w:hAnsi="宋体" w:cs="宋体" w:eastAsia="宋体" w:hint="default"/>
          <w:sz w:val="15"/>
          <w:szCs w:val="15"/>
        </w:rPr>
      </w:pPr>
    </w:p>
    <w:p>
      <w:pPr>
        <w:pStyle w:val="BodyText"/>
        <w:spacing w:line="312" w:lineRule="auto"/>
        <w:ind w:right="1130" w:firstLine="420"/>
        <w:jc w:val="both"/>
      </w:pPr>
      <w:r>
        <w:rPr>
          <w:spacing w:val="-1"/>
        </w:rPr>
        <w:t>（</w:t>
      </w:r>
      <w:r>
        <w:rPr>
          <w:rFonts w:ascii="Times New Roman" w:hAnsi="Times New Roman" w:cs="Times New Roman" w:eastAsia="Times New Roman" w:hint="default"/>
          <w:spacing w:val="-1"/>
        </w:rPr>
        <w:t>1</w:t>
      </w:r>
      <w:r>
        <w:rPr>
          <w:spacing w:val="-1"/>
        </w:rPr>
        <w:t>）调整长期股权投资初始投资成本。购买日之前持有股权采用权益法核算的，按照该股权在购买日的公允价值进行</w:t>
      </w:r>
      <w:r>
        <w:rPr/>
        <w:t> </w:t>
      </w:r>
      <w:r>
        <w:rPr>
          <w:spacing w:val="-2"/>
        </w:rPr>
        <w:t>重新计量，公允价值与其账面价值的差额计入当期投资收益；购买日之前持有的被购买方的股权涉及权益法核算下的其他综</w:t>
      </w:r>
      <w:r>
        <w:rPr>
          <w:spacing w:val="-64"/>
        </w:rPr>
        <w:t> </w:t>
      </w:r>
      <w:r>
        <w:rPr>
          <w:spacing w:val="-64"/>
        </w:rPr>
      </w:r>
      <w:r>
        <w:rPr>
          <w:spacing w:val="-2"/>
        </w:rPr>
        <w:t>合收益、其他所有者权益变动的，转为购买日所属当期收益，由于被投资方重新计量设定受益计划净负债或净资产变动而产</w:t>
      </w:r>
      <w:r>
        <w:rPr>
          <w:spacing w:val="-66"/>
        </w:rPr>
        <w:t> </w:t>
      </w:r>
      <w:r>
        <w:rPr>
          <w:spacing w:val="-66"/>
        </w:rPr>
      </w:r>
      <w:r>
        <w:rPr/>
        <w:t>生的其他综合收益除外。</w:t>
      </w:r>
    </w:p>
    <w:p>
      <w:pPr>
        <w:pStyle w:val="BodyText"/>
        <w:spacing w:line="300" w:lineRule="auto" w:before="142"/>
        <w:ind w:right="1132" w:firstLine="420"/>
        <w:jc w:val="both"/>
      </w:pPr>
      <w:r>
        <w:rPr>
          <w:spacing w:val="-2"/>
        </w:rPr>
        <w:t>（</w:t>
      </w:r>
      <w:r>
        <w:rPr>
          <w:rFonts w:ascii="Times New Roman" w:hAnsi="Times New Roman" w:cs="Times New Roman" w:eastAsia="Times New Roman" w:hint="default"/>
          <w:spacing w:val="-2"/>
        </w:rPr>
        <w:t>2</w:t>
      </w:r>
      <w:r>
        <w:rPr>
          <w:spacing w:val="-2"/>
        </w:rPr>
        <w:t>）确认商誉（或计入当期损益的金额）。将第一步调整后长期股权投资初始投资成本与购买日应享有子公司可辨认</w:t>
      </w:r>
      <w:r>
        <w:rPr/>
        <w:t> 净资产公允价值份额比较，前者大于后者，差额确认为商誉；前者小于后者，差额计入当期损益。</w:t>
      </w:r>
    </w:p>
    <w:p>
      <w:pPr>
        <w:pStyle w:val="BodyText"/>
        <w:spacing w:line="240" w:lineRule="auto" w:before="151"/>
        <w:ind w:left="574" w:right="0"/>
        <w:jc w:val="left"/>
      </w:pPr>
      <w:r>
        <w:rPr>
          <w:rFonts w:ascii="Times New Roman" w:hAnsi="Times New Roman" w:cs="Times New Roman" w:eastAsia="Times New Roman" w:hint="default"/>
        </w:rPr>
        <w:t>3</w:t>
      </w:r>
      <w:r>
        <w:rPr/>
        <w:t>、通过多次交易分步处置股权至丧失对子公司控制权的情形</w:t>
      </w:r>
    </w:p>
    <w:p>
      <w:pPr>
        <w:pStyle w:val="BodyText"/>
        <w:spacing w:line="420" w:lineRule="atLeast" w:before="12"/>
        <w:ind w:left="574" w:right="0"/>
        <w:jc w:val="left"/>
      </w:pPr>
      <w:r>
        <w:rPr/>
        <w:t>（</w:t>
      </w:r>
      <w:r>
        <w:rPr>
          <w:rFonts w:ascii="Times New Roman" w:hAnsi="Times New Roman" w:cs="Times New Roman" w:eastAsia="Times New Roman" w:hint="default"/>
        </w:rPr>
        <w:t>1</w:t>
      </w:r>
      <w:r>
        <w:rPr/>
        <w:t>）判断分步处置股权至丧失对子公司控制权过程中的各项交易是否属于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的原则 处置对子公司股权投资的各项交易的条款、条件以及经济影响符合以下一种或多种情况，通常表明应将多次交易事项</w:t>
      </w:r>
    </w:p>
    <w:p>
      <w:pPr>
        <w:pStyle w:val="BodyText"/>
        <w:spacing w:line="240" w:lineRule="auto" w:before="76"/>
        <w:ind w:right="0"/>
        <w:jc w:val="both"/>
      </w:pPr>
      <w:r>
        <w:rPr/>
        <w:t>作为一揽子交易进行会计处理：</w:t>
      </w:r>
    </w:p>
    <w:p>
      <w:pPr>
        <w:spacing w:line="240" w:lineRule="auto" w:before="0"/>
        <w:rPr>
          <w:rFonts w:ascii="宋体" w:hAnsi="宋体" w:cs="宋体" w:eastAsia="宋体" w:hint="default"/>
          <w:sz w:val="15"/>
          <w:szCs w:val="15"/>
        </w:rPr>
      </w:pPr>
    </w:p>
    <w:p>
      <w:pPr>
        <w:pStyle w:val="BodyText"/>
        <w:spacing w:line="240" w:lineRule="auto"/>
        <w:ind w:left="680" w:right="0"/>
        <w:jc w:val="left"/>
      </w:pPr>
      <w:r>
        <w:rPr/>
        <w:t>①这些交易是同时或者在考虑了彼此影响的情况下订立的；</w:t>
      </w:r>
    </w:p>
    <w:p>
      <w:pPr>
        <w:spacing w:line="240" w:lineRule="auto" w:before="0"/>
        <w:rPr>
          <w:rFonts w:ascii="宋体" w:hAnsi="宋体" w:cs="宋体" w:eastAsia="宋体" w:hint="default"/>
          <w:sz w:val="15"/>
          <w:szCs w:val="15"/>
        </w:rPr>
      </w:pPr>
    </w:p>
    <w:p>
      <w:pPr>
        <w:pStyle w:val="BodyText"/>
        <w:spacing w:line="240" w:lineRule="auto"/>
        <w:ind w:left="680" w:right="0"/>
        <w:jc w:val="left"/>
      </w:pPr>
      <w:r>
        <w:rPr/>
        <w:t>②这些交易整体才能达成一项完整的商业结果；</w:t>
      </w:r>
    </w:p>
    <w:p>
      <w:pPr>
        <w:spacing w:line="240" w:lineRule="auto" w:before="0"/>
        <w:rPr>
          <w:rFonts w:ascii="宋体" w:hAnsi="宋体" w:cs="宋体" w:eastAsia="宋体" w:hint="default"/>
          <w:sz w:val="15"/>
          <w:szCs w:val="15"/>
        </w:rPr>
      </w:pPr>
    </w:p>
    <w:p>
      <w:pPr>
        <w:pStyle w:val="BodyText"/>
        <w:spacing w:line="240" w:lineRule="auto"/>
        <w:ind w:left="680" w:right="0"/>
        <w:jc w:val="left"/>
      </w:pPr>
      <w:r>
        <w:rPr/>
        <w:t>③一项交易的发生取决于其他至少一项交易的发生；</w:t>
      </w:r>
    </w:p>
    <w:p>
      <w:pPr>
        <w:spacing w:line="240" w:lineRule="auto" w:before="0"/>
        <w:rPr>
          <w:rFonts w:ascii="宋体" w:hAnsi="宋体" w:cs="宋体" w:eastAsia="宋体" w:hint="default"/>
          <w:sz w:val="15"/>
          <w:szCs w:val="15"/>
        </w:rPr>
      </w:pPr>
    </w:p>
    <w:p>
      <w:pPr>
        <w:pStyle w:val="BodyText"/>
        <w:spacing w:line="240" w:lineRule="auto"/>
        <w:ind w:left="680" w:right="0"/>
        <w:jc w:val="left"/>
      </w:pPr>
      <w:r>
        <w:rPr/>
        <w:t>④一项交易单独看是不经济的，但是和其他交易一并考虑时是经济的。</w:t>
      </w:r>
    </w:p>
    <w:p>
      <w:pPr>
        <w:pStyle w:val="BodyText"/>
        <w:spacing w:line="420" w:lineRule="atLeast" w:before="25"/>
        <w:ind w:left="574" w:right="0"/>
        <w:jc w:val="left"/>
      </w:pPr>
      <w:r>
        <w:rPr/>
        <w:t>（</w:t>
      </w:r>
      <w:r>
        <w:rPr>
          <w:rFonts w:ascii="Times New Roman" w:hAnsi="Times New Roman" w:cs="Times New Roman" w:eastAsia="Times New Roman" w:hint="default"/>
        </w:rPr>
        <w:t>2</w:t>
      </w:r>
      <w:r>
        <w:rPr/>
        <w:t>）分步处置股权至丧失对子公司控制权过程中的各项交易属于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处置对子公司股权投资直至丧失控制权的各项交易属于一揽子交易的，将各项交易作为一项处置子公司并丧失控制权</w:t>
      </w:r>
    </w:p>
    <w:p>
      <w:pPr>
        <w:pStyle w:val="BodyText"/>
        <w:spacing w:line="316" w:lineRule="auto" w:before="76"/>
        <w:ind w:right="1133"/>
        <w:jc w:val="both"/>
      </w:pPr>
      <w:r>
        <w:rPr>
          <w:spacing w:val="-2"/>
        </w:rPr>
        <w:t>的交易进行会计处理；但是，在丧失控制权之前每一次处置价款与处置投资对应的享有该子公司净资产份额的差额，在合并</w:t>
      </w:r>
      <w:r>
        <w:rPr>
          <w:spacing w:val="-66"/>
        </w:rPr>
        <w:t> </w:t>
      </w:r>
      <w:r>
        <w:rPr>
          <w:spacing w:val="-66"/>
        </w:rPr>
      </w:r>
      <w:r>
        <w:rPr/>
        <w:t>财务报表中确认为其他综合收益，在丧失控制权时一并转入丧失控制权当期的损益。</w:t>
      </w:r>
    </w:p>
    <w:p>
      <w:pPr>
        <w:pStyle w:val="BodyText"/>
        <w:spacing w:line="316" w:lineRule="auto" w:before="139"/>
        <w:ind w:right="1131" w:firstLine="420"/>
        <w:jc w:val="both"/>
      </w:pPr>
      <w:r>
        <w:rPr/>
        <w:t>在合并财务报表中，对于剩余股权，按照其在丧失控制权日的公允价值进行重新计量。处置股权取得的对价与剩余股 </w:t>
      </w:r>
      <w:r>
        <w:rPr>
          <w:spacing w:val="-2"/>
        </w:rPr>
        <w:t>权公允价值之和，减去按原持股比例计算应享有原子公司自购买日开始持续计算的净资产的份额之间的差额，计入丧失控制</w:t>
      </w:r>
      <w:r>
        <w:rPr>
          <w:spacing w:val="-64"/>
        </w:rPr>
        <w:t> </w:t>
      </w:r>
      <w:r>
        <w:rPr>
          <w:spacing w:val="-64"/>
        </w:rPr>
      </w:r>
      <w:r>
        <w:rPr/>
        <w:t>权当期的投资收益。与原子公司股权投资相关的其他综合收益，在丧失控制权时转为当期投资收益。</w:t>
      </w:r>
    </w:p>
    <w:p>
      <w:pPr>
        <w:pStyle w:val="BodyText"/>
        <w:spacing w:line="432" w:lineRule="exact" w:before="3"/>
        <w:ind w:left="574" w:right="0"/>
        <w:jc w:val="left"/>
      </w:pPr>
      <w:r>
        <w:rPr/>
        <w:t>（</w:t>
      </w:r>
      <w:r>
        <w:rPr>
          <w:rFonts w:ascii="Times New Roman" w:hAnsi="Times New Roman" w:cs="Times New Roman" w:eastAsia="Times New Roman" w:hint="default"/>
        </w:rPr>
        <w:t>3</w:t>
      </w:r>
      <w:r>
        <w:rPr/>
        <w:t>）分步处置股权至丧失对子公司控制权过程中的各项交易不属于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的会计处理方法 处置对子公司的投资未丧失控制权的，合并财务报表中处置价款与处置投资对应的享有该子公司净资产份额的差额计</w:t>
      </w:r>
    </w:p>
    <w:p>
      <w:pPr>
        <w:pStyle w:val="BodyText"/>
        <w:spacing w:line="439" w:lineRule="auto" w:before="15"/>
        <w:ind w:left="574" w:right="0" w:hanging="420"/>
        <w:jc w:val="left"/>
      </w:pPr>
      <w:r>
        <w:rPr/>
        <w:t>入资本公积（资本溢价或股本溢价），资本溢价不足冲减的，调整留存收益。 处置对子公司的投资丧失控制权的，在合并财务报表中，对于剩余股权，按照其在丧失控制权日的公允价值进行重新</w:t>
      </w:r>
    </w:p>
    <w:p>
      <w:pPr>
        <w:spacing w:after="0" w:line="43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计量。处置股权取得的对价与剩余股权公允价值之和，减去按原持股比例计算应享有原有子公司自购买日开始持续计算的净</w:t>
      </w:r>
      <w:r>
        <w:rPr>
          <w:spacing w:val="-64"/>
        </w:rPr>
        <w:t> </w:t>
      </w:r>
      <w:r>
        <w:rPr>
          <w:spacing w:val="-64"/>
        </w:rPr>
      </w:r>
      <w:r>
        <w:rPr>
          <w:spacing w:val="-2"/>
        </w:rPr>
        <w:t>资产的份额之间的差额，计入丧失控制权当期的投资收益。与原有子公司股权投资相关的其他综合收益，在丧失控制权时转</w:t>
      </w:r>
      <w:r>
        <w:rPr>
          <w:spacing w:val="-66"/>
        </w:rPr>
        <w:t> </w:t>
      </w:r>
      <w:r>
        <w:rPr>
          <w:spacing w:val="-66"/>
        </w:rPr>
      </w:r>
      <w:r>
        <w:rPr/>
        <w:t>为当期投资收益。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6、合并财务报表的编制方法" w:id="172"/>
      <w:bookmarkEnd w:id="172"/>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360"/>
        <w:jc w:val="both"/>
      </w:pPr>
      <w:r>
        <w:rPr>
          <w:spacing w:val="-2"/>
        </w:rPr>
        <w:t>合并财务报表以母公司及其子公司的财务报表为基础，根据其他有关资料，由本公司按照《企业会计准则第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w:t>
      </w:r>
      <w:r>
        <w:rPr/>
        <w:t> 并财务报表》编制。</w:t>
      </w:r>
    </w:p>
    <w:p>
      <w:pPr>
        <w:pStyle w:val="BodyText"/>
        <w:spacing w:line="314" w:lineRule="auto" w:before="151"/>
        <w:ind w:right="1130" w:firstLine="360"/>
        <w:jc w:val="both"/>
      </w:pPr>
      <w:r>
        <w:rPr>
          <w:spacing w:val="-2"/>
        </w:rPr>
        <w:t>合并财务报表系根据《企业会计准则第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合并财务报表》的规定，以母公司和纳入合并范围的子公司的财务报表为</w:t>
      </w:r>
      <w:r>
        <w:rPr/>
        <w:t> </w:t>
      </w:r>
      <w:r>
        <w:rPr>
          <w:spacing w:val="-2"/>
        </w:rPr>
        <w:t>基础，根据其他有关资料，按照权益法调整对子公司的长期股权投资，在抵销母公司权益性资本投资与子公司所有者权益中</w:t>
      </w:r>
      <w:r>
        <w:rPr>
          <w:spacing w:val="-66"/>
        </w:rPr>
        <w:t> </w:t>
      </w:r>
      <w:r>
        <w:rPr>
          <w:spacing w:val="-66"/>
        </w:rPr>
      </w:r>
      <w:r>
        <w:rPr>
          <w:spacing w:val="-2"/>
        </w:rPr>
        <w:t>母公司所持有的份额和公司内部之间重大交易及内部往来后编制而成。少数股东权益，在合并资产负债表中所有者权益项目</w:t>
      </w:r>
      <w:r>
        <w:rPr>
          <w:spacing w:val="-64"/>
        </w:rPr>
        <w:t> </w:t>
      </w:r>
      <w:r>
        <w:rPr>
          <w:spacing w:val="-64"/>
        </w:rPr>
      </w:r>
      <w:r>
        <w:rPr>
          <w:spacing w:val="-1"/>
        </w:rPr>
        <w:t>下以</w:t>
      </w:r>
      <w:r>
        <w:rPr>
          <w:rFonts w:ascii="Times New Roman" w:hAnsi="Times New Roman" w:cs="Times New Roman" w:eastAsia="Times New Roman" w:hint="default"/>
          <w:spacing w:val="-1"/>
        </w:rPr>
        <w:t>“</w:t>
      </w:r>
      <w:r>
        <w:rPr>
          <w:spacing w:val="-1"/>
        </w:rPr>
        <w:t>少数股东权益</w:t>
      </w:r>
      <w:r>
        <w:rPr>
          <w:rFonts w:ascii="Times New Roman" w:hAnsi="Times New Roman" w:cs="Times New Roman" w:eastAsia="Times New Roman" w:hint="default"/>
          <w:spacing w:val="-1"/>
        </w:rPr>
        <w:t>”</w:t>
      </w:r>
      <w:r>
        <w:rPr>
          <w:spacing w:val="-1"/>
        </w:rPr>
        <w:t>项目列示。少数股东损益，在合并利润表中净利润项目下以</w:t>
      </w:r>
      <w:r>
        <w:rPr>
          <w:rFonts w:ascii="Times New Roman" w:hAnsi="Times New Roman" w:cs="Times New Roman" w:eastAsia="Times New Roman" w:hint="default"/>
          <w:spacing w:val="-1"/>
        </w:rPr>
        <w:t>“</w:t>
      </w:r>
      <w:r>
        <w:rPr>
          <w:spacing w:val="-1"/>
        </w:rPr>
        <w:t>少数股东损益</w:t>
      </w:r>
      <w:r>
        <w:rPr>
          <w:rFonts w:ascii="Times New Roman" w:hAnsi="Times New Roman" w:cs="Times New Roman" w:eastAsia="Times New Roman" w:hint="default"/>
          <w:spacing w:val="-1"/>
        </w:rPr>
        <w:t>”</w:t>
      </w:r>
      <w:r>
        <w:rPr>
          <w:spacing w:val="-1"/>
        </w:rPr>
        <w:t>项目列示。母公司在报告期</w:t>
      </w:r>
      <w:r>
        <w:rPr>
          <w:spacing w:val="-79"/>
        </w:rPr>
        <w:t> </w:t>
      </w:r>
      <w:r>
        <w:rPr>
          <w:spacing w:val="-79"/>
        </w:rPr>
      </w:r>
      <w:r>
        <w:rPr>
          <w:spacing w:val="-2"/>
        </w:rPr>
        <w:t>内因同一控制下企业合并增加的子公司，自其与本公司同受最终控制方控制之日起纳入本公司合并范围，并将其在合并日前</w:t>
      </w:r>
      <w:r>
        <w:rPr>
          <w:spacing w:val="-64"/>
        </w:rPr>
        <w:t> </w:t>
      </w:r>
      <w:r>
        <w:rPr>
          <w:spacing w:val="-64"/>
        </w:rPr>
      </w:r>
      <w:r>
        <w:rPr/>
        <w:t>实现的净利润在合并利润表中单列项目反映在编制的合并财务报表中，子公司与本公司采用的会计政策或会计期间不一致</w:t>
      </w:r>
      <w:r>
        <w:rPr>
          <w:spacing w:val="-4"/>
        </w:rPr>
        <w:t> </w:t>
      </w:r>
      <w:r>
        <w:rPr>
          <w:spacing w:val="-4"/>
        </w:rPr>
      </w:r>
      <w:r>
        <w:rPr>
          <w:spacing w:val="-2"/>
        </w:rPr>
        <w:t>的，按照本公司的会计政策和会计期间对子公司财务报表进行必要的调整。因非同一控制下企业合并增加的子公司，将该子</w:t>
      </w:r>
      <w:r>
        <w:rPr>
          <w:spacing w:val="-66"/>
        </w:rPr>
        <w:t> </w:t>
      </w:r>
      <w:r>
        <w:rPr>
          <w:spacing w:val="-66"/>
        </w:rPr>
      </w:r>
      <w:r>
        <w:rPr>
          <w:spacing w:val="-2"/>
        </w:rPr>
        <w:t>公司购买日至报告期末的收入、费用、利润纳入合并利润表。母公司在报告期内处置子公司，将该子公司年初至处置日的收</w:t>
      </w:r>
      <w:r>
        <w:rPr>
          <w:spacing w:val="-66"/>
        </w:rPr>
        <w:t> </w:t>
      </w:r>
      <w:r>
        <w:rPr>
          <w:spacing w:val="-66"/>
        </w:rPr>
      </w:r>
      <w:r>
        <w:rPr/>
        <w:t>入、费用、利润纳入合并利润表。</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bookmarkStart w:name="7、合营安排分类及共同经营会计处理方法" w:id="173"/>
      <w:bookmarkEnd w:id="173"/>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8、现金及现金等价物的确定标准" w:id="174"/>
      <w:bookmarkEnd w:id="174"/>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现金流量表的现金指企业库存现金及可以随时用于支付的存款。现金等价物指持有的期限短（一般是指从购买日起三个</w:t>
      </w:r>
      <w:r>
        <w:rPr/>
        <w:t> 月内到期）、流动性强、易于转换为已知金额现金、价值变动风险很小的投资。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75"/>
      <w:bookmarkEnd w:id="175"/>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0、金融工具" w:id="176"/>
      <w:bookmarkEnd w:id="176"/>
      <w:r>
        <w:rPr>
          <w:b w:val="0"/>
          <w:bCs w:val="0"/>
        </w:rPr>
      </w:r>
      <w:r>
        <w:rPr>
          <w:rFonts w:ascii="Times New Roman" w:hAnsi="Times New Roman" w:cs="Times New Roman" w:eastAsia="Times New Roman" w:hint="default"/>
        </w:rPr>
        <w:t>10</w:t>
      </w:r>
      <w:r>
        <w:rPr/>
        <w:t>、金融工具</w:t>
      </w:r>
      <w:r>
        <w:rPr>
          <w:b w:val="0"/>
          <w:bCs w:val="0"/>
        </w:rPr>
      </w:r>
    </w:p>
    <w:p>
      <w:pPr>
        <w:pStyle w:val="BodyText"/>
        <w:spacing w:line="420" w:lineRule="atLeast" w:before="176"/>
        <w:ind w:left="514" w:right="0"/>
        <w:jc w:val="left"/>
      </w:pPr>
      <w:r>
        <w:rPr>
          <w:rFonts w:ascii="Times New Roman" w:hAnsi="Times New Roman" w:cs="Times New Roman" w:eastAsia="Times New Roman" w:hint="default"/>
        </w:rPr>
        <w:t>1</w:t>
      </w:r>
      <w:r>
        <w:rPr/>
        <w:t>、金融资产、金融负债的分类 </w:t>
      </w:r>
      <w:r>
        <w:rPr>
          <w:spacing w:val="-2"/>
        </w:rPr>
        <w:t>金融资产在初始确认时划分为以下四类：以公允价值计量且其变动计入当期损益的金融资产（包括交易性金融资产和指</w:t>
      </w:r>
    </w:p>
    <w:p>
      <w:pPr>
        <w:pStyle w:val="BodyText"/>
        <w:spacing w:line="240" w:lineRule="auto" w:before="76"/>
        <w:ind w:right="0"/>
        <w:jc w:val="both"/>
      </w:pPr>
      <w:r>
        <w:rPr/>
        <w:t>定为以公允价值计量且其变动计入当期损益的金融资产）、持有至到期投资、贷款和应收款项、可供出售金融资产。</w:t>
      </w:r>
    </w:p>
    <w:p>
      <w:pPr>
        <w:spacing w:line="240" w:lineRule="auto" w:before="0"/>
        <w:rPr>
          <w:rFonts w:ascii="宋体" w:hAnsi="宋体" w:cs="宋体" w:eastAsia="宋体" w:hint="default"/>
          <w:sz w:val="15"/>
          <w:szCs w:val="15"/>
        </w:rPr>
      </w:pPr>
    </w:p>
    <w:p>
      <w:pPr>
        <w:pStyle w:val="BodyText"/>
        <w:spacing w:line="316" w:lineRule="auto"/>
        <w:ind w:right="1132" w:firstLine="360"/>
        <w:jc w:val="both"/>
      </w:pPr>
      <w:r>
        <w:rPr>
          <w:spacing w:val="-2"/>
        </w:rPr>
        <w:t>金融负债在初始确认时划分为以下两类：以公允价值计量且其变动计入当期损益的金融负债（包括交易性金融负债和指</w:t>
      </w:r>
      <w:r>
        <w:rPr/>
        <w:t> 定为以公允价值计量且其变动计入当期损益的金融负债）、其他金融负债。</w:t>
      </w:r>
    </w:p>
    <w:p>
      <w:pPr>
        <w:pStyle w:val="BodyText"/>
        <w:spacing w:line="432" w:lineRule="exact" w:before="3"/>
        <w:ind w:left="514" w:right="0"/>
        <w:jc w:val="left"/>
      </w:pPr>
      <w:r>
        <w:rPr>
          <w:rFonts w:ascii="Times New Roman" w:hAnsi="Times New Roman" w:cs="Times New Roman" w:eastAsia="Times New Roman" w:hint="default"/>
        </w:rPr>
        <w:t>2</w:t>
      </w:r>
      <w:r>
        <w:rPr/>
        <w:t>、金融资产和金融负债的确认依据、计量方法和终止确认条件 </w:t>
      </w:r>
      <w:r>
        <w:rPr>
          <w:spacing w:val="-4"/>
        </w:rPr>
        <w:t>公司成为金融工具合同的一方时，确认一项金融资产或金融负债。初始确认金融资产或金融负债时，按照公允价值计量；</w:t>
      </w:r>
    </w:p>
    <w:p>
      <w:pPr>
        <w:pStyle w:val="BodyText"/>
        <w:spacing w:line="316" w:lineRule="auto" w:before="15"/>
        <w:ind w:right="0"/>
        <w:jc w:val="left"/>
      </w:pPr>
      <w:r>
        <w:rPr>
          <w:spacing w:val="-2"/>
        </w:rPr>
        <w:t>对于以公允价值计量且其变动计入当期损益的金融资产和金融负债，相关交易费用直接计入当期损益；对于其他类别的金融</w:t>
      </w:r>
      <w:r>
        <w:rPr>
          <w:spacing w:val="-64"/>
        </w:rPr>
        <w:t> </w:t>
      </w:r>
      <w:r>
        <w:rPr>
          <w:spacing w:val="-64"/>
        </w:rPr>
      </w:r>
      <w:r>
        <w:rPr/>
        <w:t>资产或金融负债，相关交易费用计入初始确认金额。</w:t>
      </w:r>
    </w:p>
    <w:p>
      <w:pPr>
        <w:pStyle w:val="BodyText"/>
        <w:spacing w:line="240" w:lineRule="auto" w:before="139"/>
        <w:ind w:left="514" w:right="0"/>
        <w:jc w:val="left"/>
      </w:pPr>
      <w:r>
        <w:rPr/>
        <w:t>公司按照公允价值对金融资产进行后续计量，且不扣除将来处置该金融资产时可能发生的交易费用，但下列情况除外：</w:t>
      </w:r>
    </w:p>
    <w:p>
      <w:pPr>
        <w:pStyle w:val="BodyText"/>
        <w:spacing w:line="300" w:lineRule="auto" w:before="76"/>
        <w:ind w:right="0"/>
        <w:jc w:val="left"/>
      </w:pPr>
      <w:r>
        <w:rPr>
          <w:spacing w:val="-2"/>
        </w:rPr>
        <w:t>（</w:t>
      </w:r>
      <w:r>
        <w:rPr>
          <w:rFonts w:ascii="Times New Roman" w:hAnsi="Times New Roman" w:cs="Times New Roman" w:eastAsia="Times New Roman" w:hint="default"/>
          <w:spacing w:val="-2"/>
        </w:rPr>
        <w:t>1</w:t>
      </w:r>
      <w:r>
        <w:rPr>
          <w:spacing w:val="-2"/>
        </w:rPr>
        <w:t>）持有至到期投资以及贷款和应收款项采用实际利率法，按摊余成本计量；（</w:t>
      </w:r>
      <w:r>
        <w:rPr>
          <w:rFonts w:ascii="Times New Roman" w:hAnsi="Times New Roman" w:cs="Times New Roman" w:eastAsia="Times New Roman" w:hint="default"/>
          <w:spacing w:val="-2"/>
        </w:rPr>
        <w:t>2</w:t>
      </w:r>
      <w:r>
        <w:rPr>
          <w:spacing w:val="-2"/>
        </w:rPr>
        <w:t>）在活跃市场中没有报价且其公允价值不</w:t>
      </w:r>
      <w:r>
        <w:rPr>
          <w:spacing w:val="-64"/>
        </w:rPr>
        <w:t> </w:t>
      </w:r>
      <w:r>
        <w:rPr>
          <w:spacing w:val="-64"/>
        </w:rPr>
      </w:r>
      <w:r>
        <w:rPr/>
        <w:t>能可靠计量的权益工具投资，以及与该权益工具挂钩并须通过交付该权益工具结算的衍生金融资产，按照成本计量。</w:t>
      </w:r>
    </w:p>
    <w:p>
      <w:pPr>
        <w:pStyle w:val="BodyText"/>
        <w:spacing w:line="240" w:lineRule="auto" w:before="151"/>
        <w:ind w:left="514" w:right="0"/>
        <w:jc w:val="left"/>
      </w:pPr>
      <w:r>
        <w:rPr/>
        <w:t>公司采用实际利率法，按摊余成本对金融负债进行后续计量，但下列情况除外：（</w:t>
      </w:r>
      <w:r>
        <w:rPr>
          <w:rFonts w:ascii="Times New Roman" w:hAnsi="Times New Roman" w:cs="Times New Roman" w:eastAsia="Times New Roman" w:hint="default"/>
        </w:rPr>
        <w:t>1</w:t>
      </w:r>
      <w:r>
        <w:rPr/>
        <w:t>）以公允价值计量且其变动计入当</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129"/>
        <w:jc w:val="both"/>
      </w:pPr>
      <w:r>
        <w:rPr/>
        <w:t>期损益的金融负债，按照公允价值计量，且不扣除将来结清金融负债时可能发生的交易费用；（</w:t>
      </w:r>
      <w:r>
        <w:rPr>
          <w:rFonts w:ascii="Times New Roman" w:hAnsi="Times New Roman" w:cs="Times New Roman" w:eastAsia="Times New Roman" w:hint="default"/>
        </w:rPr>
        <w:t>2</w:t>
      </w:r>
      <w:r>
        <w:rPr/>
        <w:t>）与在活跃市场中没有报</w:t>
      </w:r>
      <w:r>
        <w:rPr>
          <w:spacing w:val="-82"/>
        </w:rPr>
        <w:t> </w:t>
      </w:r>
      <w:r>
        <w:rPr>
          <w:spacing w:val="-82"/>
        </w:rPr>
      </w:r>
      <w:r>
        <w:rPr/>
        <w:t>价、公允价值不能可靠计量的权益工具挂钩并须通过交付该权益工具结算的衍生金融负债，按照成本计量；（</w:t>
      </w:r>
      <w:r>
        <w:rPr>
          <w:rFonts w:ascii="Times New Roman" w:hAnsi="Times New Roman" w:cs="Times New Roman" w:eastAsia="Times New Roman" w:hint="default"/>
        </w:rPr>
        <w:t>3</w:t>
      </w:r>
      <w:r>
        <w:rPr/>
        <w:t>）不属于指</w:t>
      </w:r>
      <w:r>
        <w:rPr>
          <w:spacing w:val="-81"/>
        </w:rPr>
        <w:t> </w:t>
      </w:r>
      <w:r>
        <w:rPr>
          <w:spacing w:val="-2"/>
        </w:rPr>
        <w:t>定为以公允价值计量且其变动计入当期损益的金融负债的财务担保合同，或没有指定为以公允价值计量且其变动计入当期损</w:t>
      </w:r>
      <w:r>
        <w:rPr>
          <w:spacing w:val="-63"/>
        </w:rPr>
        <w:t> </w:t>
      </w:r>
      <w:r>
        <w:rPr>
          <w:spacing w:val="-63"/>
        </w:rPr>
      </w:r>
      <w:r>
        <w:rPr>
          <w:spacing w:val="-2"/>
        </w:rPr>
        <w:t>益并将以低于市场利率贷款的贷款承诺，在初始确认后按照下列两项金额之中的较高者进行后续计量：①按照《企业会计准</w:t>
      </w:r>
      <w:r>
        <w:rPr>
          <w:spacing w:val="-66"/>
        </w:rPr>
        <w:t> </w:t>
      </w:r>
      <w:r>
        <w:rPr>
          <w:spacing w:val="-66"/>
        </w:rPr>
      </w:r>
      <w:r>
        <w:rPr>
          <w:spacing w:val="-2"/>
        </w:rPr>
        <w:t>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或有事项》确定的金额；②初始确认金额扣除按照《企业会计准则第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收入》的原则确定的累积摊销额</w:t>
      </w:r>
      <w:r>
        <w:rPr>
          <w:spacing w:val="-62"/>
        </w:rPr>
        <w:t> </w:t>
      </w:r>
      <w:r>
        <w:rPr>
          <w:spacing w:val="-62"/>
        </w:rPr>
      </w:r>
      <w:r>
        <w:rPr/>
        <w:t>后的余额。</w:t>
      </w:r>
    </w:p>
    <w:p>
      <w:pPr>
        <w:pStyle w:val="BodyText"/>
        <w:spacing w:line="312" w:lineRule="auto" w:before="146"/>
        <w:ind w:right="1129" w:firstLine="360"/>
        <w:jc w:val="both"/>
      </w:pPr>
      <w:r>
        <w:rPr/>
        <w:t>金融资产或金融负债公允价值变动形成的利得或损失，除与套期保值有关外，按照如下方法处理：（</w:t>
      </w:r>
      <w:r>
        <w:rPr>
          <w:rFonts w:ascii="Times New Roman" w:hAnsi="Times New Roman" w:cs="Times New Roman" w:eastAsia="Times New Roman" w:hint="default"/>
        </w:rPr>
        <w:t>1</w:t>
      </w:r>
      <w:r>
        <w:rPr/>
        <w:t>）以公允价值计 </w:t>
      </w:r>
      <w:r>
        <w:rPr>
          <w:spacing w:val="-2"/>
        </w:rPr>
        <w:t>量且其变动计入当期损益的金融资产或金融负债公允价值变动形成的利得或损失，计入公允价值变动损益；在资产持有期间</w:t>
      </w:r>
      <w:r>
        <w:rPr>
          <w:spacing w:val="-64"/>
        </w:rPr>
        <w:t> </w:t>
      </w:r>
      <w:r>
        <w:rPr>
          <w:spacing w:val="-64"/>
        </w:rPr>
      </w:r>
      <w:r>
        <w:rPr>
          <w:spacing w:val="-2"/>
        </w:rPr>
        <w:t>所取得的利息或现金股利，确认为投资收益；处置时，将实际收到的金额与初始入账金额之间的差额确认为投资收益，同时</w:t>
      </w:r>
      <w:r>
        <w:rPr>
          <w:spacing w:val="-66"/>
        </w:rPr>
        <w:t> </w:t>
      </w:r>
      <w:r>
        <w:rPr>
          <w:spacing w:val="-66"/>
        </w:rPr>
      </w:r>
      <w:r>
        <w:rPr/>
        <w:t>调整公允价值变动损益。（</w:t>
      </w:r>
      <w:r>
        <w:rPr>
          <w:rFonts w:ascii="Times New Roman" w:hAnsi="Times New Roman" w:cs="Times New Roman" w:eastAsia="Times New Roman" w:hint="default"/>
        </w:rPr>
        <w:t>2</w:t>
      </w:r>
      <w:r>
        <w:rPr/>
        <w:t>）可供出售金融资产的公允价值变动计入其他综合收益；持有期间按实际利率法计算的利息，</w:t>
      </w:r>
      <w:r>
        <w:rPr>
          <w:spacing w:val="-83"/>
        </w:rPr>
        <w:t> </w:t>
      </w:r>
      <w:r>
        <w:rPr>
          <w:spacing w:val="-83"/>
        </w:rPr>
      </w:r>
      <w:r>
        <w:rPr>
          <w:spacing w:val="-2"/>
        </w:rPr>
        <w:t>计入投资收益；可供出售权益工具投资的现金股利，于被投资单位宣告发放股利时计入投资收益；处置时，将实际收到的金</w:t>
      </w:r>
      <w:r>
        <w:rPr>
          <w:spacing w:val="-66"/>
        </w:rPr>
        <w:t> </w:t>
      </w:r>
      <w:r>
        <w:rPr>
          <w:spacing w:val="-66"/>
        </w:rPr>
      </w:r>
      <w:r>
        <w:rPr/>
        <w:t>额与账面价值扣除原直接计入其他综合收益的公允价值变动累计额之后的差额确认为投资收益。</w:t>
      </w:r>
    </w:p>
    <w:p>
      <w:pPr>
        <w:pStyle w:val="BodyText"/>
        <w:spacing w:line="316" w:lineRule="auto" w:before="142"/>
        <w:ind w:right="1131" w:firstLine="360"/>
        <w:jc w:val="both"/>
      </w:pPr>
      <w:r>
        <w:rPr>
          <w:spacing w:val="-2"/>
        </w:rPr>
        <w:t>当收取某项金融资产现金流量的合同权利已终止或该金融资产所有权上几乎所有的风险和报酬已转移时，终止确认该金</w:t>
      </w:r>
      <w:r>
        <w:rPr/>
        <w:t> 融资产；当金融负债的现时义务全部或部分解除时，相应终止确认该金融负债或其一部分。</w:t>
      </w:r>
    </w:p>
    <w:p>
      <w:pPr>
        <w:pStyle w:val="BodyText"/>
        <w:spacing w:line="432" w:lineRule="exact" w:before="3"/>
        <w:ind w:left="514" w:right="0"/>
        <w:jc w:val="left"/>
      </w:pPr>
      <w:r>
        <w:rPr>
          <w:rFonts w:ascii="Times New Roman" w:hAnsi="Times New Roman" w:cs="Times New Roman" w:eastAsia="Times New Roman" w:hint="default"/>
        </w:rPr>
        <w:t>3</w:t>
      </w:r>
      <w:r>
        <w:rPr/>
        <w:t>、金融资产转移的确认依据和计量方法 </w:t>
      </w:r>
      <w:r>
        <w:rPr>
          <w:spacing w:val="-2"/>
        </w:rPr>
        <w:t>公司已将金融资产所有权上几乎所有的风险和报酬转移给了转入方的，终止确认该金融资产；保留了金融资产所有权上</w:t>
      </w:r>
    </w:p>
    <w:p>
      <w:pPr>
        <w:pStyle w:val="BodyText"/>
        <w:spacing w:line="316" w:lineRule="auto" w:before="15"/>
        <w:ind w:right="1042"/>
        <w:jc w:val="both"/>
      </w:pPr>
      <w:r>
        <w:rPr>
          <w:spacing w:val="-2"/>
        </w:rPr>
        <w:t>几乎所有的风险和报酬的，继续确认所转移的金融资产，并将收到的对价确认为一项金融负债。公司既没有转移也没有保留</w:t>
      </w:r>
      <w:r>
        <w:rPr>
          <w:spacing w:val="-66"/>
        </w:rPr>
        <w:t> </w:t>
      </w:r>
      <w:r>
        <w:rPr>
          <w:spacing w:val="-66"/>
        </w:rPr>
      </w:r>
      <w:r>
        <w:rPr>
          <w:spacing w:val="-2"/>
        </w:rPr>
        <w:t>金融资产所有权上几乎所有的风险和报酬的，分别下列情况处理：（</w:t>
      </w:r>
      <w:r>
        <w:rPr>
          <w:rFonts w:ascii="Times New Roman" w:hAnsi="Times New Roman" w:cs="Times New Roman" w:eastAsia="Times New Roman" w:hint="default"/>
          <w:spacing w:val="-2"/>
        </w:rPr>
        <w:t>1</w:t>
      </w:r>
      <w:r>
        <w:rPr>
          <w:spacing w:val="-2"/>
        </w:rPr>
        <w:t>）放弃了对该金融资产控制的，终止确认该金融资产；</w:t>
      </w:r>
    </w:p>
    <w:p>
      <w:pPr>
        <w:pStyle w:val="BodyText"/>
        <w:spacing w:line="248" w:lineRule="exact"/>
        <w:ind w:right="0"/>
        <w:jc w:val="both"/>
      </w:pPr>
      <w:r>
        <w:rPr/>
        <w:t>（</w:t>
      </w:r>
      <w:r>
        <w:rPr>
          <w:rFonts w:ascii="Times New Roman" w:hAnsi="Times New Roman" w:cs="Times New Roman" w:eastAsia="Times New Roman" w:hint="default"/>
        </w:rPr>
        <w:t>2</w:t>
      </w:r>
      <w:r>
        <w:rPr/>
        <w:t>）未放弃对该金融资产控制的，按照继续涉入所转移金融资产的程度确认有关金融资产，并相应确认有关负债。</w:t>
      </w:r>
    </w:p>
    <w:p>
      <w:pPr>
        <w:spacing w:line="240" w:lineRule="auto" w:before="13"/>
        <w:rPr>
          <w:rFonts w:ascii="宋体" w:hAnsi="宋体" w:cs="宋体" w:eastAsia="宋体" w:hint="default"/>
          <w:sz w:val="13"/>
          <w:szCs w:val="13"/>
        </w:rPr>
      </w:pPr>
    </w:p>
    <w:p>
      <w:pPr>
        <w:pStyle w:val="BodyText"/>
        <w:spacing w:line="309" w:lineRule="auto"/>
        <w:ind w:right="0" w:firstLine="360"/>
        <w:jc w:val="left"/>
      </w:pPr>
      <w:r>
        <w:rPr>
          <w:spacing w:val="-4"/>
        </w:rPr>
        <w:t>金融资产整体转移满足终止确认条件的，将下列两项金额的差额计入当期损益：（</w:t>
      </w:r>
      <w:r>
        <w:rPr>
          <w:rFonts w:ascii="Times New Roman" w:hAnsi="Times New Roman" w:cs="Times New Roman" w:eastAsia="Times New Roman" w:hint="default"/>
          <w:spacing w:val="-4"/>
        </w:rPr>
        <w:t>1</w:t>
      </w:r>
      <w:r>
        <w:rPr>
          <w:spacing w:val="-4"/>
        </w:rPr>
        <w:t>）所转移金融资产的账面价值；（</w:t>
      </w:r>
      <w:r>
        <w:rPr>
          <w:rFonts w:ascii="Times New Roman" w:hAnsi="Times New Roman" w:cs="Times New Roman" w:eastAsia="Times New Roman" w:hint="default"/>
          <w:spacing w:val="-4"/>
        </w:rPr>
        <w:t>2</w:t>
      </w:r>
      <w:r>
        <w:rPr>
          <w:spacing w:val="-4"/>
        </w:rPr>
        <w:t>）</w:t>
      </w:r>
      <w:r>
        <w:rPr/>
        <w:t> </w:t>
      </w:r>
      <w:r>
        <w:rPr>
          <w:spacing w:val="-2"/>
        </w:rPr>
        <w:t>因转移而收到的对价，与原直接计入所有者权益的公允价值变动累计额之和。金融资产部分转移满足终止确认条件的，将所</w:t>
      </w:r>
      <w:r>
        <w:rPr>
          <w:spacing w:val="-66"/>
        </w:rPr>
        <w:t> </w:t>
      </w:r>
      <w:r>
        <w:rPr>
          <w:spacing w:val="-66"/>
        </w:rPr>
      </w:r>
      <w:r>
        <w:rPr>
          <w:spacing w:val="-2"/>
        </w:rPr>
        <w:t>转移金融资产整体的账面价值，在终止确认部分和未终止确认部分之间，按照各自的相对公允价值进行分摊，并将下列两项</w:t>
      </w:r>
      <w:r>
        <w:rPr>
          <w:spacing w:val="-66"/>
        </w:rPr>
        <w:t> </w:t>
      </w:r>
      <w:r>
        <w:rPr>
          <w:spacing w:val="-66"/>
        </w:rPr>
      </w:r>
      <w:r>
        <w:rPr>
          <w:spacing w:val="-2"/>
        </w:rPr>
        <w:t>金额的差额计入当期损益：（</w:t>
      </w:r>
      <w:r>
        <w:rPr>
          <w:rFonts w:ascii="Times New Roman" w:hAnsi="Times New Roman" w:cs="Times New Roman" w:eastAsia="Times New Roman" w:hint="default"/>
          <w:spacing w:val="-2"/>
        </w:rPr>
        <w:t>1</w:t>
      </w:r>
      <w:r>
        <w:rPr>
          <w:spacing w:val="-2"/>
        </w:rPr>
        <w:t>）终止确认部分的账面价值；（</w:t>
      </w:r>
      <w:r>
        <w:rPr>
          <w:rFonts w:ascii="Times New Roman" w:hAnsi="Times New Roman" w:cs="Times New Roman" w:eastAsia="Times New Roman" w:hint="default"/>
          <w:spacing w:val="-2"/>
        </w:rPr>
        <w:t>2</w:t>
      </w:r>
      <w:r>
        <w:rPr>
          <w:spacing w:val="-2"/>
        </w:rPr>
        <w:t>）终止确认部分的对价，与原直接计入所有者权益的公允价</w:t>
      </w:r>
      <w:r>
        <w:rPr>
          <w:spacing w:val="-66"/>
        </w:rPr>
        <w:t> </w:t>
      </w:r>
      <w:r>
        <w:rPr>
          <w:spacing w:val="-66"/>
        </w:rPr>
      </w:r>
      <w:r>
        <w:rPr/>
        <w:t>值变动累计额中对应终止确认部分的金额之和。</w:t>
      </w:r>
    </w:p>
    <w:p>
      <w:pPr>
        <w:pStyle w:val="BodyText"/>
        <w:spacing w:line="432" w:lineRule="exact" w:before="9"/>
        <w:ind w:left="514" w:right="0"/>
        <w:jc w:val="left"/>
      </w:pPr>
      <w:r>
        <w:rPr>
          <w:rFonts w:ascii="Times New Roman" w:hAnsi="Times New Roman" w:cs="Times New Roman" w:eastAsia="Times New Roman" w:hint="default"/>
        </w:rPr>
        <w:t>4</w:t>
      </w:r>
      <w:r>
        <w:rPr/>
        <w:t>、主要金融资产和金融负债的公允价值确定方法 </w:t>
      </w:r>
      <w:r>
        <w:rPr>
          <w:spacing w:val="-2"/>
        </w:rPr>
        <w:t>存在活跃市场的金融资产或金融负债，以活跃市场的报价确定其公允价值；不存在活跃市场的金融资产或金融负债，采</w:t>
      </w:r>
    </w:p>
    <w:p>
      <w:pPr>
        <w:pStyle w:val="BodyText"/>
        <w:spacing w:line="316" w:lineRule="auto" w:before="15"/>
        <w:ind w:right="1131"/>
        <w:jc w:val="both"/>
      </w:pPr>
      <w:r>
        <w:rPr>
          <w:spacing w:val="-2"/>
        </w:rPr>
        <w:t>用估值技术（包括参考熟悉情况并自愿交易的各方最近进行的市场交易中使用的价格、参照实质上相同的其他金融工具的当</w:t>
      </w:r>
      <w:r>
        <w:rPr>
          <w:spacing w:val="-64"/>
        </w:rPr>
        <w:t> </w:t>
      </w:r>
      <w:r>
        <w:rPr>
          <w:spacing w:val="-64"/>
        </w:rPr>
      </w:r>
      <w:r>
        <w:rPr>
          <w:spacing w:val="-2"/>
        </w:rPr>
        <w:t>前公允价值、现金流量折现法和期权定价模型等）确定其公允价值；初始取得或源生的金融资产或承担的金融负债，以市场</w:t>
      </w:r>
      <w:r>
        <w:rPr>
          <w:spacing w:val="-66"/>
        </w:rPr>
        <w:t> </w:t>
      </w:r>
      <w:r>
        <w:rPr>
          <w:spacing w:val="-66"/>
        </w:rPr>
      </w:r>
      <w:r>
        <w:rPr/>
        <w:t>交易价格作为确定其公允价值的基础。</w:t>
      </w:r>
    </w:p>
    <w:p>
      <w:pPr>
        <w:pStyle w:val="BodyText"/>
        <w:spacing w:line="432" w:lineRule="exact" w:before="3"/>
        <w:ind w:left="514" w:right="0"/>
        <w:jc w:val="left"/>
      </w:pPr>
      <w:r>
        <w:rPr>
          <w:rFonts w:ascii="Times New Roman" w:hAnsi="Times New Roman" w:cs="Times New Roman" w:eastAsia="Times New Roman" w:hint="default"/>
        </w:rPr>
        <w:t>5</w:t>
      </w:r>
      <w:r>
        <w:rPr/>
        <w:t>、金融资产的减值测试和减值准备计提方法 </w:t>
      </w:r>
      <w:r>
        <w:rPr>
          <w:spacing w:val="-2"/>
        </w:rPr>
        <w:t>资产负债表日对以公允价值计量且其变动计入当期损益的金融资产以外的金融资产的账面价值进行检查，如有客观证据</w:t>
      </w:r>
    </w:p>
    <w:p>
      <w:pPr>
        <w:pStyle w:val="BodyText"/>
        <w:spacing w:line="240" w:lineRule="auto" w:before="15"/>
        <w:ind w:right="0"/>
        <w:jc w:val="both"/>
      </w:pPr>
      <w:r>
        <w:rPr/>
        <w:t>表明该金融资产发生减值的，计提减值准备。</w:t>
      </w:r>
    </w:p>
    <w:p>
      <w:pPr>
        <w:spacing w:line="240" w:lineRule="auto" w:before="0"/>
        <w:rPr>
          <w:rFonts w:ascii="宋体" w:hAnsi="宋体" w:cs="宋体" w:eastAsia="宋体" w:hint="default"/>
          <w:sz w:val="15"/>
          <w:szCs w:val="15"/>
        </w:rPr>
      </w:pPr>
    </w:p>
    <w:p>
      <w:pPr>
        <w:pStyle w:val="BodyText"/>
        <w:spacing w:line="316" w:lineRule="auto"/>
        <w:ind w:right="1132" w:firstLine="360"/>
        <w:jc w:val="both"/>
      </w:pPr>
      <w:r>
        <w:rPr>
          <w:spacing w:val="-2"/>
        </w:rPr>
        <w:t>对单项金额重大的金融资产单独进行减值测试；对单项金额不重大的金融资产，可以单独进行减值测试，或包括在具有</w:t>
      </w:r>
      <w:r>
        <w:rPr/>
        <w:t> </w:t>
      </w:r>
      <w:r>
        <w:rPr>
          <w:spacing w:val="-2"/>
        </w:rPr>
        <w:t>类似信用风险特征的金融资产组合中进行减值测试；单独测试未发生减值的金融资产（包括单项金额重大和不重大的金融资</w:t>
      </w:r>
      <w:r>
        <w:rPr>
          <w:spacing w:val="-64"/>
        </w:rPr>
        <w:t> </w:t>
      </w:r>
      <w:r>
        <w:rPr>
          <w:spacing w:val="-64"/>
        </w:rPr>
      </w:r>
      <w:r>
        <w:rPr/>
        <w:t>产），包括在具有类似信用风险特征的金融资产组合中再进行减值测试。</w:t>
      </w:r>
    </w:p>
    <w:p>
      <w:pPr>
        <w:pStyle w:val="BodyText"/>
        <w:spacing w:line="240" w:lineRule="auto" w:before="139"/>
        <w:ind w:left="514" w:right="0"/>
        <w:jc w:val="left"/>
      </w:pPr>
      <w:r>
        <w:rPr/>
        <w:t>主要金融资产计提减值准备的具体方法分别如下：</w:t>
      </w:r>
    </w:p>
    <w:p>
      <w:pPr>
        <w:spacing w:line="240" w:lineRule="auto" w:before="1"/>
        <w:rPr>
          <w:rFonts w:ascii="宋体" w:hAnsi="宋体" w:cs="宋体" w:eastAsia="宋体" w:hint="default"/>
          <w:sz w:val="15"/>
          <w:szCs w:val="15"/>
        </w:rPr>
      </w:pPr>
    </w:p>
    <w:p>
      <w:pPr>
        <w:pStyle w:val="BodyText"/>
        <w:spacing w:line="312" w:lineRule="auto"/>
        <w:ind w:right="1131" w:firstLine="360"/>
        <w:jc w:val="both"/>
      </w:pPr>
      <w:r>
        <w:rPr/>
        <w:t>（</w:t>
      </w:r>
      <w:r>
        <w:rPr>
          <w:rFonts w:ascii="Times New Roman" w:hAnsi="Times New Roman" w:cs="Times New Roman" w:eastAsia="Times New Roman" w:hint="default"/>
        </w:rPr>
        <w:t>1</w:t>
      </w:r>
      <w:r>
        <w:rPr/>
        <w:t>）按摊余成本计量的金融资产，期末有客观证据表明其发生了减值的，根据其账面价值与预计未来现金流量现值之 </w:t>
      </w:r>
      <w:r>
        <w:rPr>
          <w:spacing w:val="-2"/>
        </w:rPr>
        <w:t>间的差额确认减值损失。在活跃市场中没有报价且其公允价值不能可靠计量的权益工具投资，或与该权益工具挂钩并须通过</w:t>
      </w:r>
      <w:r>
        <w:rPr>
          <w:spacing w:val="-64"/>
        </w:rPr>
        <w:t> </w:t>
      </w:r>
      <w:r>
        <w:rPr>
          <w:spacing w:val="-64"/>
        </w:rPr>
      </w:r>
      <w:r>
        <w:rPr>
          <w:spacing w:val="-2"/>
        </w:rPr>
        <w:t>交付该权益工具结算的衍生金融资产发生减值时，将该权益工具投资或衍生金融资产的账面价值，与按照类似金融资产当时</w:t>
      </w:r>
      <w:r>
        <w:rPr>
          <w:spacing w:val="-64"/>
        </w:rPr>
        <w:t> </w:t>
      </w:r>
      <w:r>
        <w:rPr>
          <w:spacing w:val="-64"/>
        </w:rPr>
      </w:r>
      <w:r>
        <w:rPr/>
        <w:t>市场收益率对未来现金流量折现确定的现值之间的差额，确认为减值损失。</w:t>
      </w:r>
    </w:p>
    <w:p>
      <w:pPr>
        <w:spacing w:after="0" w:line="312"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9" w:firstLine="360"/>
        <w:jc w:val="both"/>
      </w:pPr>
      <w:r>
        <w:rPr/>
        <w:t>（</w:t>
      </w:r>
      <w:r>
        <w:rPr>
          <w:rFonts w:ascii="Times New Roman" w:hAnsi="Times New Roman" w:cs="Times New Roman" w:eastAsia="Times New Roman" w:hint="default"/>
        </w:rPr>
        <w:t>2</w:t>
      </w:r>
      <w:r>
        <w:rPr/>
        <w:t>）可供出售金融资产的公允价值发生较大幅度下降（通常指达到或超过</w:t>
      </w:r>
      <w:r>
        <w:rPr>
          <w:rFonts w:ascii="Times New Roman" w:hAnsi="Times New Roman" w:cs="Times New Roman" w:eastAsia="Times New Roman" w:hint="default"/>
        </w:rPr>
        <w:t>20%</w:t>
      </w:r>
      <w:r>
        <w:rPr/>
        <w:t>％的情形），或在综合考虑各种相关因 素后，预期这种下降趋势属于非暂时性的（通常指该资产的公允价值持续低于其成本达到或超过</w:t>
      </w:r>
      <w:r>
        <w:rPr>
          <w:rFonts w:ascii="Times New Roman" w:hAnsi="Times New Roman" w:cs="Times New Roman" w:eastAsia="Times New Roman" w:hint="default"/>
        </w:rPr>
        <w:t>6</w:t>
      </w:r>
      <w:r>
        <w:rPr/>
        <w:t>个月的情形），确认其减</w:t>
      </w:r>
      <w:r>
        <w:rPr>
          <w:spacing w:val="-82"/>
        </w:rPr>
        <w:t> </w:t>
      </w:r>
      <w:r>
        <w:rPr>
          <w:spacing w:val="-82"/>
        </w:rPr>
      </w:r>
      <w:r>
        <w:rPr/>
        <w:t>值损失，并将原直接计入所有者权益的公允价值累计损失一并转出计入减值损失。</w:t>
      </w:r>
    </w:p>
    <w:p>
      <w:pPr>
        <w:pStyle w:val="BodyText"/>
        <w:spacing w:line="432" w:lineRule="exact" w:before="16"/>
        <w:ind w:left="514" w:right="0"/>
        <w:jc w:val="left"/>
      </w:pPr>
      <w:r>
        <w:rPr/>
        <w:t>（</w:t>
      </w:r>
      <w:r>
        <w:rPr>
          <w:rFonts w:ascii="Times New Roman" w:hAnsi="Times New Roman" w:cs="Times New Roman" w:eastAsia="Times New Roman" w:hint="default"/>
        </w:rPr>
        <w:t>3</w:t>
      </w:r>
      <w:r>
        <w:rPr/>
        <w:t>）应收款项减值损失的计量 </w:t>
      </w:r>
      <w:r>
        <w:rPr>
          <w:spacing w:val="-2"/>
        </w:rPr>
        <w:t>应收款项包括应收账款、其他应收款等。本公司对外销售商品或提供劳务形成的应收账款，按从购货方应收的合同或协</w:t>
      </w:r>
    </w:p>
    <w:p>
      <w:pPr>
        <w:pStyle w:val="BodyText"/>
        <w:spacing w:line="240" w:lineRule="auto" w:before="15"/>
        <w:ind w:right="0"/>
        <w:jc w:val="left"/>
      </w:pPr>
      <w:r>
        <w:rPr/>
        <w:t>议价款的公允价值作为初始确认金额。应收款项采用实际利率法，以摊余成本减去坏账准备后的净额列示。</w:t>
      </w:r>
    </w:p>
    <w:p>
      <w:pPr>
        <w:spacing w:line="240" w:lineRule="auto" w:before="0"/>
        <w:rPr>
          <w:rFonts w:ascii="宋体" w:hAnsi="宋体" w:cs="宋体" w:eastAsia="宋体" w:hint="default"/>
          <w:sz w:val="15"/>
          <w:szCs w:val="15"/>
        </w:rPr>
      </w:pPr>
    </w:p>
    <w:p>
      <w:pPr>
        <w:pStyle w:val="BodyText"/>
        <w:spacing w:line="316" w:lineRule="auto"/>
        <w:ind w:right="1133" w:firstLine="360"/>
        <w:jc w:val="both"/>
      </w:pPr>
      <w:r>
        <w:rPr>
          <w:spacing w:val="-2"/>
        </w:rPr>
        <w:t>对有确凿证据表明确实无法收回的应收款项，如债务单位已撤销、破产、资不抵债、现金流量严重不足、发生严重的自</w:t>
      </w:r>
      <w:r>
        <w:rPr/>
        <w:t> 然灾害等，根据本公司的管理权限，经股东大会或董事会批准确认为坏账，冲销提取坏账准备。</w:t>
      </w:r>
    </w:p>
    <w:p>
      <w:pPr>
        <w:pStyle w:val="BodyText"/>
        <w:spacing w:line="240" w:lineRule="auto" w:before="139"/>
        <w:ind w:left="514" w:right="0"/>
        <w:jc w:val="left"/>
      </w:pPr>
      <w:r>
        <w:rPr/>
        <w:t>对公司的坏账损失，采用备抵法核算。</w:t>
      </w:r>
    </w:p>
    <w:p>
      <w:pPr>
        <w:pStyle w:val="BodyText"/>
        <w:spacing w:line="432" w:lineRule="exact" w:before="61"/>
        <w:ind w:left="514" w:right="1118"/>
        <w:jc w:val="left"/>
      </w:pPr>
      <w:r>
        <w:rPr/>
        <w:t>①单项金额重大并单项计提坏账准备的应收款项 单项金额重大的标准为期末金额</w:t>
      </w:r>
      <w:r>
        <w:rPr>
          <w:rFonts w:ascii="Times New Roman" w:hAnsi="Times New Roman" w:cs="Times New Roman" w:eastAsia="Times New Roman" w:hint="default"/>
        </w:rPr>
        <w:t>200</w:t>
      </w:r>
      <w:r>
        <w:rPr/>
        <w:t>万元以上（含</w:t>
      </w:r>
      <w:r>
        <w:rPr>
          <w:rFonts w:ascii="Times New Roman" w:hAnsi="Times New Roman" w:cs="Times New Roman" w:eastAsia="Times New Roman" w:hint="default"/>
        </w:rPr>
        <w:t>200</w:t>
      </w:r>
      <w:r>
        <w:rPr/>
        <w:t>万元）的应收款项。 </w:t>
      </w:r>
      <w:r>
        <w:rPr>
          <w:spacing w:val="-2"/>
        </w:rPr>
        <w:t>对单项金额重大的应收款项，单独进行减值测试。有客观证据表明其发生了减值的，按照其未来现金流量现值低于其账</w:t>
      </w:r>
    </w:p>
    <w:p>
      <w:pPr>
        <w:pStyle w:val="BodyText"/>
        <w:spacing w:line="240" w:lineRule="auto" w:before="15"/>
        <w:ind w:right="0"/>
        <w:jc w:val="left"/>
      </w:pPr>
      <w:r>
        <w:rPr/>
        <w:t>面价值的差额，计提坏账准备。</w:t>
      </w:r>
    </w:p>
    <w:p>
      <w:pPr>
        <w:pStyle w:val="BodyText"/>
        <w:spacing w:line="430" w:lineRule="atLeast" w:before="2"/>
        <w:ind w:left="514" w:right="0"/>
        <w:jc w:val="left"/>
      </w:pPr>
      <w:r>
        <w:rPr/>
        <w:t>②按组合计提坏账准备应收款项 </w:t>
      </w:r>
      <w:r>
        <w:rPr>
          <w:spacing w:val="-2"/>
        </w:rPr>
        <w:t>对单项金额不重大的应收款项，与经单独测试后未减值的应收款项一起按账龄特征划分为若干组合，根据以前年度与之</w:t>
      </w:r>
    </w:p>
    <w:p>
      <w:pPr>
        <w:pStyle w:val="BodyText"/>
        <w:spacing w:line="316" w:lineRule="auto" w:before="76"/>
        <w:ind w:right="0"/>
        <w:jc w:val="left"/>
      </w:pPr>
      <w:r>
        <w:rPr>
          <w:spacing w:val="-2"/>
        </w:rPr>
        <w:t>相同或相类似的、具有类似信用风险特征的应收账款组合的实际损失率为基础，结合现时情况确定本期各项组合计提坏账准</w:t>
      </w:r>
      <w:r>
        <w:rPr>
          <w:spacing w:val="-64"/>
        </w:rPr>
        <w:t> </w:t>
      </w:r>
      <w:r>
        <w:rPr>
          <w:spacing w:val="-64"/>
        </w:rPr>
      </w:r>
      <w:r>
        <w:rPr/>
        <w:t>备的比例，据此计算本期应计提的坏账准备。按组合计提坏账准备应收款项采用账龄分析法计提。</w:t>
      </w:r>
    </w:p>
    <w:p>
      <w:pPr>
        <w:pStyle w:val="BodyText"/>
        <w:spacing w:line="240" w:lineRule="auto" w:before="139"/>
        <w:ind w:left="514" w:right="0"/>
        <w:jc w:val="left"/>
      </w:pPr>
      <w:r>
        <w:rPr/>
        <w:t>本公司采用账龄分析法计提坏账准备时，账龄按以下标准计提：</w:t>
      </w:r>
    </w:p>
    <w:p>
      <w:pPr>
        <w:spacing w:line="240" w:lineRule="auto" w:before="3"/>
        <w:rPr>
          <w:rFonts w:ascii="宋体" w:hAnsi="宋体" w:cs="宋体" w:eastAsia="宋体" w:hint="default"/>
          <w:sz w:val="14"/>
          <w:szCs w:val="14"/>
        </w:rPr>
      </w:pPr>
    </w:p>
    <w:tbl>
      <w:tblPr>
        <w:tblW w:w="0" w:type="auto"/>
        <w:jc w:val="left"/>
        <w:tblInd w:w="153" w:type="dxa"/>
        <w:tblLayout w:type="fixed"/>
        <w:tblCellMar>
          <w:top w:w="0" w:type="dxa"/>
          <w:left w:w="0" w:type="dxa"/>
          <w:bottom w:w="0" w:type="dxa"/>
          <w:right w:w="0" w:type="dxa"/>
        </w:tblCellMar>
        <w:tblLook w:val="01E0"/>
      </w:tblPr>
      <w:tblGrid>
        <w:gridCol w:w="2993"/>
        <w:gridCol w:w="3399"/>
        <w:gridCol w:w="3262"/>
      </w:tblGrid>
      <w:tr>
        <w:trPr>
          <w:trHeight w:val="428" w:hRule="exact"/>
        </w:trPr>
        <w:tc>
          <w:tcPr>
            <w:tcW w:w="299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1067" w:right="0"/>
              <w:jc w:val="left"/>
              <w:rPr>
                <w:rFonts w:ascii="宋体" w:hAnsi="宋体" w:cs="宋体" w:eastAsia="宋体" w:hint="default"/>
                <w:sz w:val="18"/>
                <w:szCs w:val="18"/>
              </w:rPr>
            </w:pPr>
            <w:r>
              <w:rPr>
                <w:rFonts w:ascii="宋体" w:hAnsi="宋体" w:cs="宋体" w:eastAsia="宋体" w:hint="default"/>
                <w:b/>
                <w:bCs/>
                <w:sz w:val="18"/>
                <w:szCs w:val="18"/>
              </w:rPr>
              <w:t>应收款项账龄</w:t>
            </w:r>
            <w:r>
              <w:rPr>
                <w:rFonts w:ascii="宋体" w:hAnsi="宋体" w:cs="宋体" w:eastAsia="宋体" w:hint="default"/>
                <w:sz w:val="18"/>
                <w:szCs w:val="18"/>
              </w:rPr>
            </w:r>
          </w:p>
        </w:tc>
        <w:tc>
          <w:tcPr>
            <w:tcW w:w="3399"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272" w:right="0"/>
              <w:jc w:val="center"/>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326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44" w:right="0"/>
              <w:jc w:val="center"/>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27" w:hRule="exact"/>
        </w:trPr>
        <w:tc>
          <w:tcPr>
            <w:tcW w:w="299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399"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272" w:right="0"/>
              <w:jc w:val="center"/>
              <w:rPr>
                <w:rFonts w:ascii="Times New Roman" w:hAnsi="Times New Roman" w:cs="Times New Roman" w:eastAsia="Times New Roman" w:hint="default"/>
                <w:sz w:val="18"/>
                <w:szCs w:val="18"/>
              </w:rPr>
            </w:pPr>
            <w:r>
              <w:rPr>
                <w:rFonts w:ascii="Times New Roman"/>
                <w:sz w:val="18"/>
              </w:rPr>
              <w:t>5</w:t>
            </w:r>
          </w:p>
        </w:tc>
        <w:tc>
          <w:tcPr>
            <w:tcW w:w="3262"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47" w:right="0"/>
              <w:jc w:val="center"/>
              <w:rPr>
                <w:rFonts w:ascii="Times New Roman" w:hAnsi="Times New Roman" w:cs="Times New Roman" w:eastAsia="Times New Roman" w:hint="default"/>
                <w:sz w:val="18"/>
                <w:szCs w:val="18"/>
              </w:rPr>
            </w:pPr>
            <w:r>
              <w:rPr>
                <w:rFonts w:ascii="Times New Roman"/>
                <w:sz w:val="18"/>
              </w:rPr>
              <w:t>5</w:t>
            </w:r>
          </w:p>
        </w:tc>
      </w:tr>
      <w:tr>
        <w:trPr>
          <w:trHeight w:val="426" w:hRule="exact"/>
        </w:trPr>
        <w:tc>
          <w:tcPr>
            <w:tcW w:w="2993" w:type="dxa"/>
            <w:tcBorders>
              <w:top w:val="single" w:sz="6" w:space="0" w:color="000000"/>
              <w:left w:val="nil" w:sz="6" w:space="0" w:color="auto"/>
              <w:bottom w:val="single" w:sz="6" w:space="0" w:color="000000"/>
              <w:right w:val="nil" w:sz="6" w:space="0" w:color="auto"/>
            </w:tcBorders>
          </w:tcPr>
          <w:p>
            <w:pPr>
              <w:pStyle w:val="TableParagraph"/>
              <w:spacing w:line="240" w:lineRule="auto" w:before="6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399" w:type="dxa"/>
            <w:tcBorders>
              <w:top w:val="single" w:sz="6" w:space="0" w:color="000000"/>
              <w:left w:val="nil" w:sz="6" w:space="0" w:color="auto"/>
              <w:bottom w:val="single" w:sz="6" w:space="0" w:color="000000"/>
              <w:right w:val="nil" w:sz="6" w:space="0" w:color="auto"/>
            </w:tcBorders>
          </w:tcPr>
          <w:p>
            <w:pPr>
              <w:pStyle w:val="TableParagraph"/>
              <w:spacing w:line="240" w:lineRule="auto" w:before="100"/>
              <w:ind w:left="271" w:right="0"/>
              <w:jc w:val="center"/>
              <w:rPr>
                <w:rFonts w:ascii="Times New Roman" w:hAnsi="Times New Roman" w:cs="Times New Roman" w:eastAsia="Times New Roman" w:hint="default"/>
                <w:sz w:val="18"/>
                <w:szCs w:val="18"/>
              </w:rPr>
            </w:pPr>
            <w:r>
              <w:rPr>
                <w:rFonts w:ascii="Times New Roman"/>
                <w:sz w:val="18"/>
              </w:rPr>
              <w:t>10</w:t>
            </w:r>
          </w:p>
        </w:tc>
        <w:tc>
          <w:tcPr>
            <w:tcW w:w="3262" w:type="dxa"/>
            <w:tcBorders>
              <w:top w:val="single" w:sz="6" w:space="0" w:color="000000"/>
              <w:left w:val="nil" w:sz="6" w:space="0" w:color="auto"/>
              <w:bottom w:val="single" w:sz="6" w:space="0" w:color="000000"/>
              <w:right w:val="nil" w:sz="6" w:space="0" w:color="auto"/>
            </w:tcBorders>
          </w:tcPr>
          <w:p>
            <w:pPr>
              <w:pStyle w:val="TableParagraph"/>
              <w:spacing w:line="240" w:lineRule="auto" w:before="100"/>
              <w:ind w:left="46" w:right="0"/>
              <w:jc w:val="center"/>
              <w:rPr>
                <w:rFonts w:ascii="Times New Roman" w:hAnsi="Times New Roman" w:cs="Times New Roman" w:eastAsia="Times New Roman" w:hint="default"/>
                <w:sz w:val="18"/>
                <w:szCs w:val="18"/>
              </w:rPr>
            </w:pPr>
            <w:r>
              <w:rPr>
                <w:rFonts w:ascii="Times New Roman"/>
                <w:sz w:val="18"/>
              </w:rPr>
              <w:t>10</w:t>
            </w:r>
          </w:p>
        </w:tc>
      </w:tr>
      <w:tr>
        <w:trPr>
          <w:trHeight w:val="427" w:hRule="exact"/>
        </w:trPr>
        <w:tc>
          <w:tcPr>
            <w:tcW w:w="299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399"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271" w:right="0"/>
              <w:jc w:val="center"/>
              <w:rPr>
                <w:rFonts w:ascii="Times New Roman" w:hAnsi="Times New Roman" w:cs="Times New Roman" w:eastAsia="Times New Roman" w:hint="default"/>
                <w:sz w:val="18"/>
                <w:szCs w:val="18"/>
              </w:rPr>
            </w:pPr>
            <w:r>
              <w:rPr>
                <w:rFonts w:ascii="Times New Roman"/>
                <w:sz w:val="18"/>
              </w:rPr>
              <w:t>20</w:t>
            </w:r>
          </w:p>
        </w:tc>
        <w:tc>
          <w:tcPr>
            <w:tcW w:w="3262"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46" w:right="0"/>
              <w:jc w:val="center"/>
              <w:rPr>
                <w:rFonts w:ascii="Times New Roman" w:hAnsi="Times New Roman" w:cs="Times New Roman" w:eastAsia="Times New Roman" w:hint="default"/>
                <w:sz w:val="18"/>
                <w:szCs w:val="18"/>
              </w:rPr>
            </w:pPr>
            <w:r>
              <w:rPr>
                <w:rFonts w:ascii="Times New Roman"/>
                <w:sz w:val="18"/>
              </w:rPr>
              <w:t>20</w:t>
            </w:r>
          </w:p>
        </w:tc>
      </w:tr>
      <w:tr>
        <w:trPr>
          <w:trHeight w:val="427" w:hRule="exact"/>
        </w:trPr>
        <w:tc>
          <w:tcPr>
            <w:tcW w:w="299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年（含</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3399"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271" w:right="0"/>
              <w:jc w:val="center"/>
              <w:rPr>
                <w:rFonts w:ascii="Times New Roman" w:hAnsi="Times New Roman" w:cs="Times New Roman" w:eastAsia="Times New Roman" w:hint="default"/>
                <w:sz w:val="18"/>
                <w:szCs w:val="18"/>
              </w:rPr>
            </w:pPr>
            <w:r>
              <w:rPr>
                <w:rFonts w:ascii="Times New Roman"/>
                <w:sz w:val="18"/>
              </w:rPr>
              <w:t>50</w:t>
            </w:r>
          </w:p>
        </w:tc>
        <w:tc>
          <w:tcPr>
            <w:tcW w:w="3262"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4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年以上全额计提</w:t>
            </w:r>
          </w:p>
        </w:tc>
      </w:tr>
      <w:tr>
        <w:trPr>
          <w:trHeight w:val="427" w:hRule="exact"/>
        </w:trPr>
        <w:tc>
          <w:tcPr>
            <w:tcW w:w="2993" w:type="dxa"/>
            <w:tcBorders>
              <w:top w:val="single" w:sz="6" w:space="0" w:color="000000"/>
              <w:left w:val="nil" w:sz="6" w:space="0" w:color="auto"/>
              <w:bottom w:val="single" w:sz="6" w:space="0" w:color="000000"/>
              <w:right w:val="nil" w:sz="6" w:space="0" w:color="auto"/>
            </w:tcBorders>
          </w:tcPr>
          <w:p>
            <w:pPr>
              <w:pStyle w:val="TableParagraph"/>
              <w:spacing w:line="240" w:lineRule="auto" w:before="6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年（含</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399" w:type="dxa"/>
            <w:tcBorders>
              <w:top w:val="single" w:sz="6" w:space="0" w:color="000000"/>
              <w:left w:val="nil" w:sz="6" w:space="0" w:color="auto"/>
              <w:bottom w:val="single" w:sz="6" w:space="0" w:color="000000"/>
              <w:right w:val="nil" w:sz="6" w:space="0" w:color="auto"/>
            </w:tcBorders>
          </w:tcPr>
          <w:p>
            <w:pPr>
              <w:pStyle w:val="TableParagraph"/>
              <w:spacing w:line="240" w:lineRule="auto" w:before="102"/>
              <w:ind w:left="271" w:right="0"/>
              <w:jc w:val="center"/>
              <w:rPr>
                <w:rFonts w:ascii="Times New Roman" w:hAnsi="Times New Roman" w:cs="Times New Roman" w:eastAsia="Times New Roman" w:hint="default"/>
                <w:sz w:val="18"/>
                <w:szCs w:val="18"/>
              </w:rPr>
            </w:pPr>
            <w:r>
              <w:rPr>
                <w:rFonts w:ascii="Times New Roman"/>
                <w:sz w:val="18"/>
              </w:rPr>
              <w:t>80</w:t>
            </w:r>
          </w:p>
        </w:tc>
        <w:tc>
          <w:tcPr>
            <w:tcW w:w="3262" w:type="dxa"/>
            <w:tcBorders>
              <w:top w:val="single" w:sz="6" w:space="0" w:color="000000"/>
              <w:left w:val="nil" w:sz="6" w:space="0" w:color="auto"/>
              <w:bottom w:val="single" w:sz="6" w:space="0" w:color="000000"/>
              <w:right w:val="nil" w:sz="6" w:space="0" w:color="auto"/>
            </w:tcBorders>
          </w:tcPr>
          <w:p>
            <w:pPr/>
          </w:p>
        </w:tc>
      </w:tr>
      <w:tr>
        <w:trPr>
          <w:trHeight w:val="315" w:hRule="exact"/>
        </w:trPr>
        <w:tc>
          <w:tcPr>
            <w:tcW w:w="2993" w:type="dxa"/>
            <w:tcBorders>
              <w:top w:val="single" w:sz="6" w:space="0" w:color="000000"/>
              <w:left w:val="nil" w:sz="6" w:space="0" w:color="auto"/>
              <w:bottom w:val="nil" w:sz="6" w:space="0" w:color="auto"/>
              <w:right w:val="nil" w:sz="6" w:space="0" w:color="auto"/>
            </w:tcBorders>
          </w:tcPr>
          <w:p>
            <w:pPr>
              <w:pStyle w:val="TableParagraph"/>
              <w:spacing w:line="240" w:lineRule="auto" w:before="6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3399" w:type="dxa"/>
            <w:tcBorders>
              <w:top w:val="single" w:sz="6" w:space="0" w:color="000000"/>
              <w:left w:val="nil" w:sz="6" w:space="0" w:color="auto"/>
              <w:bottom w:val="nil" w:sz="6" w:space="0" w:color="auto"/>
              <w:right w:val="nil" w:sz="6" w:space="0" w:color="auto"/>
            </w:tcBorders>
          </w:tcPr>
          <w:p>
            <w:pPr>
              <w:pStyle w:val="TableParagraph"/>
              <w:spacing w:line="240" w:lineRule="auto" w:before="102"/>
              <w:ind w:left="272" w:right="0"/>
              <w:jc w:val="center"/>
              <w:rPr>
                <w:rFonts w:ascii="Times New Roman" w:hAnsi="Times New Roman" w:cs="Times New Roman" w:eastAsia="Times New Roman" w:hint="default"/>
                <w:sz w:val="18"/>
                <w:szCs w:val="18"/>
              </w:rPr>
            </w:pPr>
            <w:r>
              <w:rPr>
                <w:rFonts w:ascii="Times New Roman"/>
                <w:sz w:val="18"/>
              </w:rPr>
              <w:t>100</w:t>
            </w:r>
          </w:p>
        </w:tc>
        <w:tc>
          <w:tcPr>
            <w:tcW w:w="3262" w:type="dxa"/>
            <w:tcBorders>
              <w:top w:val="single" w:sz="6" w:space="0" w:color="000000"/>
              <w:left w:val="nil" w:sz="6" w:space="0" w:color="auto"/>
              <w:bottom w:val="nil" w:sz="6" w:space="0" w:color="auto"/>
              <w:right w:val="nil" w:sz="6" w:space="0" w:color="auto"/>
            </w:tcBorders>
          </w:tcPr>
          <w:p>
            <w:pPr/>
          </w:p>
        </w:tc>
      </w:tr>
    </w:tbl>
    <w:p>
      <w:pPr>
        <w:spacing w:line="240" w:lineRule="auto" w:before="6"/>
        <w:rPr>
          <w:rFonts w:ascii="宋体" w:hAnsi="宋体" w:cs="宋体" w:eastAsia="宋体" w:hint="default"/>
          <w:sz w:val="5"/>
          <w:szCs w:val="5"/>
        </w:rPr>
      </w:pPr>
    </w:p>
    <w:p>
      <w:pPr>
        <w:pStyle w:val="BodyText"/>
        <w:spacing w:line="240" w:lineRule="auto" w:before="44"/>
        <w:ind w:left="514" w:right="0"/>
        <w:jc w:val="left"/>
      </w:pPr>
      <w:r>
        <w:rPr/>
        <w:t>③单项金额虽不重大但单项计提减值准备的应收款项</w:t>
      </w:r>
    </w:p>
    <w:p>
      <w:pPr>
        <w:spacing w:line="240" w:lineRule="auto" w:before="0"/>
        <w:rPr>
          <w:rFonts w:ascii="宋体" w:hAnsi="宋体" w:cs="宋体" w:eastAsia="宋体" w:hint="default"/>
          <w:sz w:val="15"/>
          <w:szCs w:val="15"/>
        </w:rPr>
      </w:pPr>
    </w:p>
    <w:p>
      <w:pPr>
        <w:pStyle w:val="BodyText"/>
        <w:spacing w:line="319" w:lineRule="auto"/>
        <w:ind w:right="0"/>
        <w:jc w:val="left"/>
      </w:pPr>
      <w:r>
        <w:rPr>
          <w:spacing w:val="-2"/>
        </w:rPr>
        <w:t>如果某项单项金额不重大应收款项的可收回性与其他应收款项存在明显的差别，导致该项应收款项按照与其他应收款项同样</w:t>
      </w:r>
      <w:r>
        <w:rPr>
          <w:spacing w:val="-64"/>
        </w:rPr>
        <w:t> </w:t>
      </w:r>
      <w:r>
        <w:rPr>
          <w:spacing w:val="-64"/>
        </w:rPr>
      </w:r>
      <w:r>
        <w:rPr/>
        <w:t>的方法计提坏账准备，将无法真实反映其可收回金额的，该应收款项采取个别认定法计提坏账准备。</w:t>
      </w:r>
    </w:p>
    <w:p>
      <w:pPr>
        <w:pStyle w:val="BodyText"/>
        <w:spacing w:line="240" w:lineRule="auto" w:before="55"/>
        <w:ind w:left="514" w:right="0"/>
        <w:jc w:val="left"/>
      </w:pPr>
      <w:r>
        <w:rPr>
          <w:rFonts w:ascii="Times New Roman" w:hAnsi="Times New Roman" w:cs="Times New Roman" w:eastAsia="Times New Roman" w:hint="default"/>
        </w:rPr>
        <w:t>6</w:t>
      </w:r>
      <w:r>
        <w:rPr/>
        <w:t>、金融资产转移</w:t>
      </w:r>
    </w:p>
    <w:p>
      <w:pPr>
        <w:spacing w:line="240" w:lineRule="auto" w:before="13"/>
        <w:rPr>
          <w:rFonts w:ascii="宋体" w:hAnsi="宋体" w:cs="宋体" w:eastAsia="宋体" w:hint="default"/>
          <w:sz w:val="13"/>
          <w:szCs w:val="13"/>
        </w:rPr>
      </w:pPr>
    </w:p>
    <w:p>
      <w:pPr>
        <w:pStyle w:val="BodyText"/>
        <w:spacing w:line="316" w:lineRule="auto"/>
        <w:ind w:right="0" w:firstLine="360"/>
        <w:jc w:val="left"/>
      </w:pPr>
      <w:r>
        <w:rPr>
          <w:spacing w:val="-2"/>
        </w:rPr>
        <w:t>金融资产转移，是指本公司将金融资产让与或交付给该金融资产发行方以外的另一方（转入方）。本公司已将金融资产</w:t>
      </w:r>
      <w:r>
        <w:rPr/>
        <w:t> </w:t>
      </w:r>
      <w:r>
        <w:rPr>
          <w:spacing w:val="-4"/>
        </w:rPr>
        <w:t>所有权上几乎所有的风险和报酬转移给转入方，终止确认该项金融资产；保留了金融资产所有权上几乎所有的风险和报酬的，</w:t>
      </w:r>
      <w:r>
        <w:rPr>
          <w:spacing w:val="-44"/>
        </w:rPr>
        <w:t> </w:t>
      </w:r>
      <w:r>
        <w:rPr>
          <w:spacing w:val="-44"/>
        </w:rPr>
      </w:r>
      <w:r>
        <w:rPr/>
        <w:t>不终止确认该项金融资产。</w:t>
      </w:r>
    </w:p>
    <w:p>
      <w:pPr>
        <w:pStyle w:val="BodyText"/>
        <w:spacing w:line="316" w:lineRule="auto" w:before="139"/>
        <w:ind w:right="0" w:firstLine="360"/>
        <w:jc w:val="left"/>
      </w:pPr>
      <w:r>
        <w:rPr>
          <w:spacing w:val="-4"/>
        </w:rPr>
        <w:t>本公司既没有转移也没保留金融资产所有权上几乎所有的风险和报酬，分别下列情况处理：放弃了对该金融资产控制的，</w:t>
      </w:r>
      <w:r>
        <w:rPr/>
        <w:t> </w:t>
      </w:r>
      <w:r>
        <w:rPr>
          <w:spacing w:val="-2"/>
        </w:rPr>
        <w:t>终止确认该项金融资产并确认产生的资产和负债；未放弃对该金融资产控制的，按照其继续涉入所转移金融资产的程度确认</w:t>
      </w:r>
      <w:r>
        <w:rPr>
          <w:spacing w:val="-63"/>
        </w:rPr>
        <w:t> </w:t>
      </w:r>
      <w:r>
        <w:rPr>
          <w:spacing w:val="-63"/>
        </w:rPr>
      </w:r>
      <w:r>
        <w:rPr/>
        <w:t>有关金融资产，并相应确认有关负债。</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1、应收票据及应收账款" w:id="177"/>
      <w:bookmarkEnd w:id="177"/>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78"/>
      <w:bookmarkEnd w:id="178"/>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3"/>
        <w:rPr>
          <w:rFonts w:ascii="宋体" w:hAnsi="宋体" w:cs="宋体" w:eastAsia="宋体" w:hint="default"/>
          <w:b/>
          <w:bCs/>
          <w:sz w:val="26"/>
          <w:szCs w:val="26"/>
        </w:rPr>
      </w:pPr>
    </w:p>
    <w:p>
      <w:pPr>
        <w:pStyle w:val="BodyText"/>
        <w:spacing w:line="240" w:lineRule="auto" w:before="44"/>
        <w:ind w:left="0" w:right="1139"/>
        <w:jc w:val="right"/>
      </w:pPr>
      <w:r>
        <w:rPr/>
        <w:pict>
          <v:shape style="position:absolute;margin-left:56.459999pt;margin-top:-.868272pt;width:479.2pt;height:87.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2" w:lineRule="auto" w:before="51"/>
                          <w:ind w:left="23" w:right="110"/>
                          <w:jc w:val="left"/>
                          <w:rPr>
                            <w:rFonts w:ascii="宋体" w:hAnsi="宋体" w:cs="宋体" w:eastAsia="宋体" w:hint="default"/>
                            <w:sz w:val="18"/>
                            <w:szCs w:val="18"/>
                          </w:rPr>
                        </w:pPr>
                        <w:r>
                          <w:rPr>
                            <w:rFonts w:ascii="宋体" w:hAnsi="宋体" w:cs="宋体" w:eastAsia="宋体" w:hint="default"/>
                            <w:sz w:val="18"/>
                            <w:szCs w:val="18"/>
                          </w:rPr>
                          <w:t>单项金额重大的标准为期末金额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的应收款项。</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对单项金额重大的应收款项，单独进行减值测试。有客观证 据表明其发生了减值的，按照其未来现金流量现值低于其账 面价值的差额，计提坏账准备。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9"/>
        <w:ind w:right="0"/>
        <w:jc w:val="left"/>
        <w:rPr>
          <w:b w:val="0"/>
          <w:bCs w:val="0"/>
        </w:rPr>
      </w:pPr>
      <w:bookmarkStart w:name="（2）按信用风险特征组合计提坏账准备的应收款项" w:id="179"/>
      <w:bookmarkEnd w:id="179"/>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80"/>
      <w:bookmarkEnd w:id="180"/>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如果某项单项金额不重大应收款项的可收回性与其他应收款 项存在明显的差别，导致该项应收款项按照与其他应收款项 同样的方法计提坏账准备，将无法真实反映其可收回金额的</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采取个别认定法</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81"/>
      <w:bookmarkEnd w:id="181"/>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公司是否需要遵守特殊行业的披露要求</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8952"/>
        <w:jc w:val="left"/>
      </w:pPr>
      <w:r>
        <w:rPr/>
        <w:t>是 软件与信息技术服务业</w:t>
      </w:r>
    </w:p>
    <w:p>
      <w:pPr>
        <w:pStyle w:val="BodyText"/>
        <w:spacing w:line="240" w:lineRule="auto" w:before="28"/>
        <w:ind w:left="574" w:right="0"/>
        <w:jc w:val="left"/>
      </w:pPr>
      <w:r>
        <w:rPr>
          <w:rFonts w:ascii="Times New Roman" w:hAnsi="Times New Roman" w:cs="Times New Roman" w:eastAsia="Times New Roman" w:hint="default"/>
        </w:rPr>
        <w:t>1</w:t>
      </w:r>
      <w:r>
        <w:rPr/>
        <w:t>、存货包括在生产经营过程中为销售或耗用而储备的原材料、开发在产品等。</w:t>
      </w:r>
    </w:p>
    <w:p>
      <w:pPr>
        <w:spacing w:line="240" w:lineRule="auto" w:before="13"/>
        <w:rPr>
          <w:rFonts w:ascii="宋体" w:hAnsi="宋体" w:cs="宋体" w:eastAsia="宋体" w:hint="default"/>
          <w:sz w:val="13"/>
          <w:szCs w:val="13"/>
        </w:rPr>
      </w:pPr>
    </w:p>
    <w:p>
      <w:pPr>
        <w:pStyle w:val="BodyText"/>
        <w:spacing w:line="300" w:lineRule="auto"/>
        <w:ind w:right="1132" w:firstLine="420"/>
        <w:jc w:val="both"/>
      </w:pPr>
      <w:r>
        <w:rPr>
          <w:rFonts w:ascii="Times New Roman" w:hAnsi="Times New Roman" w:cs="Times New Roman" w:eastAsia="Times New Roman" w:hint="default"/>
          <w:spacing w:val="-2"/>
        </w:rPr>
        <w:t>2</w:t>
      </w:r>
      <w:r>
        <w:rPr>
          <w:spacing w:val="-2"/>
        </w:rPr>
        <w:t>、存货按实际成本计价。购入并已验收入库的原材料按实际成本计价，领用发出时采用个别计价法核算；开发产品按</w:t>
      </w:r>
      <w:r>
        <w:rPr/>
        <w:t> 实际成本计价。</w:t>
      </w:r>
    </w:p>
    <w:p>
      <w:pPr>
        <w:pStyle w:val="BodyText"/>
        <w:spacing w:line="300" w:lineRule="auto" w:before="151"/>
        <w:ind w:right="1132" w:firstLine="420"/>
        <w:jc w:val="both"/>
      </w:pPr>
      <w:r>
        <w:rPr>
          <w:rFonts w:ascii="Times New Roman" w:hAnsi="Times New Roman" w:cs="Times New Roman" w:eastAsia="Times New Roman" w:hint="default"/>
          <w:spacing w:val="-2"/>
        </w:rPr>
        <w:t>3</w:t>
      </w:r>
      <w:r>
        <w:rPr>
          <w:spacing w:val="-2"/>
        </w:rPr>
        <w:t>、存货采用永续盘存制，平时不定期对存货进行清查，年末对存货进行全面清查，对清查中发现的账实差异及时进行</w:t>
      </w:r>
      <w:r>
        <w:rPr/>
        <w:t> 处理。</w:t>
      </w:r>
    </w:p>
    <w:p>
      <w:pPr>
        <w:pStyle w:val="BodyText"/>
        <w:spacing w:line="312" w:lineRule="auto" w:before="151"/>
        <w:ind w:right="1131" w:firstLine="420"/>
        <w:jc w:val="both"/>
      </w:pPr>
      <w:r>
        <w:rPr>
          <w:rFonts w:ascii="Times New Roman" w:hAnsi="Times New Roman" w:cs="Times New Roman" w:eastAsia="Times New Roman" w:hint="default"/>
          <w:spacing w:val="-2"/>
        </w:rPr>
        <w:t>4</w:t>
      </w:r>
      <w:r>
        <w:rPr>
          <w:spacing w:val="-2"/>
        </w:rPr>
        <w:t>、资产负债表日，存货按照成本与可变现净值孰低计量。存货成本高于其可变现净值的，计提存货跌价准备，计入当</w:t>
      </w:r>
      <w:r>
        <w:rPr/>
        <w:t> </w:t>
      </w:r>
      <w:r>
        <w:rPr>
          <w:spacing w:val="-2"/>
        </w:rPr>
        <w:t>期损益。可变现净值，是指在日常活动中，存货的估计售价减去至完工时估计将要发生的成本、估计的销售费用以及相关税</w:t>
      </w:r>
      <w:r>
        <w:rPr>
          <w:spacing w:val="-66"/>
        </w:rPr>
        <w:t> </w:t>
      </w:r>
      <w:r>
        <w:rPr>
          <w:spacing w:val="-66"/>
        </w:rPr>
      </w:r>
      <w:r>
        <w:rPr>
          <w:spacing w:val="-2"/>
        </w:rPr>
        <w:t>费后的金额。在确定存货的可变现净值时，以取得的确凿证据为基础，同时考虑持有存货的目的以及资产负债表日后事项的</w:t>
      </w:r>
      <w:r>
        <w:rPr>
          <w:spacing w:val="-66"/>
        </w:rPr>
        <w:t> </w:t>
      </w:r>
      <w:r>
        <w:rPr>
          <w:spacing w:val="-66"/>
        </w:rPr>
      </w:r>
      <w:r>
        <w:rPr/>
        <w:t>影响。</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bookmarkStart w:name="13、持有待售资产" w:id="182"/>
      <w:bookmarkEnd w:id="182"/>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9" w:firstLine="360"/>
        <w:jc w:val="both"/>
      </w:pPr>
      <w:r>
        <w:rPr/>
        <w:t>本公司将同时满足下列条件的企业组成部分（或非流动资产）划分为持有待售：（</w:t>
      </w:r>
      <w:r>
        <w:rPr>
          <w:rFonts w:ascii="Times New Roman" w:hAnsi="Times New Roman" w:cs="Times New Roman" w:eastAsia="Times New Roman" w:hint="default"/>
        </w:rPr>
        <w:t>1</w:t>
      </w:r>
      <w:r>
        <w:rPr/>
        <w:t>）根据类似交易中出售此类资产或 处置组的惯例，在当前状况下即可立即出售；（</w:t>
      </w:r>
      <w:r>
        <w:rPr>
          <w:rFonts w:ascii="Times New Roman" w:hAnsi="Times New Roman" w:cs="Times New Roman" w:eastAsia="Times New Roman" w:hint="default"/>
        </w:rPr>
        <w:t>2</w:t>
      </w:r>
      <w:r>
        <w:rPr/>
        <w:t>）出售极可能发生，已经就一项出售计划作出决议且获得确定的购买承诺</w:t>
      </w:r>
    </w:p>
    <w:p>
      <w:pPr>
        <w:pStyle w:val="BodyText"/>
        <w:spacing w:line="316" w:lineRule="auto" w:before="13"/>
        <w:ind w:right="1133"/>
        <w:jc w:val="both"/>
      </w:pPr>
      <w:r>
        <w:rPr>
          <w:spacing w:val="-2"/>
        </w:rPr>
        <w:t>（确定的购买承诺，是指企业与其他方签订的具有法律约束力的购买协议，该协议包含交易价格、时间和足够严厉的违约惩</w:t>
      </w:r>
      <w:r>
        <w:rPr>
          <w:spacing w:val="-66"/>
        </w:rPr>
        <w:t> </w:t>
      </w:r>
      <w:r>
        <w:rPr>
          <w:spacing w:val="-66"/>
        </w:rPr>
      </w:r>
      <w:r>
        <w:rPr>
          <w:spacing w:val="-2"/>
        </w:rPr>
        <w:t>罚等重要条款，使协议出现重大调整或者撤销的可能性极小。），预计出售将在一年内完成。已经获得按照有关规定需得到</w:t>
      </w:r>
      <w:r>
        <w:rPr>
          <w:spacing w:val="-66"/>
        </w:rPr>
        <w:t> </w:t>
      </w:r>
      <w:r>
        <w:rPr>
          <w:spacing w:val="-66"/>
        </w:rPr>
      </w:r>
      <w:r>
        <w:rPr/>
        <w:t>相关权力机构或者监管部门的批准。</w:t>
      </w:r>
    </w:p>
    <w:p>
      <w:pPr>
        <w:pStyle w:val="BodyText"/>
        <w:spacing w:line="312" w:lineRule="auto" w:before="139"/>
        <w:ind w:right="0" w:firstLine="360"/>
        <w:jc w:val="left"/>
      </w:pPr>
      <w:r>
        <w:rPr/>
        <w:t>本公司将持有待售的预计净残值调整为反映其公允价值减去出售费用后的净额（但不得超过该项持有待售的原账面价 </w:t>
      </w:r>
      <w:r>
        <w:rPr>
          <w:spacing w:val="-2"/>
        </w:rPr>
        <w:t>值），原账面价值高于调整后预计净残值的差额，作为资产减值损失计入当期损益，同时计提持有待售资产减值准备。对于</w:t>
      </w:r>
      <w:r>
        <w:rPr>
          <w:spacing w:val="-66"/>
        </w:rPr>
        <w:t> </w:t>
      </w:r>
      <w:r>
        <w:rPr>
          <w:spacing w:val="-66"/>
        </w:rPr>
      </w:r>
      <w:r>
        <w:rPr/>
        <w:t>持有待售的处置组确认的资产减值损失金额，先抵减处置组中商誉的账面价值，再根据处置组中适用《企业会计准则第</w:t>
      </w:r>
      <w:r>
        <w:rPr>
          <w:rFonts w:ascii="Times New Roman" w:hAnsi="Times New Roman" w:cs="Times New Roman" w:eastAsia="Times New Roman" w:hint="default"/>
        </w:rPr>
        <w:t>42 </w:t>
      </w:r>
      <w:r>
        <w:rPr>
          <w:spacing w:val="-4"/>
        </w:rPr>
        <w:t>号</w:t>
      </w:r>
      <w:r>
        <w:rPr>
          <w:rFonts w:ascii="Times New Roman" w:hAnsi="Times New Roman" w:cs="Times New Roman" w:eastAsia="Times New Roman" w:hint="default"/>
          <w:spacing w:val="-4"/>
        </w:rPr>
        <w:t>——</w:t>
      </w:r>
      <w:r>
        <w:rPr>
          <w:spacing w:val="-4"/>
        </w:rPr>
        <w:t>持有待售的非流动资产、处置组和终止经营》计量规定的各项非流动资产账面价值所占比重，按比例抵减其账面价值。</w:t>
      </w:r>
    </w:p>
    <w:p>
      <w:pPr>
        <w:pStyle w:val="BodyText"/>
        <w:spacing w:line="309" w:lineRule="auto" w:before="123"/>
        <w:ind w:right="1130" w:firstLine="360"/>
        <w:jc w:val="both"/>
      </w:pPr>
      <w:r>
        <w:rPr>
          <w:spacing w:val="-2"/>
        </w:rPr>
        <w:t>后续资产负债表日持有待售的非流动资产公允价值减去出售费用后的净额增加的，以前减记的金额予以恢复，并在划分</w:t>
      </w:r>
      <w:r>
        <w:rPr/>
        <w:t> </w:t>
      </w:r>
      <w:r>
        <w:rPr>
          <w:spacing w:val="-2"/>
        </w:rPr>
        <w:t>为持有待售类别后确认的资产减值损失金额内转回，转回金额计入当期损益。划分为持有待售类别前确认的资产减值损失不</w:t>
      </w:r>
      <w:r>
        <w:rPr>
          <w:spacing w:val="-64"/>
        </w:rPr>
        <w:t> </w:t>
      </w:r>
      <w:r>
        <w:rPr>
          <w:spacing w:val="-64"/>
        </w:rPr>
      </w:r>
      <w:r>
        <w:rPr>
          <w:spacing w:val="-2"/>
        </w:rPr>
        <w:t>得转回。后续资产负债表日持有待售的处置组公允价值减去出售费用后的净额增加的，以前减记的金额予以恢复，并在划分</w:t>
      </w:r>
      <w:r>
        <w:rPr>
          <w:spacing w:val="-66"/>
        </w:rPr>
        <w:t> </w:t>
      </w:r>
      <w:r>
        <w:rPr>
          <w:spacing w:val="-66"/>
        </w:rPr>
      </w:r>
      <w:r>
        <w:rPr>
          <w:spacing w:val="-2"/>
        </w:rPr>
        <w:t>为持有待售类别后适用《企业会计准则第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持有待售的非流动资产、处置组和终止经营》计量规定的非流动资产确认</w:t>
      </w:r>
      <w:r>
        <w:rPr>
          <w:spacing w:val="-64"/>
        </w:rPr>
        <w:t> </w:t>
      </w:r>
      <w:r>
        <w:rPr>
          <w:spacing w:val="-64"/>
        </w:rPr>
      </w:r>
      <w:r>
        <w:rPr>
          <w:spacing w:val="-2"/>
        </w:rPr>
        <w:t>的资产减值损失金额内转回，转回金额计入当期损益。已抵减的商誉账面价值，以及适用《企业会计准则第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w:t>
      </w:r>
      <w:r>
        <w:rPr>
          <w:spacing w:val="-64"/>
        </w:rPr>
        <w:t> </w:t>
      </w:r>
      <w:r>
        <w:rPr>
          <w:spacing w:val="-2"/>
        </w:rPr>
        <w:t>售的非流动资产、处置组和终止经营》计量规定的非流动资产在划分为持有待售类别前确认的资产减值损失不得转回。持有</w:t>
      </w:r>
      <w:r>
        <w:rPr>
          <w:spacing w:val="-66"/>
        </w:rPr>
        <w:t> </w:t>
      </w:r>
      <w:r>
        <w:rPr>
          <w:spacing w:val="-66"/>
        </w:rPr>
      </w:r>
      <w:r>
        <w:rPr>
          <w:spacing w:val="-2"/>
        </w:rPr>
        <w:t>待售的处置组确认的资产减值损失后续转回金额，根据处置组中除商誉外适用《企业会计准则第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w:t>
      </w:r>
      <w:r>
        <w:rPr>
          <w:spacing w:val="-62"/>
        </w:rPr>
        <w:t> </w:t>
      </w:r>
      <w:r>
        <w:rPr/>
        <w:t>资产、处置组和终止经营》计量规定的各项非流动资产账面价值所占比重，按比例增加其账面价值。</w:t>
      </w:r>
    </w:p>
    <w:p>
      <w:pPr>
        <w:pStyle w:val="BodyText"/>
        <w:spacing w:line="316" w:lineRule="auto" w:before="144"/>
        <w:ind w:right="1132" w:firstLine="360"/>
        <w:jc w:val="both"/>
      </w:pPr>
      <w:r>
        <w:rPr>
          <w:spacing w:val="-2"/>
        </w:rPr>
        <w:t>本公司因出售对子公司的投资等原因导致其丧失对子公司控制权的，无论出售后本公司是否保留部分权益性投资，在拟</w:t>
      </w:r>
      <w:r>
        <w:rPr/>
        <w:t> </w:t>
      </w:r>
      <w:r>
        <w:rPr>
          <w:spacing w:val="-2"/>
        </w:rPr>
        <w:t>出售的对子公司投资满足持有待售类别划分条件时，在母公司个别财务报表中将对子公司投资整体划分为持有待售类别，在</w:t>
      </w:r>
      <w:r>
        <w:rPr>
          <w:spacing w:val="-64"/>
        </w:rPr>
        <w:t> </w:t>
      </w:r>
      <w:r>
        <w:rPr>
          <w:spacing w:val="-64"/>
        </w:rPr>
      </w:r>
      <w:r>
        <w:rPr/>
        <w:t>合并财务报表中将子公司所有资产和负债划分为持有待售类别。</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4、长期股权投资" w:id="183"/>
      <w:bookmarkEnd w:id="183"/>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rFonts w:ascii="Times New Roman" w:hAnsi="Times New Roman" w:cs="Times New Roman" w:eastAsia="Times New Roman" w:hint="default"/>
        </w:rPr>
        <w:t>1</w:t>
      </w:r>
      <w:r>
        <w:rPr/>
        <w:t>、长期股权投资的投资成本的确定</w:t>
      </w:r>
    </w:p>
    <w:p>
      <w:pPr>
        <w:spacing w:line="240" w:lineRule="auto" w:before="0"/>
        <w:rPr>
          <w:rFonts w:ascii="宋体" w:hAnsi="宋体" w:cs="宋体" w:eastAsia="宋体" w:hint="default"/>
          <w:sz w:val="14"/>
          <w:szCs w:val="14"/>
        </w:rPr>
      </w:pPr>
    </w:p>
    <w:p>
      <w:pPr>
        <w:pStyle w:val="BodyText"/>
        <w:spacing w:line="307" w:lineRule="auto"/>
        <w:ind w:right="1130" w:firstLine="360"/>
        <w:jc w:val="both"/>
      </w:pPr>
      <w:r>
        <w:rPr/>
        <w:t>（</w:t>
      </w:r>
      <w:r>
        <w:rPr>
          <w:rFonts w:ascii="Times New Roman" w:hAnsi="Times New Roman" w:cs="Times New Roman" w:eastAsia="Times New Roman" w:hint="default"/>
        </w:rPr>
        <w:t>1</w:t>
      </w:r>
      <w:r>
        <w:rPr/>
        <w:t>）同一控制下的企业合并形成的，合并方以支付现金、转让非现金资产、承担债务或发行权益性证券作为合并对价 </w:t>
      </w:r>
      <w:r>
        <w:rPr>
          <w:spacing w:val="-2"/>
        </w:rPr>
        <w:t>的，在合并日按照被合并方所有者权益在最终控制方合并财务报表中的账面价值的份额作为其初始投资成本。长期股权投资</w:t>
      </w:r>
      <w:r>
        <w:rPr>
          <w:spacing w:val="-64"/>
        </w:rPr>
        <w:t> </w:t>
      </w:r>
      <w:r>
        <w:rPr>
          <w:spacing w:val="-64"/>
        </w:rPr>
      </w:r>
      <w:r>
        <w:rPr>
          <w:spacing w:val="-1"/>
        </w:rPr>
        <w:t>初始投资成本与支付的合并对价的账面价值或发行股份的面值总额之间的差额调整资本公积</w:t>
      </w:r>
      <w:r>
        <w:rPr>
          <w:rFonts w:ascii="Times New Roman" w:hAnsi="Times New Roman" w:cs="Times New Roman" w:eastAsia="Times New Roman" w:hint="default"/>
          <w:spacing w:val="-1"/>
        </w:rPr>
        <w:t>(</w:t>
      </w:r>
      <w:r>
        <w:rPr>
          <w:spacing w:val="-1"/>
        </w:rPr>
        <w:t>资本溢价或股本溢价</w:t>
      </w:r>
      <w:r>
        <w:rPr>
          <w:rFonts w:ascii="Times New Roman" w:hAnsi="Times New Roman" w:cs="Times New Roman" w:eastAsia="Times New Roman" w:hint="default"/>
          <w:spacing w:val="-1"/>
        </w:rPr>
        <w:t>)</w:t>
      </w:r>
      <w:r>
        <w:rPr>
          <w:spacing w:val="-1"/>
        </w:rPr>
        <w:t>；资本公</w:t>
      </w:r>
      <w:r>
        <w:rPr>
          <w:spacing w:val="-56"/>
        </w:rPr>
        <w:t> </w:t>
      </w:r>
      <w:r>
        <w:rPr>
          <w:spacing w:val="-56"/>
        </w:rPr>
      </w:r>
      <w:r>
        <w:rPr/>
        <w:t>积不足冲减的，调整留存收益。</w:t>
      </w:r>
    </w:p>
    <w:p>
      <w:pPr>
        <w:spacing w:after="0" w:line="307" w:lineRule="auto"/>
        <w:jc w:val="both"/>
        <w:sectPr>
          <w:footerReference w:type="default" r:id="rId14"/>
          <w:pgSz w:w="11910" w:h="16840"/>
          <w:pgMar w:footer="979" w:header="747" w:top="1060" w:bottom="1160" w:left="980" w:right="0"/>
          <w:pgNumType w:start="93"/>
        </w:sectPr>
      </w:pPr>
    </w:p>
    <w:p>
      <w:pPr>
        <w:spacing w:line="240" w:lineRule="auto" w:before="12"/>
        <w:rPr>
          <w:rFonts w:ascii="宋体" w:hAnsi="宋体" w:cs="宋体" w:eastAsia="宋体" w:hint="default"/>
          <w:sz w:val="25"/>
          <w:szCs w:val="25"/>
        </w:rPr>
      </w:pPr>
    </w:p>
    <w:p>
      <w:pPr>
        <w:pStyle w:val="BodyText"/>
        <w:spacing w:line="316" w:lineRule="auto" w:before="44"/>
        <w:ind w:right="1131" w:firstLine="420"/>
        <w:jc w:val="both"/>
      </w:pPr>
      <w:r>
        <w:rPr/>
        <w:t>分步实现同一控制下企业合并的，以持股比例计算的合并日应享有被合并方账面所有者权益份额作为该项投资的初始 </w:t>
      </w:r>
      <w:r>
        <w:rPr>
          <w:spacing w:val="-2"/>
        </w:rPr>
        <w:t>投资成本。初始投资成本与其原长期股权投资账面价值加上合并日取得进一步股份新支付对价的公允价值之和的差额，调整</w:t>
      </w:r>
      <w:r>
        <w:rPr>
          <w:spacing w:val="-64"/>
        </w:rPr>
        <w:t> </w:t>
      </w:r>
      <w:r>
        <w:rPr>
          <w:spacing w:val="-64"/>
        </w:rPr>
      </w:r>
      <w:r>
        <w:rPr/>
        <w:t>资本公积（资本溢价或股本溢价），资本公积不足冲减的，冲减留存收益。</w:t>
      </w:r>
    </w:p>
    <w:p>
      <w:pPr>
        <w:pStyle w:val="BodyText"/>
        <w:spacing w:line="240" w:lineRule="auto" w:before="139"/>
        <w:ind w:left="574" w:right="0"/>
        <w:jc w:val="left"/>
      </w:pPr>
      <w:r>
        <w:rPr/>
        <w:t>（</w:t>
      </w:r>
      <w:r>
        <w:rPr>
          <w:rFonts w:ascii="Times New Roman" w:hAnsi="Times New Roman" w:cs="Times New Roman" w:eastAsia="Times New Roman" w:hint="default"/>
        </w:rPr>
        <w:t>2</w:t>
      </w:r>
      <w:r>
        <w:rPr/>
        <w:t>）非同一控制下的企业合并形成的，在购买日按照支付的合并对价的公允价值作为其初始投资成本。</w:t>
      </w:r>
    </w:p>
    <w:p>
      <w:pPr>
        <w:spacing w:line="240" w:lineRule="auto" w:before="0"/>
        <w:rPr>
          <w:rFonts w:ascii="宋体" w:hAnsi="宋体" w:cs="宋体" w:eastAsia="宋体" w:hint="default"/>
          <w:sz w:val="14"/>
          <w:szCs w:val="14"/>
        </w:rPr>
      </w:pPr>
    </w:p>
    <w:p>
      <w:pPr>
        <w:pStyle w:val="BodyText"/>
        <w:spacing w:line="309" w:lineRule="auto"/>
        <w:ind w:right="1132" w:firstLine="420"/>
        <w:jc w:val="both"/>
      </w:pPr>
      <w:r>
        <w:rPr>
          <w:spacing w:val="-2"/>
        </w:rPr>
        <w:t>（</w:t>
      </w:r>
      <w:r>
        <w:rPr>
          <w:rFonts w:ascii="Times New Roman" w:hAnsi="Times New Roman" w:cs="Times New Roman" w:eastAsia="Times New Roman" w:hint="default"/>
          <w:spacing w:val="-2"/>
        </w:rPr>
        <w:t>3</w:t>
      </w:r>
      <w:r>
        <w:rPr>
          <w:spacing w:val="-2"/>
        </w:rPr>
        <w:t>）除企业合并形成以外的：以支付现金取得的，按照实际支付的购买价款作为其初始投资成本；以发行权益性证券</w:t>
      </w:r>
      <w:r>
        <w:rPr/>
        <w:t> </w:t>
      </w:r>
      <w:r>
        <w:rPr>
          <w:spacing w:val="-2"/>
        </w:rPr>
        <w:t>取得的，按照发行权益性证券的公允价值作为其初始投资成本；投资者投入的，按照投资合同或协议约定的价值作为其初始</w:t>
      </w:r>
      <w:r>
        <w:rPr>
          <w:spacing w:val="-66"/>
        </w:rPr>
        <w:t> </w:t>
      </w:r>
      <w:r>
        <w:rPr>
          <w:spacing w:val="-66"/>
        </w:rPr>
      </w:r>
      <w:r>
        <w:rPr/>
        <w:t>投资成本（合同或协议约定价值不公允的除外）。</w:t>
      </w:r>
    </w:p>
    <w:p>
      <w:pPr>
        <w:pStyle w:val="BodyText"/>
        <w:spacing w:line="432" w:lineRule="exact" w:before="9"/>
        <w:ind w:left="574" w:right="0"/>
        <w:jc w:val="left"/>
      </w:pPr>
      <w:r>
        <w:rPr>
          <w:rFonts w:ascii="Times New Roman" w:hAnsi="Times New Roman" w:cs="Times New Roman" w:eastAsia="Times New Roman" w:hint="default"/>
        </w:rPr>
        <w:t>2</w:t>
      </w:r>
      <w:r>
        <w:rPr/>
        <w:t>、后续计量及损益确认方法 本公司能够对被投资单位实施控制的长期股权投资，在本公司个别财务报表中采用成本法核算；对具有共同控制或重</w:t>
      </w:r>
    </w:p>
    <w:p>
      <w:pPr>
        <w:pStyle w:val="BodyText"/>
        <w:spacing w:line="240" w:lineRule="auto" w:before="15"/>
        <w:ind w:right="0"/>
        <w:jc w:val="both"/>
      </w:pPr>
      <w:r>
        <w:rPr/>
        <w:t>大影响的长期股权投资，采用权益法核算。</w:t>
      </w:r>
    </w:p>
    <w:p>
      <w:pPr>
        <w:spacing w:line="240" w:lineRule="auto" w:before="0"/>
        <w:rPr>
          <w:rFonts w:ascii="宋体" w:hAnsi="宋体" w:cs="宋体" w:eastAsia="宋体" w:hint="default"/>
          <w:sz w:val="15"/>
          <w:szCs w:val="15"/>
        </w:rPr>
      </w:pPr>
    </w:p>
    <w:p>
      <w:pPr>
        <w:pStyle w:val="BodyText"/>
        <w:spacing w:line="309" w:lineRule="auto"/>
        <w:ind w:right="1133" w:firstLine="420"/>
        <w:jc w:val="both"/>
      </w:pPr>
      <w:r>
        <w:rPr/>
        <w:t>采用成本法时，长期股权投资按初始投资成本计价，除取得投资时实际支付的价款或对价中包含的已宣告但尚未发放 的现金股利或利润外</w:t>
      </w:r>
      <w:r>
        <w:rPr>
          <w:rFonts w:ascii="Times New Roman" w:hAnsi="Times New Roman" w:cs="Times New Roman" w:eastAsia="Times New Roman" w:hint="default"/>
        </w:rPr>
        <w:t>,</w:t>
      </w:r>
      <w:r>
        <w:rPr/>
        <w:t>按享有被投资单位宣告分派的现金股利或利润，确认为当期投资收益，并同时根据有关资产减值政策</w:t>
      </w:r>
      <w:r>
        <w:rPr>
          <w:spacing w:val="-46"/>
        </w:rPr>
        <w:t> </w:t>
      </w:r>
      <w:r>
        <w:rPr>
          <w:spacing w:val="-46"/>
        </w:rPr>
      </w:r>
      <w:r>
        <w:rPr/>
        <w:t>考虑长期投资是否减值。</w:t>
      </w:r>
    </w:p>
    <w:p>
      <w:pPr>
        <w:pStyle w:val="BodyText"/>
        <w:spacing w:line="309" w:lineRule="auto" w:before="144"/>
        <w:ind w:right="1128" w:firstLine="420"/>
        <w:jc w:val="both"/>
      </w:pPr>
      <w:r>
        <w:rPr/>
        <w:t>采用权益法时，长期股权投资的初始投资成本大于投资时应享有被投资单位可辨认净资产公允价值份额的，归入长期 股权投资的初始投资成本；长期股权投资的初始投资成本小于投资时应享有被投资单位可辨认净资产公允价值份额的</w:t>
      </w:r>
      <w:r>
        <w:rPr>
          <w:rFonts w:ascii="Times New Roman" w:hAnsi="Times New Roman" w:cs="Times New Roman" w:eastAsia="Times New Roman" w:hint="default"/>
        </w:rPr>
        <w:t>,</w:t>
      </w:r>
      <w:r>
        <w:rPr/>
        <w:t>其差</w:t>
      </w:r>
      <w:r>
        <w:rPr>
          <w:spacing w:val="-39"/>
        </w:rPr>
        <w:t> </w:t>
      </w:r>
      <w:r>
        <w:rPr/>
        <w:t>额计入当期损益</w:t>
      </w:r>
      <w:r>
        <w:rPr>
          <w:rFonts w:ascii="Times New Roman" w:hAnsi="Times New Roman" w:cs="Times New Roman" w:eastAsia="Times New Roman" w:hint="default"/>
        </w:rPr>
        <w:t>,</w:t>
      </w:r>
      <w:r>
        <w:rPr/>
        <w:t>同时调整长期股权投资的成本。</w:t>
      </w:r>
    </w:p>
    <w:p>
      <w:pPr>
        <w:pStyle w:val="BodyText"/>
        <w:spacing w:line="307" w:lineRule="auto" w:before="125"/>
        <w:ind w:right="1132" w:firstLine="420"/>
        <w:jc w:val="both"/>
      </w:pPr>
      <w:r>
        <w:rPr>
          <w:spacing w:val="-1"/>
        </w:rPr>
        <w:t>采用权益法时，取得长期股权投资后</w:t>
      </w:r>
      <w:r>
        <w:rPr>
          <w:rFonts w:ascii="Times New Roman" w:hAnsi="Times New Roman" w:cs="Times New Roman" w:eastAsia="Times New Roman" w:hint="default"/>
          <w:spacing w:val="-1"/>
        </w:rPr>
        <w:t>,</w:t>
      </w:r>
      <w:r>
        <w:rPr>
          <w:spacing w:val="-1"/>
        </w:rPr>
        <w:t>按照应享有或应分担的被投资单位实现的净损益的份额，确认投资损益并调整长</w:t>
      </w:r>
      <w:r>
        <w:rPr/>
        <w:t> </w:t>
      </w:r>
      <w:r>
        <w:rPr>
          <w:spacing w:val="-2"/>
        </w:rPr>
        <w:t>期股权投资的账面价值。在确认应享有被投资单位净损益的份额时，以取得投资时被投资单位各项可辨认资产等的公允价值</w:t>
      </w:r>
      <w:r>
        <w:rPr>
          <w:spacing w:val="-64"/>
        </w:rPr>
        <w:t> </w:t>
      </w:r>
      <w:r>
        <w:rPr>
          <w:spacing w:val="-64"/>
        </w:rPr>
      </w:r>
      <w:r>
        <w:rPr/>
        <w:t>为基础</w:t>
      </w:r>
      <w:r>
        <w:rPr>
          <w:rFonts w:ascii="Times New Roman" w:hAnsi="Times New Roman" w:cs="Times New Roman" w:eastAsia="Times New Roman" w:hint="default"/>
        </w:rPr>
        <w:t>,</w:t>
      </w:r>
      <w:r>
        <w:rPr/>
        <w:t>按照本公司的会计政策及会计期间，并抵销与联营企业及合营企业之间发生的内部交易损益按照持股比例计算归属</w:t>
      </w:r>
      <w:r>
        <w:rPr>
          <w:spacing w:val="-47"/>
        </w:rPr>
        <w:t> </w:t>
      </w:r>
      <w:r>
        <w:rPr>
          <w:spacing w:val="-47"/>
        </w:rPr>
      </w:r>
      <w:r>
        <w:rPr>
          <w:spacing w:val="-2"/>
        </w:rPr>
        <w:t>于投资企业的部分</w:t>
      </w:r>
      <w:r>
        <w:rPr>
          <w:rFonts w:ascii="Times New Roman" w:hAnsi="Times New Roman" w:cs="Times New Roman" w:eastAsia="Times New Roman" w:hint="default"/>
          <w:spacing w:val="-2"/>
        </w:rPr>
        <w:t>(</w:t>
      </w:r>
      <w:r>
        <w:rPr>
          <w:spacing w:val="-2"/>
        </w:rPr>
        <w:t>但内部交易损失属于资产减值损失的</w:t>
      </w:r>
      <w:r>
        <w:rPr>
          <w:rFonts w:ascii="Times New Roman" w:hAnsi="Times New Roman" w:cs="Times New Roman" w:eastAsia="Times New Roman" w:hint="default"/>
          <w:spacing w:val="-2"/>
        </w:rPr>
        <w:t>,</w:t>
      </w:r>
      <w:r>
        <w:rPr>
          <w:spacing w:val="-2"/>
        </w:rPr>
        <w:t>应全额确认</w:t>
      </w:r>
      <w:r>
        <w:rPr>
          <w:rFonts w:ascii="Times New Roman" w:hAnsi="Times New Roman" w:cs="Times New Roman" w:eastAsia="Times New Roman" w:hint="default"/>
          <w:spacing w:val="-2"/>
        </w:rPr>
        <w:t>)</w:t>
      </w:r>
      <w:r>
        <w:rPr>
          <w:spacing w:val="-2"/>
        </w:rPr>
        <w:t>，对被投资单位的净利润进行调整后确认。按照被投资</w:t>
      </w:r>
      <w:r>
        <w:rPr>
          <w:spacing w:val="-47"/>
        </w:rPr>
        <w:t> </w:t>
      </w:r>
      <w:r>
        <w:rPr>
          <w:spacing w:val="-47"/>
        </w:rPr>
      </w:r>
      <w:r>
        <w:rPr/>
        <w:t>单位宣告分派的利润或现金股利计算应分得的部分</w:t>
      </w:r>
      <w:r>
        <w:rPr>
          <w:rFonts w:ascii="Times New Roman" w:hAnsi="Times New Roman" w:cs="Times New Roman" w:eastAsia="Times New Roman" w:hint="default"/>
        </w:rPr>
        <w:t>,</w:t>
      </w:r>
      <w:r>
        <w:rPr/>
        <w:t>相应减少长期股权投资的账面价值。本公司确认被投资单位发生的净亏</w:t>
      </w:r>
      <w:r>
        <w:rPr>
          <w:spacing w:val="-44"/>
        </w:rPr>
        <w:t> </w:t>
      </w:r>
      <w:r>
        <w:rPr>
          <w:spacing w:val="-44"/>
        </w:rPr>
      </w:r>
      <w:r>
        <w:rPr>
          <w:spacing w:val="-2"/>
        </w:rPr>
        <w:t>损，以长期股权投资的账面价值以及其他实质上构成对被投资单位净投资的长期权益减记至零为限，本公司负有承担额外损</w:t>
      </w:r>
      <w:r>
        <w:rPr>
          <w:spacing w:val="-64"/>
        </w:rPr>
        <w:t> </w:t>
      </w:r>
      <w:r>
        <w:rPr>
          <w:spacing w:val="-64"/>
        </w:rPr>
      </w:r>
      <w:r>
        <w:rPr/>
        <w:t>失义务的除外。对于被投资单位除净损益以外所有者权益的其他变动，调整长期股权投资的账面价值并计入所有者权益。</w:t>
      </w:r>
    </w:p>
    <w:p>
      <w:pPr>
        <w:pStyle w:val="BodyText"/>
        <w:spacing w:line="432" w:lineRule="exact" w:before="10"/>
        <w:ind w:left="574" w:right="0"/>
        <w:jc w:val="left"/>
      </w:pPr>
      <w:r>
        <w:rPr>
          <w:rFonts w:ascii="Times New Roman" w:hAnsi="Times New Roman" w:cs="Times New Roman" w:eastAsia="Times New Roman" w:hint="default"/>
        </w:rPr>
        <w:t>3</w:t>
      </w:r>
      <w:r>
        <w:rPr/>
        <w:t>、确定对被投资单位具有控制、重大影响的依据 控制，是指拥有对被投资方的权力，通过参与被投资方的相关活动而享有可变回报，并且有能力运用对被投资方的权</w:t>
      </w:r>
    </w:p>
    <w:p>
      <w:pPr>
        <w:pStyle w:val="BodyText"/>
        <w:spacing w:line="316" w:lineRule="auto" w:before="15"/>
        <w:ind w:right="1132"/>
        <w:jc w:val="both"/>
      </w:pPr>
      <w:r>
        <w:rPr>
          <w:spacing w:val="-2"/>
        </w:rPr>
        <w:t>力影响回报金额；重大影响，是指投资方对被投资单位的财务和经营政策有参与决策的权力，但并不能够控制或者与其他方</w:t>
      </w:r>
      <w:r>
        <w:rPr>
          <w:spacing w:val="-66"/>
        </w:rPr>
        <w:t> </w:t>
      </w:r>
      <w:r>
        <w:rPr>
          <w:spacing w:val="-66"/>
        </w:rPr>
      </w:r>
      <w:r>
        <w:rPr/>
        <w:t>一起共同控制这些政策的制定。</w:t>
      </w:r>
    </w:p>
    <w:p>
      <w:pPr>
        <w:pStyle w:val="BodyText"/>
        <w:spacing w:line="240" w:lineRule="auto" w:before="139"/>
        <w:ind w:left="574" w:right="0"/>
        <w:jc w:val="left"/>
      </w:pPr>
      <w:r>
        <w:rPr>
          <w:rFonts w:ascii="Times New Roman" w:hAnsi="Times New Roman" w:cs="Times New Roman" w:eastAsia="Times New Roman" w:hint="default"/>
        </w:rPr>
        <w:t>4</w:t>
      </w:r>
      <w:r>
        <w:rPr/>
        <w:t>、长期股权投资的处置</w:t>
      </w:r>
    </w:p>
    <w:p>
      <w:pPr>
        <w:pStyle w:val="BodyText"/>
        <w:spacing w:line="420" w:lineRule="atLeast" w:before="12"/>
        <w:ind w:left="574" w:right="0"/>
        <w:jc w:val="left"/>
      </w:pPr>
      <w:r>
        <w:rPr/>
        <w:t>（</w:t>
      </w:r>
      <w:r>
        <w:rPr>
          <w:rFonts w:ascii="Times New Roman" w:hAnsi="Times New Roman" w:cs="Times New Roman" w:eastAsia="Times New Roman" w:hint="default"/>
        </w:rPr>
        <w:t>1</w:t>
      </w:r>
      <w:r>
        <w:rPr/>
        <w:t>）部分处置对子公司的长期股权投资，但不丧失控制权的情形 部分处置对子公司的长期股权投资，但不丧失控制权时，将处置价款与处置投资对应的账面价值的差额确认为当期投</w:t>
      </w:r>
    </w:p>
    <w:p>
      <w:pPr>
        <w:pStyle w:val="BodyText"/>
        <w:spacing w:line="240" w:lineRule="auto" w:before="76"/>
        <w:ind w:right="0"/>
        <w:jc w:val="both"/>
      </w:pPr>
      <w:r>
        <w:rPr/>
        <w:t>资收益。</w:t>
      </w:r>
    </w:p>
    <w:p>
      <w:pPr>
        <w:pStyle w:val="BodyText"/>
        <w:spacing w:line="420" w:lineRule="atLeast" w:before="25"/>
        <w:ind w:left="574" w:right="0"/>
        <w:jc w:val="left"/>
      </w:pPr>
      <w:r>
        <w:rPr/>
        <w:t>（</w:t>
      </w:r>
      <w:r>
        <w:rPr>
          <w:rFonts w:ascii="Times New Roman" w:hAnsi="Times New Roman" w:cs="Times New Roman" w:eastAsia="Times New Roman" w:hint="default"/>
        </w:rPr>
        <w:t>2</w:t>
      </w:r>
      <w:r>
        <w:rPr/>
        <w:t>）部分处置股权投资或其他原因丧失了对子公司控制权的情形 部分处置股权投资或其他原因丧失了对子公司控制权的，对于处置的股权，应结转与所售股权相对应的长期股权投资</w:t>
      </w:r>
    </w:p>
    <w:p>
      <w:pPr>
        <w:pStyle w:val="BodyText"/>
        <w:spacing w:line="319" w:lineRule="auto" w:before="76"/>
        <w:ind w:right="1132"/>
        <w:jc w:val="both"/>
      </w:pPr>
      <w:r>
        <w:rPr>
          <w:spacing w:val="-2"/>
        </w:rPr>
        <w:t>的账面价值，出售所得价款与处置长期股权投资账面价值之间差额，确认为投资收益（损失）；同时，对于剩余股权，按其</w:t>
      </w:r>
      <w:r>
        <w:rPr>
          <w:spacing w:val="-72"/>
        </w:rPr>
        <w:t> </w:t>
      </w:r>
      <w:r>
        <w:rPr>
          <w:spacing w:val="-72"/>
        </w:rPr>
      </w:r>
      <w:r>
        <w:rPr>
          <w:spacing w:val="-2"/>
        </w:rPr>
        <w:t>账面价值确认为长期股权投资或其它相关金融资产。处置后的剩余股权能够对子公司实施共同控制或重大影响的，应按有关</w:t>
      </w:r>
      <w:r>
        <w:rPr>
          <w:spacing w:val="-64"/>
        </w:rPr>
        <w:t> </w:t>
      </w:r>
      <w:r>
        <w:rPr>
          <w:spacing w:val="-64"/>
        </w:rPr>
      </w:r>
      <w:r>
        <w:rPr/>
        <w:t>成本法转为权益法的相关规定进行会计处理。</w:t>
      </w:r>
    </w:p>
    <w:p>
      <w:pPr>
        <w:pStyle w:val="BodyText"/>
        <w:spacing w:line="415" w:lineRule="auto" w:before="137"/>
        <w:ind w:left="574" w:right="0"/>
        <w:jc w:val="left"/>
      </w:pPr>
      <w:r>
        <w:rPr>
          <w:rFonts w:ascii="Times New Roman" w:hAnsi="Times New Roman" w:cs="Times New Roman" w:eastAsia="Times New Roman" w:hint="default"/>
        </w:rPr>
        <w:t>5</w:t>
      </w:r>
      <w:r>
        <w:rPr/>
        <w:t>、减值测试方法及减值准备计提方法 对子公司、联营企业及合营企业的投资，在资产负债表日有客观证据表明其发生减值的，按照账面价值与可收回金额</w:t>
      </w:r>
    </w:p>
    <w:p>
      <w:pPr>
        <w:spacing w:after="0" w:line="415"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的差额计提相应的减值准备。</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5、投资性房地产" w:id="184"/>
      <w:bookmarkEnd w:id="184"/>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BodyText"/>
        <w:spacing w:line="240" w:lineRule="auto" w:before="26"/>
        <w:ind w:left="516" w:right="0"/>
        <w:jc w:val="left"/>
      </w:pPr>
      <w:r>
        <w:rPr>
          <w:rFonts w:ascii="Times New Roman" w:hAnsi="Times New Roman" w:cs="Times New Roman" w:eastAsia="Times New Roman" w:hint="default"/>
        </w:rPr>
        <w:t>1</w:t>
      </w:r>
      <w:r>
        <w:rPr/>
        <w:t>、公司的投资性房地产为已出租的房屋及建筑物。</w:t>
      </w:r>
    </w:p>
    <w:p>
      <w:pPr>
        <w:pStyle w:val="BodyText"/>
        <w:spacing w:line="309" w:lineRule="auto" w:before="101"/>
        <w:ind w:right="1131" w:firstLine="360"/>
        <w:jc w:val="both"/>
      </w:pPr>
      <w:r>
        <w:rPr>
          <w:rFonts w:ascii="Times New Roman" w:hAnsi="Times New Roman" w:cs="Times New Roman" w:eastAsia="Times New Roman" w:hint="default"/>
        </w:rPr>
        <w:t>2</w:t>
      </w:r>
      <w:r>
        <w:rPr/>
        <w:t>、投资性房地产按照成本进行初始计量，采用成本模式进行后续计量，并采用与固定资产和无形资产相同的方法计提 </w:t>
      </w:r>
      <w:r>
        <w:rPr>
          <w:spacing w:val="-2"/>
        </w:rPr>
        <w:t>折旧或进行摊销。资产负债表日，有迹象表明投资性房地产发生减值的，按照账面价值与可收回金额的差额计提相应的减值</w:t>
      </w:r>
      <w:r>
        <w:rPr>
          <w:spacing w:val="-66"/>
        </w:rPr>
        <w:t> </w:t>
      </w:r>
      <w:r>
        <w:rPr>
          <w:spacing w:val="-66"/>
        </w:rPr>
      </w:r>
      <w:r>
        <w:rPr/>
        <w:t>准备。</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bookmarkStart w:name="16、固定资产" w:id="185"/>
      <w:bookmarkEnd w:id="18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6"/>
      <w:bookmarkEnd w:id="186"/>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4"/>
        </w:rPr>
        <w:t>固定资产是指为生产商品、提供劳务、出租或经营管理而持有的，使用年限超过一个会计年度的有形资产。包括房屋建筑物、</w:t>
      </w:r>
      <w:r>
        <w:rPr>
          <w:spacing w:val="-46"/>
        </w:rPr>
        <w:t> </w:t>
      </w:r>
      <w:r>
        <w:rPr>
          <w:spacing w:val="-46"/>
        </w:rPr>
      </w:r>
      <w:r>
        <w:rPr/>
        <w:t>运输工具、电子设备及其他等。</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折旧方法" w:id="187"/>
      <w:bookmarkEnd w:id="18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26"/>
        <w:gridCol w:w="1903"/>
        <w:gridCol w:w="1914"/>
        <w:gridCol w:w="1903"/>
      </w:tblGrid>
      <w:tr>
        <w:trPr>
          <w:trHeight w:val="398"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7"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2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2.38-4.75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2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2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88"/>
      <w:bookmarkEnd w:id="188"/>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7、在建工程" w:id="189"/>
      <w:bookmarkEnd w:id="189"/>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357" w:lineRule="auto" w:before="29"/>
        <w:ind w:left="514" w:right="1032" w:hanging="360"/>
        <w:jc w:val="left"/>
      </w:pPr>
      <w:r>
        <w:rPr/>
        <w:t>软件与信息技术服务业 建造的固定资产从达到预定可使用状态之日起，根据工程预算、造价或工程实际成本等，按估计的价值结转固定资产，</w:t>
      </w:r>
    </w:p>
    <w:p>
      <w:pPr>
        <w:pStyle w:val="BodyText"/>
        <w:spacing w:line="224" w:lineRule="exact"/>
        <w:ind w:right="0"/>
        <w:jc w:val="left"/>
      </w:pPr>
      <w:r>
        <w:rPr/>
        <w:t>次月起开始计提折旧。待办理了竣工决算手续后再按实际成本调整原来的暂估价值，但原按暂估价值计提的折旧额不再追溯</w:t>
      </w:r>
    </w:p>
    <w:p>
      <w:pPr>
        <w:pStyle w:val="BodyText"/>
        <w:spacing w:line="240" w:lineRule="auto" w:before="76"/>
        <w:ind w:right="0"/>
        <w:jc w:val="left"/>
      </w:pPr>
      <w:r>
        <w:rPr/>
        <w:t>调整。</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8、借款费用" w:id="190"/>
      <w:bookmarkEnd w:id="190"/>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427" w:lineRule="auto"/>
        <w:ind w:left="514" w:right="0"/>
        <w:jc w:val="left"/>
      </w:pPr>
      <w:r>
        <w:rPr/>
        <w:t>借款费用包括因借款而发生的借款利息、折价或者溢价的摊销、辅助费用以及因外币借款而发生的汇兑差额等。 </w:t>
      </w:r>
      <w:r>
        <w:rPr>
          <w:rFonts w:ascii="Times New Roman" w:hAnsi="Times New Roman" w:cs="Times New Roman" w:eastAsia="Times New Roman" w:hint="default"/>
        </w:rPr>
        <w:t>1</w:t>
      </w:r>
      <w:r>
        <w:rPr/>
        <w:t>、借款费用资本化金额 </w:t>
      </w:r>
      <w:r>
        <w:rPr>
          <w:spacing w:val="-2"/>
        </w:rPr>
        <w:t>购建或者生产符合资本化条件的资产而借入的专门借款，当期资本化金额以借入专门借款当期发生的利息、折价或溢价</w:t>
      </w:r>
    </w:p>
    <w:p>
      <w:pPr>
        <w:spacing w:after="0" w:line="42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的摊销和汇兑差额及其他辅助费用，减去将尚未动用的借款资金存入银行取得的利息收入或进行暂时性投资取得的投资收益</w:t>
      </w:r>
      <w:r>
        <w:rPr>
          <w:spacing w:val="-64"/>
        </w:rPr>
        <w:t> </w:t>
      </w:r>
      <w:r>
        <w:rPr>
          <w:spacing w:val="-64"/>
        </w:rPr>
      </w:r>
      <w:r>
        <w:rPr>
          <w:spacing w:val="-2"/>
        </w:rPr>
        <w:t>后的金额确定；为购建或者生产符合资本化条件的资产而占用的一般借款，当期资本化金额根据累计资产支出超过专门借款</w:t>
      </w:r>
      <w:r>
        <w:rPr>
          <w:spacing w:val="-64"/>
        </w:rPr>
        <w:t> </w:t>
      </w:r>
      <w:r>
        <w:rPr>
          <w:spacing w:val="-64"/>
        </w:rPr>
      </w:r>
      <w:r>
        <w:rPr>
          <w:spacing w:val="-2"/>
        </w:rPr>
        <w:t>部分的资产支出加权平均数乘以所占用一般借款的资本化率确定，资本化率根据一般借款加权平均利率计算确定，每一会计</w:t>
      </w:r>
      <w:r>
        <w:rPr>
          <w:spacing w:val="-64"/>
        </w:rPr>
        <w:t> </w:t>
      </w:r>
      <w:r>
        <w:rPr>
          <w:spacing w:val="-64"/>
        </w:rPr>
      </w:r>
      <w:r>
        <w:rPr/>
        <w:t>期间的利息资本化金额不超过当期相关借款实际发生的利息金额。</w:t>
      </w:r>
    </w:p>
    <w:p>
      <w:pPr>
        <w:pStyle w:val="BodyText"/>
        <w:spacing w:line="316" w:lineRule="auto" w:before="139"/>
        <w:ind w:right="1118" w:firstLine="360"/>
        <w:jc w:val="left"/>
      </w:pPr>
      <w:r>
        <w:rPr>
          <w:spacing w:val="-2"/>
        </w:rPr>
        <w:t>借款存在折价或者溢价，本公司按照实际利率法确定每一会计期间应摊销的折价或者溢价金额，对每期资本化的利息金</w:t>
      </w:r>
      <w:r>
        <w:rPr/>
        <w:t> 额进行调整。</w:t>
      </w:r>
    </w:p>
    <w:p>
      <w:pPr>
        <w:pStyle w:val="BodyText"/>
        <w:spacing w:line="240" w:lineRule="auto" w:before="139"/>
        <w:ind w:left="514" w:right="0"/>
        <w:jc w:val="left"/>
      </w:pPr>
      <w:r>
        <w:rPr>
          <w:rFonts w:ascii="Times New Roman" w:hAnsi="Times New Roman" w:cs="Times New Roman" w:eastAsia="Times New Roman" w:hint="default"/>
        </w:rPr>
        <w:t>2</w:t>
      </w:r>
      <w:r>
        <w:rPr/>
        <w:t>、借款费用资本化期间</w:t>
      </w:r>
    </w:p>
    <w:p>
      <w:pPr>
        <w:spacing w:line="240" w:lineRule="auto" w:before="13"/>
        <w:rPr>
          <w:rFonts w:ascii="宋体" w:hAnsi="宋体" w:cs="宋体" w:eastAsia="宋体" w:hint="default"/>
          <w:sz w:val="13"/>
          <w:szCs w:val="13"/>
        </w:rPr>
      </w:pPr>
    </w:p>
    <w:p>
      <w:pPr>
        <w:pStyle w:val="BodyText"/>
        <w:spacing w:line="300" w:lineRule="auto"/>
        <w:ind w:right="1122" w:firstLine="360"/>
        <w:jc w:val="left"/>
      </w:pPr>
      <w:r>
        <w:rPr/>
        <w:t>（</w:t>
      </w:r>
      <w:r>
        <w:rPr>
          <w:rFonts w:ascii="Times New Roman" w:hAnsi="Times New Roman" w:cs="Times New Roman" w:eastAsia="Times New Roman" w:hint="default"/>
        </w:rPr>
        <w:t>1</w:t>
      </w:r>
      <w:r>
        <w:rPr/>
        <w:t>）开始资本化：当以下三个条件同时具备时，因借款而发生的利息、折价或溢价的摊销和汇兑差额开始资本化：① 资产支出已经发生；②借款费用已经发生；③为使资产达到预定可使用状态所必要的购建活动已经开始。</w:t>
      </w:r>
    </w:p>
    <w:p>
      <w:pPr>
        <w:pStyle w:val="BodyText"/>
        <w:spacing w:line="300" w:lineRule="auto" w:before="151"/>
        <w:ind w:right="0" w:firstLine="360"/>
        <w:jc w:val="left"/>
      </w:pPr>
      <w:r>
        <w:rPr>
          <w:spacing w:val="-2"/>
        </w:rPr>
        <w:t>（</w:t>
      </w:r>
      <w:r>
        <w:rPr>
          <w:rFonts w:ascii="Times New Roman" w:hAnsi="Times New Roman" w:cs="Times New Roman" w:eastAsia="Times New Roman" w:hint="default"/>
          <w:spacing w:val="-2"/>
        </w:rPr>
        <w:t>2</w:t>
      </w:r>
      <w:r>
        <w:rPr>
          <w:spacing w:val="-2"/>
        </w:rPr>
        <w:t>）暂停资本化：若固定资产的购建活动发生非正常中断，并且中断时间连续超过</w:t>
      </w:r>
      <w:r>
        <w:rPr>
          <w:rFonts w:ascii="Times New Roman" w:hAnsi="Times New Roman" w:cs="Times New Roman" w:eastAsia="Times New Roman" w:hint="default"/>
          <w:spacing w:val="-2"/>
        </w:rPr>
        <w:t>3</w:t>
      </w:r>
      <w:r>
        <w:rPr>
          <w:spacing w:val="-2"/>
        </w:rPr>
        <w:t>个月，暂停借款费用的资本化，将</w:t>
      </w:r>
      <w:r>
        <w:rPr/>
        <w:t> 其确认为当期费用，直至资产的购建活动重新开始。</w:t>
      </w:r>
    </w:p>
    <w:p>
      <w:pPr>
        <w:pStyle w:val="BodyText"/>
        <w:spacing w:line="240" w:lineRule="auto" w:before="151"/>
        <w:ind w:left="514" w:right="0"/>
        <w:jc w:val="left"/>
      </w:pPr>
      <w:r>
        <w:rPr/>
        <w:t>（</w:t>
      </w:r>
      <w:r>
        <w:rPr>
          <w:rFonts w:ascii="Times New Roman" w:hAnsi="Times New Roman" w:cs="Times New Roman" w:eastAsia="Times New Roman" w:hint="default"/>
        </w:rPr>
        <w:t>3</w:t>
      </w:r>
      <w:r>
        <w:rPr/>
        <w:t>）停止资本化：当所购建或生产的资产达到预定可使用或者可销售状态时，停止其借款费用的资本化。</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19、生物资产" w:id="191"/>
      <w:bookmarkEnd w:id="191"/>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0、油气资产" w:id="192"/>
      <w:bookmarkEnd w:id="192"/>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1、无形资产" w:id="193"/>
      <w:bookmarkEnd w:id="193"/>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计价方法、使用寿命、减值测试" w:id="194"/>
      <w:bookmarkEnd w:id="19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both"/>
      </w:pPr>
      <w:r>
        <w:rPr/>
        <w:t>软件与信息技术服务业</w:t>
      </w:r>
    </w:p>
    <w:p>
      <w:pPr>
        <w:pStyle w:val="BodyText"/>
        <w:spacing w:line="427" w:lineRule="auto" w:before="115"/>
        <w:ind w:left="514" w:right="1663"/>
        <w:jc w:val="left"/>
      </w:pPr>
      <w:r>
        <w:rPr>
          <w:rFonts w:ascii="Times New Roman" w:hAnsi="Times New Roman" w:cs="Times New Roman" w:eastAsia="Times New Roman" w:hint="default"/>
        </w:rPr>
        <w:t>1.</w:t>
      </w:r>
      <w:r>
        <w:rPr/>
        <w:t>无形资产计价方法 本公司无形资产为土地使用权和软件，取得时按成本计价，年末按照账面价值与可收回金额孰低计价。 </w:t>
      </w:r>
      <w:r>
        <w:rPr>
          <w:rFonts w:ascii="Times New Roman" w:hAnsi="Times New Roman" w:cs="Times New Roman" w:eastAsia="Times New Roman" w:hint="default"/>
        </w:rPr>
        <w:t>2.</w:t>
      </w:r>
      <w:r>
        <w:rPr/>
        <w:t>无形资产摊销方法</w:t>
      </w:r>
    </w:p>
    <w:p>
      <w:pPr>
        <w:pStyle w:val="BodyText"/>
        <w:spacing w:line="316" w:lineRule="auto" w:before="27"/>
        <w:ind w:right="0" w:firstLine="360"/>
        <w:jc w:val="left"/>
      </w:pPr>
      <w:r>
        <w:rPr>
          <w:spacing w:val="-2"/>
        </w:rPr>
        <w:t>使用寿命有限的无形资产自可供使用时起在使用寿命内系统合理摊销计入损益，摊销方法以反映该项无形资产有关的经</w:t>
      </w:r>
      <w:r>
        <w:rPr/>
        <w:t> 济利益的预期实现方式确定。无法可靠确定预期实现方式的，采用直线法进行摊销，具体年限如下：</w:t>
      </w:r>
    </w:p>
    <w:p>
      <w:pPr>
        <w:spacing w:line="240" w:lineRule="auto" w:before="10"/>
        <w:rPr>
          <w:rFonts w:ascii="宋体" w:hAnsi="宋体" w:cs="宋体" w:eastAsia="宋体" w:hint="default"/>
          <w:sz w:val="18"/>
          <w:szCs w:val="18"/>
        </w:rPr>
      </w:pPr>
    </w:p>
    <w:tbl>
      <w:tblPr>
        <w:tblW w:w="0" w:type="auto"/>
        <w:jc w:val="left"/>
        <w:tblInd w:w="153" w:type="dxa"/>
        <w:tblLayout w:type="fixed"/>
        <w:tblCellMar>
          <w:top w:w="0" w:type="dxa"/>
          <w:left w:w="0" w:type="dxa"/>
          <w:bottom w:w="0" w:type="dxa"/>
          <w:right w:w="0" w:type="dxa"/>
        </w:tblCellMar>
        <w:tblLook w:val="01E0"/>
      </w:tblPr>
      <w:tblGrid>
        <w:gridCol w:w="4739"/>
        <w:gridCol w:w="5116"/>
      </w:tblGrid>
      <w:tr>
        <w:trPr>
          <w:trHeight w:val="305" w:hRule="exact"/>
        </w:trPr>
        <w:tc>
          <w:tcPr>
            <w:tcW w:w="4739" w:type="dxa"/>
            <w:tcBorders>
              <w:top w:val="nil" w:sz="6" w:space="0" w:color="auto"/>
              <w:left w:val="nil" w:sz="6" w:space="0" w:color="auto"/>
              <w:bottom w:val="single" w:sz="8" w:space="0" w:color="000000"/>
              <w:right w:val="nil" w:sz="6" w:space="0" w:color="auto"/>
            </w:tcBorders>
          </w:tcPr>
          <w:p>
            <w:pPr>
              <w:pStyle w:val="TableParagraph"/>
              <w:spacing w:line="180" w:lineRule="exact"/>
              <w:ind w:left="187"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2"/>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5116" w:type="dxa"/>
            <w:tcBorders>
              <w:top w:val="nil" w:sz="6" w:space="0" w:color="auto"/>
              <w:left w:val="nil" w:sz="6" w:space="0" w:color="auto"/>
              <w:bottom w:val="single" w:sz="8" w:space="0" w:color="000000"/>
              <w:right w:val="nil" w:sz="6" w:space="0" w:color="auto"/>
            </w:tcBorders>
          </w:tcPr>
          <w:p>
            <w:pPr>
              <w:pStyle w:val="TableParagraph"/>
              <w:spacing w:line="180" w:lineRule="exact"/>
              <w:ind w:left="184" w:right="0"/>
              <w:jc w:val="center"/>
              <w:rPr>
                <w:rFonts w:ascii="宋体" w:hAnsi="宋体" w:cs="宋体" w:eastAsia="宋体" w:hint="default"/>
                <w:sz w:val="18"/>
                <w:szCs w:val="18"/>
              </w:rPr>
            </w:pPr>
            <w:r>
              <w:rPr>
                <w:rFonts w:ascii="宋体" w:hAnsi="宋体" w:cs="宋体" w:eastAsia="宋体" w:hint="default"/>
                <w:b/>
                <w:bCs/>
                <w:sz w:val="18"/>
                <w:szCs w:val="18"/>
              </w:rPr>
              <w:t>摊销年限（年）</w:t>
            </w:r>
            <w:r>
              <w:rPr>
                <w:rFonts w:ascii="宋体" w:hAnsi="宋体" w:cs="宋体" w:eastAsia="宋体" w:hint="default"/>
                <w:sz w:val="18"/>
                <w:szCs w:val="18"/>
              </w:rPr>
            </w:r>
          </w:p>
        </w:tc>
      </w:tr>
      <w:tr>
        <w:trPr>
          <w:trHeight w:val="421" w:hRule="exact"/>
        </w:trPr>
        <w:tc>
          <w:tcPr>
            <w:tcW w:w="4739" w:type="dxa"/>
            <w:tcBorders>
              <w:top w:val="single" w:sz="8" w:space="0" w:color="000000"/>
              <w:left w:val="nil" w:sz="6" w:space="0" w:color="auto"/>
              <w:bottom w:val="single" w:sz="8" w:space="0" w:color="000000"/>
              <w:right w:val="nil" w:sz="6" w:space="0" w:color="auto"/>
            </w:tcBorders>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5116" w:type="dxa"/>
            <w:tcBorders>
              <w:top w:val="single" w:sz="8" w:space="0" w:color="000000"/>
              <w:left w:val="nil" w:sz="6" w:space="0" w:color="auto"/>
              <w:bottom w:val="single" w:sz="8" w:space="0" w:color="000000"/>
              <w:right w:val="nil" w:sz="6" w:space="0" w:color="auto"/>
            </w:tcBorders>
          </w:tcPr>
          <w:p>
            <w:pPr>
              <w:pStyle w:val="TableParagraph"/>
              <w:spacing w:line="240" w:lineRule="auto" w:before="91"/>
              <w:ind w:left="186" w:right="0"/>
              <w:jc w:val="center"/>
              <w:rPr>
                <w:rFonts w:ascii="Times New Roman" w:hAnsi="Times New Roman" w:cs="Times New Roman" w:eastAsia="Times New Roman" w:hint="default"/>
                <w:sz w:val="18"/>
                <w:szCs w:val="18"/>
              </w:rPr>
            </w:pPr>
            <w:r>
              <w:rPr>
                <w:rFonts w:ascii="Times New Roman"/>
                <w:sz w:val="18"/>
              </w:rPr>
              <w:t>50</w:t>
            </w:r>
          </w:p>
        </w:tc>
      </w:tr>
      <w:tr>
        <w:trPr>
          <w:trHeight w:val="424" w:hRule="exact"/>
        </w:trPr>
        <w:tc>
          <w:tcPr>
            <w:tcW w:w="4739"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5116" w:type="dxa"/>
            <w:tcBorders>
              <w:top w:val="single" w:sz="8" w:space="0" w:color="000000"/>
              <w:left w:val="nil" w:sz="6" w:space="0" w:color="auto"/>
              <w:bottom w:val="single" w:sz="8" w:space="0" w:color="000000"/>
              <w:right w:val="nil" w:sz="6" w:space="0" w:color="auto"/>
            </w:tcBorders>
          </w:tcPr>
          <w:p>
            <w:pPr>
              <w:pStyle w:val="TableParagraph"/>
              <w:spacing w:line="240" w:lineRule="auto" w:before="92"/>
              <w:ind w:left="187" w:right="0"/>
              <w:jc w:val="center"/>
              <w:rPr>
                <w:rFonts w:ascii="Times New Roman" w:hAnsi="Times New Roman" w:cs="Times New Roman" w:eastAsia="Times New Roman" w:hint="default"/>
                <w:sz w:val="18"/>
                <w:szCs w:val="18"/>
              </w:rPr>
            </w:pPr>
            <w:r>
              <w:rPr>
                <w:rFonts w:ascii="Times New Roman"/>
                <w:sz w:val="18"/>
              </w:rPr>
              <w:t>5-10</w:t>
            </w:r>
          </w:p>
        </w:tc>
      </w:tr>
    </w:tbl>
    <w:p>
      <w:pPr>
        <w:pStyle w:val="BodyText"/>
        <w:spacing w:line="316" w:lineRule="auto" w:before="10"/>
        <w:ind w:right="0" w:firstLine="360"/>
        <w:jc w:val="left"/>
      </w:pPr>
      <w:r>
        <w:rPr>
          <w:spacing w:val="-2"/>
        </w:rPr>
        <w:t>使用寿命不确定的无形资产不摊销，在每个会计期间均对该无形资产的使用寿命进行复核。公司将无法预见该资产为公</w:t>
      </w:r>
      <w:r>
        <w:rPr/>
        <w:t> 司带来经济利益的期限，或使用期限不确定的无形资产确定为使用寿命不确定的无形资产。使用寿命不确定的判断依据：</w:t>
      </w:r>
    </w:p>
    <w:p>
      <w:pPr>
        <w:pStyle w:val="BodyText"/>
        <w:spacing w:line="240" w:lineRule="auto" w:before="139"/>
        <w:ind w:left="514" w:right="0"/>
        <w:jc w:val="left"/>
      </w:pPr>
      <w:r>
        <w:rPr/>
        <w:t>（</w:t>
      </w:r>
      <w:r>
        <w:rPr>
          <w:rFonts w:ascii="Times New Roman" w:hAnsi="Times New Roman" w:cs="Times New Roman" w:eastAsia="Times New Roman" w:hint="default"/>
        </w:rPr>
        <w:t>1</w:t>
      </w:r>
      <w:r>
        <w:rPr/>
        <w:t>）来源于合同性权利或其他法定权利，但合同规定或法律规定无明确使用年限；</w:t>
      </w:r>
    </w:p>
    <w:p>
      <w:pPr>
        <w:pStyle w:val="BodyText"/>
        <w:spacing w:line="420" w:lineRule="atLeast" w:before="12"/>
        <w:ind w:left="514" w:right="0"/>
        <w:jc w:val="left"/>
      </w:pPr>
      <w:r>
        <w:rPr/>
        <w:t>（</w:t>
      </w:r>
      <w:r>
        <w:rPr>
          <w:rFonts w:ascii="Times New Roman" w:hAnsi="Times New Roman" w:cs="Times New Roman" w:eastAsia="Times New Roman" w:hint="default"/>
        </w:rPr>
        <w:t>2</w:t>
      </w:r>
      <w:r>
        <w:rPr/>
        <w:t>）综合同行业情况或相关专家论证等，仍无法判断无形资产为公司带来经济利益的期限。 </w:t>
      </w:r>
      <w:r>
        <w:rPr>
          <w:spacing w:val="-2"/>
        </w:rPr>
        <w:t>每期末，对使用寿命不确定的无形资产的使用寿命进行复核。主要采取自下而上的方式，由无形资产使用相关部门进行</w:t>
      </w:r>
    </w:p>
    <w:p>
      <w:pPr>
        <w:pStyle w:val="BodyText"/>
        <w:spacing w:line="240" w:lineRule="auto" w:before="76"/>
        <w:ind w:right="0"/>
        <w:jc w:val="left"/>
      </w:pPr>
      <w:r>
        <w:rPr/>
        <w:t>基础复核，评价使用寿命不确定判断依据是否存在变化等。</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pPr>
      <w:r>
        <w:rPr/>
        <w:t>本公司尚不存在使用寿命不确定的无形资产。</w:t>
      </w:r>
    </w:p>
    <w:p>
      <w:pPr>
        <w:pStyle w:val="BodyText"/>
        <w:spacing w:line="420" w:lineRule="atLeast" w:before="25"/>
        <w:ind w:left="514" w:right="0"/>
        <w:jc w:val="left"/>
      </w:pPr>
      <w:r>
        <w:rPr>
          <w:rFonts w:ascii="Times New Roman" w:hAnsi="Times New Roman" w:cs="Times New Roman" w:eastAsia="Times New Roman" w:hint="default"/>
        </w:rPr>
        <w:t>3.</w:t>
      </w:r>
      <w:r>
        <w:rPr/>
        <w:t>无形资产减值准备的确认标准和计提方法 </w:t>
      </w:r>
      <w:r>
        <w:rPr>
          <w:spacing w:val="-2"/>
        </w:rPr>
        <w:t>使用寿命确定的无形资产，在资产负债表日有迹象表明发生减值的，按照账面价值与可收回金额的差额计提相应的减值</w:t>
      </w:r>
    </w:p>
    <w:p>
      <w:pPr>
        <w:pStyle w:val="BodyText"/>
        <w:spacing w:line="316" w:lineRule="auto" w:before="77"/>
        <w:ind w:right="1118"/>
        <w:jc w:val="left"/>
      </w:pPr>
      <w:r>
        <w:rPr>
          <w:spacing w:val="-2"/>
        </w:rPr>
        <w:t>准备；使用寿命不确定的无形资产，无论是否存在减值迹象，每年均进行减值测试。无形资产减值准备一经计提，在持有期</w:t>
      </w:r>
      <w:r>
        <w:rPr>
          <w:spacing w:val="-66"/>
        </w:rPr>
        <w:t> </w:t>
      </w:r>
      <w:r>
        <w:rPr>
          <w:spacing w:val="-66"/>
        </w:rPr>
      </w:r>
      <w:r>
        <w:rPr/>
        <w:t>间不予转回。</w:t>
      </w:r>
    </w:p>
    <w:p>
      <w:pPr>
        <w:pStyle w:val="BodyText"/>
        <w:spacing w:line="240" w:lineRule="auto" w:before="139"/>
        <w:ind w:left="514" w:right="0"/>
        <w:jc w:val="left"/>
      </w:pPr>
      <w:r>
        <w:rPr>
          <w:rFonts w:ascii="Times New Roman" w:hAnsi="Times New Roman" w:cs="Times New Roman" w:eastAsia="Times New Roman" w:hint="default"/>
        </w:rPr>
        <w:t>4.</w:t>
      </w:r>
      <w:r>
        <w:rPr/>
        <w:t>划分研究开发项目研究阶段支出和开发阶段支出的具体标准</w:t>
      </w:r>
    </w:p>
    <w:p>
      <w:pPr>
        <w:pStyle w:val="BodyText"/>
        <w:spacing w:line="432" w:lineRule="exact" w:before="47"/>
        <w:ind w:left="514" w:right="0"/>
        <w:jc w:val="left"/>
      </w:pPr>
      <w:r>
        <w:rPr/>
        <w:t>（</w:t>
      </w:r>
      <w:r>
        <w:rPr>
          <w:rFonts w:ascii="Times New Roman" w:hAnsi="Times New Roman" w:cs="Times New Roman" w:eastAsia="Times New Roman" w:hint="default"/>
        </w:rPr>
        <w:t>1</w:t>
      </w:r>
      <w:r>
        <w:rPr/>
        <w:t>）首先，本公司将内部研究开发项目区分为研究阶段和开发阶段： 研究阶段是指为获取并理解新的科学或技术知识而进行的独创性的有计划调查阶段。 </w:t>
      </w:r>
      <w:r>
        <w:rPr>
          <w:spacing w:val="-2"/>
        </w:rPr>
        <w:t>开发阶段是指已完成研究阶段，在进行商业性生产或使用前，将研究成果或其他知识应用于某项计划或设计，以生产出</w:t>
      </w:r>
    </w:p>
    <w:p>
      <w:pPr>
        <w:pStyle w:val="BodyText"/>
        <w:spacing w:line="240" w:lineRule="auto" w:before="15"/>
        <w:ind w:left="135" w:right="6611"/>
        <w:jc w:val="center"/>
      </w:pPr>
      <w:r>
        <w:rPr/>
        <w:t>新的或具有实质性改进的材料、装置、产品等阶段。</w:t>
      </w:r>
    </w:p>
    <w:p>
      <w:pPr>
        <w:spacing w:line="240" w:lineRule="auto" w:before="0"/>
        <w:rPr>
          <w:rFonts w:ascii="宋体" w:hAnsi="宋体" w:cs="宋体" w:eastAsia="宋体" w:hint="default"/>
          <w:sz w:val="15"/>
          <w:szCs w:val="15"/>
        </w:rPr>
      </w:pPr>
    </w:p>
    <w:p>
      <w:pPr>
        <w:pStyle w:val="BodyText"/>
        <w:spacing w:line="300" w:lineRule="auto"/>
        <w:ind w:right="1122" w:firstLine="360"/>
        <w:jc w:val="left"/>
      </w:pPr>
      <w:r>
        <w:rPr/>
        <w:t>（</w:t>
      </w:r>
      <w:r>
        <w:rPr>
          <w:rFonts w:ascii="Times New Roman" w:hAnsi="Times New Roman" w:cs="Times New Roman" w:eastAsia="Times New Roman" w:hint="default"/>
        </w:rPr>
        <w:t>2</w:t>
      </w:r>
      <w:r>
        <w:rPr/>
        <w:t>）其次，本公司根据上述划分研究阶段、开发阶段的标准，归集相应阶段的支出。研究阶段发生的支出于发生时计 入当期损益；开发阶段的支出，在同时满足下列条件时，确认为无形资产：</w:t>
      </w:r>
    </w:p>
    <w:p>
      <w:pPr>
        <w:pStyle w:val="BodyText"/>
        <w:spacing w:line="240" w:lineRule="auto" w:before="151"/>
        <w:ind w:left="514" w:right="0"/>
        <w:jc w:val="left"/>
      </w:pPr>
      <w:r>
        <w:rPr/>
        <w:t>①完成该无形资产以使其能够使用或出售在技术上具有可行性；</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②具有完成该无形资产并使用或出售的意图；</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③无形资产产生经济利益的方式；</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④有足够的技术、服务资源和其他资源支持，以完成该无形资产的开发，并有能力使用或出售该无形资产；</w:t>
      </w:r>
    </w:p>
    <w:p>
      <w:pPr>
        <w:spacing w:line="240" w:lineRule="auto" w:before="1"/>
        <w:rPr>
          <w:rFonts w:ascii="宋体" w:hAnsi="宋体" w:cs="宋体" w:eastAsia="宋体" w:hint="default"/>
          <w:sz w:val="15"/>
          <w:szCs w:val="15"/>
        </w:rPr>
      </w:pPr>
    </w:p>
    <w:p>
      <w:pPr>
        <w:pStyle w:val="BodyText"/>
        <w:spacing w:line="240" w:lineRule="auto"/>
        <w:ind w:left="444" w:right="0"/>
        <w:jc w:val="left"/>
      </w:pPr>
      <w:r>
        <w:rPr/>
        <w:t>⑤归属于该无形资产开发阶段的支出能够可靠地计量。</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内部研究开发支出会计政策" w:id="195"/>
      <w:bookmarkEnd w:id="19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87" w:right="0"/>
        <w:jc w:val="left"/>
      </w:pPr>
      <w:r>
        <w:rPr/>
        <w:t>划分研究开发项目研究阶段支出和开发阶段支出的具体标准</w:t>
      </w:r>
    </w:p>
    <w:p>
      <w:pPr>
        <w:pStyle w:val="BodyText"/>
        <w:spacing w:line="432" w:lineRule="exact" w:before="61"/>
        <w:ind w:left="514" w:right="0"/>
        <w:jc w:val="left"/>
      </w:pPr>
      <w:r>
        <w:rPr/>
        <w:t>（</w:t>
      </w:r>
      <w:r>
        <w:rPr>
          <w:rFonts w:ascii="Times New Roman" w:hAnsi="Times New Roman" w:cs="Times New Roman" w:eastAsia="Times New Roman" w:hint="default"/>
        </w:rPr>
        <w:t>1</w:t>
      </w:r>
      <w:r>
        <w:rPr/>
        <w:t>）首先，本公司将内部研究开发项目区分为研究阶段和开发阶段： 研究阶段是指为获取并理解新的科学或技术知识而进行的独创性的有计划调查阶段。 </w:t>
      </w:r>
      <w:r>
        <w:rPr>
          <w:spacing w:val="-2"/>
        </w:rPr>
        <w:t>开发阶段是指已完成研究阶段，在进行商业性生产或使用前，将研究成果或其他知识应用于某项计划或设计，以生产出</w:t>
      </w:r>
    </w:p>
    <w:p>
      <w:pPr>
        <w:pStyle w:val="BodyText"/>
        <w:spacing w:line="240" w:lineRule="auto" w:before="15"/>
        <w:ind w:left="135" w:right="6611"/>
        <w:jc w:val="center"/>
      </w:pPr>
      <w:r>
        <w:rPr/>
        <w:t>新的或具有实质性改进的材料、装置、产品等阶段。</w:t>
      </w:r>
    </w:p>
    <w:p>
      <w:pPr>
        <w:spacing w:line="240" w:lineRule="auto" w:before="0"/>
        <w:rPr>
          <w:rFonts w:ascii="宋体" w:hAnsi="宋体" w:cs="宋体" w:eastAsia="宋体" w:hint="default"/>
          <w:sz w:val="15"/>
          <w:szCs w:val="15"/>
        </w:rPr>
      </w:pPr>
    </w:p>
    <w:p>
      <w:pPr>
        <w:pStyle w:val="BodyText"/>
        <w:spacing w:line="300" w:lineRule="auto"/>
        <w:ind w:right="1122" w:firstLine="360"/>
        <w:jc w:val="left"/>
      </w:pPr>
      <w:r>
        <w:rPr/>
        <w:t>（</w:t>
      </w:r>
      <w:r>
        <w:rPr>
          <w:rFonts w:ascii="Times New Roman" w:hAnsi="Times New Roman" w:cs="Times New Roman" w:eastAsia="Times New Roman" w:hint="default"/>
        </w:rPr>
        <w:t>2</w:t>
      </w:r>
      <w:r>
        <w:rPr/>
        <w:t>）其次，本公司根据上述划分研究阶段、开发阶段的标准，归集相应阶段的支出。研究阶段发生的支出于发生时计 入当期损益；开发阶段的支出，在同时满足下列条件时，确认为无形资产：</w:t>
      </w:r>
    </w:p>
    <w:p>
      <w:pPr>
        <w:pStyle w:val="BodyText"/>
        <w:spacing w:line="240" w:lineRule="auto" w:before="151"/>
        <w:ind w:left="514" w:right="0"/>
        <w:jc w:val="left"/>
      </w:pPr>
      <w:r>
        <w:rPr/>
        <w:t>①完成该无形资产以使其能够使用或出售在技术上具有可行性；</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②具有完成该无形资产并使用或出售的意图；</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③无形资产产生经济利益的方式；</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④有足够的技术、服务资源和其他资源支持，以完成该无形资产的开发，并有能力使用或出售该无形资产；</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t>⑤归属于该无形资产开发阶段的支出能够可靠地计量。</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2、长期资产减值" w:id="196"/>
      <w:bookmarkEnd w:id="196"/>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3、长期待摊费用" w:id="197"/>
      <w:bookmarkEnd w:id="197"/>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4、职工薪酬" w:id="198"/>
      <w:bookmarkEnd w:id="198"/>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99"/>
      <w:bookmarkEnd w:id="19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本公司在职工提供服务的会计期间，将实际发生的短期薪酬确认为负债，并计入当期损益或相关资产成本。其中，非货</w:t>
      </w:r>
      <w:r>
        <w:rPr/>
        <w:t> 币性福利按照公允价值计量。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离职后福利的会计处理方法" w:id="200"/>
      <w:bookmarkEnd w:id="20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本公司职工参加了由当地劳动和社会保障部门组织实施的社会基本养老保险。本公司以当地规定的社会基本养老保险缴</w:t>
      </w:r>
      <w:r>
        <w:rPr/>
        <w:t> </w:t>
      </w:r>
      <w:r>
        <w:rPr>
          <w:spacing w:val="-2"/>
        </w:rPr>
        <w:t>纳基数和比例，按月向当地社会基本养老保险经办机构缴纳养老保险费。职工退休后，当地劳动及社会保障部门有责任向已</w:t>
      </w:r>
      <w:r>
        <w:rPr>
          <w:spacing w:val="-65"/>
        </w:rPr>
        <w:t> </w:t>
      </w:r>
      <w:r>
        <w:rPr>
          <w:spacing w:val="-65"/>
        </w:rPr>
      </w:r>
      <w:r>
        <w:rPr>
          <w:spacing w:val="-2"/>
        </w:rPr>
        <w:t>退休员工支付社会基本养老金。本公司在职工提供服务的会计期间，将根据上述社保规定计算应缴纳的金额确认为负债，并</w:t>
      </w:r>
      <w:r>
        <w:rPr>
          <w:spacing w:val="-66"/>
        </w:rPr>
        <w:t> </w:t>
      </w:r>
      <w:r>
        <w:rPr>
          <w:spacing w:val="-66"/>
        </w:rPr>
      </w:r>
      <w:r>
        <w:rPr/>
        <w:t>计入当期损益或相关资产成本。</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辞退福利的会计处理方法" w:id="201"/>
      <w:bookmarkEnd w:id="20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本公司在职工劳动合同到期之前解除与职工的劳动关系、或者为鼓励职工自愿接受裁减而提出给予补偿，在本公司不能</w:t>
      </w:r>
      <w:r>
        <w:rPr/>
        <w:t> </w:t>
      </w:r>
      <w:r>
        <w:rPr>
          <w:spacing w:val="-2"/>
        </w:rPr>
        <w:t>单方面撤回解除劳动关系计划或裁减建议时和确认与涉及支付辞退福利的重组相关的成本费用时两者孰早日，确认因解除与</w:t>
      </w:r>
      <w:r>
        <w:rPr>
          <w:spacing w:val="-64"/>
        </w:rPr>
        <w:t> </w:t>
      </w:r>
      <w:r>
        <w:rPr>
          <w:spacing w:val="-64"/>
        </w:rPr>
      </w:r>
      <w:r>
        <w:rPr/>
        <w:t>职工的劳动关系给予补偿而产生的负债，同时计入当期损益。</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bookmarkStart w:name="（4）其他长期职工福利的会计处理方法" w:id="202"/>
      <w:bookmarkEnd w:id="20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5、预计负债" w:id="203"/>
      <w:bookmarkEnd w:id="203"/>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当与对外担保、商业承兑汇票贴现、未决诉讼或仲裁、产品质量保证等或有事项相关的业务同时符合以下条件时，本公</w:t>
      </w:r>
      <w:r>
        <w:rPr/>
        <w:t> </w:t>
      </w:r>
      <w:r>
        <w:rPr>
          <w:spacing w:val="-2"/>
        </w:rPr>
        <w:t>司将其确认为负债：该义务是本公司承担的现时义务；该义务的履行很可能导致经济利益流出企业；该义务的金额能够可靠</w:t>
      </w:r>
      <w:r>
        <w:rPr>
          <w:spacing w:val="-66"/>
        </w:rPr>
        <w:t> </w:t>
      </w:r>
      <w:r>
        <w:rPr>
          <w:spacing w:val="-66"/>
        </w:rPr>
      </w:r>
      <w:r>
        <w:rPr/>
        <w:t>地计量。</w:t>
      </w:r>
    </w:p>
    <w:p>
      <w:pPr>
        <w:pStyle w:val="BodyText"/>
        <w:spacing w:line="312" w:lineRule="auto" w:before="139"/>
        <w:ind w:right="1130"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货币时间价值等因素。货币时间价值影响重大的，通过对相关未来现金流出进行折现后确定最佳估计数。每个资产负债表日</w:t>
      </w:r>
      <w:r>
        <w:rPr>
          <w:spacing w:val="-66"/>
        </w:rPr>
        <w:t> </w:t>
      </w:r>
      <w:r>
        <w:rPr>
          <w:spacing w:val="-66"/>
        </w:rPr>
      </w:r>
      <w:r>
        <w:rPr>
          <w:spacing w:val="-2"/>
        </w:rPr>
        <w:t>对预计负债的账面价值进行复核，如有改变则对账面价值进行调整以反映当前最佳估计数。公司预计负债</w:t>
      </w:r>
      <w:r>
        <w:rPr>
          <w:rFonts w:ascii="Times New Roman" w:hAnsi="Times New Roman" w:cs="Times New Roman" w:eastAsia="Times New Roman" w:hint="default"/>
          <w:spacing w:val="-2"/>
        </w:rPr>
        <w:t>—</w:t>
      </w:r>
      <w:r>
        <w:rPr>
          <w:spacing w:val="-2"/>
        </w:rPr>
        <w:t>产品质量保证金</w:t>
      </w:r>
      <w:r>
        <w:rPr>
          <w:spacing w:val="-64"/>
        </w:rPr>
        <w:t> </w:t>
      </w:r>
      <w:r>
        <w:rPr/>
        <w:t>根据以往实际发生数据测算，按收入的</w:t>
      </w:r>
      <w:r>
        <w:rPr>
          <w:rFonts w:ascii="Times New Roman" w:hAnsi="Times New Roman" w:cs="Times New Roman" w:eastAsia="Times New Roman" w:hint="default"/>
        </w:rPr>
        <w:t>2%</w:t>
      </w:r>
      <w:r>
        <w:rPr/>
        <w:t>预提。</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6、股份支付" w:id="204"/>
      <w:bookmarkEnd w:id="204"/>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7、优先股、永续债等其他金融工具" w:id="205"/>
      <w:bookmarkEnd w:id="205"/>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8、收入" w:id="206"/>
      <w:bookmarkEnd w:id="206"/>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spacing w:after="0" w:line="357"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软件与信息技术服务业</w:t>
      </w:r>
    </w:p>
    <w:p>
      <w:pPr>
        <w:pStyle w:val="BodyText"/>
        <w:spacing w:line="240" w:lineRule="auto" w:before="116"/>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2"/>
        <w:ind w:left="514" w:right="0"/>
        <w:jc w:val="left"/>
      </w:pPr>
      <w:r>
        <w:rPr>
          <w:rFonts w:ascii="Times New Roman" w:hAnsi="Times New Roman" w:cs="Times New Roman" w:eastAsia="Times New Roman" w:hint="default"/>
        </w:rPr>
        <w:t>1.</w:t>
      </w:r>
      <w:r>
        <w:rPr/>
        <w:t>收入确认原则</w:t>
      </w:r>
    </w:p>
    <w:p>
      <w:pPr>
        <w:pStyle w:val="BodyText"/>
        <w:spacing w:line="432" w:lineRule="exact" w:before="47"/>
        <w:ind w:left="514" w:right="1118"/>
        <w:jc w:val="left"/>
      </w:pPr>
      <w:r>
        <w:rPr/>
        <w:t>（</w:t>
      </w:r>
      <w:r>
        <w:rPr>
          <w:rFonts w:ascii="Times New Roman" w:hAnsi="Times New Roman" w:cs="Times New Roman" w:eastAsia="Times New Roman" w:hint="default"/>
        </w:rPr>
        <w:t>1</w:t>
      </w:r>
      <w:r>
        <w:rPr/>
        <w:t>）销售商品 </w:t>
      </w:r>
      <w:r>
        <w:rPr>
          <w:spacing w:val="-2"/>
        </w:rPr>
        <w:t>销售商品收入在同时满足下列条件时予以确认：</w:t>
      </w:r>
      <w:r>
        <w:rPr>
          <w:rFonts w:ascii="Times New Roman" w:hAnsi="Times New Roman" w:cs="Times New Roman" w:eastAsia="Times New Roman" w:hint="default"/>
          <w:spacing w:val="-2"/>
        </w:rPr>
        <w:t>1</w:t>
      </w:r>
      <w:r>
        <w:rPr>
          <w:spacing w:val="-2"/>
        </w:rPr>
        <w:t>）将商品所有权上的主要风险和报酬转移给购货方；</w:t>
      </w:r>
      <w:r>
        <w:rPr>
          <w:rFonts w:ascii="Times New Roman" w:hAnsi="Times New Roman" w:cs="Times New Roman" w:eastAsia="Times New Roman" w:hint="default"/>
          <w:spacing w:val="-2"/>
        </w:rPr>
        <w:t>2</w:t>
      </w:r>
      <w:r>
        <w:rPr>
          <w:spacing w:val="-2"/>
        </w:rPr>
        <w:t>）公司不再保留</w:t>
      </w:r>
    </w:p>
    <w:p>
      <w:pPr>
        <w:pStyle w:val="BodyText"/>
        <w:spacing w:line="300" w:lineRule="auto" w:before="15"/>
        <w:ind w:right="0"/>
        <w:jc w:val="left"/>
      </w:pPr>
      <w:r>
        <w:rPr>
          <w:spacing w:val="-2"/>
        </w:rPr>
        <w:t>通常与所有权相联系的继续管理权，也不再对已售出的商品实施有效控制；</w:t>
      </w:r>
      <w:r>
        <w:rPr>
          <w:rFonts w:ascii="Times New Roman" w:hAnsi="Times New Roman" w:cs="Times New Roman" w:eastAsia="Times New Roman" w:hint="default"/>
          <w:spacing w:val="-2"/>
        </w:rPr>
        <w:t>3</w:t>
      </w:r>
      <w:r>
        <w:rPr>
          <w:spacing w:val="-2"/>
        </w:rPr>
        <w:t>）收入的金额能够可靠地计量；</w:t>
      </w:r>
      <w:r>
        <w:rPr>
          <w:rFonts w:ascii="Times New Roman" w:hAnsi="Times New Roman" w:cs="Times New Roman" w:eastAsia="Times New Roman" w:hint="default"/>
          <w:spacing w:val="-2"/>
        </w:rPr>
        <w:t>4</w:t>
      </w:r>
      <w:r>
        <w:rPr>
          <w:spacing w:val="-2"/>
        </w:rPr>
        <w:t>）相关的经济</w:t>
      </w:r>
      <w:r>
        <w:rPr>
          <w:spacing w:val="-63"/>
        </w:rPr>
        <w:t> </w:t>
      </w:r>
      <w:r>
        <w:rPr>
          <w:spacing w:val="-63"/>
        </w:rPr>
      </w:r>
      <w:r>
        <w:rPr/>
        <w:t>利益很可能流入；</w:t>
      </w:r>
      <w:r>
        <w:rPr>
          <w:rFonts w:ascii="Times New Roman" w:hAnsi="Times New Roman" w:cs="Times New Roman" w:eastAsia="Times New Roman" w:hint="default"/>
        </w:rPr>
        <w:t>5</w:t>
      </w:r>
      <w:r>
        <w:rPr/>
        <w:t>）相关的已发生或将发生的成本能够可靠地计量。</w:t>
      </w:r>
    </w:p>
    <w:p>
      <w:pPr>
        <w:pStyle w:val="BodyText"/>
        <w:spacing w:line="240" w:lineRule="auto" w:before="133"/>
        <w:ind w:left="514" w:right="0"/>
        <w:jc w:val="left"/>
      </w:pPr>
      <w:r>
        <w:rPr/>
        <w:t>（</w:t>
      </w:r>
      <w:r>
        <w:rPr>
          <w:rFonts w:ascii="Times New Roman" w:hAnsi="Times New Roman" w:cs="Times New Roman" w:eastAsia="Times New Roman" w:hint="default"/>
        </w:rPr>
        <w:t>2</w:t>
      </w:r>
      <w:r>
        <w:rPr/>
        <w:t>）提供劳务</w:t>
      </w:r>
    </w:p>
    <w:p>
      <w:pPr>
        <w:spacing w:line="240" w:lineRule="auto" w:before="13"/>
        <w:rPr>
          <w:rFonts w:ascii="宋体" w:hAnsi="宋体" w:cs="宋体" w:eastAsia="宋体" w:hint="default"/>
          <w:sz w:val="13"/>
          <w:szCs w:val="13"/>
        </w:rPr>
      </w:pPr>
    </w:p>
    <w:p>
      <w:pPr>
        <w:pStyle w:val="BodyText"/>
        <w:spacing w:line="316" w:lineRule="auto"/>
        <w:ind w:right="0" w:firstLine="360"/>
        <w:jc w:val="left"/>
      </w:pPr>
      <w:r>
        <w:rPr>
          <w:spacing w:val="-4"/>
        </w:rPr>
        <w:t>提供劳务交易的结果在资产负债表日能够可靠估计的（同时满足收入的金额能够可靠地计量、相关经济利益很可能流入、</w:t>
      </w:r>
      <w:r>
        <w:rPr/>
        <w:t> </w:t>
      </w:r>
      <w:r>
        <w:rPr>
          <w:spacing w:val="-4"/>
        </w:rPr>
        <w:t>交易的完工进度能够可靠地确定、交易中已发生和将发生的成本能够可靠地计量），采用完工百分比法确认提供劳务的收入，</w:t>
      </w:r>
      <w:r>
        <w:rPr>
          <w:spacing w:val="-44"/>
        </w:rPr>
        <w:t> </w:t>
      </w:r>
      <w:r>
        <w:rPr>
          <w:spacing w:val="-44"/>
        </w:rPr>
      </w:r>
      <w:r>
        <w:rPr>
          <w:spacing w:val="-2"/>
        </w:rPr>
        <w:t>并按已经发生的成本占估计总成本的比例确定提供劳务交易的完工进度。提供劳务交易的结果在资产负债表日不能够可靠估</w:t>
      </w:r>
      <w:r>
        <w:rPr>
          <w:spacing w:val="-64"/>
        </w:rPr>
        <w:t> </w:t>
      </w:r>
      <w:r>
        <w:rPr>
          <w:spacing w:val="-64"/>
        </w:rPr>
      </w:r>
      <w:r>
        <w:rPr>
          <w:spacing w:val="-2"/>
        </w:rPr>
        <w:t>计的，若已经发生的劳务成本预计能够得到补偿，按已经发生的劳务成本金额确认提供劳务收入，并按相同金额结转劳务成</w:t>
      </w:r>
      <w:r>
        <w:rPr>
          <w:spacing w:val="-66"/>
        </w:rPr>
        <w:t> </w:t>
      </w:r>
      <w:r>
        <w:rPr>
          <w:spacing w:val="-66"/>
        </w:rPr>
      </w:r>
      <w:r>
        <w:rPr/>
        <w:t>本；若已经发生的劳务成本预计不能够得到补偿，将已经发生的劳务成本计入当期损益，不确认劳务收入。</w:t>
      </w:r>
    </w:p>
    <w:p>
      <w:pPr>
        <w:pStyle w:val="BodyText"/>
        <w:spacing w:line="432" w:lineRule="exact" w:before="3"/>
        <w:ind w:left="514" w:right="0"/>
        <w:jc w:val="left"/>
      </w:pPr>
      <w:r>
        <w:rPr/>
        <w:t>（</w:t>
      </w:r>
      <w:r>
        <w:rPr>
          <w:rFonts w:ascii="Times New Roman" w:hAnsi="Times New Roman" w:cs="Times New Roman" w:eastAsia="Times New Roman" w:hint="default"/>
        </w:rPr>
        <w:t>3</w:t>
      </w:r>
      <w:r>
        <w:rPr/>
        <w:t>）让渡资产使用权 </w:t>
      </w:r>
      <w:r>
        <w:rPr>
          <w:spacing w:val="-2"/>
        </w:rPr>
        <w:t>让渡资产使用权在同时满足相关的经济利益很可能流入、收入金额能够可靠计量时，确认让渡资产使用权的收入。利息</w:t>
      </w:r>
    </w:p>
    <w:p>
      <w:pPr>
        <w:pStyle w:val="BodyText"/>
        <w:spacing w:line="316" w:lineRule="auto" w:before="15"/>
        <w:ind w:right="1118"/>
        <w:jc w:val="left"/>
      </w:pPr>
      <w:r>
        <w:rPr>
          <w:spacing w:val="-2"/>
        </w:rPr>
        <w:t>收入按照他人使用本公司货币资金的时间和实际利率计算确定；使用费收入按有关合同或协议约定的收费时间和方法计算确</w:t>
      </w:r>
      <w:r>
        <w:rPr>
          <w:spacing w:val="-64"/>
        </w:rPr>
        <w:t> </w:t>
      </w:r>
      <w:r>
        <w:rPr>
          <w:spacing w:val="-64"/>
        </w:rPr>
      </w:r>
      <w:r>
        <w:rPr/>
        <w:t>定。</w:t>
      </w:r>
    </w:p>
    <w:p>
      <w:pPr>
        <w:pStyle w:val="BodyText"/>
        <w:spacing w:line="432" w:lineRule="exact" w:before="3"/>
        <w:ind w:left="514" w:right="0"/>
        <w:jc w:val="left"/>
      </w:pPr>
      <w:r>
        <w:rPr>
          <w:rFonts w:ascii="Times New Roman" w:hAnsi="Times New Roman" w:cs="Times New Roman" w:eastAsia="Times New Roman" w:hint="default"/>
        </w:rPr>
        <w:t>2.</w:t>
      </w:r>
      <w:r>
        <w:rPr/>
        <w:t>收入确认的具体方法 </w:t>
      </w:r>
      <w:r>
        <w:rPr>
          <w:spacing w:val="-2"/>
        </w:rPr>
        <w:t>公司的主营业务为智慧政务、智慧企业领域的产品开发与服务，主要面向政府及其职能部门、事业单位、企业客户提供</w:t>
      </w:r>
    </w:p>
    <w:p>
      <w:pPr>
        <w:pStyle w:val="BodyText"/>
        <w:spacing w:line="240" w:lineRule="auto" w:before="15"/>
        <w:ind w:right="0"/>
        <w:jc w:val="left"/>
      </w:pPr>
      <w:r>
        <w:rPr/>
        <w:t>软件开发、系统集成和运行维护服务。</w:t>
      </w:r>
    </w:p>
    <w:p>
      <w:pPr>
        <w:spacing w:line="240" w:lineRule="auto" w:before="0"/>
        <w:rPr>
          <w:rFonts w:ascii="宋体" w:hAnsi="宋体" w:cs="宋体" w:eastAsia="宋体" w:hint="default"/>
          <w:sz w:val="15"/>
          <w:szCs w:val="15"/>
        </w:rPr>
      </w:pPr>
    </w:p>
    <w:p>
      <w:pPr>
        <w:pStyle w:val="BodyText"/>
        <w:spacing w:line="415" w:lineRule="auto"/>
        <w:ind w:left="514" w:right="6072"/>
        <w:jc w:val="left"/>
      </w:pPr>
      <w:r>
        <w:rPr/>
        <w:t>（</w:t>
      </w:r>
      <w:r>
        <w:rPr>
          <w:rFonts w:ascii="Times New Roman" w:hAnsi="Times New Roman" w:cs="Times New Roman" w:eastAsia="Times New Roman" w:hint="default"/>
        </w:rPr>
        <w:t>1</w:t>
      </w:r>
      <w:r>
        <w:rPr/>
        <w:t>）软件开发收入 软件开发收入包含软件产品销售收入和技术开发收入。</w:t>
      </w:r>
    </w:p>
    <w:p>
      <w:pPr>
        <w:pStyle w:val="BodyText"/>
        <w:spacing w:line="316" w:lineRule="auto" w:before="65"/>
        <w:ind w:right="0" w:firstLine="360"/>
        <w:jc w:val="left"/>
      </w:pPr>
      <w:r>
        <w:rPr>
          <w:spacing w:val="-2"/>
        </w:rPr>
        <w:t>软件产品是指知识产权属公司所有，买方仅享有合同范围内的非独占、非排他的一般使用权的软件。软件产品项目销售</w:t>
      </w:r>
      <w:r>
        <w:rPr/>
        <w:t> 收入是指向客户销售软件产品所获得的收入。</w:t>
      </w:r>
    </w:p>
    <w:p>
      <w:pPr>
        <w:pStyle w:val="BodyText"/>
        <w:spacing w:line="316" w:lineRule="auto" w:before="139"/>
        <w:ind w:right="1131" w:firstLine="360"/>
        <w:jc w:val="both"/>
      </w:pPr>
      <w:r>
        <w:rPr>
          <w:spacing w:val="-2"/>
        </w:rPr>
        <w:t>技术开发收入是指根据特定客户委托开发的，就特定客户的实际需要进行专门的技术研究、开发、服务的劳务行为。技</w:t>
      </w:r>
      <w:r>
        <w:rPr/>
        <w:t> </w:t>
      </w:r>
      <w:r>
        <w:rPr>
          <w:spacing w:val="-2"/>
        </w:rPr>
        <w:t>术开发成果的专利申请权、版权及其他非专利技术的所有权及使用权均归买方或双方所有，由此开发出来的软件不具有通用</w:t>
      </w:r>
      <w:r>
        <w:rPr>
          <w:spacing w:val="-64"/>
        </w:rPr>
        <w:t> </w:t>
      </w:r>
      <w:r>
        <w:rPr>
          <w:spacing w:val="-64"/>
        </w:rPr>
      </w:r>
      <w:r>
        <w:rPr/>
        <w:t>性。</w:t>
      </w:r>
    </w:p>
    <w:p>
      <w:pPr>
        <w:pStyle w:val="BodyText"/>
        <w:spacing w:line="316" w:lineRule="auto" w:before="139"/>
        <w:ind w:right="1032" w:firstLine="360"/>
        <w:jc w:val="left"/>
      </w:pPr>
      <w:r>
        <w:rPr/>
        <w:t>收入的确认原则及方法：相关的收入已经收到或取得了收款的证据，与销售该软件产品有关的成本能够可靠地计量时， 确认销售收入。具体为公司将软件及其配套产品交付客户，并取得客户的最终验收单后确认收入的实现。</w:t>
      </w:r>
    </w:p>
    <w:p>
      <w:pPr>
        <w:pStyle w:val="BodyText"/>
        <w:spacing w:line="415" w:lineRule="auto" w:before="139"/>
        <w:ind w:left="514" w:right="6252"/>
        <w:jc w:val="left"/>
      </w:pPr>
      <w:r>
        <w:rPr/>
        <w:t>（</w:t>
      </w:r>
      <w:r>
        <w:rPr>
          <w:rFonts w:ascii="Times New Roman" w:hAnsi="Times New Roman" w:cs="Times New Roman" w:eastAsia="Times New Roman" w:hint="default"/>
        </w:rPr>
        <w:t>2</w:t>
      </w:r>
      <w:r>
        <w:rPr/>
        <w:t>）系统集成收入 系统集成收入包含系统集成销售收入及建筑安装收入</w:t>
      </w:r>
    </w:p>
    <w:p>
      <w:pPr>
        <w:pStyle w:val="BodyText"/>
        <w:spacing w:line="316" w:lineRule="auto" w:before="65"/>
        <w:ind w:right="0" w:firstLine="360"/>
        <w:jc w:val="left"/>
      </w:pPr>
      <w:r>
        <w:rPr>
          <w:spacing w:val="-2"/>
        </w:rPr>
        <w:t>系统集成销售收入是公司为客户实施系统集成项目时，应客户要求代其外购硬件系统并安装所获得的收入。建筑安装收</w:t>
      </w:r>
      <w:r>
        <w:rPr/>
        <w:t> 入是指公司为客户提供的弱电工程设计、施工；电视监控、防盗报警系统工程施工等实现的相关收入。</w:t>
      </w:r>
    </w:p>
    <w:p>
      <w:pPr>
        <w:pStyle w:val="BodyText"/>
        <w:spacing w:line="432" w:lineRule="exact" w:before="4"/>
        <w:ind w:left="514" w:right="0"/>
        <w:jc w:val="left"/>
      </w:pPr>
      <w:r>
        <w:rPr/>
        <w:t>系统集成收入的确认原则及方法为： </w:t>
      </w:r>
      <w:r>
        <w:rPr>
          <w:spacing w:val="-2"/>
        </w:rPr>
        <w:t>系统集成所有权上的主要风险和报酬转移给买方，公司不再对其实施继续管理权和实际控制权，相关的收入已经收到或</w:t>
      </w:r>
    </w:p>
    <w:p>
      <w:pPr>
        <w:pStyle w:val="BodyText"/>
        <w:spacing w:line="316" w:lineRule="auto" w:before="15"/>
        <w:ind w:right="0"/>
        <w:jc w:val="left"/>
      </w:pPr>
      <w:r>
        <w:rPr>
          <w:spacing w:val="-2"/>
        </w:rPr>
        <w:t>取得了收款的证据，与销售该系统集成有关的成本能够可靠地计量时，确认销售收入。具体为公司在系统集成安装完成，并</w:t>
      </w:r>
      <w:r>
        <w:rPr>
          <w:spacing w:val="-66"/>
        </w:rPr>
        <w:t> </w:t>
      </w:r>
      <w:r>
        <w:rPr>
          <w:spacing w:val="-66"/>
        </w:rPr>
      </w:r>
      <w:r>
        <w:rPr/>
        <w:t>取得客户的终验报告后确认收入的实现。</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IT</w:t>
      </w:r>
      <w:r>
        <w:rPr/>
        <w:t>运维收入</w:t>
      </w:r>
    </w:p>
    <w:p>
      <w:pPr>
        <w:spacing w:line="240" w:lineRule="auto" w:before="13"/>
        <w:rPr>
          <w:rFonts w:ascii="宋体" w:hAnsi="宋体" w:cs="宋体" w:eastAsia="宋体" w:hint="default"/>
          <w:sz w:val="13"/>
          <w:szCs w:val="13"/>
        </w:rPr>
      </w:pPr>
    </w:p>
    <w:p>
      <w:pPr>
        <w:pStyle w:val="BodyText"/>
        <w:spacing w:line="300" w:lineRule="auto"/>
        <w:ind w:right="1059" w:firstLine="360"/>
        <w:jc w:val="both"/>
      </w:pPr>
      <w:r>
        <w:rPr>
          <w:rFonts w:ascii="Times New Roman" w:hAnsi="Times New Roman" w:cs="Times New Roman" w:eastAsia="Times New Roman" w:hint="default"/>
        </w:rPr>
        <w:t>IT</w:t>
      </w:r>
      <w:r>
        <w:rPr/>
        <w:t>运行维护收入是指公司为保证客户软件、硬件能正常运行而提供的运行维护收入。包括：免费服务期后的系统维护、</w:t>
      </w:r>
      <w:r>
        <w:rPr>
          <w:w w:val="99"/>
        </w:rPr>
        <w:t> </w:t>
      </w:r>
      <w:r>
        <w:rPr/>
        <w:t>数据修复、技术支持、应用培训等技术服务；</w:t>
      </w:r>
    </w:p>
    <w:p>
      <w:pPr>
        <w:pStyle w:val="BodyText"/>
        <w:spacing w:line="432" w:lineRule="exact" w:before="16"/>
        <w:ind w:left="514" w:right="0"/>
        <w:jc w:val="left"/>
      </w:pPr>
      <w:r>
        <w:rPr>
          <w:rFonts w:ascii="Times New Roman" w:hAnsi="Times New Roman" w:cs="Times New Roman" w:eastAsia="Times New Roman" w:hint="default"/>
        </w:rPr>
        <w:t>IT</w:t>
      </w:r>
      <w:r>
        <w:rPr/>
        <w:t>运维收入的确认原则及方法为：</w:t>
      </w:r>
      <w:r>
        <w:rPr>
          <w:w w:val="99"/>
        </w:rPr>
        <w:t> </w:t>
      </w:r>
      <w:r>
        <w:rPr>
          <w:spacing w:val="-2"/>
        </w:rPr>
        <w:t>公司在遵循收入确认基本原则的基础上，对于单次提供的服务，在服务已经提供，收到价款或取得收款的依据后确认收</w:t>
      </w:r>
    </w:p>
    <w:p>
      <w:pPr>
        <w:pStyle w:val="BodyText"/>
        <w:spacing w:line="240" w:lineRule="auto" w:before="15"/>
        <w:ind w:right="0"/>
        <w:jc w:val="both"/>
      </w:pPr>
      <w:r>
        <w:rPr/>
        <w:t>入；对于在固定期间内持续提供的服务，在服务期内按照直线法分期确认收入。</w:t>
      </w:r>
    </w:p>
    <w:p>
      <w:pPr>
        <w:pStyle w:val="BodyText"/>
        <w:spacing w:line="430" w:lineRule="atLeast" w:before="15"/>
        <w:ind w:left="514" w:right="1122"/>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BOT</w:t>
      </w:r>
      <w:r>
        <w:rPr/>
        <w:t>项目收入 公司根据《企业会计准则》和《企业会计准则解释第</w:t>
      </w:r>
      <w:r>
        <w:rPr>
          <w:rFonts w:ascii="Times New Roman" w:hAnsi="Times New Roman" w:cs="Times New Roman" w:eastAsia="Times New Roman" w:hint="default"/>
        </w:rPr>
        <w:t>2</w:t>
      </w:r>
      <w:r>
        <w:rPr/>
        <w:t>号》中对以</w:t>
      </w:r>
      <w:r>
        <w:rPr>
          <w:rFonts w:ascii="Times New Roman" w:hAnsi="Times New Roman" w:cs="Times New Roman" w:eastAsia="Times New Roman" w:hint="default"/>
        </w:rPr>
        <w:t>BOT</w:t>
      </w:r>
      <w:r>
        <w:rPr/>
        <w:t>（建造－运营－移交）方式建造并运营公共基础</w:t>
      </w:r>
    </w:p>
    <w:p>
      <w:pPr>
        <w:pStyle w:val="BodyText"/>
        <w:spacing w:line="309" w:lineRule="auto" w:before="63"/>
        <w:ind w:right="1131"/>
        <w:jc w:val="both"/>
      </w:pPr>
      <w:r>
        <w:rPr>
          <w:spacing w:val="-2"/>
        </w:rPr>
        <w:t>设施，在基础设施建成后的会计处理的规定，分两种情况确认收入：在建造期间，对于所提供的建造服务按照《企业会计准</w:t>
      </w:r>
      <w:r>
        <w:rPr>
          <w:spacing w:val="-66"/>
        </w:rPr>
        <w:t> </w:t>
      </w:r>
      <w:r>
        <w:rPr>
          <w:spacing w:val="-66"/>
        </w:rPr>
      </w:r>
      <w:r>
        <w:rPr>
          <w:spacing w:val="-2"/>
        </w:rPr>
        <w:t>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建造合同》确认相关的收入和费用；建成后，公司按照《企业会计准则第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收入》确认与后续经营服务</w:t>
      </w:r>
      <w:r>
        <w:rPr>
          <w:spacing w:val="-62"/>
        </w:rPr>
        <w:t> </w:t>
      </w:r>
      <w:r>
        <w:rPr>
          <w:spacing w:val="-62"/>
        </w:rPr>
      </w:r>
      <w:r>
        <w:rPr/>
        <w:t>相关的收入。</w:t>
      </w:r>
    </w:p>
    <w:p>
      <w:pPr>
        <w:pStyle w:val="BodyText"/>
        <w:spacing w:line="316" w:lineRule="auto" w:before="144"/>
        <w:ind w:right="1049" w:firstLine="360"/>
        <w:jc w:val="both"/>
      </w:pPr>
      <w:r>
        <w:rPr/>
        <w:t>合同规定基础设施建成后的一定期间内，公司可以无条件地自合同授予方收取确定金额的货币资金或其他金融资产的， 在确认收入的同时确认金融资产，并按照《企业会计准则第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金融工具确认和计量》的规定处理。</w:t>
      </w:r>
    </w:p>
    <w:p>
      <w:pPr>
        <w:spacing w:line="240" w:lineRule="auto" w:before="13"/>
        <w:rPr>
          <w:rFonts w:ascii="宋体" w:hAnsi="宋体" w:cs="宋体" w:eastAsia="宋体" w:hint="default"/>
          <w:sz w:val="20"/>
          <w:szCs w:val="20"/>
        </w:rPr>
      </w:pPr>
    </w:p>
    <w:p>
      <w:pPr>
        <w:pStyle w:val="Heading3"/>
        <w:spacing w:line="506" w:lineRule="auto"/>
        <w:ind w:left="334" w:right="6792" w:hanging="180"/>
        <w:jc w:val="left"/>
        <w:rPr>
          <w:b w:val="0"/>
          <w:bCs w:val="0"/>
        </w:rPr>
      </w:pPr>
      <w:bookmarkStart w:name="29、政府补助" w:id="207"/>
      <w:bookmarkEnd w:id="207"/>
      <w:r>
        <w:rPr>
          <w:b w:val="0"/>
          <w:bCs w:val="0"/>
        </w:rPr>
      </w:r>
      <w:r>
        <w:rPr>
          <w:rFonts w:ascii="Times New Roman" w:hAnsi="Times New Roman" w:cs="Times New Roman" w:eastAsia="Times New Roman" w:hint="default"/>
        </w:rPr>
        <w:t>29</w:t>
      </w:r>
      <w:r>
        <w:rPr/>
        <w:t>、政府补助</w:t>
      </w:r>
      <w:r>
        <w:rPr>
          <w:w w:val="99"/>
        </w:rPr>
        <w:t> </w:t>
      </w:r>
      <w:r>
        <w:rPr>
          <w:w w:val="95"/>
        </w:rPr>
        <w:t>本公司的政府补助均采用总额法：</w:t>
      </w:r>
      <w:r>
        <w:rPr>
          <w:b w:val="0"/>
          <w:bCs w:val="0"/>
        </w:rPr>
      </w:r>
    </w:p>
    <w:p>
      <w:pPr>
        <w:pStyle w:val="Heading3"/>
        <w:spacing w:line="240" w:lineRule="auto" w:before="104"/>
        <w:ind w:right="0"/>
        <w:jc w:val="both"/>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与资产相关的政府补助，确认为递延收益，在相关资产使用寿命内按照合理、系统的方法分期计入损益。相关资产在使</w:t>
      </w:r>
      <w:r>
        <w:rPr/>
        <w:t> 用寿命结束前被出售、转让、报废或发生毁损的，将尚未分配的相关递延收益余额转入资产处置当期的损益。</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与收益相关的政府补助，用于补偿以后期间的相关费用或损失的，确认为递延收益，在确认相关费用的期间，计入当期</w:t>
      </w:r>
      <w:r>
        <w:rPr/>
        <w:t> 损益；用于补偿已发生的相关费用或损失的，直接计入当期损益。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30、递延所得税资产/递延所得税负债" w:id="208"/>
      <w:bookmarkEnd w:id="208"/>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420" w:lineRule="atLeast" w:before="176"/>
        <w:ind w:left="514" w:right="1032"/>
        <w:jc w:val="left"/>
      </w:pP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16" w:lineRule="auto" w:before="76"/>
        <w:ind w:right="1131"/>
        <w:jc w:val="both"/>
      </w:pPr>
      <w:r>
        <w:rPr>
          <w:spacing w:val="-2"/>
        </w:rPr>
        <w:t>的所得税金额计量。计算当期所得税费用所依据的应纳税所得额系根据有关税法规定对本报告期税前会计利润作相应调整后</w:t>
      </w:r>
      <w:r>
        <w:rPr>
          <w:spacing w:val="-64"/>
        </w:rPr>
        <w:t> </w:t>
      </w:r>
      <w:r>
        <w:rPr>
          <w:spacing w:val="-64"/>
        </w:rPr>
      </w:r>
      <w:r>
        <w:rPr/>
        <w:t>计算得出。</w:t>
      </w:r>
    </w:p>
    <w:p>
      <w:pPr>
        <w:pStyle w:val="BodyText"/>
        <w:spacing w:line="432" w:lineRule="exact" w:before="3"/>
        <w:ind w:left="514" w:right="0"/>
        <w:jc w:val="left"/>
      </w:pP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9" w:lineRule="auto" w:before="15"/>
        <w:ind w:right="1131"/>
        <w:jc w:val="both"/>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6" w:lineRule="auto" w:before="137"/>
        <w:ind w:right="1131"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p>
    <w:p>
      <w:pPr>
        <w:spacing w:after="0" w:line="316" w:lineRule="auto"/>
        <w:jc w:val="both"/>
        <w:sectPr>
          <w:footerReference w:type="default" r:id="rId15"/>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8"/>
        <w:jc w:val="left"/>
      </w:pPr>
      <w:r>
        <w:rPr>
          <w:spacing w:val="-2"/>
        </w:rPr>
        <w:t>可能不会转回，也不予确认有关的递延所得税负债。除上述例外情况，本公司确认其他所有应纳税暂时性差异产生的递延所</w:t>
      </w:r>
      <w:r>
        <w:rPr>
          <w:spacing w:val="-65"/>
        </w:rPr>
        <w:t> </w:t>
      </w:r>
      <w:r>
        <w:rPr>
          <w:spacing w:val="-65"/>
        </w:rPr>
      </w:r>
      <w:r>
        <w:rPr/>
        <w:t>得税负债。</w:t>
      </w:r>
    </w:p>
    <w:p>
      <w:pPr>
        <w:pStyle w:val="BodyText"/>
        <w:spacing w:line="319" w:lineRule="auto" w:before="139"/>
        <w:ind w:right="1131"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316" w:lineRule="auto" w:before="137"/>
        <w:ind w:right="1131" w:firstLine="360"/>
        <w:jc w:val="both"/>
      </w:pPr>
      <w:r>
        <w:rPr>
          <w:spacing w:val="-2"/>
        </w:rPr>
        <w:t>对于能够结转以后年度的可抵扣亏损和税款抵减，以很可能获得用来抵扣可抵扣亏损和税款抵减的未来应纳税所得额为</w:t>
      </w:r>
      <w:r>
        <w:rPr/>
        <w:t> </w:t>
      </w:r>
      <w:r>
        <w:rPr>
          <w:spacing w:val="-2"/>
        </w:rPr>
        <w:t>限，确认相应的递延所得税资产。资产负债表日，对于递延所得税资产和递延所得税负债，根据税法规定，按照预期收回相</w:t>
      </w:r>
      <w:r>
        <w:rPr>
          <w:spacing w:val="-66"/>
        </w:rPr>
        <w:t> </w:t>
      </w:r>
      <w:r>
        <w:rPr>
          <w:spacing w:val="-66"/>
        </w:rPr>
      </w:r>
      <w:r>
        <w:rPr>
          <w:spacing w:val="-2"/>
        </w:rPr>
        <w:t>关资产或清偿相关负债期间的适用税率计量。于资产负债表日，对递延所得税资产的账面价值进行复核，如果未来很可能无</w:t>
      </w:r>
      <w:r>
        <w:rPr>
          <w:spacing w:val="-66"/>
        </w:rPr>
        <w:t> </w:t>
      </w:r>
      <w:r>
        <w:rPr>
          <w:spacing w:val="-66"/>
        </w:rPr>
      </w:r>
      <w:r>
        <w:rPr>
          <w:spacing w:val="-2"/>
        </w:rPr>
        <w:t>法获得足够的应纳税所得额用以抵扣递延所得税资产的利益，则减记递延所得税资产的账面价值。在很可能获得足够的应纳</w:t>
      </w:r>
      <w:r>
        <w:rPr>
          <w:spacing w:val="-64"/>
        </w:rPr>
        <w:t> </w:t>
      </w:r>
      <w:r>
        <w:rPr>
          <w:spacing w:val="-64"/>
        </w:rPr>
      </w:r>
      <w:r>
        <w:rPr/>
        <w:t>税所得额时，减记的金额予以转回。</w:t>
      </w:r>
    </w:p>
    <w:p>
      <w:pPr>
        <w:pStyle w:val="BodyText"/>
        <w:spacing w:line="415" w:lineRule="auto" w:before="139"/>
        <w:ind w:left="514" w:right="6972"/>
        <w:jc w:val="left"/>
      </w:pP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65"/>
        <w:ind w:right="1139" w:firstLine="360"/>
        <w:jc w:val="both"/>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1、租赁" w:id="209"/>
      <w:bookmarkEnd w:id="209"/>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10"/>
      <w:bookmarkEnd w:id="210"/>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经营租赁的租金在租赁期内各个期间按照直线法计入相关资产成本或当期损益。作为承租人发生的初始直接费用，计入</w:t>
      </w:r>
      <w:r>
        <w:rPr/>
        <w:t> 管理费用，或有租金于发生时确认为当期费用。</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2）融资租赁的会计处理方法" w:id="211"/>
      <w:bookmarkEnd w:id="211"/>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在租赁开始日，公司（承租人）将租赁开始日租赁资产公允价值与最低租赁付款额现值两者中较低者作为租入资产的入</w:t>
      </w:r>
      <w:r>
        <w:rPr/>
        <w:t> </w:t>
      </w:r>
      <w:r>
        <w:rPr>
          <w:spacing w:val="-2"/>
        </w:rPr>
        <w:t>账价值，将最低租赁付款额作为长期应付款的入账价值，其差额作为未确认融资费用。在租赁过程中发生的，可归属于租赁</w:t>
      </w:r>
      <w:r>
        <w:rPr>
          <w:spacing w:val="-66"/>
        </w:rPr>
        <w:t> </w:t>
      </w:r>
      <w:r>
        <w:rPr>
          <w:spacing w:val="-66"/>
        </w:rPr>
      </w:r>
      <w:r>
        <w:rPr>
          <w:spacing w:val="-2"/>
        </w:rPr>
        <w:t>项目的手续费、律师费、差旅费、印花税等初始直接费用，计入租入资产的价值。公司采用实际利率法将未确认融资费用在</w:t>
      </w:r>
      <w:r>
        <w:rPr>
          <w:spacing w:val="-66"/>
        </w:rPr>
        <w:t> </w:t>
      </w:r>
      <w:r>
        <w:rPr>
          <w:spacing w:val="-66"/>
        </w:rPr>
      </w:r>
      <w:r>
        <w:rPr/>
        <w:t>租赁期内各个期间进行分摊，计入当期损益，或有租金在实际发生时计入当期损益。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bookmarkStart w:name="32、其他重要的会计政策和会计估计" w:id="212"/>
      <w:bookmarkEnd w:id="212"/>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3、重要会计政策和会计估计变更" w:id="213"/>
      <w:bookmarkEnd w:id="213"/>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4"/>
      <w:bookmarkEnd w:id="21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将应收票据和应收账款合并计入应收票 据及应收账款项目</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经公司董事会审议批准</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1"/>
              <w:ind w:right="75"/>
              <w:jc w:val="center"/>
              <w:rPr>
                <w:rFonts w:ascii="宋体" w:hAnsi="宋体" w:cs="宋体" w:eastAsia="宋体" w:hint="default"/>
                <w:sz w:val="18"/>
                <w:szCs w:val="18"/>
              </w:rPr>
            </w:pPr>
            <w:r>
              <w:rPr>
                <w:rFonts w:ascii="宋体" w:hAnsi="宋体" w:cs="宋体" w:eastAsia="宋体" w:hint="default"/>
                <w:sz w:val="18"/>
                <w:szCs w:val="18"/>
              </w:rPr>
              <w:t>将应付票据和应付账款合并计入应付票</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经公司董事会审议批准</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after="0"/>
        <w:sectPr>
          <w:footerReference w:type="default" r:id="rId16"/>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3191"/>
        <w:gridCol w:w="3190"/>
        <w:gridCol w:w="3189"/>
      </w:tblGrid>
      <w:tr>
        <w:trPr>
          <w:trHeight w:val="362"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据及应付账款项目</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将原计入管理费用项目的研发费用单独 列示为研发费用项目</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经公司董事会审议批准</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将原计入营业外收入的个税手续费返还 计入其他收益</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经公司董事会审议批准</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将与资产相关的政府补助计入收到的其 他与经营活动有关的现金</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经公司董事会审议批准</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196"/>
              <w:jc w:val="left"/>
              <w:rPr>
                <w:rFonts w:ascii="宋体" w:hAnsi="宋体" w:cs="宋体" w:eastAsia="宋体" w:hint="default"/>
                <w:sz w:val="18"/>
                <w:szCs w:val="18"/>
              </w:rPr>
            </w:pPr>
            <w:r>
              <w:rPr>
                <w:rFonts w:ascii="宋体" w:hAnsi="宋体" w:cs="宋体" w:eastAsia="宋体" w:hint="default"/>
                <w:sz w:val="18"/>
                <w:szCs w:val="18"/>
              </w:rPr>
              <w:t>新增</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设定受益计划变动额结转留存收 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经公司董事会审议批准</w:t>
            </w:r>
          </w:p>
        </w:tc>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9"/>
        <w:rPr>
          <w:rFonts w:ascii="宋体" w:hAnsi="宋体" w:cs="宋体" w:eastAsia="宋体" w:hint="default"/>
          <w:sz w:val="15"/>
          <w:szCs w:val="15"/>
        </w:rPr>
      </w:pPr>
    </w:p>
    <w:p>
      <w:pPr>
        <w:pStyle w:val="BodyText"/>
        <w:spacing w:line="240" w:lineRule="auto" w:before="44"/>
        <w:ind w:left="574" w:right="0"/>
        <w:jc w:val="left"/>
      </w:pPr>
      <w:r>
        <w:rPr/>
        <w:t>财政部于</w:t>
      </w:r>
      <w:r>
        <w:rPr>
          <w:spacing w:val="-46"/>
        </w:rPr>
        <w:t> </w:t>
      </w:r>
      <w:r>
        <w:rPr>
          <w:rFonts w:ascii="Times New Roman" w:hAnsi="Times New Roman" w:cs="Times New Roman" w:eastAsia="Times New Roman" w:hint="default"/>
        </w:rPr>
        <w:t>2018 </w:t>
      </w:r>
      <w:r>
        <w:rPr/>
        <w:t>年颁布</w:t>
      </w:r>
      <w:r>
        <w:rPr>
          <w:spacing w:val="-23"/>
        </w:rPr>
        <w:t>了</w:t>
      </w:r>
      <w:r>
        <w:rPr/>
        <w:t>《财政部关于修订印发</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1"/>
        </w:rPr>
        <w:t>度</w:t>
      </w:r>
      <w:r>
        <w:rPr/>
        <w:t>一般企业财务报表格式的通知</w:t>
      </w:r>
      <w:r>
        <w:rPr>
          <w:spacing w:val="-113"/>
        </w:rPr>
        <w:t>》</w:t>
      </w:r>
      <w:r>
        <w:rPr/>
        <w:t>（财会</w:t>
      </w:r>
      <w:r>
        <w:rPr>
          <w:rFonts w:ascii="Times New Roman" w:hAnsi="Times New Roman" w:cs="Times New Roman" w:eastAsia="Times New Roman" w:hint="default"/>
        </w:rPr>
        <w:t>[2018</w:t>
      </w:r>
      <w:r>
        <w:rPr>
          <w:rFonts w:ascii="Times New Roman" w:hAnsi="Times New Roman" w:cs="Times New Roman" w:eastAsia="Times New Roman" w:hint="default"/>
          <w:spacing w:val="-2"/>
        </w:rPr>
        <w:t>]</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w:t>
      </w:r>
      <w:r>
        <w:rPr>
          <w:spacing w:val="-89"/>
        </w:rPr>
        <w:t>）</w:t>
      </w:r>
      <w:r>
        <w:rPr>
          <w:spacing w:val="-23"/>
        </w:rPr>
        <w:t>，</w:t>
      </w:r>
      <w:r>
        <w:rPr/>
        <w:t>本</w:t>
      </w:r>
      <w:r>
        <w:rPr>
          <w:spacing w:val="1"/>
        </w:rPr>
        <w:t>公</w:t>
      </w:r>
      <w:r>
        <w:rPr/>
        <w:t>司经</w:t>
      </w:r>
    </w:p>
    <w:p>
      <w:pPr>
        <w:spacing w:line="516" w:lineRule="auto" w:before="131"/>
        <w:ind w:left="575" w:right="1308" w:hanging="362"/>
        <w:jc w:val="left"/>
        <w:rPr>
          <w:rFonts w:ascii="宋体" w:hAnsi="宋体" w:cs="宋体" w:eastAsia="宋体" w:hint="default"/>
          <w:sz w:val="18"/>
          <w:szCs w:val="18"/>
        </w:rPr>
      </w:pPr>
      <w:r>
        <w:rPr>
          <w:rFonts w:ascii="宋体" w:hAnsi="宋体" w:cs="宋体" w:eastAsia="宋体" w:hint="default"/>
          <w:sz w:val="18"/>
          <w:szCs w:val="18"/>
        </w:rPr>
        <w:t>董事会会议批准，从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日开始按通知规定编制财务报表，并对可比期间的比较数据按照通知规定进行调整。 </w:t>
      </w:r>
      <w:r>
        <w:rPr>
          <w:rFonts w:ascii="宋体" w:hAnsi="宋体" w:cs="宋体" w:eastAsia="宋体" w:hint="default"/>
          <w:b/>
          <w:bCs/>
          <w:sz w:val="18"/>
          <w:szCs w:val="18"/>
        </w:rPr>
        <w:t>该会计政策变化对本公司报告期合并财务报表影响列示如下：</w:t>
      </w:r>
      <w:r>
        <w:rPr>
          <w:rFonts w:ascii="宋体" w:hAnsi="宋体" w:cs="宋体" w:eastAsia="宋体" w:hint="default"/>
          <w:sz w:val="18"/>
          <w:szCs w:val="18"/>
        </w:rPr>
      </w:r>
    </w:p>
    <w:tbl>
      <w:tblPr>
        <w:tblW w:w="0" w:type="auto"/>
        <w:jc w:val="left"/>
        <w:tblInd w:w="101" w:type="dxa"/>
        <w:tblLayout w:type="fixed"/>
        <w:tblCellMar>
          <w:top w:w="0" w:type="dxa"/>
          <w:left w:w="0" w:type="dxa"/>
          <w:bottom w:w="0" w:type="dxa"/>
          <w:right w:w="0" w:type="dxa"/>
        </w:tblCellMar>
        <w:tblLook w:val="01E0"/>
      </w:tblPr>
      <w:tblGrid>
        <w:gridCol w:w="2980"/>
        <w:gridCol w:w="2718"/>
        <w:gridCol w:w="2169"/>
        <w:gridCol w:w="2224"/>
      </w:tblGrid>
      <w:tr>
        <w:trPr>
          <w:trHeight w:val="407"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00"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65" w:right="0"/>
              <w:jc w:val="left"/>
              <w:rPr>
                <w:rFonts w:ascii="宋体" w:hAnsi="宋体" w:cs="宋体" w:eastAsia="宋体" w:hint="default"/>
                <w:sz w:val="18"/>
                <w:szCs w:val="18"/>
              </w:rPr>
            </w:pPr>
            <w:r>
              <w:rPr>
                <w:rFonts w:ascii="宋体" w:hAnsi="宋体" w:cs="宋体" w:eastAsia="宋体" w:hint="default"/>
                <w:b/>
                <w:bCs/>
                <w:sz w:val="18"/>
                <w:szCs w:val="18"/>
              </w:rPr>
              <w:t>影响期末或本期金额</w:t>
            </w:r>
            <w:r>
              <w:rPr>
                <w:rFonts w:ascii="宋体" w:hAnsi="宋体" w:cs="宋体" w:eastAsia="宋体" w:hint="default"/>
                <w:sz w:val="18"/>
                <w:szCs w:val="18"/>
              </w:rPr>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37" w:right="0"/>
              <w:jc w:val="left"/>
              <w:rPr>
                <w:rFonts w:ascii="宋体" w:hAnsi="宋体" w:cs="宋体" w:eastAsia="宋体" w:hint="default"/>
                <w:sz w:val="18"/>
                <w:szCs w:val="18"/>
              </w:rPr>
            </w:pPr>
            <w:r>
              <w:rPr>
                <w:rFonts w:ascii="宋体" w:hAnsi="宋体" w:cs="宋体" w:eastAsia="宋体" w:hint="default"/>
                <w:b/>
                <w:bCs/>
                <w:sz w:val="18"/>
                <w:szCs w:val="18"/>
              </w:rPr>
              <w:t>影响期初或上期金额</w:t>
            </w:r>
            <w:r>
              <w:rPr>
                <w:rFonts w:ascii="宋体" w:hAnsi="宋体" w:cs="宋体" w:eastAsia="宋体" w:hint="default"/>
                <w:sz w:val="18"/>
                <w:szCs w:val="18"/>
              </w:rPr>
            </w:r>
          </w:p>
        </w:tc>
      </w:tr>
      <w:tr>
        <w:trPr>
          <w:trHeight w:val="407" w:hRule="exact"/>
        </w:trPr>
        <w:tc>
          <w:tcPr>
            <w:tcW w:w="29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367" w:lineRule="auto"/>
              <w:ind w:left="103" w:right="104"/>
              <w:jc w:val="left"/>
              <w:rPr>
                <w:rFonts w:ascii="宋体" w:hAnsi="宋体" w:cs="宋体" w:eastAsia="宋体" w:hint="default"/>
                <w:sz w:val="18"/>
                <w:szCs w:val="18"/>
              </w:rPr>
            </w:pPr>
            <w:r>
              <w:rPr>
                <w:rFonts w:ascii="宋体" w:hAnsi="宋体" w:cs="宋体" w:eastAsia="宋体" w:hint="default"/>
                <w:spacing w:val="3"/>
                <w:sz w:val="18"/>
                <w:szCs w:val="18"/>
              </w:rPr>
              <w:t>将应收票据和应收账款合并计入应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收票据及应收账款项目</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1"/>
              <w:jc w:val="right"/>
              <w:rPr>
                <w:rFonts w:ascii="Times New Roman" w:hAnsi="Times New Roman" w:cs="Times New Roman" w:eastAsia="Times New Roman" w:hint="default"/>
                <w:sz w:val="18"/>
                <w:szCs w:val="18"/>
              </w:rPr>
            </w:pPr>
            <w:r>
              <w:rPr>
                <w:rFonts w:ascii="Times New Roman"/>
                <w:w w:val="95"/>
                <w:sz w:val="18"/>
              </w:rPr>
              <w:t>-30,000.00</w:t>
            </w:r>
            <w:r>
              <w:rPr>
                <w:rFonts w:ascii="Times New Roman"/>
                <w:sz w:val="18"/>
              </w:rPr>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0"/>
              <w:jc w:val="right"/>
              <w:rPr>
                <w:rFonts w:ascii="Times New Roman" w:hAnsi="Times New Roman" w:cs="Times New Roman" w:eastAsia="Times New Roman" w:hint="default"/>
                <w:sz w:val="18"/>
                <w:szCs w:val="18"/>
              </w:rPr>
            </w:pPr>
            <w:r>
              <w:rPr>
                <w:rFonts w:ascii="Times New Roman"/>
                <w:spacing w:val="-1"/>
                <w:sz w:val="18"/>
              </w:rPr>
              <w:t>-1,964,488.04</w:t>
            </w:r>
          </w:p>
        </w:tc>
      </w:tr>
      <w:tr>
        <w:trPr>
          <w:trHeight w:val="407" w:hRule="exact"/>
        </w:trPr>
        <w:tc>
          <w:tcPr>
            <w:tcW w:w="2980" w:type="dxa"/>
            <w:vMerge/>
            <w:tcBorders>
              <w:left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3"/>
              <w:jc w:val="right"/>
              <w:rPr>
                <w:rFonts w:ascii="Times New Roman" w:hAnsi="Times New Roman" w:cs="Times New Roman" w:eastAsia="Times New Roman" w:hint="default"/>
                <w:sz w:val="18"/>
                <w:szCs w:val="18"/>
              </w:rPr>
            </w:pPr>
            <w:r>
              <w:rPr>
                <w:rFonts w:ascii="Times New Roman"/>
                <w:sz w:val="18"/>
              </w:rPr>
              <w:t>-</w:t>
            </w:r>
            <w:r>
              <w:rPr>
                <w:rFonts w:ascii="Times New Roman"/>
                <w:spacing w:val="-5"/>
                <w:sz w:val="18"/>
              </w:rPr>
              <w:t> </w:t>
            </w:r>
            <w:r>
              <w:rPr>
                <w:rFonts w:ascii="Times New Roman"/>
                <w:sz w:val="18"/>
              </w:rPr>
              <w:t>155,661,264.58</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0"/>
              <w:jc w:val="right"/>
              <w:rPr>
                <w:rFonts w:ascii="Times New Roman" w:hAnsi="Times New Roman" w:cs="Times New Roman" w:eastAsia="Times New Roman" w:hint="default"/>
                <w:sz w:val="18"/>
                <w:szCs w:val="18"/>
              </w:rPr>
            </w:pPr>
            <w:r>
              <w:rPr>
                <w:rFonts w:ascii="Times New Roman"/>
                <w:spacing w:val="-1"/>
                <w:sz w:val="18"/>
              </w:rPr>
              <w:t>-106,812,607.61</w:t>
            </w:r>
          </w:p>
        </w:tc>
      </w:tr>
      <w:tr>
        <w:trPr>
          <w:trHeight w:val="408" w:hRule="exact"/>
        </w:trPr>
        <w:tc>
          <w:tcPr>
            <w:tcW w:w="2980" w:type="dxa"/>
            <w:vMerge/>
            <w:tcBorders>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1"/>
              <w:jc w:val="right"/>
              <w:rPr>
                <w:rFonts w:ascii="Times New Roman" w:hAnsi="Times New Roman" w:cs="Times New Roman" w:eastAsia="Times New Roman" w:hint="default"/>
                <w:sz w:val="18"/>
                <w:szCs w:val="18"/>
              </w:rPr>
            </w:pPr>
            <w:r>
              <w:rPr>
                <w:rFonts w:ascii="Times New Roman"/>
                <w:spacing w:val="-1"/>
                <w:sz w:val="18"/>
              </w:rPr>
              <w:t>155,691,264.58</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0"/>
              <w:jc w:val="right"/>
              <w:rPr>
                <w:rFonts w:ascii="Times New Roman" w:hAnsi="Times New Roman" w:cs="Times New Roman" w:eastAsia="Times New Roman" w:hint="default"/>
                <w:sz w:val="18"/>
                <w:szCs w:val="18"/>
              </w:rPr>
            </w:pPr>
            <w:r>
              <w:rPr>
                <w:rFonts w:ascii="Times New Roman"/>
                <w:spacing w:val="-1"/>
                <w:sz w:val="18"/>
              </w:rPr>
              <w:t>108,777,095.65</w:t>
            </w:r>
          </w:p>
        </w:tc>
      </w:tr>
      <w:tr>
        <w:trPr>
          <w:trHeight w:val="407" w:hRule="exact"/>
        </w:trPr>
        <w:tc>
          <w:tcPr>
            <w:tcW w:w="29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367" w:lineRule="auto"/>
              <w:ind w:left="103" w:right="165"/>
              <w:jc w:val="left"/>
              <w:rPr>
                <w:rFonts w:ascii="宋体" w:hAnsi="宋体" w:cs="宋体" w:eastAsia="宋体" w:hint="default"/>
                <w:sz w:val="18"/>
                <w:szCs w:val="18"/>
              </w:rPr>
            </w:pPr>
            <w:r>
              <w:rPr>
                <w:rFonts w:ascii="宋体" w:hAnsi="宋体" w:cs="宋体" w:eastAsia="宋体" w:hint="default"/>
                <w:sz w:val="18"/>
                <w:szCs w:val="18"/>
              </w:rPr>
              <w:t>将应付票据和应付账款合并计入应 付票据及应付账款项目</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69" w:type="dxa"/>
            <w:tcBorders>
              <w:top w:val="single" w:sz="4" w:space="0" w:color="000000"/>
              <w:left w:val="single" w:sz="4" w:space="0" w:color="000000"/>
              <w:bottom w:val="single" w:sz="4" w:space="0" w:color="000000"/>
              <w:right w:val="single" w:sz="4" w:space="0" w:color="000000"/>
            </w:tcBorders>
          </w:tcPr>
          <w:p>
            <w:pP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40"/>
              <w:jc w:val="right"/>
              <w:rPr>
                <w:rFonts w:ascii="Times New Roman" w:hAnsi="Times New Roman" w:cs="Times New Roman" w:eastAsia="Times New Roman" w:hint="default"/>
                <w:sz w:val="18"/>
                <w:szCs w:val="18"/>
              </w:rPr>
            </w:pPr>
            <w:r>
              <w:rPr>
                <w:rFonts w:ascii="Times New Roman"/>
                <w:spacing w:val="-1"/>
                <w:sz w:val="18"/>
              </w:rPr>
              <w:t>-13,158,636.00</w:t>
            </w:r>
          </w:p>
        </w:tc>
      </w:tr>
      <w:tr>
        <w:trPr>
          <w:trHeight w:val="407" w:hRule="exact"/>
        </w:trPr>
        <w:tc>
          <w:tcPr>
            <w:tcW w:w="2980" w:type="dxa"/>
            <w:vMerge/>
            <w:tcBorders>
              <w:left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1"/>
              <w:jc w:val="right"/>
              <w:rPr>
                <w:rFonts w:ascii="Times New Roman" w:hAnsi="Times New Roman" w:cs="Times New Roman" w:eastAsia="Times New Roman" w:hint="default"/>
                <w:sz w:val="18"/>
                <w:szCs w:val="18"/>
              </w:rPr>
            </w:pPr>
            <w:r>
              <w:rPr>
                <w:rFonts w:ascii="Times New Roman"/>
                <w:spacing w:val="-1"/>
                <w:sz w:val="18"/>
              </w:rPr>
              <w:t>-56,244,946.79</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0"/>
              <w:jc w:val="right"/>
              <w:rPr>
                <w:rFonts w:ascii="Times New Roman" w:hAnsi="Times New Roman" w:cs="Times New Roman" w:eastAsia="Times New Roman" w:hint="default"/>
                <w:sz w:val="18"/>
                <w:szCs w:val="18"/>
              </w:rPr>
            </w:pPr>
            <w:r>
              <w:rPr>
                <w:rFonts w:ascii="Times New Roman"/>
                <w:spacing w:val="-1"/>
                <w:sz w:val="18"/>
              </w:rPr>
              <w:t>-37,898,597.33</w:t>
            </w:r>
          </w:p>
        </w:tc>
      </w:tr>
      <w:tr>
        <w:trPr>
          <w:trHeight w:val="407" w:hRule="exact"/>
        </w:trPr>
        <w:tc>
          <w:tcPr>
            <w:tcW w:w="2980" w:type="dxa"/>
            <w:vMerge/>
            <w:tcBorders>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1"/>
              <w:jc w:val="right"/>
              <w:rPr>
                <w:rFonts w:ascii="Times New Roman" w:hAnsi="Times New Roman" w:cs="Times New Roman" w:eastAsia="Times New Roman" w:hint="default"/>
                <w:sz w:val="18"/>
                <w:szCs w:val="18"/>
              </w:rPr>
            </w:pPr>
            <w:r>
              <w:rPr>
                <w:rFonts w:ascii="Times New Roman"/>
                <w:spacing w:val="-1"/>
                <w:sz w:val="18"/>
              </w:rPr>
              <w:t>56,244,946.79</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0"/>
              <w:jc w:val="right"/>
              <w:rPr>
                <w:rFonts w:ascii="Times New Roman" w:hAnsi="Times New Roman" w:cs="Times New Roman" w:eastAsia="Times New Roman" w:hint="default"/>
                <w:sz w:val="18"/>
                <w:szCs w:val="18"/>
              </w:rPr>
            </w:pPr>
            <w:r>
              <w:rPr>
                <w:rFonts w:ascii="Times New Roman"/>
                <w:spacing w:val="-1"/>
                <w:sz w:val="18"/>
              </w:rPr>
              <w:t>51,057,233.33</w:t>
            </w:r>
          </w:p>
        </w:tc>
      </w:tr>
      <w:tr>
        <w:trPr>
          <w:trHeight w:val="407" w:hRule="exact"/>
        </w:trPr>
        <w:tc>
          <w:tcPr>
            <w:tcW w:w="2980" w:type="dxa"/>
            <w:vMerge w:val="restart"/>
            <w:tcBorders>
              <w:top w:val="single" w:sz="4" w:space="0" w:color="000000"/>
              <w:left w:val="single" w:sz="4" w:space="0" w:color="000000"/>
              <w:right w:val="single" w:sz="4" w:space="0" w:color="000000"/>
            </w:tcBorders>
          </w:tcPr>
          <w:p>
            <w:pPr>
              <w:pStyle w:val="TableParagraph"/>
              <w:spacing w:line="367" w:lineRule="auto" w:before="119"/>
              <w:ind w:left="103" w:right="104"/>
              <w:jc w:val="left"/>
              <w:rPr>
                <w:rFonts w:ascii="宋体" w:hAnsi="宋体" w:cs="宋体" w:eastAsia="宋体" w:hint="default"/>
                <w:sz w:val="18"/>
                <w:szCs w:val="18"/>
              </w:rPr>
            </w:pPr>
            <w:r>
              <w:rPr>
                <w:rFonts w:ascii="宋体" w:hAnsi="宋体" w:cs="宋体" w:eastAsia="宋体" w:hint="default"/>
                <w:spacing w:val="3"/>
                <w:sz w:val="18"/>
                <w:szCs w:val="18"/>
              </w:rPr>
              <w:t>将原计入管理费用项目的研发费用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单独列示为研发费用项目</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1"/>
              <w:jc w:val="right"/>
              <w:rPr>
                <w:rFonts w:ascii="Times New Roman" w:hAnsi="Times New Roman" w:cs="Times New Roman" w:eastAsia="Times New Roman" w:hint="default"/>
                <w:sz w:val="18"/>
                <w:szCs w:val="18"/>
              </w:rPr>
            </w:pPr>
            <w:r>
              <w:rPr>
                <w:rFonts w:ascii="Times New Roman"/>
                <w:spacing w:val="-1"/>
                <w:sz w:val="18"/>
              </w:rPr>
              <w:t>24,252,042.35</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0"/>
              <w:jc w:val="right"/>
              <w:rPr>
                <w:rFonts w:ascii="Times New Roman" w:hAnsi="Times New Roman" w:cs="Times New Roman" w:eastAsia="Times New Roman" w:hint="default"/>
                <w:sz w:val="18"/>
                <w:szCs w:val="18"/>
              </w:rPr>
            </w:pPr>
            <w:r>
              <w:rPr>
                <w:rFonts w:ascii="Times New Roman"/>
                <w:spacing w:val="-1"/>
                <w:sz w:val="18"/>
              </w:rPr>
              <w:t>22,045,032.76</w:t>
            </w:r>
          </w:p>
        </w:tc>
      </w:tr>
      <w:tr>
        <w:trPr>
          <w:trHeight w:val="407" w:hRule="exact"/>
        </w:trPr>
        <w:tc>
          <w:tcPr>
            <w:tcW w:w="2980" w:type="dxa"/>
            <w:vMerge/>
            <w:tcBorders>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1"/>
              <w:jc w:val="right"/>
              <w:rPr>
                <w:rFonts w:ascii="Times New Roman" w:hAnsi="Times New Roman" w:cs="Times New Roman" w:eastAsia="Times New Roman" w:hint="default"/>
                <w:sz w:val="18"/>
                <w:szCs w:val="18"/>
              </w:rPr>
            </w:pPr>
            <w:r>
              <w:rPr>
                <w:rFonts w:ascii="Times New Roman"/>
                <w:spacing w:val="-1"/>
                <w:sz w:val="18"/>
              </w:rPr>
              <w:t>-24,252,042.35</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0"/>
              <w:jc w:val="right"/>
              <w:rPr>
                <w:rFonts w:ascii="Times New Roman" w:hAnsi="Times New Roman" w:cs="Times New Roman" w:eastAsia="Times New Roman" w:hint="default"/>
                <w:sz w:val="18"/>
                <w:szCs w:val="18"/>
              </w:rPr>
            </w:pPr>
            <w:r>
              <w:rPr>
                <w:rFonts w:ascii="Times New Roman"/>
                <w:spacing w:val="-1"/>
                <w:sz w:val="18"/>
              </w:rPr>
              <w:t>-22,045,032.76</w:t>
            </w:r>
          </w:p>
        </w:tc>
      </w:tr>
      <w:tr>
        <w:trPr>
          <w:trHeight w:val="408" w:hRule="exact"/>
        </w:trPr>
        <w:tc>
          <w:tcPr>
            <w:tcW w:w="2980" w:type="dxa"/>
            <w:vMerge w:val="restart"/>
            <w:tcBorders>
              <w:top w:val="single" w:sz="4" w:space="0" w:color="000000"/>
              <w:left w:val="single" w:sz="4" w:space="0" w:color="000000"/>
              <w:right w:val="single" w:sz="4" w:space="0" w:color="000000"/>
            </w:tcBorders>
          </w:tcPr>
          <w:p>
            <w:pPr>
              <w:pStyle w:val="TableParagraph"/>
              <w:spacing w:line="367" w:lineRule="auto" w:before="121"/>
              <w:ind w:left="103" w:right="104"/>
              <w:jc w:val="left"/>
              <w:rPr>
                <w:rFonts w:ascii="宋体" w:hAnsi="宋体" w:cs="宋体" w:eastAsia="宋体" w:hint="default"/>
                <w:sz w:val="18"/>
                <w:szCs w:val="18"/>
              </w:rPr>
            </w:pPr>
            <w:r>
              <w:rPr>
                <w:rFonts w:ascii="宋体" w:hAnsi="宋体" w:cs="宋体" w:eastAsia="宋体" w:hint="default"/>
                <w:spacing w:val="3"/>
                <w:sz w:val="18"/>
                <w:szCs w:val="18"/>
              </w:rPr>
              <w:t>将原计入营业外收入的个税手续费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返还计入其他收益</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1"/>
              <w:jc w:val="right"/>
              <w:rPr>
                <w:rFonts w:ascii="Times New Roman" w:hAnsi="Times New Roman" w:cs="Times New Roman" w:eastAsia="Times New Roman" w:hint="default"/>
                <w:sz w:val="18"/>
                <w:szCs w:val="18"/>
              </w:rPr>
            </w:pPr>
            <w:r>
              <w:rPr>
                <w:rFonts w:ascii="Times New Roman"/>
                <w:sz w:val="18"/>
              </w:rPr>
              <w:t>77,143.16</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0"/>
              <w:jc w:val="right"/>
              <w:rPr>
                <w:rFonts w:ascii="Times New Roman" w:hAnsi="Times New Roman" w:cs="Times New Roman" w:eastAsia="Times New Roman" w:hint="default"/>
                <w:sz w:val="18"/>
                <w:szCs w:val="18"/>
              </w:rPr>
            </w:pPr>
            <w:r>
              <w:rPr>
                <w:rFonts w:ascii="Times New Roman"/>
                <w:sz w:val="18"/>
              </w:rPr>
              <w:t>84,471.82</w:t>
            </w:r>
          </w:p>
        </w:tc>
      </w:tr>
      <w:tr>
        <w:trPr>
          <w:trHeight w:val="407" w:hRule="exact"/>
        </w:trPr>
        <w:tc>
          <w:tcPr>
            <w:tcW w:w="2980" w:type="dxa"/>
            <w:vMerge/>
            <w:tcBorders>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41"/>
              <w:jc w:val="right"/>
              <w:rPr>
                <w:rFonts w:ascii="Times New Roman" w:hAnsi="Times New Roman" w:cs="Times New Roman" w:eastAsia="Times New Roman" w:hint="default"/>
                <w:sz w:val="18"/>
                <w:szCs w:val="18"/>
              </w:rPr>
            </w:pPr>
            <w:r>
              <w:rPr>
                <w:rFonts w:ascii="Times New Roman"/>
                <w:w w:val="95"/>
                <w:sz w:val="18"/>
              </w:rPr>
              <w:t>-77,143.16</w:t>
            </w:r>
            <w:r>
              <w:rPr>
                <w:rFonts w:ascii="Times New Roman"/>
                <w:sz w:val="18"/>
              </w:rPr>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40"/>
              <w:jc w:val="right"/>
              <w:rPr>
                <w:rFonts w:ascii="Times New Roman" w:hAnsi="Times New Roman" w:cs="Times New Roman" w:eastAsia="Times New Roman" w:hint="default"/>
                <w:sz w:val="18"/>
                <w:szCs w:val="18"/>
              </w:rPr>
            </w:pPr>
            <w:r>
              <w:rPr>
                <w:rFonts w:ascii="Times New Roman"/>
                <w:w w:val="95"/>
                <w:sz w:val="18"/>
              </w:rPr>
              <w:t>-84,471.82</w:t>
            </w:r>
            <w:r>
              <w:rPr>
                <w:rFonts w:ascii="Times New Roman"/>
                <w:sz w:val="18"/>
              </w:rPr>
            </w:r>
          </w:p>
        </w:tc>
      </w:tr>
      <w:tr>
        <w:trPr>
          <w:trHeight w:val="730" w:hRule="exact"/>
        </w:trPr>
        <w:tc>
          <w:tcPr>
            <w:tcW w:w="2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367" w:lineRule="auto"/>
              <w:ind w:left="103" w:right="165"/>
              <w:jc w:val="left"/>
              <w:rPr>
                <w:rFonts w:ascii="宋体" w:hAnsi="宋体" w:cs="宋体" w:eastAsia="宋体" w:hint="default"/>
                <w:sz w:val="18"/>
                <w:szCs w:val="18"/>
              </w:rPr>
            </w:pPr>
            <w:r>
              <w:rPr>
                <w:rFonts w:ascii="宋体" w:hAnsi="宋体" w:cs="宋体" w:eastAsia="宋体" w:hint="default"/>
                <w:sz w:val="18"/>
                <w:szCs w:val="18"/>
              </w:rPr>
              <w:t>将与资产相关的政府补助计入收到 的其他与经营活动有关的现金</w:t>
            </w: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1" w:right="264"/>
              <w:jc w:val="left"/>
              <w:rPr>
                <w:rFonts w:ascii="宋体" w:hAnsi="宋体" w:cs="宋体" w:eastAsia="宋体" w:hint="default"/>
                <w:sz w:val="18"/>
                <w:szCs w:val="18"/>
              </w:rPr>
            </w:pPr>
            <w:r>
              <w:rPr>
                <w:rFonts w:ascii="宋体" w:hAnsi="宋体" w:cs="宋体" w:eastAsia="宋体" w:hint="default"/>
                <w:sz w:val="18"/>
                <w:szCs w:val="18"/>
              </w:rPr>
              <w:t>收到的其他与投资活动有关的 现金</w:t>
            </w:r>
            <w:r>
              <w:rPr>
                <w:rFonts w:ascii="宋体" w:hAnsi="宋体" w:cs="宋体" w:eastAsia="宋体" w:hint="default"/>
                <w:sz w:val="18"/>
                <w:szCs w:val="18"/>
              </w:rPr>
              <w:t>-</w:t>
            </w:r>
            <w:r>
              <w:rPr>
                <w:rFonts w:ascii="宋体" w:hAnsi="宋体" w:cs="宋体" w:eastAsia="宋体" w:hint="default"/>
                <w:sz w:val="18"/>
                <w:szCs w:val="18"/>
              </w:rPr>
              <w:t>与资产相关的政府补助</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-1,500,000.00</w:t>
            </w:r>
          </w:p>
        </w:tc>
        <w:tc>
          <w:tcPr>
            <w:tcW w:w="2224"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980" w:type="dxa"/>
            <w:vMerge/>
            <w:tcBorders>
              <w:left w:val="single" w:sz="4" w:space="0" w:color="000000"/>
              <w:bottom w:val="single" w:sz="4" w:space="0" w:color="000000"/>
              <w:right w:val="single" w:sz="4" w:space="0" w:color="000000"/>
            </w:tcBorders>
          </w:tcPr>
          <w:p>
            <w:pPr/>
          </w:p>
        </w:tc>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1" w:right="264"/>
              <w:jc w:val="left"/>
              <w:rPr>
                <w:rFonts w:ascii="宋体" w:hAnsi="宋体" w:cs="宋体" w:eastAsia="宋体" w:hint="default"/>
                <w:sz w:val="18"/>
                <w:szCs w:val="18"/>
              </w:rPr>
            </w:pPr>
            <w:r>
              <w:rPr>
                <w:rFonts w:ascii="宋体" w:hAnsi="宋体" w:cs="宋体" w:eastAsia="宋体" w:hint="default"/>
                <w:sz w:val="18"/>
                <w:szCs w:val="18"/>
              </w:rPr>
              <w:t>收到的其他与经营活动有关的 现金</w:t>
            </w:r>
            <w:r>
              <w:rPr>
                <w:rFonts w:ascii="宋体" w:hAnsi="宋体" w:cs="宋体" w:eastAsia="宋体" w:hint="default"/>
                <w:sz w:val="18"/>
                <w:szCs w:val="18"/>
              </w:rPr>
              <w:t>-</w:t>
            </w:r>
            <w:r>
              <w:rPr>
                <w:rFonts w:ascii="宋体" w:hAnsi="宋体" w:cs="宋体" w:eastAsia="宋体" w:hint="default"/>
                <w:sz w:val="18"/>
                <w:szCs w:val="18"/>
              </w:rPr>
              <w:t>政府补助</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41"/>
              <w:jc w:val="right"/>
              <w:rPr>
                <w:rFonts w:ascii="Times New Roman" w:hAnsi="Times New Roman" w:cs="Times New Roman" w:eastAsia="Times New Roman" w:hint="default"/>
                <w:sz w:val="18"/>
                <w:szCs w:val="18"/>
              </w:rPr>
            </w:pPr>
            <w:r>
              <w:rPr>
                <w:rFonts w:ascii="Times New Roman"/>
                <w:spacing w:val="-1"/>
                <w:sz w:val="18"/>
              </w:rPr>
              <w:t>1,500,000.00</w:t>
            </w:r>
          </w:p>
        </w:tc>
        <w:tc>
          <w:tcPr>
            <w:tcW w:w="2224"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
              <w:ind w:left="103" w:right="165"/>
              <w:jc w:val="left"/>
              <w:rPr>
                <w:rFonts w:ascii="宋体" w:hAnsi="宋体" w:cs="宋体" w:eastAsia="宋体" w:hint="default"/>
                <w:sz w:val="18"/>
                <w:szCs w:val="18"/>
              </w:rPr>
            </w:pPr>
            <w:r>
              <w:rPr>
                <w:rFonts w:ascii="宋体" w:hAnsi="宋体" w:cs="宋体" w:eastAsia="宋体" w:hint="default"/>
                <w:sz w:val="18"/>
                <w:szCs w:val="18"/>
              </w:rPr>
              <w:t>新增“设定受益计划变动额结转留 存收益”项目</w:t>
            </w:r>
          </w:p>
        </w:tc>
        <w:tc>
          <w:tcPr>
            <w:tcW w:w="71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合并所有者权益变动表：无影响</w:t>
            </w:r>
          </w:p>
        </w:tc>
      </w:tr>
    </w:tbl>
    <w:p>
      <w:pPr>
        <w:spacing w:line="240" w:lineRule="auto" w:before="12"/>
        <w:rPr>
          <w:rFonts w:ascii="宋体" w:hAnsi="宋体" w:cs="宋体" w:eastAsia="宋体" w:hint="default"/>
          <w:b/>
          <w:bCs/>
          <w:sz w:val="23"/>
          <w:szCs w:val="23"/>
        </w:rPr>
      </w:pPr>
    </w:p>
    <w:p>
      <w:pPr>
        <w:pStyle w:val="Heading5"/>
        <w:spacing w:line="240" w:lineRule="auto"/>
        <w:ind w:left="575" w:right="0"/>
        <w:jc w:val="left"/>
        <w:rPr>
          <w:b w:val="0"/>
          <w:bCs w:val="0"/>
        </w:rPr>
      </w:pPr>
      <w:r>
        <w:rPr/>
        <w:t>该会计政策变化对公司报告期母公司财务报表影响列示如下：</w:t>
      </w:r>
      <w:r>
        <w:rPr>
          <w:b w:val="0"/>
          <w:bCs w:val="0"/>
        </w:rPr>
      </w:r>
    </w:p>
    <w:p>
      <w:pPr>
        <w:spacing w:line="240" w:lineRule="auto" w:before="6"/>
        <w:rPr>
          <w:rFonts w:ascii="宋体" w:hAnsi="宋体" w:cs="宋体" w:eastAsia="宋体" w:hint="default"/>
          <w:b/>
          <w:bCs/>
          <w:sz w:val="15"/>
          <w:szCs w:val="15"/>
        </w:rPr>
      </w:pPr>
    </w:p>
    <w:tbl>
      <w:tblPr>
        <w:tblW w:w="0" w:type="auto"/>
        <w:jc w:val="left"/>
        <w:tblInd w:w="101" w:type="dxa"/>
        <w:tblLayout w:type="fixed"/>
        <w:tblCellMar>
          <w:top w:w="0" w:type="dxa"/>
          <w:left w:w="0" w:type="dxa"/>
          <w:bottom w:w="0" w:type="dxa"/>
          <w:right w:w="0" w:type="dxa"/>
        </w:tblCellMar>
        <w:tblLook w:val="01E0"/>
      </w:tblPr>
      <w:tblGrid>
        <w:gridCol w:w="2980"/>
        <w:gridCol w:w="2555"/>
        <w:gridCol w:w="2132"/>
        <w:gridCol w:w="2069"/>
      </w:tblGrid>
      <w:tr>
        <w:trPr>
          <w:trHeight w:val="408"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00"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8" w:right="0"/>
              <w:jc w:val="left"/>
              <w:rPr>
                <w:rFonts w:ascii="宋体" w:hAnsi="宋体" w:cs="宋体" w:eastAsia="宋体" w:hint="default"/>
                <w:sz w:val="18"/>
                <w:szCs w:val="18"/>
              </w:rPr>
            </w:pPr>
            <w:r>
              <w:rPr>
                <w:rFonts w:ascii="宋体" w:hAnsi="宋体" w:cs="宋体" w:eastAsia="宋体" w:hint="default"/>
                <w:b/>
                <w:bCs/>
                <w:sz w:val="18"/>
                <w:szCs w:val="18"/>
              </w:rPr>
              <w:t>影响期末或本期金额</w:t>
            </w:r>
            <w:r>
              <w:rPr>
                <w:rFonts w:ascii="宋体" w:hAnsi="宋体" w:cs="宋体" w:eastAsia="宋体" w:hint="default"/>
                <w:sz w:val="18"/>
                <w:szCs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72"/>
              <w:jc w:val="right"/>
              <w:rPr>
                <w:rFonts w:ascii="宋体" w:hAnsi="宋体" w:cs="宋体" w:eastAsia="宋体" w:hint="default"/>
                <w:sz w:val="18"/>
                <w:szCs w:val="18"/>
              </w:rPr>
            </w:pPr>
            <w:r>
              <w:rPr>
                <w:rFonts w:ascii="宋体" w:hAnsi="宋体" w:cs="宋体" w:eastAsia="宋体" w:hint="default"/>
                <w:b/>
                <w:bCs/>
                <w:w w:val="95"/>
                <w:sz w:val="18"/>
                <w:szCs w:val="18"/>
              </w:rPr>
              <w:t>影响期初或上期金额</w:t>
            </w:r>
            <w:r>
              <w:rPr>
                <w:rFonts w:ascii="宋体" w:hAnsi="宋体" w:cs="宋体" w:eastAsia="宋体" w:hint="default"/>
                <w:sz w:val="18"/>
                <w:szCs w:val="18"/>
              </w:rPr>
            </w:r>
          </w:p>
        </w:tc>
      </w:tr>
      <w:tr>
        <w:trPr>
          <w:trHeight w:val="407" w:hRule="exact"/>
        </w:trPr>
        <w:tc>
          <w:tcPr>
            <w:tcW w:w="29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367" w:lineRule="auto"/>
              <w:ind w:left="103" w:right="102"/>
              <w:jc w:val="left"/>
              <w:rPr>
                <w:rFonts w:ascii="宋体" w:hAnsi="宋体" w:cs="宋体" w:eastAsia="宋体" w:hint="default"/>
                <w:sz w:val="18"/>
                <w:szCs w:val="18"/>
              </w:rPr>
            </w:pPr>
            <w:r>
              <w:rPr>
                <w:rFonts w:ascii="宋体" w:hAnsi="宋体" w:cs="宋体" w:eastAsia="宋体" w:hint="default"/>
                <w:spacing w:val="3"/>
                <w:sz w:val="18"/>
                <w:szCs w:val="18"/>
              </w:rPr>
              <w:t>将应收票据和应收账款合并计入应</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收票据及应收账款项目</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16"/>
              <w:jc w:val="right"/>
              <w:rPr>
                <w:rFonts w:ascii="Times New Roman" w:hAnsi="Times New Roman" w:cs="Times New Roman" w:eastAsia="Times New Roman" w:hint="default"/>
                <w:sz w:val="18"/>
                <w:szCs w:val="18"/>
              </w:rPr>
            </w:pPr>
            <w:r>
              <w:rPr>
                <w:rFonts w:ascii="Times New Roman"/>
                <w:w w:val="95"/>
                <w:sz w:val="18"/>
              </w:rPr>
              <w:t>-30,000.00</w:t>
            </w:r>
            <w:r>
              <w:rPr>
                <w:rFonts w:ascii="Times New Roman"/>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31"/>
              <w:jc w:val="right"/>
              <w:rPr>
                <w:rFonts w:ascii="Times New Roman" w:hAnsi="Times New Roman" w:cs="Times New Roman" w:eastAsia="Times New Roman" w:hint="default"/>
                <w:sz w:val="18"/>
                <w:szCs w:val="18"/>
              </w:rPr>
            </w:pPr>
            <w:r>
              <w:rPr>
                <w:rFonts w:ascii="Times New Roman"/>
                <w:spacing w:val="-1"/>
                <w:sz w:val="18"/>
              </w:rPr>
              <w:t>-1,964,488.04</w:t>
            </w:r>
          </w:p>
        </w:tc>
      </w:tr>
      <w:tr>
        <w:trPr>
          <w:trHeight w:val="407" w:hRule="exact"/>
        </w:trPr>
        <w:tc>
          <w:tcPr>
            <w:tcW w:w="2980" w:type="dxa"/>
            <w:vMerge/>
            <w:tcBorders>
              <w:left w:val="single" w:sz="4" w:space="0" w:color="000000"/>
              <w:right w:val="single" w:sz="4" w:space="0" w:color="000000"/>
            </w:tcBorders>
          </w:tcPr>
          <w:p>
            <w:pP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6"/>
              <w:jc w:val="right"/>
              <w:rPr>
                <w:rFonts w:ascii="Times New Roman" w:hAnsi="Times New Roman" w:cs="Times New Roman" w:eastAsia="Times New Roman" w:hint="default"/>
                <w:sz w:val="18"/>
                <w:szCs w:val="18"/>
              </w:rPr>
            </w:pPr>
            <w:r>
              <w:rPr>
                <w:rFonts w:ascii="Times New Roman"/>
                <w:spacing w:val="-1"/>
                <w:sz w:val="18"/>
              </w:rPr>
              <w:t>-154,881,114.50</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31"/>
              <w:jc w:val="right"/>
              <w:rPr>
                <w:rFonts w:ascii="Times New Roman" w:hAnsi="Times New Roman" w:cs="Times New Roman" w:eastAsia="Times New Roman" w:hint="default"/>
                <w:sz w:val="18"/>
                <w:szCs w:val="18"/>
              </w:rPr>
            </w:pPr>
            <w:r>
              <w:rPr>
                <w:rFonts w:ascii="Times New Roman"/>
                <w:spacing w:val="-1"/>
                <w:sz w:val="18"/>
              </w:rPr>
              <w:t>-106,404,070.70</w:t>
            </w:r>
          </w:p>
        </w:tc>
      </w:tr>
      <w:tr>
        <w:trPr>
          <w:trHeight w:val="408" w:hRule="exact"/>
        </w:trPr>
        <w:tc>
          <w:tcPr>
            <w:tcW w:w="2980" w:type="dxa"/>
            <w:vMerge/>
            <w:tcBorders>
              <w:left w:val="single" w:sz="4" w:space="0" w:color="000000"/>
              <w:bottom w:val="single" w:sz="4" w:space="0" w:color="000000"/>
              <w:right w:val="single" w:sz="4" w:space="0" w:color="000000"/>
            </w:tcBorders>
          </w:tcPr>
          <w:p>
            <w:pP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7"/>
              <w:jc w:val="right"/>
              <w:rPr>
                <w:rFonts w:ascii="Times New Roman" w:hAnsi="Times New Roman" w:cs="Times New Roman" w:eastAsia="Times New Roman" w:hint="default"/>
                <w:sz w:val="18"/>
                <w:szCs w:val="18"/>
              </w:rPr>
            </w:pPr>
            <w:r>
              <w:rPr>
                <w:rFonts w:ascii="Times New Roman"/>
                <w:spacing w:val="-1"/>
                <w:sz w:val="18"/>
              </w:rPr>
              <w:t>154,911,114.50</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31"/>
              <w:jc w:val="right"/>
              <w:rPr>
                <w:rFonts w:ascii="Times New Roman" w:hAnsi="Times New Roman" w:cs="Times New Roman" w:eastAsia="Times New Roman" w:hint="default"/>
                <w:sz w:val="18"/>
                <w:szCs w:val="18"/>
              </w:rPr>
            </w:pPr>
            <w:r>
              <w:rPr>
                <w:rFonts w:ascii="Times New Roman"/>
                <w:spacing w:val="-1"/>
                <w:sz w:val="18"/>
              </w:rPr>
              <w:t>108,368,558.74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20" w:right="0"/>
        </w:sectPr>
      </w:pPr>
    </w:p>
    <w:p>
      <w:pPr>
        <w:spacing w:line="240" w:lineRule="auto" w:before="6"/>
        <w:rPr>
          <w:rFonts w:ascii="宋体" w:hAnsi="宋体" w:cs="宋体" w:eastAsia="宋体" w:hint="default"/>
          <w:b/>
          <w:bCs/>
          <w:sz w:val="28"/>
          <w:szCs w:val="28"/>
        </w:rPr>
      </w:pPr>
    </w:p>
    <w:tbl>
      <w:tblPr>
        <w:tblW w:w="0" w:type="auto"/>
        <w:jc w:val="left"/>
        <w:tblInd w:w="101" w:type="dxa"/>
        <w:tblLayout w:type="fixed"/>
        <w:tblCellMar>
          <w:top w:w="0" w:type="dxa"/>
          <w:left w:w="0" w:type="dxa"/>
          <w:bottom w:w="0" w:type="dxa"/>
          <w:right w:w="0" w:type="dxa"/>
        </w:tblCellMar>
        <w:tblLook w:val="01E0"/>
      </w:tblPr>
      <w:tblGrid>
        <w:gridCol w:w="2980"/>
        <w:gridCol w:w="2555"/>
        <w:gridCol w:w="2132"/>
        <w:gridCol w:w="2069"/>
      </w:tblGrid>
      <w:tr>
        <w:trPr>
          <w:trHeight w:val="407"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00"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sz w:val="18"/>
                <w:szCs w:val="18"/>
              </w:rPr>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b/>
                <w:bCs/>
                <w:sz w:val="18"/>
                <w:szCs w:val="18"/>
              </w:rPr>
              <w:t>报表项目</w:t>
            </w:r>
            <w:r>
              <w:rPr>
                <w:rFonts w:ascii="宋体" w:hAnsi="宋体" w:cs="宋体" w:eastAsia="宋体" w:hint="default"/>
                <w:sz w:val="18"/>
                <w:szCs w:val="18"/>
              </w:rPr>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8" w:right="0"/>
              <w:jc w:val="left"/>
              <w:rPr>
                <w:rFonts w:ascii="宋体" w:hAnsi="宋体" w:cs="宋体" w:eastAsia="宋体" w:hint="default"/>
                <w:sz w:val="18"/>
                <w:szCs w:val="18"/>
              </w:rPr>
            </w:pPr>
            <w:r>
              <w:rPr>
                <w:rFonts w:ascii="宋体" w:hAnsi="宋体" w:cs="宋体" w:eastAsia="宋体" w:hint="default"/>
                <w:b/>
                <w:bCs/>
                <w:sz w:val="18"/>
                <w:szCs w:val="18"/>
              </w:rPr>
              <w:t>影响期末或本期金额</w:t>
            </w:r>
            <w:r>
              <w:rPr>
                <w:rFonts w:ascii="宋体" w:hAnsi="宋体" w:cs="宋体" w:eastAsia="宋体" w:hint="default"/>
                <w:sz w:val="18"/>
                <w:szCs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72"/>
              <w:jc w:val="right"/>
              <w:rPr>
                <w:rFonts w:ascii="宋体" w:hAnsi="宋体" w:cs="宋体" w:eastAsia="宋体" w:hint="default"/>
                <w:sz w:val="18"/>
                <w:szCs w:val="18"/>
              </w:rPr>
            </w:pPr>
            <w:r>
              <w:rPr>
                <w:rFonts w:ascii="宋体" w:hAnsi="宋体" w:cs="宋体" w:eastAsia="宋体" w:hint="default"/>
                <w:b/>
                <w:bCs/>
                <w:w w:val="95"/>
                <w:sz w:val="18"/>
                <w:szCs w:val="18"/>
              </w:rPr>
              <w:t>影响期初或上期金额</w:t>
            </w:r>
            <w:r>
              <w:rPr>
                <w:rFonts w:ascii="宋体" w:hAnsi="宋体" w:cs="宋体" w:eastAsia="宋体" w:hint="default"/>
                <w:sz w:val="18"/>
                <w:szCs w:val="18"/>
              </w:rPr>
            </w:r>
          </w:p>
        </w:tc>
      </w:tr>
      <w:tr>
        <w:trPr>
          <w:trHeight w:val="407" w:hRule="exact"/>
        </w:trPr>
        <w:tc>
          <w:tcPr>
            <w:tcW w:w="29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367" w:lineRule="auto"/>
              <w:ind w:left="103" w:right="165"/>
              <w:jc w:val="left"/>
              <w:rPr>
                <w:rFonts w:ascii="宋体" w:hAnsi="宋体" w:cs="宋体" w:eastAsia="宋体" w:hint="default"/>
                <w:sz w:val="18"/>
                <w:szCs w:val="18"/>
              </w:rPr>
            </w:pPr>
            <w:r>
              <w:rPr>
                <w:rFonts w:ascii="宋体" w:hAnsi="宋体" w:cs="宋体" w:eastAsia="宋体" w:hint="default"/>
                <w:sz w:val="18"/>
                <w:szCs w:val="18"/>
              </w:rPr>
              <w:t>将应付票据和应付账款合并计入应 付票据及应付账款项目</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32"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31"/>
              <w:jc w:val="right"/>
              <w:rPr>
                <w:rFonts w:ascii="Times New Roman" w:hAnsi="Times New Roman" w:cs="Times New Roman" w:eastAsia="Times New Roman" w:hint="default"/>
                <w:sz w:val="18"/>
                <w:szCs w:val="18"/>
              </w:rPr>
            </w:pPr>
            <w:r>
              <w:rPr>
                <w:rFonts w:ascii="Times New Roman"/>
                <w:spacing w:val="-1"/>
                <w:sz w:val="18"/>
              </w:rPr>
              <w:t>-13,158,636.00</w:t>
            </w:r>
          </w:p>
        </w:tc>
      </w:tr>
      <w:tr>
        <w:trPr>
          <w:trHeight w:val="408" w:hRule="exact"/>
        </w:trPr>
        <w:tc>
          <w:tcPr>
            <w:tcW w:w="2980" w:type="dxa"/>
            <w:vMerge/>
            <w:tcBorders>
              <w:left w:val="single" w:sz="4" w:space="0" w:color="000000"/>
              <w:right w:val="single" w:sz="4" w:space="0" w:color="000000"/>
            </w:tcBorders>
          </w:tcPr>
          <w:p>
            <w:pP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6"/>
              <w:jc w:val="right"/>
              <w:rPr>
                <w:rFonts w:ascii="Times New Roman" w:hAnsi="Times New Roman" w:cs="Times New Roman" w:eastAsia="Times New Roman" w:hint="default"/>
                <w:sz w:val="18"/>
                <w:szCs w:val="18"/>
              </w:rPr>
            </w:pPr>
            <w:r>
              <w:rPr>
                <w:rFonts w:ascii="Times New Roman"/>
                <w:spacing w:val="-1"/>
                <w:sz w:val="18"/>
              </w:rPr>
              <w:t>-50,006,603.40</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31"/>
              <w:jc w:val="right"/>
              <w:rPr>
                <w:rFonts w:ascii="Times New Roman" w:hAnsi="Times New Roman" w:cs="Times New Roman" w:eastAsia="Times New Roman" w:hint="default"/>
                <w:sz w:val="18"/>
                <w:szCs w:val="18"/>
              </w:rPr>
            </w:pPr>
            <w:r>
              <w:rPr>
                <w:rFonts w:ascii="Times New Roman"/>
                <w:spacing w:val="-1"/>
                <w:sz w:val="18"/>
              </w:rPr>
              <w:t>-37,446,448.61</w:t>
            </w:r>
          </w:p>
        </w:tc>
      </w:tr>
      <w:tr>
        <w:trPr>
          <w:trHeight w:val="407" w:hRule="exact"/>
        </w:trPr>
        <w:tc>
          <w:tcPr>
            <w:tcW w:w="2980" w:type="dxa"/>
            <w:vMerge/>
            <w:tcBorders>
              <w:left w:val="single" w:sz="4" w:space="0" w:color="000000"/>
              <w:bottom w:val="single" w:sz="4" w:space="0" w:color="000000"/>
              <w:right w:val="single" w:sz="4" w:space="0" w:color="000000"/>
            </w:tcBorders>
          </w:tcPr>
          <w:p>
            <w:pP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16"/>
              <w:jc w:val="right"/>
              <w:rPr>
                <w:rFonts w:ascii="Times New Roman" w:hAnsi="Times New Roman" w:cs="Times New Roman" w:eastAsia="Times New Roman" w:hint="default"/>
                <w:sz w:val="18"/>
                <w:szCs w:val="18"/>
              </w:rPr>
            </w:pPr>
            <w:r>
              <w:rPr>
                <w:rFonts w:ascii="Times New Roman"/>
                <w:spacing w:val="-1"/>
                <w:sz w:val="18"/>
              </w:rPr>
              <w:t>50,006,603.40</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31"/>
              <w:jc w:val="right"/>
              <w:rPr>
                <w:rFonts w:ascii="Times New Roman" w:hAnsi="Times New Roman" w:cs="Times New Roman" w:eastAsia="Times New Roman" w:hint="default"/>
                <w:sz w:val="18"/>
                <w:szCs w:val="18"/>
              </w:rPr>
            </w:pPr>
            <w:r>
              <w:rPr>
                <w:rFonts w:ascii="Times New Roman"/>
                <w:spacing w:val="-1"/>
                <w:sz w:val="18"/>
              </w:rPr>
              <w:t>50,605,084.61</w:t>
            </w:r>
          </w:p>
        </w:tc>
      </w:tr>
      <w:tr>
        <w:trPr>
          <w:trHeight w:val="407" w:hRule="exact"/>
        </w:trPr>
        <w:tc>
          <w:tcPr>
            <w:tcW w:w="2980" w:type="dxa"/>
            <w:vMerge w:val="restart"/>
            <w:tcBorders>
              <w:top w:val="single" w:sz="4" w:space="0" w:color="000000"/>
              <w:left w:val="single" w:sz="4" w:space="0" w:color="000000"/>
              <w:right w:val="single" w:sz="4" w:space="0" w:color="000000"/>
            </w:tcBorders>
          </w:tcPr>
          <w:p>
            <w:pPr>
              <w:pStyle w:val="TableParagraph"/>
              <w:spacing w:line="367" w:lineRule="auto" w:before="119"/>
              <w:ind w:left="103" w:right="102"/>
              <w:jc w:val="left"/>
              <w:rPr>
                <w:rFonts w:ascii="宋体" w:hAnsi="宋体" w:cs="宋体" w:eastAsia="宋体" w:hint="default"/>
                <w:sz w:val="18"/>
                <w:szCs w:val="18"/>
              </w:rPr>
            </w:pPr>
            <w:r>
              <w:rPr>
                <w:rFonts w:ascii="宋体" w:hAnsi="宋体" w:cs="宋体" w:eastAsia="宋体" w:hint="default"/>
                <w:spacing w:val="3"/>
                <w:sz w:val="18"/>
                <w:szCs w:val="18"/>
              </w:rPr>
              <w:t>将原计入管理费用项目的研发费用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单独列示为研发费用项目</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16"/>
              <w:jc w:val="right"/>
              <w:rPr>
                <w:rFonts w:ascii="Times New Roman" w:hAnsi="Times New Roman" w:cs="Times New Roman" w:eastAsia="Times New Roman" w:hint="default"/>
                <w:sz w:val="18"/>
                <w:szCs w:val="18"/>
              </w:rPr>
            </w:pPr>
            <w:r>
              <w:rPr>
                <w:rFonts w:ascii="Times New Roman"/>
                <w:spacing w:val="-1"/>
                <w:sz w:val="18"/>
              </w:rPr>
              <w:t>23,500,937.22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31"/>
              <w:jc w:val="right"/>
              <w:rPr>
                <w:rFonts w:ascii="Times New Roman" w:hAnsi="Times New Roman" w:cs="Times New Roman" w:eastAsia="Times New Roman" w:hint="default"/>
                <w:sz w:val="18"/>
                <w:szCs w:val="18"/>
              </w:rPr>
            </w:pPr>
            <w:r>
              <w:rPr>
                <w:rFonts w:ascii="Times New Roman"/>
                <w:spacing w:val="-1"/>
                <w:sz w:val="18"/>
              </w:rPr>
              <w:t>21,392,189.57</w:t>
            </w:r>
          </w:p>
        </w:tc>
      </w:tr>
      <w:tr>
        <w:trPr>
          <w:trHeight w:val="407" w:hRule="exact"/>
        </w:trPr>
        <w:tc>
          <w:tcPr>
            <w:tcW w:w="2980" w:type="dxa"/>
            <w:vMerge/>
            <w:tcBorders>
              <w:left w:val="single" w:sz="4" w:space="0" w:color="000000"/>
              <w:bottom w:val="single" w:sz="4" w:space="0" w:color="000000"/>
              <w:right w:val="single" w:sz="4" w:space="0" w:color="000000"/>
            </w:tcBorders>
          </w:tcPr>
          <w:p>
            <w:pP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6"/>
              <w:jc w:val="right"/>
              <w:rPr>
                <w:rFonts w:ascii="Times New Roman" w:hAnsi="Times New Roman" w:cs="Times New Roman" w:eastAsia="Times New Roman" w:hint="default"/>
                <w:sz w:val="18"/>
                <w:szCs w:val="18"/>
              </w:rPr>
            </w:pPr>
            <w:r>
              <w:rPr>
                <w:rFonts w:ascii="Times New Roman"/>
                <w:spacing w:val="-1"/>
                <w:sz w:val="18"/>
              </w:rPr>
              <w:t>-23,500,937.22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31"/>
              <w:jc w:val="right"/>
              <w:rPr>
                <w:rFonts w:ascii="Times New Roman" w:hAnsi="Times New Roman" w:cs="Times New Roman" w:eastAsia="Times New Roman" w:hint="default"/>
                <w:sz w:val="18"/>
                <w:szCs w:val="18"/>
              </w:rPr>
            </w:pPr>
            <w:r>
              <w:rPr>
                <w:rFonts w:ascii="Times New Roman"/>
                <w:spacing w:val="-1"/>
                <w:sz w:val="18"/>
              </w:rPr>
              <w:t>-21,392,189.57</w:t>
            </w:r>
          </w:p>
        </w:tc>
      </w:tr>
      <w:tr>
        <w:trPr>
          <w:trHeight w:val="407" w:hRule="exact"/>
        </w:trPr>
        <w:tc>
          <w:tcPr>
            <w:tcW w:w="2980" w:type="dxa"/>
            <w:vMerge w:val="restart"/>
            <w:tcBorders>
              <w:top w:val="single" w:sz="4" w:space="0" w:color="000000"/>
              <w:left w:val="single" w:sz="4" w:space="0" w:color="000000"/>
              <w:right w:val="single" w:sz="4" w:space="0" w:color="000000"/>
            </w:tcBorders>
          </w:tcPr>
          <w:p>
            <w:pPr>
              <w:pStyle w:val="TableParagraph"/>
              <w:spacing w:line="367" w:lineRule="auto" w:before="119"/>
              <w:ind w:left="103" w:right="102"/>
              <w:jc w:val="left"/>
              <w:rPr>
                <w:rFonts w:ascii="宋体" w:hAnsi="宋体" w:cs="宋体" w:eastAsia="宋体" w:hint="default"/>
                <w:sz w:val="18"/>
                <w:szCs w:val="18"/>
              </w:rPr>
            </w:pPr>
            <w:r>
              <w:rPr>
                <w:rFonts w:ascii="宋体" w:hAnsi="宋体" w:cs="宋体" w:eastAsia="宋体" w:hint="default"/>
                <w:spacing w:val="3"/>
                <w:sz w:val="18"/>
                <w:szCs w:val="18"/>
              </w:rPr>
              <w:t>将原计入营业外收入的个税手续费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返还计入其他收益</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6"/>
              <w:jc w:val="right"/>
              <w:rPr>
                <w:rFonts w:ascii="Times New Roman" w:hAnsi="Times New Roman" w:cs="Times New Roman" w:eastAsia="Times New Roman" w:hint="default"/>
                <w:sz w:val="18"/>
                <w:szCs w:val="18"/>
              </w:rPr>
            </w:pPr>
            <w:r>
              <w:rPr>
                <w:rFonts w:ascii="Times New Roman"/>
                <w:sz w:val="18"/>
              </w:rPr>
              <w:t>77,143.16</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31"/>
              <w:jc w:val="right"/>
              <w:rPr>
                <w:rFonts w:ascii="Times New Roman" w:hAnsi="Times New Roman" w:cs="Times New Roman" w:eastAsia="Times New Roman" w:hint="default"/>
                <w:sz w:val="18"/>
                <w:szCs w:val="18"/>
              </w:rPr>
            </w:pPr>
            <w:r>
              <w:rPr>
                <w:rFonts w:ascii="Times New Roman"/>
                <w:sz w:val="18"/>
              </w:rPr>
              <w:t>79,459.39</w:t>
            </w:r>
          </w:p>
        </w:tc>
      </w:tr>
      <w:tr>
        <w:trPr>
          <w:trHeight w:val="407" w:hRule="exact"/>
        </w:trPr>
        <w:tc>
          <w:tcPr>
            <w:tcW w:w="2980" w:type="dxa"/>
            <w:vMerge/>
            <w:tcBorders>
              <w:left w:val="single" w:sz="4" w:space="0" w:color="000000"/>
              <w:bottom w:val="single" w:sz="4" w:space="0" w:color="000000"/>
              <w:right w:val="single" w:sz="4" w:space="0" w:color="000000"/>
            </w:tcBorders>
          </w:tcPr>
          <w:p>
            <w:pP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6"/>
              <w:jc w:val="right"/>
              <w:rPr>
                <w:rFonts w:ascii="Times New Roman" w:hAnsi="Times New Roman" w:cs="Times New Roman" w:eastAsia="Times New Roman" w:hint="default"/>
                <w:sz w:val="18"/>
                <w:szCs w:val="18"/>
              </w:rPr>
            </w:pPr>
            <w:r>
              <w:rPr>
                <w:rFonts w:ascii="Times New Roman"/>
                <w:w w:val="95"/>
                <w:sz w:val="18"/>
              </w:rPr>
              <w:t>-77,143.16</w:t>
            </w:r>
            <w:r>
              <w:rPr>
                <w:rFonts w:ascii="Times New Roman"/>
                <w:sz w:val="18"/>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31"/>
              <w:jc w:val="right"/>
              <w:rPr>
                <w:rFonts w:ascii="Times New Roman" w:hAnsi="Times New Roman" w:cs="Times New Roman" w:eastAsia="Times New Roman" w:hint="default"/>
                <w:sz w:val="18"/>
                <w:szCs w:val="18"/>
              </w:rPr>
            </w:pPr>
            <w:r>
              <w:rPr>
                <w:rFonts w:ascii="Times New Roman"/>
                <w:w w:val="95"/>
                <w:sz w:val="18"/>
              </w:rPr>
              <w:t>-79,459.39</w:t>
            </w:r>
            <w:r>
              <w:rPr>
                <w:rFonts w:ascii="Times New Roman"/>
                <w:sz w:val="18"/>
              </w:rPr>
            </w:r>
          </w:p>
        </w:tc>
      </w:tr>
      <w:tr>
        <w:trPr>
          <w:trHeight w:val="1091" w:hRule="exact"/>
        </w:trPr>
        <w:tc>
          <w:tcPr>
            <w:tcW w:w="2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67" w:lineRule="auto" w:before="152"/>
              <w:ind w:left="103" w:right="164"/>
              <w:jc w:val="left"/>
              <w:rPr>
                <w:rFonts w:ascii="宋体" w:hAnsi="宋体" w:cs="宋体" w:eastAsia="宋体" w:hint="default"/>
                <w:sz w:val="18"/>
                <w:szCs w:val="18"/>
              </w:rPr>
            </w:pPr>
            <w:r>
              <w:rPr>
                <w:rFonts w:ascii="宋体" w:hAnsi="宋体" w:cs="宋体" w:eastAsia="宋体" w:hint="default"/>
                <w:sz w:val="18"/>
                <w:szCs w:val="18"/>
              </w:rPr>
              <w:t>将与资产相关的政府补助计入收到 的其他与经营活动有关的现金</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
              <w:ind w:left="103" w:right="190"/>
              <w:jc w:val="left"/>
              <w:rPr>
                <w:rFonts w:ascii="宋体" w:hAnsi="宋体" w:cs="宋体" w:eastAsia="宋体" w:hint="default"/>
                <w:sz w:val="18"/>
                <w:szCs w:val="18"/>
              </w:rPr>
            </w:pPr>
            <w:r>
              <w:rPr>
                <w:rFonts w:ascii="宋体" w:hAnsi="宋体" w:cs="宋体" w:eastAsia="宋体" w:hint="default"/>
                <w:sz w:val="18"/>
                <w:szCs w:val="18"/>
              </w:rPr>
              <w:t>收到的其他与投资活动有关 的现金</w:t>
            </w:r>
            <w:r>
              <w:rPr>
                <w:rFonts w:ascii="宋体" w:hAnsi="宋体" w:cs="宋体" w:eastAsia="宋体" w:hint="default"/>
                <w:sz w:val="18"/>
                <w:szCs w:val="18"/>
              </w:rPr>
              <w:t>-</w:t>
            </w:r>
            <w:r>
              <w:rPr>
                <w:rFonts w:ascii="宋体" w:hAnsi="宋体" w:cs="宋体" w:eastAsia="宋体" w:hint="default"/>
                <w:sz w:val="18"/>
                <w:szCs w:val="18"/>
              </w:rPr>
              <w:t>与资产相关的政府补 助</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-1,500,000.00</w:t>
            </w:r>
          </w:p>
        </w:tc>
        <w:tc>
          <w:tcPr>
            <w:tcW w:w="2069"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2980" w:type="dxa"/>
            <w:vMerge/>
            <w:tcBorders>
              <w:left w:val="single" w:sz="4" w:space="0" w:color="000000"/>
              <w:bottom w:val="single" w:sz="4" w:space="0" w:color="000000"/>
              <w:right w:val="single" w:sz="4" w:space="0" w:color="000000"/>
            </w:tcBorders>
          </w:tcPr>
          <w:p>
            <w:pP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280"/>
              <w:jc w:val="left"/>
              <w:rPr>
                <w:rFonts w:ascii="宋体" w:hAnsi="宋体" w:cs="宋体" w:eastAsia="宋体" w:hint="default"/>
                <w:sz w:val="18"/>
                <w:szCs w:val="18"/>
              </w:rPr>
            </w:pPr>
            <w:r>
              <w:rPr>
                <w:rFonts w:ascii="宋体" w:hAnsi="宋体" w:cs="宋体" w:eastAsia="宋体" w:hint="default"/>
                <w:sz w:val="18"/>
                <w:szCs w:val="18"/>
              </w:rPr>
              <w:t>收到的其他与经营活动有关 的现金</w:t>
            </w:r>
            <w:r>
              <w:rPr>
                <w:rFonts w:ascii="宋体" w:hAnsi="宋体" w:cs="宋体" w:eastAsia="宋体" w:hint="default"/>
                <w:sz w:val="18"/>
                <w:szCs w:val="18"/>
              </w:rPr>
              <w:t>-</w:t>
            </w:r>
            <w:r>
              <w:rPr>
                <w:rFonts w:ascii="宋体" w:hAnsi="宋体" w:cs="宋体" w:eastAsia="宋体" w:hint="default"/>
                <w:sz w:val="18"/>
                <w:szCs w:val="18"/>
              </w:rPr>
              <w:t>政府补助</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1,500,000.00</w:t>
            </w:r>
          </w:p>
        </w:tc>
        <w:tc>
          <w:tcPr>
            <w:tcW w:w="2069" w:type="dxa"/>
            <w:tcBorders>
              <w:top w:val="single" w:sz="4" w:space="0" w:color="000000"/>
              <w:left w:val="single" w:sz="4" w:space="0" w:color="000000"/>
              <w:bottom w:val="single" w:sz="4" w:space="0" w:color="000000"/>
              <w:right w:val="single" w:sz="4" w:space="0" w:color="000000"/>
            </w:tcBorders>
          </w:tcPr>
          <w:p>
            <w:pPr/>
          </w:p>
        </w:tc>
      </w:tr>
      <w:tr>
        <w:trPr>
          <w:trHeight w:val="731" w:hRule="exact"/>
        </w:trPr>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65"/>
              <w:jc w:val="left"/>
              <w:rPr>
                <w:rFonts w:ascii="宋体" w:hAnsi="宋体" w:cs="宋体" w:eastAsia="宋体" w:hint="default"/>
                <w:sz w:val="18"/>
                <w:szCs w:val="18"/>
              </w:rPr>
            </w:pPr>
            <w:r>
              <w:rPr>
                <w:rFonts w:ascii="宋体" w:hAnsi="宋体" w:cs="宋体" w:eastAsia="宋体" w:hint="default"/>
                <w:sz w:val="18"/>
                <w:szCs w:val="18"/>
              </w:rPr>
              <w:t>新增“设定受益计划变动额结转留 存收益”项目</w:t>
            </w:r>
          </w:p>
        </w:tc>
        <w:tc>
          <w:tcPr>
            <w:tcW w:w="675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所有者权益变动表：无影响</w:t>
            </w:r>
          </w:p>
        </w:tc>
      </w:tr>
    </w:tbl>
    <w:p>
      <w:pPr>
        <w:spacing w:line="240" w:lineRule="auto" w:before="2"/>
        <w:rPr>
          <w:rFonts w:ascii="宋体" w:hAnsi="宋体" w:cs="宋体" w:eastAsia="宋体" w:hint="default"/>
          <w:b/>
          <w:bCs/>
          <w:sz w:val="19"/>
          <w:szCs w:val="19"/>
        </w:rPr>
      </w:pPr>
    </w:p>
    <w:p>
      <w:pPr>
        <w:pStyle w:val="Heading3"/>
        <w:spacing w:line="240" w:lineRule="auto" w:before="35"/>
        <w:ind w:left="214" w:right="0"/>
        <w:jc w:val="left"/>
        <w:rPr>
          <w:b w:val="0"/>
          <w:bCs w:val="0"/>
        </w:rPr>
      </w:pPr>
      <w:bookmarkStart w:name="（2）重要会计估计变更" w:id="215"/>
      <w:bookmarkEnd w:id="21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214" w:right="8966" w:firstLine="0"/>
        <w:jc w:val="left"/>
        <w:rPr>
          <w:rFonts w:ascii="宋体" w:hAnsi="宋体" w:cs="宋体" w:eastAsia="宋体" w:hint="default"/>
          <w:sz w:val="21"/>
          <w:szCs w:val="21"/>
        </w:rPr>
      </w:pPr>
      <w:bookmarkStart w:name="34、其他" w:id="216"/>
      <w:bookmarkEnd w:id="216"/>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7"/>
      <w:bookmarkEnd w:id="217"/>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8"/>
      <w:bookmarkEnd w:id="218"/>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220" w:type="dxa"/>
        <w:tblLayout w:type="fixed"/>
        <w:tblCellMar>
          <w:top w:w="0" w:type="dxa"/>
          <w:left w:w="0" w:type="dxa"/>
          <w:bottom w:w="0" w:type="dxa"/>
          <w:right w:w="0" w:type="dxa"/>
        </w:tblCellMar>
        <w:tblLook w:val="01E0"/>
      </w:tblPr>
      <w:tblGrid>
        <w:gridCol w:w="3178"/>
        <w:gridCol w:w="3191"/>
        <w:gridCol w:w="3179"/>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78"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销售商品或提供劳务的增值额</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78"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78"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spacing w:line="240" w:lineRule="auto" w:before="6"/>
        <w:rPr>
          <w:rFonts w:ascii="宋体" w:hAnsi="宋体" w:cs="宋体" w:eastAsia="宋体" w:hint="default"/>
          <w:b/>
          <w:bCs/>
          <w:sz w:val="27"/>
          <w:szCs w:val="27"/>
        </w:rPr>
      </w:pPr>
    </w:p>
    <w:p>
      <w:pPr>
        <w:pStyle w:val="BodyText"/>
        <w:spacing w:line="240" w:lineRule="auto" w:before="44"/>
        <w:ind w:left="21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湖南科创信息技术股份有限公司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北京科创鑫源信息技术有限公司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永兴科创南方技术服务有限公司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湖南科创信息系统集成有限公司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2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税收优惠" w:id="219"/>
      <w:bookmarkEnd w:id="219"/>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420"/>
        <w:jc w:val="left"/>
      </w:pPr>
      <w:r>
        <w:rPr/>
        <w:t>（</w:t>
      </w:r>
      <w:r>
        <w:rPr>
          <w:rFonts w:ascii="Times New Roman" w:hAnsi="Times New Roman" w:cs="Times New Roman" w:eastAsia="Times New Roman" w:hint="default"/>
        </w:rPr>
        <w:t>1</w:t>
      </w:r>
      <w:r>
        <w:rPr/>
        <w:t>）依据国发【</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18</w:t>
      </w:r>
      <w:r>
        <w:rPr/>
        <w:t>号《鼓励软件产业和集成电路产业发展的若干政策》、财税【</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25</w:t>
      </w:r>
      <w:r>
        <w:rPr/>
        <w:t>号《关于鼓励软件产 业和集成电路产业发展有关税收政策问题的通知》、国发【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t>号《国务院关于印发进一步鼓励软件产业和集成电路产</w:t>
      </w:r>
      <w:r>
        <w:rPr>
          <w:spacing w:val="-82"/>
        </w:rPr>
        <w:t> </w:t>
      </w:r>
      <w:r>
        <w:rPr>
          <w:spacing w:val="-82"/>
        </w:rPr>
      </w:r>
      <w:r>
        <w:rPr>
          <w:spacing w:val="-2"/>
        </w:rPr>
        <w:t>业发展若干政策的通知》和财税【</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100</w:t>
      </w:r>
      <w:r>
        <w:rPr>
          <w:spacing w:val="-2"/>
        </w:rPr>
        <w:t>号《关于软件产品增值税政策的通知》的规定，在我国境内开发生产软件产品，</w:t>
      </w:r>
      <w:r>
        <w:rPr>
          <w:spacing w:val="-61"/>
        </w:rPr>
        <w:t> </w:t>
      </w:r>
      <w:r>
        <w:rPr>
          <w:spacing w:val="-61"/>
        </w:rPr>
      </w:r>
      <w:r>
        <w:rPr>
          <w:spacing w:val="-1"/>
        </w:rPr>
        <w:t>对增值税一般纳税人销售其自行开发生产的软件产品，按</w:t>
      </w:r>
      <w:r>
        <w:rPr>
          <w:rFonts w:ascii="Times New Roman" w:hAnsi="Times New Roman" w:cs="Times New Roman" w:eastAsia="Times New Roman" w:hint="default"/>
          <w:spacing w:val="-1"/>
        </w:rPr>
        <w:t>17%</w:t>
      </w:r>
      <w:r>
        <w:rPr>
          <w:spacing w:val="-1"/>
        </w:rPr>
        <w:t>的法定税率征收增值税，对实际税负超过</w:t>
      </w:r>
      <w:r>
        <w:rPr>
          <w:rFonts w:ascii="Times New Roman" w:hAnsi="Times New Roman" w:cs="Times New Roman" w:eastAsia="Times New Roman" w:hint="default"/>
          <w:spacing w:val="-1"/>
        </w:rPr>
        <w:t>3%</w:t>
      </w:r>
      <w:r>
        <w:rPr>
          <w:spacing w:val="-1"/>
        </w:rPr>
        <w:t>的部分即征即退。</w:t>
      </w:r>
    </w:p>
    <w:p>
      <w:pPr>
        <w:pStyle w:val="BodyText"/>
        <w:spacing w:line="240" w:lineRule="auto" w:before="133"/>
        <w:ind w:left="574" w:right="0"/>
        <w:jc w:val="left"/>
      </w:pPr>
      <w:r>
        <w:rPr/>
        <w:t>（</w:t>
      </w:r>
      <w:r>
        <w:rPr>
          <w:rFonts w:ascii="Times New Roman" w:hAnsi="Times New Roman" w:cs="Times New Roman" w:eastAsia="Times New Roman" w:hint="default"/>
        </w:rPr>
        <w:t>2</w:t>
      </w:r>
      <w:r>
        <w:rPr/>
        <w:t>）湖南</w:t>
      </w:r>
      <w:r>
        <w:rPr>
          <w:rFonts w:ascii="Times New Roman" w:hAnsi="Times New Roman" w:cs="Times New Roman" w:eastAsia="Times New Roman" w:hint="default"/>
        </w:rPr>
        <w:t>“</w:t>
      </w:r>
      <w:r>
        <w:rPr/>
        <w:t>营改增</w:t>
      </w:r>
      <w:r>
        <w:rPr>
          <w:rFonts w:ascii="Times New Roman" w:hAnsi="Times New Roman" w:cs="Times New Roman" w:eastAsia="Times New Roman" w:hint="default"/>
        </w:rPr>
        <w:t>”</w:t>
      </w:r>
      <w:r>
        <w:rPr/>
        <w:t>试点工作从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日起正式实施。</w:t>
      </w:r>
    </w:p>
    <w:p>
      <w:pPr>
        <w:spacing w:line="240" w:lineRule="auto" w:before="13"/>
        <w:rPr>
          <w:rFonts w:ascii="宋体" w:hAnsi="宋体" w:cs="宋体" w:eastAsia="宋体" w:hint="default"/>
          <w:sz w:val="13"/>
          <w:szCs w:val="13"/>
        </w:rPr>
      </w:pPr>
    </w:p>
    <w:p>
      <w:pPr>
        <w:pStyle w:val="BodyText"/>
        <w:spacing w:line="300" w:lineRule="auto"/>
        <w:ind w:right="1130" w:firstLine="420"/>
        <w:jc w:val="both"/>
      </w:pPr>
      <w:r>
        <w:rPr/>
        <w:t>依据财税〔</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106</w:t>
      </w:r>
      <w:r>
        <w:rPr/>
        <w:t>号</w:t>
      </w:r>
      <w:r>
        <w:rPr>
          <w:rFonts w:ascii="Times New Roman" w:hAnsi="Times New Roman" w:cs="Times New Roman" w:eastAsia="Times New Roman" w:hint="default"/>
        </w:rPr>
        <w:t>“</w:t>
      </w:r>
      <w:r>
        <w:rPr/>
        <w:t>《财政部</w:t>
      </w:r>
      <w:r>
        <w:rPr>
          <w:spacing w:val="-41"/>
        </w:rPr>
        <w:t> </w:t>
      </w:r>
      <w:r>
        <w:rPr/>
        <w:t>国家税务总局关于将铁路运输和邮政业纳入营业税改征增值税试点的通知》中附件</w:t>
      </w:r>
      <w:r>
        <w:rPr/>
        <w:t> </w:t>
      </w:r>
      <w:r>
        <w:rPr>
          <w:rFonts w:ascii="Times New Roman" w:hAnsi="Times New Roman" w:cs="Times New Roman" w:eastAsia="Times New Roman" w:hint="default"/>
        </w:rPr>
        <w:t>3.</w:t>
      </w:r>
      <w:r>
        <w:rPr/>
        <w:t>营业税改征增值税试点过渡政策的规定</w:t>
      </w:r>
      <w:r>
        <w:rPr>
          <w:rFonts w:ascii="Times New Roman" w:hAnsi="Times New Roman" w:cs="Times New Roman" w:eastAsia="Times New Roman" w:hint="default"/>
        </w:rPr>
        <w:t>”</w:t>
      </w:r>
      <w:r>
        <w:rPr/>
        <w:t>纳税人提供技术转让、技术开发和与之相关的技术咨询、技术服务免征增值税；</w:t>
      </w:r>
      <w:r>
        <w:rPr>
          <w:spacing w:val="-38"/>
        </w:rPr>
        <w:t> </w:t>
      </w:r>
      <w:r>
        <w:rPr>
          <w:spacing w:val="-38"/>
        </w:rPr>
      </w:r>
      <w:r>
        <w:rPr/>
        <w:t>根据《财政部、国家税务总局关于全面推开营业税改征增值税试点的通知》（财税〔</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36</w:t>
      </w:r>
      <w:r>
        <w:rPr/>
        <w:t>号）中</w:t>
      </w:r>
      <w:r>
        <w:rPr>
          <w:rFonts w:ascii="Times New Roman" w:hAnsi="Times New Roman" w:cs="Times New Roman" w:eastAsia="Times New Roman" w:hint="default"/>
        </w:rPr>
        <w:t>“</w:t>
      </w:r>
      <w:r>
        <w:rPr/>
        <w:t>附件</w:t>
      </w:r>
      <w:r>
        <w:rPr>
          <w:rFonts w:ascii="Times New Roman" w:hAnsi="Times New Roman" w:cs="Times New Roman" w:eastAsia="Times New Roman" w:hint="default"/>
        </w:rPr>
        <w:t>3.</w:t>
      </w:r>
      <w:r>
        <w:rPr/>
        <w:t>营业税改征增</w:t>
      </w:r>
      <w:r>
        <w:rPr>
          <w:spacing w:val="-39"/>
        </w:rPr>
        <w:t> </w:t>
      </w:r>
      <w:r>
        <w:rPr/>
        <w:t>值税试点过渡政策的规定</w:t>
      </w:r>
      <w:r>
        <w:rPr>
          <w:rFonts w:ascii="Times New Roman" w:hAnsi="Times New Roman" w:cs="Times New Roman" w:eastAsia="Times New Roman" w:hint="default"/>
        </w:rPr>
        <w:t>”</w:t>
      </w:r>
      <w:r>
        <w:rPr/>
        <w:t>，纳税人提供技术转让、技术开发和与之相关的技术咨询、技术服务免征增值税。</w:t>
      </w:r>
    </w:p>
    <w:p>
      <w:pPr>
        <w:pStyle w:val="BodyText"/>
        <w:spacing w:line="300" w:lineRule="auto" w:before="133"/>
        <w:ind w:right="1132" w:firstLine="420"/>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5</w:t>
      </w:r>
      <w:r>
        <w:rPr>
          <w:spacing w:val="-1"/>
        </w:rPr>
        <w:t>日，公司获得湖南省科学技术厅、湖南省财政厅、湖南省国家税务局、湖南省地方税务局联合颁发的</w:t>
      </w:r>
      <w:r>
        <w:rPr/>
        <w:t> 编号为</w:t>
      </w:r>
      <w:r>
        <w:rPr>
          <w:rFonts w:ascii="Times New Roman" w:hAnsi="Times New Roman" w:cs="Times New Roman" w:eastAsia="Times New Roman" w:hint="default"/>
        </w:rPr>
        <w:t>“GF201743000001”</w:t>
      </w:r>
      <w:r>
        <w:rPr/>
        <w:t>的高新技术企业证书，被评为高新技术企业，本公司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年可享受所得税减按</w:t>
      </w:r>
      <w:r>
        <w:rPr>
          <w:spacing w:val="-33"/>
        </w:rPr>
        <w:t> </w:t>
      </w:r>
      <w:r>
        <w:rPr>
          <w:spacing w:val="-33"/>
        </w:rPr>
      </w:r>
      <w:r>
        <w:rPr>
          <w:rFonts w:ascii="Times New Roman" w:hAnsi="Times New Roman" w:cs="Times New Roman" w:eastAsia="Times New Roman" w:hint="default"/>
        </w:rPr>
        <w:t>15%</w:t>
      </w:r>
      <w:r>
        <w:rPr/>
        <w:t>税率的优惠政策。</w:t>
      </w:r>
    </w:p>
    <w:p>
      <w:pPr>
        <w:pStyle w:val="BodyText"/>
        <w:spacing w:line="300" w:lineRule="auto" w:before="133"/>
        <w:ind w:right="1131" w:firstLine="420"/>
        <w:jc w:val="both"/>
      </w:pPr>
      <w:r>
        <w:rPr/>
        <w:t>（</w:t>
      </w:r>
      <w:r>
        <w:rPr>
          <w:rFonts w:ascii="Times New Roman" w:hAnsi="Times New Roman" w:cs="Times New Roman" w:eastAsia="Times New Roman" w:hint="default"/>
        </w:rPr>
        <w:t>4</w:t>
      </w:r>
      <w:r>
        <w:rPr/>
        <w:t>）根据财政部、国家税务总局财税</w:t>
      </w:r>
      <w:r>
        <w:rPr>
          <w:rFonts w:ascii="Times New Roman" w:hAnsi="Times New Roman" w:cs="Times New Roman" w:eastAsia="Times New Roman" w:hint="default"/>
        </w:rPr>
        <w:t>[2006]88</w:t>
      </w:r>
      <w:r>
        <w:rPr/>
        <w:t>号《关于企业技术创新有关企业所得税优惠政策的通知》、财政部、国 </w:t>
      </w:r>
      <w:r>
        <w:rPr>
          <w:spacing w:val="-1"/>
        </w:rPr>
        <w:t>家税务总局、科技部财税</w:t>
      </w:r>
      <w:r>
        <w:rPr>
          <w:rFonts w:ascii="Times New Roman" w:hAnsi="Times New Roman" w:cs="Times New Roman" w:eastAsia="Times New Roman" w:hint="default"/>
          <w:spacing w:val="-1"/>
        </w:rPr>
        <w:t>[2018]99</w:t>
      </w:r>
      <w:r>
        <w:rPr>
          <w:spacing w:val="-1"/>
        </w:rPr>
        <w:t>号《关于提高研发费用税前加计扣除比例的通知》，本公司符合条件的研究开发费，在按</w:t>
      </w:r>
      <w:r>
        <w:rPr>
          <w:spacing w:val="-57"/>
        </w:rPr>
        <w:t> </w:t>
      </w:r>
      <w:r>
        <w:rPr>
          <w:spacing w:val="-57"/>
        </w:rPr>
      </w:r>
      <w:r>
        <w:rPr/>
        <w:t>规定实行</w:t>
      </w:r>
      <w:r>
        <w:rPr>
          <w:rFonts w:ascii="Times New Roman" w:hAnsi="Times New Roman" w:cs="Times New Roman" w:eastAsia="Times New Roman" w:hint="default"/>
        </w:rPr>
        <w:t>100%</w:t>
      </w:r>
      <w:r>
        <w:rPr/>
        <w:t>扣除基础上，允许再按当年实际发生额的</w:t>
      </w:r>
      <w:r>
        <w:rPr>
          <w:rFonts w:ascii="Times New Roman" w:hAnsi="Times New Roman" w:cs="Times New Roman" w:eastAsia="Times New Roman" w:hint="default"/>
        </w:rPr>
        <w:t>75%</w:t>
      </w:r>
      <w:r>
        <w:rPr/>
        <w:t>在企业所得税税前加计扣除。</w:t>
      </w:r>
    </w:p>
    <w:p>
      <w:pPr>
        <w:pStyle w:val="BodyText"/>
        <w:spacing w:line="300" w:lineRule="auto" w:before="133"/>
        <w:ind w:right="1109" w:firstLine="420"/>
        <w:jc w:val="both"/>
      </w:pPr>
      <w:r>
        <w:rPr/>
        <w:t>（</w:t>
      </w:r>
      <w:r>
        <w:rPr>
          <w:rFonts w:ascii="Times New Roman" w:hAnsi="Times New Roman" w:cs="Times New Roman" w:eastAsia="Times New Roman" w:hint="default"/>
        </w:rPr>
        <w:t>5</w:t>
      </w:r>
      <w:r>
        <w:rPr/>
        <w:t>）根据财政部、国家税务总局财税</w:t>
      </w:r>
      <w:r>
        <w:rPr>
          <w:rFonts w:ascii="Times New Roman" w:hAnsi="Times New Roman" w:cs="Times New Roman" w:eastAsia="Times New Roman" w:hint="default"/>
        </w:rPr>
        <w:t>[2018]77</w:t>
      </w:r>
      <w:r>
        <w:rPr/>
        <w:t>号《财政部税务总局关于进一步扩大小型微利企业所得税优惠政策范围 的通知》，北京科创鑫源信息技术有限公司的年应纳税所得额减按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pStyle w:val="BodyText"/>
        <w:spacing w:line="240" w:lineRule="auto" w:before="134"/>
        <w:ind w:right="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9"/>
        <w:rPr>
          <w:rFonts w:ascii="宋体" w:hAnsi="宋体" w:cs="宋体" w:eastAsia="宋体" w:hint="default"/>
          <w:sz w:val="25"/>
          <w:szCs w:val="25"/>
        </w:rPr>
      </w:pPr>
    </w:p>
    <w:p>
      <w:pPr>
        <w:spacing w:line="487" w:lineRule="auto" w:before="0"/>
        <w:ind w:left="154" w:right="7692" w:firstLine="0"/>
        <w:jc w:val="left"/>
        <w:rPr>
          <w:rFonts w:ascii="宋体" w:hAnsi="宋体" w:cs="宋体" w:eastAsia="宋体" w:hint="default"/>
          <w:sz w:val="21"/>
          <w:szCs w:val="21"/>
        </w:rPr>
      </w:pPr>
      <w:bookmarkStart w:name="3、其他" w:id="220"/>
      <w:bookmarkEnd w:id="22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1"/>
      <w:bookmarkEnd w:id="221"/>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2"/>
      <w:bookmarkEnd w:id="222"/>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285,827.45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184,105.99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201,813,565.83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308,025,049.40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2,692,383.47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7,961,157.30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204,791,776.75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316,170,312.69</w:t>
            </w:r>
          </w:p>
        </w:tc>
      </w:tr>
    </w:tbl>
    <w:p>
      <w:pPr>
        <w:pStyle w:val="BodyText"/>
        <w:spacing w:line="240" w:lineRule="auto" w:before="51"/>
        <w:ind w:right="0"/>
        <w:jc w:val="left"/>
      </w:pPr>
      <w:r>
        <w:rPr/>
        <w:t>其他说明</w:t>
      </w:r>
    </w:p>
    <w:p>
      <w:pPr>
        <w:spacing w:line="240" w:lineRule="auto" w:before="6"/>
        <w:rPr>
          <w:rFonts w:ascii="宋体" w:hAnsi="宋体" w:cs="宋体" w:eastAsia="宋体" w:hint="default"/>
          <w:sz w:val="13"/>
          <w:szCs w:val="13"/>
        </w:rPr>
      </w:pPr>
    </w:p>
    <w:p>
      <w:pPr>
        <w:pStyle w:val="BodyText"/>
        <w:spacing w:line="300" w:lineRule="auto"/>
        <w:ind w:right="0" w:firstLine="420"/>
        <w:jc w:val="left"/>
      </w:pPr>
      <w:r>
        <w:rPr>
          <w:spacing w:val="-1"/>
        </w:rPr>
        <w:t>其他货币资金中期末余额</w:t>
      </w:r>
      <w:r>
        <w:rPr>
          <w:rFonts w:ascii="Times New Roman" w:hAnsi="Times New Roman" w:cs="Times New Roman" w:eastAsia="Times New Roman" w:hint="default"/>
          <w:spacing w:val="-1"/>
        </w:rPr>
        <w:t>2,692,383.47</w:t>
      </w:r>
      <w:r>
        <w:rPr>
          <w:spacing w:val="-1"/>
        </w:rPr>
        <w:t>元，系本公司办理银行承兑汇票的保证金以及保函保证金。除银行承兑汇票保证</w:t>
      </w:r>
      <w:r>
        <w:rPr/>
        <w:t> 金、保函保证金外，公司无其他存在抵押、冻结等对变现有限制款项、存放在境外的款项及有潜在回收风险的款项。</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以公允价值计量且其变动计入当期损益的金融资产" w:id="223"/>
      <w:bookmarkEnd w:id="223"/>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衍生金融资产" w:id="224"/>
      <w:bookmarkEnd w:id="224"/>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及应收账款" w:id="225"/>
      <w:bookmarkEnd w:id="225"/>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1,964,488.04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155,661,264.58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106,812,607.61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155,691,264.58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108,777,095.65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226"/>
      <w:bookmarkEnd w:id="226"/>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1,964,488.04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1,964,488.04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right="-20"/>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5165" w:space="366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8,761,302.36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8,761,302.36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期末无因出票人无力履约而转为应收账款的票据。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应收账款" w:id="227"/>
      <w:bookmarkEnd w:id="227"/>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838"/>
        <w:gridCol w:w="762"/>
        <w:gridCol w:w="669"/>
        <w:gridCol w:w="856"/>
        <w:gridCol w:w="790"/>
        <w:gridCol w:w="764"/>
        <w:gridCol w:w="708"/>
        <w:gridCol w:w="852"/>
        <w:gridCol w:w="836"/>
        <w:gridCol w:w="932"/>
      </w:tblGrid>
      <w:tr>
        <w:trPr>
          <w:trHeight w:val="402"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39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6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1600"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72" w:type="dxa"/>
            <w:gridSpan w:val="2"/>
            <w:vMerge/>
            <w:tcBorders>
              <w:left w:val="single" w:sz="4" w:space="0" w:color="000000"/>
              <w:bottom w:val="single" w:sz="4" w:space="0" w:color="000000"/>
              <w:right w:val="single" w:sz="4" w:space="0" w:color="000000"/>
            </w:tcBorders>
            <w:shd w:val="clear" w:color="auto" w:fill="D2D2D2"/>
          </w:tcPr>
          <w:p>
            <w:pPr/>
          </w:p>
        </w:tc>
        <w:tc>
          <w:tcPr>
            <w:tcW w:w="1689"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0" w:hRule="exact"/>
        </w:trPr>
        <w:tc>
          <w:tcPr>
            <w:tcW w:w="1560" w:type="dxa"/>
            <w:vMerge w:val="restart"/>
            <w:tcBorders>
              <w:top w:val="nil" w:sz="6" w:space="0" w:color="auto"/>
              <w:left w:val="single" w:sz="4" w:space="0" w:color="000000"/>
              <w:right w:val="single" w:sz="4" w:space="0" w:color="000000"/>
            </w:tcBorders>
            <w:shd w:val="clear" w:color="auto" w:fill="D2D2D2"/>
          </w:tcPr>
          <w:p>
            <w:pPr/>
          </w:p>
        </w:tc>
        <w:tc>
          <w:tcPr>
            <w:tcW w:w="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0" w:type="dxa"/>
            <w:vMerge/>
            <w:tcBorders>
              <w:left w:val="single" w:sz="4" w:space="0" w:color="000000"/>
              <w:bottom w:val="nil" w:sz="6" w:space="0" w:color="auto"/>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838"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669" w:type="dxa"/>
            <w:vMerge/>
            <w:tcBorders>
              <w:left w:val="single" w:sz="4" w:space="0" w:color="000000"/>
              <w:bottom w:val="single" w:sz="4" w:space="0" w:color="000000"/>
              <w:right w:val="single" w:sz="4" w:space="0" w:color="000000"/>
            </w:tcBorders>
            <w:shd w:val="clear" w:color="auto" w:fill="D2D2D2"/>
          </w:tcPr>
          <w:p>
            <w:pPr/>
          </w:p>
        </w:tc>
        <w:tc>
          <w:tcPr>
            <w:tcW w:w="856"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36"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8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171,351,7</w:t>
            </w:r>
          </w:p>
          <w:p>
            <w:pPr>
              <w:pStyle w:val="TableParagraph"/>
              <w:spacing w:line="240" w:lineRule="auto" w:before="105"/>
              <w:ind w:left="392" w:right="0"/>
              <w:jc w:val="left"/>
              <w:rPr>
                <w:rFonts w:ascii="Times New Roman" w:hAnsi="Times New Roman" w:cs="Times New Roman" w:eastAsia="Times New Roman" w:hint="default"/>
                <w:sz w:val="18"/>
                <w:szCs w:val="18"/>
              </w:rPr>
            </w:pPr>
            <w:r>
              <w:rPr>
                <w:rFonts w:ascii="Times New Roman"/>
                <w:sz w:val="18"/>
              </w:rPr>
              <w:t>09.87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15,690,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445.29</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9.16%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155,661,2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64.58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117,220,</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782.81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10,408,17</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5.20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8.88%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106,812,60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7.61</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838"/>
        <w:gridCol w:w="762"/>
        <w:gridCol w:w="669"/>
        <w:gridCol w:w="856"/>
        <w:gridCol w:w="790"/>
        <w:gridCol w:w="764"/>
        <w:gridCol w:w="708"/>
        <w:gridCol w:w="852"/>
        <w:gridCol w:w="836"/>
        <w:gridCol w:w="932"/>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171,351,7</w:t>
            </w:r>
          </w:p>
          <w:p>
            <w:pPr>
              <w:pStyle w:val="TableParagraph"/>
              <w:spacing w:line="240" w:lineRule="auto" w:before="106"/>
              <w:ind w:left="399" w:right="0"/>
              <w:jc w:val="left"/>
              <w:rPr>
                <w:rFonts w:ascii="Times New Roman" w:hAnsi="Times New Roman" w:cs="Times New Roman" w:eastAsia="Times New Roman" w:hint="default"/>
                <w:sz w:val="18"/>
                <w:szCs w:val="18"/>
              </w:rPr>
            </w:pPr>
            <w:r>
              <w:rPr>
                <w:rFonts w:ascii="Times New Roman"/>
                <w:sz w:val="18"/>
              </w:rPr>
              <w:t>09.87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15,690,</w:t>
            </w:r>
          </w:p>
          <w:p>
            <w:pPr>
              <w:pStyle w:val="TableParagraph"/>
              <w:spacing w:line="240" w:lineRule="auto" w:before="106"/>
              <w:ind w:left="141" w:right="0"/>
              <w:jc w:val="left"/>
              <w:rPr>
                <w:rFonts w:ascii="Times New Roman" w:hAnsi="Times New Roman" w:cs="Times New Roman" w:eastAsia="Times New Roman" w:hint="default"/>
                <w:sz w:val="18"/>
                <w:szCs w:val="18"/>
              </w:rPr>
            </w:pPr>
            <w:r>
              <w:rPr>
                <w:rFonts w:ascii="Times New Roman"/>
                <w:sz w:val="18"/>
              </w:rPr>
              <w:t>445.29</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9.16%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155,661,2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64.58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117,220,</w:t>
            </w:r>
          </w:p>
          <w:p>
            <w:pPr>
              <w:pStyle w:val="TableParagraph"/>
              <w:spacing w:line="240" w:lineRule="auto" w:before="106"/>
              <w:ind w:left="213" w:right="0"/>
              <w:jc w:val="center"/>
              <w:rPr>
                <w:rFonts w:ascii="Times New Roman" w:hAnsi="Times New Roman" w:cs="Times New Roman" w:eastAsia="Times New Roman" w:hint="default"/>
                <w:sz w:val="18"/>
                <w:szCs w:val="18"/>
              </w:rPr>
            </w:pPr>
            <w:r>
              <w:rPr>
                <w:rFonts w:ascii="Times New Roman"/>
                <w:sz w:val="18"/>
              </w:rPr>
              <w:t>782.81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10,408,17</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5.20</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9" w:right="0"/>
              <w:jc w:val="left"/>
              <w:rPr>
                <w:rFonts w:ascii="Times New Roman" w:hAnsi="Times New Roman" w:cs="Times New Roman" w:eastAsia="Times New Roman" w:hint="default"/>
                <w:sz w:val="18"/>
                <w:szCs w:val="18"/>
              </w:rPr>
            </w:pPr>
            <w:r>
              <w:rPr>
                <w:rFonts w:ascii="Times New Roman"/>
                <w:sz w:val="18"/>
              </w:rPr>
              <w:t>8.88%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106,812,60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7.61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120,911,891.80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6,045,594.59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120,911,891.80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6,045,594.59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31,689,355.54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3,168,935.55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12,733,830.80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2,546,766.16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3,357,493.99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1,678,747.00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2,043,678.74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1,634,942.99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615,459.00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615,459.00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171,351,709.87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15,690,445.29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6432"/>
        <w:jc w:val="left"/>
      </w:pPr>
      <w:r>
        <w:rPr/>
        <w:t>确定该组合依据的说明： 组合中，采用余额百分比法计提坏账准备的应收账款：</w:t>
      </w:r>
    </w:p>
    <w:p>
      <w:pPr>
        <w:pStyle w:val="BodyText"/>
        <w:spacing w:line="338" w:lineRule="auto" w:before="29"/>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2"/>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right="0"/>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0"/>
        <w:jc w:val="left"/>
      </w:pPr>
      <w:r>
        <w:rPr/>
        <w:t>本期计提坏账准备金额</w:t>
      </w:r>
      <w:r>
        <w:rPr>
          <w:spacing w:val="-47"/>
        </w:rPr>
        <w:t> </w:t>
      </w:r>
      <w:r>
        <w:rPr>
          <w:rFonts w:ascii="Times New Roman" w:hAnsi="Times New Roman" w:cs="Times New Roman" w:eastAsia="Times New Roman" w:hint="default"/>
        </w:rPr>
        <w:t>5,282,270.09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本期实际核销的应收账款情况</w:t>
      </w:r>
    </w:p>
    <w:p>
      <w:pPr>
        <w:pStyle w:val="BodyText"/>
        <w:spacing w:line="338" w:lineRule="auto" w:before="103"/>
        <w:ind w:right="6822"/>
        <w:jc w:val="left"/>
      </w:pPr>
      <w:r>
        <w:rPr>
          <w:rFonts w:ascii="Times New Roman" w:hAnsi="Times New Roman" w:cs="Times New Roman" w:eastAsia="Times New Roman" w:hint="default"/>
        </w:rPr>
        <w:t>4)</w:t>
      </w:r>
      <w:r>
        <w:rPr/>
        <w:t>按欠款方归集的期末余额前五名的应收账款情况</w:t>
      </w:r>
      <w:r>
        <w:rPr>
          <w:w w:val="99"/>
        </w:rPr>
        <w:t> </w:t>
      </w:r>
      <w:r>
        <w:rPr/>
        <w:t>公司是否需要遵守特殊行业的披露要求</w:t>
      </w:r>
    </w:p>
    <w:p>
      <w:pPr>
        <w:pStyle w:val="BodyText"/>
        <w:spacing w:line="360" w:lineRule="auto" w:before="42"/>
        <w:ind w:right="8952"/>
        <w:jc w:val="left"/>
      </w:pPr>
      <w:r>
        <w:rPr/>
        <w:t>是 软件与信息技术服务业</w:t>
      </w:r>
    </w:p>
    <w:p>
      <w:pPr>
        <w:pStyle w:val="BodyText"/>
        <w:spacing w:line="240" w:lineRule="auto" w:before="25"/>
        <w:ind w:right="0"/>
        <w:jc w:val="left"/>
      </w:pPr>
      <w:r>
        <w:rPr/>
        <w:t>期末应收账款余额前五名合计</w:t>
      </w:r>
      <w:r>
        <w:rPr>
          <w:rFonts w:ascii="Times New Roman" w:hAnsi="Times New Roman" w:cs="Times New Roman" w:eastAsia="Times New Roman" w:hint="default"/>
        </w:rPr>
        <w:t>41,253,921.30</w:t>
      </w:r>
      <w:r>
        <w:rPr/>
        <w:t>元，占应收账款余额的比例为</w:t>
      </w:r>
      <w:r>
        <w:rPr>
          <w:rFonts w:ascii="Times New Roman" w:hAnsi="Times New Roman" w:cs="Times New Roman" w:eastAsia="Times New Roman" w:hint="default"/>
        </w:rPr>
        <w:t>24.08%</w:t>
      </w:r>
      <w:r>
        <w:rPr/>
        <w:t>，计提坏账准备金额</w:t>
      </w:r>
      <w:r>
        <w:rPr>
          <w:rFonts w:ascii="Times New Roman" w:hAnsi="Times New Roman" w:cs="Times New Roman" w:eastAsia="Times New Roman" w:hint="default"/>
        </w:rPr>
        <w:t>2,062,696.07</w:t>
      </w:r>
      <w:r>
        <w:rPr/>
        <w:t>元。</w:t>
      </w:r>
    </w:p>
    <w:p>
      <w:pPr>
        <w:pStyle w:val="BodyText"/>
        <w:spacing w:line="345" w:lineRule="auto" w:before="103"/>
        <w:ind w:right="6252"/>
        <w:jc w:val="left"/>
      </w:pPr>
      <w:r>
        <w:rPr>
          <w:rFonts w:ascii="Times New Roman" w:hAnsi="Times New Roman" w:cs="Times New Roman" w:eastAsia="Times New Roman" w:hint="default"/>
        </w:rPr>
        <w:t>5)</w:t>
      </w:r>
      <w:r>
        <w:rPr/>
        <w:t>因金融资产转移而终止确认的应收账款</w:t>
      </w:r>
      <w:r>
        <w:rPr>
          <w:w w:val="99"/>
        </w:rPr>
        <w:t> </w:t>
      </w:r>
      <w:r>
        <w:rPr/>
        <w:t>期末无因金融资产转移而终止确认的应收账款。</w:t>
      </w:r>
      <w:r>
        <w:rPr>
          <w:w w:val="99"/>
        </w:rPr>
        <w:t> </w:t>
      </w:r>
      <w:r>
        <w:rPr>
          <w:rFonts w:ascii="Times New Roman" w:hAnsi="Times New Roman" w:cs="Times New Roman" w:eastAsia="Times New Roman" w:hint="default"/>
        </w:rPr>
        <w:t>6)</w:t>
      </w:r>
      <w:r>
        <w:rPr/>
        <w:t>转移应收账款且继续涉入形成的资产、负债金额</w:t>
      </w:r>
      <w:r>
        <w:rPr>
          <w:w w:val="99"/>
        </w:rPr>
        <w:t> </w:t>
      </w:r>
      <w:r>
        <w:rPr/>
        <w:t>本期无因转移应收账款而继续涉入的形成的资产、负债。</w:t>
      </w:r>
    </w:p>
    <w:p>
      <w:pPr>
        <w:spacing w:after="0" w:line="345"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预付款项" w:id="228"/>
      <w:bookmarkEnd w:id="228"/>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29"/>
      <w:bookmarkEnd w:id="22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2,762,082.85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3,191,090.29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82.59%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516,905.02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672,498.43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17.41%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3,278,987.87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3,863,588.72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5894"/>
        <w:jc w:val="left"/>
      </w:pPr>
      <w:r>
        <w:rPr/>
        <w:t>账龄超过</w:t>
      </w:r>
      <w:r>
        <w:rPr>
          <w:spacing w:val="-46"/>
        </w:rPr>
        <w:t> </w:t>
      </w:r>
      <w:r>
        <w:rPr>
          <w:rFonts w:ascii="宋体" w:hAnsi="宋体" w:cs="宋体" w:eastAsia="宋体" w:hint="default"/>
        </w:rPr>
        <w:t>1</w:t>
      </w:r>
      <w:r>
        <w:rPr>
          <w:rFonts w:ascii="宋体" w:hAnsi="宋体" w:cs="宋体" w:eastAsia="宋体" w:hint="default"/>
          <w:spacing w:val="-46"/>
        </w:rPr>
        <w:t> </w:t>
      </w:r>
      <w:r>
        <w:rPr/>
        <w:t>年且金额重要的预付款项未及时结算原因的说明： 期末余额中无账龄超过</w:t>
      </w:r>
      <w:r>
        <w:rPr>
          <w:rFonts w:ascii="宋体" w:hAnsi="宋体" w:cs="宋体" w:eastAsia="宋体" w:hint="default"/>
        </w:rPr>
        <w:t>1</w:t>
      </w:r>
      <w:r>
        <w:rPr/>
        <w:t>年且金额重要的预付款项。</w:t>
      </w:r>
    </w:p>
    <w:p>
      <w:pPr>
        <w:spacing w:line="240" w:lineRule="auto" w:before="2"/>
        <w:rPr>
          <w:rFonts w:ascii="宋体" w:hAnsi="宋体" w:cs="宋体" w:eastAsia="宋体" w:hint="default"/>
          <w:sz w:val="20"/>
          <w:szCs w:val="20"/>
        </w:rPr>
      </w:pPr>
    </w:p>
    <w:p>
      <w:pPr>
        <w:spacing w:line="547" w:lineRule="auto" w:before="0"/>
        <w:ind w:left="154" w:right="4212" w:firstLine="0"/>
        <w:jc w:val="left"/>
        <w:rPr>
          <w:rFonts w:ascii="宋体" w:hAnsi="宋体" w:cs="宋体" w:eastAsia="宋体" w:hint="default"/>
          <w:sz w:val="21"/>
          <w:szCs w:val="21"/>
        </w:rPr>
      </w:pPr>
      <w:bookmarkStart w:name="（2）按预付对象归集的期末余额前五名的预付款情况" w:id="230"/>
      <w:bookmarkEnd w:id="2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z w:val="18"/>
          <w:szCs w:val="18"/>
        </w:rPr>
        <w:t>期末预付款项前五名金额合计</w:t>
      </w:r>
      <w:r>
        <w:rPr>
          <w:rFonts w:ascii="Times New Roman" w:hAnsi="Times New Roman" w:cs="Times New Roman" w:eastAsia="Times New Roman" w:hint="default"/>
          <w:sz w:val="18"/>
          <w:szCs w:val="18"/>
        </w:rPr>
        <w:t>1,761,112.00</w:t>
      </w:r>
      <w:r>
        <w:rPr>
          <w:rFonts w:ascii="宋体" w:hAnsi="宋体" w:cs="宋体" w:eastAsia="宋体" w:hint="default"/>
          <w:sz w:val="18"/>
          <w:szCs w:val="18"/>
        </w:rPr>
        <w:t>元，占期末预付款项总额比例为</w:t>
      </w:r>
      <w:r>
        <w:rPr>
          <w:rFonts w:ascii="Times New Roman" w:hAnsi="Times New Roman" w:cs="Times New Roman" w:eastAsia="Times New Roman" w:hint="default"/>
          <w:sz w:val="18"/>
          <w:szCs w:val="18"/>
        </w:rPr>
        <w:t>53.71%</w:t>
      </w:r>
      <w:r>
        <w:rPr>
          <w:rFonts w:ascii="宋体" w:hAnsi="宋体" w:cs="宋体" w:eastAsia="宋体" w:hint="default"/>
          <w:sz w:val="18"/>
          <w:szCs w:val="18"/>
        </w:rPr>
        <w:t>。 </w:t>
      </w:r>
      <w:bookmarkStart w:name="6、其他应收款" w:id="231"/>
      <w:bookmarkEnd w:id="231"/>
      <w:r>
        <w:rPr>
          <w:rFonts w:ascii="宋体" w:hAnsi="宋体" w:cs="宋体" w:eastAsia="宋体" w:hint="default"/>
          <w:sz w:val="18"/>
          <w:szCs w:val="18"/>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BodyText"/>
        <w:spacing w:line="240" w:lineRule="auto" w:before="5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13,627,098.04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12,193,218.50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13,627,098.04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12,193,218.50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232"/>
      <w:bookmarkEnd w:id="23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应收股利" w:id="233"/>
      <w:bookmarkEnd w:id="233"/>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其他应收款" w:id="234"/>
      <w:bookmarkEnd w:id="23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9"/>
        <w:gridCol w:w="1134"/>
        <w:gridCol w:w="607"/>
        <w:gridCol w:w="762"/>
        <w:gridCol w:w="899"/>
        <w:gridCol w:w="653"/>
        <w:gridCol w:w="654"/>
        <w:gridCol w:w="762"/>
        <w:gridCol w:w="909"/>
        <w:gridCol w:w="836"/>
        <w:gridCol w:w="932"/>
      </w:tblGrid>
      <w:tr>
        <w:trPr>
          <w:trHeight w:val="403"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405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7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231" w:right="4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419" w:type="dxa"/>
            <w:vMerge/>
            <w:tcBorders>
              <w:left w:val="single" w:sz="4" w:space="0" w:color="000000"/>
              <w:bottom w:val="nil" w:sz="6" w:space="0" w:color="auto"/>
              <w:right w:val="single" w:sz="4" w:space="0" w:color="000000"/>
            </w:tcBorders>
            <w:shd w:val="clear" w:color="auto" w:fill="D2D2D2"/>
          </w:tcPr>
          <w:p>
            <w:pPr/>
          </w:p>
        </w:tc>
        <w:tc>
          <w:tcPr>
            <w:tcW w:w="1741" w:type="dxa"/>
            <w:gridSpan w:val="2"/>
            <w:vMerge/>
            <w:tcBorders>
              <w:left w:val="single" w:sz="4" w:space="0" w:color="000000"/>
              <w:bottom w:val="single" w:sz="4" w:space="0" w:color="000000"/>
              <w:right w:val="single" w:sz="4" w:space="0" w:color="000000"/>
            </w:tcBorders>
            <w:shd w:val="clear" w:color="auto" w:fill="D2D2D2"/>
          </w:tcPr>
          <w:p>
            <w:pPr/>
          </w:p>
        </w:tc>
        <w:tc>
          <w:tcPr>
            <w:tcW w:w="1661" w:type="dxa"/>
            <w:gridSpan w:val="2"/>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7" w:hRule="exact"/>
        </w:trPr>
        <w:tc>
          <w:tcPr>
            <w:tcW w:w="1419"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653" w:type="dxa"/>
            <w:vMerge/>
            <w:tcBorders>
              <w:left w:val="single" w:sz="4" w:space="0" w:color="000000"/>
              <w:right w:val="single" w:sz="4" w:space="0" w:color="000000"/>
            </w:tcBorders>
            <w:shd w:val="clear" w:color="auto" w:fill="D2D2D2"/>
          </w:tcPr>
          <w:p>
            <w:pP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607"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99"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909" w:type="dxa"/>
            <w:vMerge/>
            <w:tcBorders>
              <w:left w:val="single" w:sz="4" w:space="0" w:color="000000"/>
              <w:bottom w:val="single" w:sz="4" w:space="0" w:color="000000"/>
              <w:right w:val="single" w:sz="4" w:space="0" w:color="000000"/>
            </w:tcBorders>
            <w:shd w:val="clear" w:color="auto" w:fill="D2D2D2"/>
          </w:tcPr>
          <w:p>
            <w:pPr/>
          </w:p>
        </w:tc>
        <w:tc>
          <w:tcPr>
            <w:tcW w:w="836"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24"/>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16,875,302.38</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97.13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3,248,20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4.34</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19.25%</w:t>
            </w:r>
          </w:p>
        </w:tc>
        <w:tc>
          <w:tcPr>
            <w:tcW w:w="653"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13,627,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098.04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14,100,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843.69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1,907,625.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19</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13.53%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12,193,218.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24"/>
              <w:jc w:val="left"/>
              <w:rPr>
                <w:rFonts w:ascii="宋体" w:hAnsi="宋体" w:cs="宋体" w:eastAsia="宋体" w:hint="default"/>
                <w:sz w:val="18"/>
                <w:szCs w:val="18"/>
              </w:rPr>
            </w:pPr>
            <w:r>
              <w:rPr>
                <w:rFonts w:ascii="宋体" w:hAnsi="宋体" w:cs="宋体" w:eastAsia="宋体" w:hint="default"/>
                <w:sz w:val="18"/>
                <w:szCs w:val="18"/>
              </w:rPr>
              <w:t>单项金额不重大 但单独计提坏账</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499,355.91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2.87%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499,355.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8"/>
        <w:gridCol w:w="1135"/>
        <w:gridCol w:w="607"/>
        <w:gridCol w:w="762"/>
        <w:gridCol w:w="899"/>
        <w:gridCol w:w="653"/>
        <w:gridCol w:w="654"/>
        <w:gridCol w:w="762"/>
        <w:gridCol w:w="909"/>
        <w:gridCol w:w="836"/>
        <w:gridCol w:w="932"/>
      </w:tblGrid>
      <w:tr>
        <w:trPr>
          <w:trHeight w:val="67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23"/>
              <w:jc w:val="left"/>
              <w:rPr>
                <w:rFonts w:ascii="宋体" w:hAnsi="宋体" w:cs="宋体" w:eastAsia="宋体" w:hint="default"/>
                <w:sz w:val="18"/>
                <w:szCs w:val="18"/>
              </w:rPr>
            </w:pPr>
            <w:r>
              <w:rPr>
                <w:rFonts w:ascii="宋体" w:hAnsi="宋体" w:cs="宋体" w:eastAsia="宋体" w:hint="default"/>
                <w:sz w:val="18"/>
                <w:szCs w:val="18"/>
              </w:rPr>
              <w:t>准备的其他应收 款</w:t>
            </w:r>
          </w:p>
        </w:tc>
        <w:tc>
          <w:tcPr>
            <w:tcW w:w="1135"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17,374,658.29</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3,747,56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0.25</w:t>
            </w:r>
          </w:p>
        </w:tc>
        <w:tc>
          <w:tcPr>
            <w:tcW w:w="89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13,627,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098.04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14,100,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843.69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1,907,625.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19</w:t>
            </w:r>
          </w:p>
        </w:tc>
        <w:tc>
          <w:tcPr>
            <w:tcW w:w="8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12,193,218.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10,778,702.99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538,935.16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10,778,702.99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538,935.16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3,180,552.55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318,055.26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656,041.15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131,208.23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1,235,616.50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1,235,616.50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482,444.90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482,444.90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541,944.29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541,944.29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16,875,302.38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3,248,204.34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60" w:lineRule="auto" w:before="51"/>
        <w:ind w:right="1779"/>
        <w:jc w:val="left"/>
      </w:pPr>
      <w:r>
        <w:rPr/>
        <w:t>确定该组合依据的说明： 组合中，采用余额百分比法计提坏账准备的其他应收款：</w:t>
      </w:r>
    </w:p>
    <w:p>
      <w:pPr>
        <w:pStyle w:val="BodyText"/>
        <w:spacing w:line="340" w:lineRule="auto" w:before="26"/>
        <w:ind w:right="21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77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779"/>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3"/>
        <w:jc w:val="left"/>
      </w:pPr>
      <w:r>
        <w:rPr/>
        <w:t>本期计提坏账准备金额</w:t>
      </w:r>
      <w:r>
        <w:rPr>
          <w:spacing w:val="-47"/>
        </w:rPr>
        <w:t> </w:t>
      </w:r>
      <w:r>
        <w:rPr>
          <w:rFonts w:ascii="Times New Roman" w:hAnsi="Times New Roman" w:cs="Times New Roman" w:eastAsia="Times New Roman" w:hint="default"/>
        </w:rPr>
        <w:t>1,839,935.06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779"/>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2"/>
        <w:ind w:right="1779"/>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投标及履约保证金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13,360,876.12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8,860,134.40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其他往来及备用金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4,013,782.17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2,144,471.15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增值税软件退税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3,096,238.14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17,374,658.29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14,100,843.69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25"/>
        <w:gridCol w:w="1418"/>
        <w:gridCol w:w="1840"/>
        <w:gridCol w:w="1596"/>
        <w:gridCol w:w="1595"/>
      </w:tblGrid>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9"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6"/>
              <w:ind w:left="22" w:right="119"/>
              <w:jc w:val="left"/>
              <w:rPr>
                <w:rFonts w:ascii="宋体" w:hAnsi="宋体" w:cs="宋体" w:eastAsia="宋体" w:hint="default"/>
                <w:sz w:val="18"/>
                <w:szCs w:val="18"/>
              </w:rPr>
            </w:pPr>
            <w:r>
              <w:rPr>
                <w:rFonts w:ascii="宋体" w:hAnsi="宋体" w:cs="宋体" w:eastAsia="宋体" w:hint="default"/>
                <w:sz w:val="18"/>
                <w:szCs w:val="18"/>
              </w:rPr>
              <w:t>湖南建工德顺电子 科技有限公司</w:t>
            </w:r>
          </w:p>
        </w:tc>
        <w:tc>
          <w:tcPr>
            <w:tcW w:w="15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4,097,682.00</w:t>
            </w:r>
          </w:p>
        </w:tc>
        <w:tc>
          <w:tcPr>
            <w:tcW w:w="18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204,884.10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岳阳市政府采购管 理办公室</w:t>
            </w:r>
          </w:p>
        </w:tc>
        <w:tc>
          <w:tcPr>
            <w:tcW w:w="15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1,032,350.00</w:t>
            </w:r>
          </w:p>
        </w:tc>
        <w:tc>
          <w:tcPr>
            <w:tcW w:w="18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449350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p>
            <w:pPr>
              <w:pStyle w:val="TableParagraph"/>
              <w:spacing w:line="240" w:lineRule="auto" w:before="63"/>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80,767.50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5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837,840.00</w:t>
            </w:r>
          </w:p>
        </w:tc>
        <w:tc>
          <w:tcPr>
            <w:tcW w:w="18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837,840.00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湖南第一师范学院</w:t>
            </w:r>
          </w:p>
        </w:tc>
        <w:tc>
          <w:tcPr>
            <w:tcW w:w="15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619,280.15</w:t>
            </w:r>
          </w:p>
        </w:tc>
        <w:tc>
          <w:tcPr>
            <w:tcW w:w="18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61,928.02</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湖南力唯中天科技 发展有限公司</w:t>
            </w:r>
          </w:p>
        </w:tc>
        <w:tc>
          <w:tcPr>
            <w:tcW w:w="152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18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7,097,152.15</w:t>
            </w:r>
          </w:p>
        </w:tc>
        <w:tc>
          <w:tcPr>
            <w:tcW w:w="1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1,210,919.62</w:t>
            </w:r>
          </w:p>
        </w:tc>
      </w:tr>
    </w:tbl>
    <w:p>
      <w:pPr>
        <w:pStyle w:val="BodyText"/>
        <w:spacing w:line="319" w:lineRule="auto" w:before="51"/>
        <w:ind w:right="6472"/>
        <w:jc w:val="left"/>
      </w:pPr>
      <w:r>
        <w:rPr>
          <w:rFonts w:ascii="Times New Roman" w:hAnsi="Times New Roman" w:cs="Times New Roman" w:eastAsia="Times New Roman" w:hint="default"/>
        </w:rPr>
        <w:t>6)</w:t>
      </w:r>
      <w:r>
        <w:rPr/>
        <w:t>涉及政府补助的应收款项</w:t>
      </w:r>
      <w:r>
        <w:rPr>
          <w:w w:val="99"/>
        </w:rPr>
        <w:t> </w:t>
      </w:r>
      <w:r>
        <w:rPr/>
        <w:t>期末余额中无应收政府补助款。</w:t>
      </w:r>
      <w:r>
        <w:rPr>
          <w:w w:val="99"/>
        </w:rPr>
        <w:t> </w:t>
      </w:r>
      <w:r>
        <w:rPr>
          <w:rFonts w:ascii="Times New Roman" w:hAnsi="Times New Roman" w:cs="Times New Roman" w:eastAsia="Times New Roman" w:hint="default"/>
        </w:rPr>
        <w:t>7)</w:t>
      </w:r>
      <w:r>
        <w:rPr/>
        <w:t>因金融资产转移而终止确认的其他应收款</w:t>
      </w:r>
      <w:r>
        <w:rPr>
          <w:w w:val="99"/>
        </w:rPr>
        <w:t> </w:t>
      </w:r>
      <w:r>
        <w:rPr/>
        <w:t>本期无金融资产转移而终止确认的其他应收款。</w:t>
      </w:r>
    </w:p>
    <w:p>
      <w:pPr>
        <w:pStyle w:val="BodyText"/>
        <w:spacing w:line="338" w:lineRule="auto" w:before="58"/>
        <w:ind w:right="6432"/>
        <w:jc w:val="left"/>
      </w:pPr>
      <w:r>
        <w:rPr>
          <w:rFonts w:ascii="Times New Roman" w:hAnsi="Times New Roman" w:cs="Times New Roman" w:eastAsia="Times New Roman" w:hint="default"/>
        </w:rPr>
        <w:t>8)</w:t>
      </w:r>
      <w:r>
        <w:rPr/>
        <w:t>转移其他应收款且继续涉入形成的资产、负债金额</w:t>
      </w:r>
      <w:r>
        <w:rPr>
          <w:w w:val="99"/>
        </w:rPr>
        <w:t> </w:t>
      </w:r>
      <w:r>
        <w:rPr/>
        <w:t>本期无转移其他应收款而继续涉入形成的资产、负债。</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7、存货" w:id="235"/>
      <w:bookmarkEnd w:id="235"/>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51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存货分类" w:id="236"/>
      <w:bookmarkEnd w:id="23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532,847.95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532,847.95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205,955.92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205,955.92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82,908,436.51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82,908,436.51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67,372,518.72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67,372,518.72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83,441,284.46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83,441,284.46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67,578,474.64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67,578,474.64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237"/>
      <w:bookmarkEnd w:id="23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期末存货未发现减值迹象，故无需计提存货跌价准备。</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存货期末余额含有借款费用资本化金额的说明" w:id="238"/>
      <w:bookmarkEnd w:id="238"/>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39"/>
      <w:bookmarkEnd w:id="239"/>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8、持有待售资产" w:id="240"/>
      <w:bookmarkEnd w:id="240"/>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9、一年内到期的非流动资产" w:id="241"/>
      <w:bookmarkEnd w:id="241"/>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0、其他流动资产" w:id="242"/>
      <w:bookmarkEnd w:id="242"/>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6,540.44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预交企业所得税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9,209.89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6,540.44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9,209.89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1、可供出售金融资产" w:id="243"/>
      <w:bookmarkEnd w:id="243"/>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2、持有至到期投资" w:id="244"/>
      <w:bookmarkEnd w:id="244"/>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3、长期应收款" w:id="245"/>
      <w:bookmarkEnd w:id="245"/>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46"/>
      <w:bookmarkEnd w:id="246"/>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业务形成的长 期应收款</w:t>
            </w:r>
          </w:p>
        </w:tc>
        <w:tc>
          <w:tcPr>
            <w:tcW w:w="116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55,704,790.86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55,704,790.86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7,860,000.00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7,860,000.00</w:t>
            </w:r>
          </w:p>
        </w:tc>
        <w:tc>
          <w:tcPr>
            <w:tcW w:w="116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4.75%-8.00%</w:t>
            </w: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55,704,790.86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55,704,790.86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7,860,000.00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7,860,000.00</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因金融资产转移而终止确认的长期应收款" w:id="247"/>
      <w:bookmarkEnd w:id="247"/>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本期无因资产转移而终止确认的长期应收款。</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转移长期应收款且继续涉入形成的资产、负债金额" w:id="248"/>
      <w:bookmarkEnd w:id="248"/>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期末无转移长期应收款且继续涉入形成的资产、负债。</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4、长期股权投资" w:id="249"/>
      <w:bookmarkEnd w:id="24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5、投资性房地产" w:id="250"/>
      <w:bookmarkEnd w:id="25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51"/>
      <w:bookmarkEnd w:id="25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8"/>
        <w:gridCol w:w="1701"/>
        <w:gridCol w:w="1914"/>
        <w:gridCol w:w="1914"/>
        <w:gridCol w:w="1914"/>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01"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9,772,200.00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9,772,200.00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1"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701"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r>
              <w:rPr>
                <w:rFonts w:ascii="宋体" w:hAnsi="宋体" w:cs="宋体" w:eastAsia="宋体" w:hint="default"/>
                <w:sz w:val="18"/>
                <w:szCs w:val="18"/>
              </w:rPr>
              <w:t>在建工程转入</w:t>
            </w:r>
          </w:p>
        </w:tc>
        <w:tc>
          <w:tcPr>
            <w:tcW w:w="1701"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701"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9,772,200.00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9,772,200.00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2,573,537.92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2,573,537.92</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214,428.26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214,428.26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214,428.26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214,428.26</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2,787,966.18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2,787,966.18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8"/>
        <w:gridCol w:w="1701"/>
        <w:gridCol w:w="1914"/>
        <w:gridCol w:w="1914"/>
        <w:gridCol w:w="1914"/>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0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6,984,233.82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6,984,233.82</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7,198,662.08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7,198,662.08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采用公允价值计量模式的投资性房地产" w:id="252"/>
      <w:bookmarkEnd w:id="25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未办妥产权证书的投资性房地产情况" w:id="253"/>
      <w:bookmarkEnd w:id="253"/>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期末无未办妥产权证书的投资性房地产。</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16、固定资产" w:id="254"/>
      <w:bookmarkEnd w:id="25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75,427,659.74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65,244,454.67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75,427,659.74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65,244,454.67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255"/>
      <w:bookmarkEnd w:id="25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62,949,497.53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2,925,593.75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20,042,434.24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85,917,525.52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6,176,091.05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516,810.35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8,160,091.76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14,852,993.16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6,176,091.05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516,810.35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6,844,450.43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13,537,351.83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1,315,641.33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1,315,641.33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673,142.65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673,142.65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673,142.65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673,142.65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69,125,588.58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3,442,404.10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27,529,383.35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100,097,376.03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5,432,455.81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2,417,852.86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12,822,762.18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20,673,070.85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1,496,444.70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161,418.63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2,976,351.19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4,634,214.52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1,496,444.70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161,418.63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2,976,351.19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4,634,214.52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637,569.08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637,569.08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637,569.08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637,569.08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6,928,900.51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2,579,271.49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15,161,544.29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24,669,716.29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62,196,688.07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863,132.61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12,367,839.06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75,427,659.74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57,517,041.72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507,740.89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7,219,672.06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65,244,454.67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暂时闲置的固定资产情况" w:id="256"/>
      <w:bookmarkEnd w:id="256"/>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通过融资租赁租入的固定资产情况" w:id="257"/>
      <w:bookmarkEnd w:id="257"/>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通过经营租赁租出的固定资产" w:id="258"/>
      <w:bookmarkEnd w:id="258"/>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2,357,882.40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59"/>
      <w:bookmarkEnd w:id="259"/>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云南分公司办公楼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6,176,091.05</w:t>
            </w:r>
          </w:p>
        </w:tc>
        <w:tc>
          <w:tcPr>
            <w:tcW w:w="31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月办妥</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固定资产清理" w:id="260"/>
      <w:bookmarkEnd w:id="260"/>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7、在建工程" w:id="261"/>
      <w:bookmarkEnd w:id="26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1,315,641.33</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1,315,641.33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在建工程情况" w:id="262"/>
      <w:bookmarkEnd w:id="262"/>
      <w:r>
        <w:rPr>
          <w:b w:val="0"/>
          <w:bCs w:val="0"/>
        </w:rPr>
      </w:r>
      <w:r>
        <w:rPr/>
        <w:t>在建工程情况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在安装设备</w:t>
            </w:r>
          </w:p>
        </w:tc>
        <w:tc>
          <w:tcPr>
            <w:tcW w:w="1368" w:type="dxa"/>
            <w:tcBorders>
              <w:top w:val="single" w:sz="4" w:space="0" w:color="000000"/>
              <w:left w:val="single" w:sz="13" w:space="0" w:color="C6ECCC"/>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1,315,641.33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1,315,641.33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1,315,641.33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1,315,641.33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8、生产性生物资产" w:id="263"/>
      <w:bookmarkEnd w:id="263"/>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64"/>
      <w:bookmarkEnd w:id="264"/>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265"/>
      <w:bookmarkEnd w:id="265"/>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9、油气资产" w:id="266"/>
      <w:bookmarkEnd w:id="266"/>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0、无形资产" w:id="267"/>
      <w:bookmarkEnd w:id="267"/>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68"/>
      <w:bookmarkEnd w:id="268"/>
      <w:r>
        <w:rPr>
          <w:b w:val="0"/>
          <w:bCs w:val="0"/>
        </w:rPr>
      </w:r>
      <w:r>
        <w:rPr/>
        <w:t>（</w:t>
      </w:r>
      <w:r>
        <w:rPr>
          <w:rFonts w:ascii="Times New Roman" w:hAnsi="Times New Roman" w:cs="Times New Roman" w:eastAsia="Times New Roman" w:hint="default"/>
        </w:rPr>
        <w:t>1</w:t>
      </w:r>
      <w:r>
        <w:rPr/>
        <w:t>）无形资产情况</w:t>
      </w:r>
      <w:r>
        <w:rPr>
          <w:b w:val="0"/>
          <w:bCs w:val="0"/>
        </w:rPr>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2"/>
        <w:gridCol w:w="1487"/>
        <w:gridCol w:w="1594"/>
        <w:gridCol w:w="1594"/>
        <w:gridCol w:w="1595"/>
        <w:gridCol w:w="1594"/>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13" w:space="0" w:color="D2D2D2"/>
              <w:bottom w:val="single" w:sz="4" w:space="0" w:color="000000"/>
              <w:right w:val="single" w:sz="9" w:space="0" w:color="D2D2D2"/>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8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11,969,301.00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3,855,267.54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15,824,568.54</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48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68,376.07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68,376.07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8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68,376.07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68,376.07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3"/>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）内部研发</w:t>
            </w:r>
          </w:p>
        </w:tc>
        <w:tc>
          <w:tcPr>
            <w:tcW w:w="148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）企业合并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487"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11,969,301.00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3,923,643.61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15,892,944.61</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1,723,080.58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791,835.67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2,514,916.25</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231,905.25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526,714.08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758,619.33</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231,905.25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526,714.08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758,619.33</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1,954,985.83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1,318,549.75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3,273,535.58</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8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10,014,315.17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2,605,093.86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12,619,409.03</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10,246,220.42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3,063,431.87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13,309,652.29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未办妥产权证书的土地使用权情况" w:id="269"/>
      <w:bookmarkEnd w:id="26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期末无未办妥产权证书的土地使用权。</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1、开发支出" w:id="270"/>
      <w:bookmarkEnd w:id="270"/>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2、商誉" w:id="271"/>
      <w:bookmarkEnd w:id="271"/>
      <w:r>
        <w:rPr>
          <w:b w:val="0"/>
          <w:bCs w:val="0"/>
        </w:rPr>
      </w:r>
      <w:r>
        <w:rPr>
          <w:rFonts w:ascii="Times New Roman" w:hAnsi="Times New Roman" w:cs="Times New Roman" w:eastAsia="Times New Roman" w:hint="default"/>
        </w:rPr>
        <w:t>22</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3、长期待摊费用" w:id="272"/>
      <w:bookmarkEnd w:id="272"/>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4、递延所得税资产/递延所得税负债" w:id="273"/>
      <w:bookmarkEnd w:id="273"/>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74"/>
      <w:bookmarkEnd w:id="27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19,112,191.04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2,866,828.66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12,238,850.57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1,835,827.58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1,261,282.99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189,192.44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7,796,645.32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1,169,496.80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7,182,890.75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1,077,433.62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28,170,119.35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4,225,517.90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19,421,741.32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2,913,261.20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75"/>
      <w:bookmarkEnd w:id="27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以抵销后净额列示的递延所得税资产或负债" w:id="276"/>
      <w:bookmarkEnd w:id="27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8" w:right="0"/>
              <w:jc w:val="left"/>
              <w:rPr>
                <w:rFonts w:ascii="Times New Roman" w:hAnsi="Times New Roman" w:cs="Times New Roman" w:eastAsia="Times New Roman" w:hint="default"/>
                <w:sz w:val="18"/>
                <w:szCs w:val="18"/>
              </w:rPr>
            </w:pPr>
            <w:r>
              <w:rPr>
                <w:rFonts w:ascii="Times New Roman"/>
                <w:sz w:val="18"/>
              </w:rPr>
              <w:t>4,225,517.90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8" w:right="0"/>
              <w:jc w:val="left"/>
              <w:rPr>
                <w:rFonts w:ascii="Times New Roman" w:hAnsi="Times New Roman" w:cs="Times New Roman" w:eastAsia="Times New Roman" w:hint="default"/>
                <w:sz w:val="18"/>
                <w:szCs w:val="18"/>
              </w:rPr>
            </w:pPr>
            <w:r>
              <w:rPr>
                <w:rFonts w:ascii="Times New Roman"/>
                <w:sz w:val="18"/>
              </w:rPr>
              <w:t>2,913,261.20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77"/>
      <w:bookmarkEnd w:id="27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302,517.88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422,253.69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269,779.86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325,814.50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76,949.82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748,068.19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649,247.56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未确认递延所得税资产的可抵扣亏损将于以下年度到期" w:id="278"/>
      <w:bookmarkEnd w:id="27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302,517.88</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302,517.88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5、其他非流动资产" w:id="279"/>
      <w:bookmarkEnd w:id="279"/>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6、短期借款" w:id="280"/>
      <w:bookmarkEnd w:id="280"/>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81"/>
      <w:bookmarkEnd w:id="28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70,000,000.00</w:t>
            </w:r>
          </w:p>
        </w:tc>
      </w:tr>
    </w:tbl>
    <w:p>
      <w:pPr>
        <w:pStyle w:val="BodyText"/>
        <w:spacing w:line="240" w:lineRule="auto" w:before="51"/>
        <w:ind w:right="0"/>
        <w:jc w:val="left"/>
      </w:pPr>
      <w:r>
        <w:rPr/>
        <w:t>短期借款分类的说明：</w:t>
      </w:r>
    </w:p>
    <w:p>
      <w:pPr>
        <w:pStyle w:val="BodyText"/>
        <w:spacing w:line="300" w:lineRule="auto" w:before="115"/>
        <w:ind w:right="1129"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日，本公司与上海浦东发展银行股份有限公司长沙分行签订了编号为</w:t>
      </w:r>
      <w:r>
        <w:rPr>
          <w:rFonts w:ascii="Times New Roman" w:hAnsi="Times New Roman" w:cs="Times New Roman" w:eastAsia="Times New Roman" w:hint="default"/>
        </w:rPr>
        <w:t>“ZD6613201600000006”</w:t>
      </w:r>
      <w:r>
        <w:rPr/>
        <w:t>最高额抵押</w:t>
      </w:r>
      <w:r>
        <w:rPr>
          <w:w w:val="99"/>
        </w:rPr>
        <w:t> </w:t>
      </w:r>
      <w:r>
        <w:rPr/>
        <w:t>合同，为上海浦东发展银行股份有限公司长沙分行向本公司提供的最高额度为</w:t>
      </w:r>
      <w:r>
        <w:rPr>
          <w:rFonts w:ascii="Times New Roman" w:hAnsi="Times New Roman" w:cs="Times New Roman" w:eastAsia="Times New Roman" w:hint="default"/>
        </w:rPr>
        <w:t>8,164,020</w:t>
      </w:r>
      <w:r>
        <w:rPr/>
        <w:t>元人民币的贷款提供担保，期间为</w:t>
      </w:r>
      <w:r>
        <w:rPr>
          <w:spacing w:val="-3"/>
        </w:rPr>
        <w:t> </w:t>
      </w:r>
      <w:r>
        <w:rPr>
          <w:spacing w:val="-3"/>
        </w:rPr>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日。抵押资产为公司位于长沙天心区芙蓉南路</w:t>
      </w:r>
      <w:r>
        <w:rPr>
          <w:rFonts w:ascii="Times New Roman" w:hAnsi="Times New Roman" w:cs="Times New Roman" w:eastAsia="Times New Roman" w:hint="default"/>
        </w:rPr>
        <w:t>368</w:t>
      </w:r>
      <w:r>
        <w:rPr/>
        <w:t>号的十处房产（房产证书编号分别为长房</w:t>
      </w:r>
      <w:r>
        <w:rPr>
          <w:spacing w:val="-83"/>
        </w:rPr>
        <w:t> </w:t>
      </w:r>
      <w:r>
        <w:rPr>
          <w:spacing w:val="-83"/>
        </w:rPr>
      </w:r>
      <w:r>
        <w:rPr/>
        <w:t>权证天心字第</w:t>
      </w:r>
      <w:r>
        <w:rPr>
          <w:rFonts w:ascii="Times New Roman" w:hAnsi="Times New Roman" w:cs="Times New Roman" w:eastAsia="Times New Roman" w:hint="default"/>
        </w:rPr>
        <w:t>711053545-711053554</w:t>
      </w:r>
      <w:r>
        <w:rPr/>
        <w:t>号）。</w:t>
      </w:r>
    </w:p>
    <w:p>
      <w:pPr>
        <w:pStyle w:val="BodyText"/>
        <w:spacing w:line="300" w:lineRule="auto" w:before="133"/>
        <w:ind w:right="1133" w:firstLine="42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49"/>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日</w:t>
      </w:r>
      <w:r>
        <w:rPr>
          <w:spacing w:val="-50"/>
        </w:rPr>
        <w:t> </w:t>
      </w:r>
      <w:r>
        <w:rPr/>
        <w:t>，</w:t>
      </w:r>
      <w:r>
        <w:rPr>
          <w:spacing w:val="-51"/>
        </w:rPr>
        <w:t> </w:t>
      </w:r>
      <w:r>
        <w:rPr/>
        <w:t>本</w:t>
      </w:r>
      <w:r>
        <w:rPr>
          <w:spacing w:val="-50"/>
        </w:rPr>
        <w:t> </w:t>
      </w:r>
      <w:r>
        <w:rPr/>
        <w:t>公</w:t>
      </w:r>
      <w:r>
        <w:rPr>
          <w:spacing w:val="-51"/>
        </w:rPr>
        <w:t> </w:t>
      </w:r>
      <w:r>
        <w:rPr/>
        <w:t>司</w:t>
      </w:r>
      <w:r>
        <w:rPr>
          <w:spacing w:val="-50"/>
        </w:rPr>
        <w:t> </w:t>
      </w:r>
      <w:r>
        <w:rPr/>
        <w:t>董</w:t>
      </w:r>
      <w:r>
        <w:rPr>
          <w:spacing w:val="-50"/>
        </w:rPr>
        <w:t> </w:t>
      </w:r>
      <w:r>
        <w:rPr/>
        <w:t>事</w:t>
      </w:r>
      <w:r>
        <w:rPr>
          <w:spacing w:val="-51"/>
        </w:rPr>
        <w:t> </w:t>
      </w:r>
      <w:r>
        <w:rPr/>
        <w:t>长</w:t>
      </w:r>
      <w:r>
        <w:rPr>
          <w:spacing w:val="-50"/>
        </w:rPr>
        <w:t> </w:t>
      </w:r>
      <w:r>
        <w:rPr/>
        <w:t>费</w:t>
      </w:r>
      <w:r>
        <w:rPr>
          <w:spacing w:val="-51"/>
        </w:rPr>
        <w:t> </w:t>
      </w:r>
      <w:r>
        <w:rPr/>
        <w:t>耀</w:t>
      </w:r>
      <w:r>
        <w:rPr>
          <w:spacing w:val="-50"/>
        </w:rPr>
        <w:t> </w:t>
      </w:r>
      <w:r>
        <w:rPr/>
        <w:t>平</w:t>
      </w:r>
      <w:r>
        <w:rPr>
          <w:spacing w:val="-50"/>
        </w:rPr>
        <w:t> </w:t>
      </w:r>
      <w:r>
        <w:rPr/>
        <w:t>向</w:t>
      </w:r>
      <w:r>
        <w:rPr>
          <w:spacing w:val="-51"/>
        </w:rPr>
        <w:t> </w:t>
      </w:r>
      <w:r>
        <w:rPr/>
        <w:t>上</w:t>
      </w:r>
      <w:r>
        <w:rPr>
          <w:spacing w:val="-50"/>
        </w:rPr>
        <w:t> </w:t>
      </w:r>
      <w:r>
        <w:rPr/>
        <w:t>海</w:t>
      </w:r>
      <w:r>
        <w:rPr>
          <w:spacing w:val="-51"/>
        </w:rPr>
        <w:t> </w:t>
      </w:r>
      <w:r>
        <w:rPr/>
        <w:t>浦</w:t>
      </w:r>
      <w:r>
        <w:rPr>
          <w:spacing w:val="-50"/>
        </w:rPr>
        <w:t> </w:t>
      </w:r>
      <w:r>
        <w:rPr/>
        <w:t>东</w:t>
      </w:r>
      <w:r>
        <w:rPr>
          <w:spacing w:val="-50"/>
        </w:rPr>
        <w:t> </w:t>
      </w:r>
      <w:r>
        <w:rPr/>
        <w:t>发</w:t>
      </w:r>
      <w:r>
        <w:rPr>
          <w:spacing w:val="-51"/>
        </w:rPr>
        <w:t> </w:t>
      </w:r>
      <w:r>
        <w:rPr/>
        <w:t>展</w:t>
      </w:r>
      <w:r>
        <w:rPr>
          <w:spacing w:val="-50"/>
        </w:rPr>
        <w:t> </w:t>
      </w:r>
      <w:r>
        <w:rPr/>
        <w:t>银</w:t>
      </w:r>
      <w:r>
        <w:rPr>
          <w:spacing w:val="-51"/>
        </w:rPr>
        <w:t> </w:t>
      </w:r>
      <w:r>
        <w:rPr/>
        <w:t>行</w:t>
      </w:r>
      <w:r>
        <w:rPr>
          <w:spacing w:val="-50"/>
        </w:rPr>
        <w:t> </w:t>
      </w:r>
      <w:r>
        <w:rPr/>
        <w:t>股</w:t>
      </w:r>
      <w:r>
        <w:rPr>
          <w:spacing w:val="-50"/>
        </w:rPr>
        <w:t> </w:t>
      </w:r>
      <w:r>
        <w:rPr/>
        <w:t>份</w:t>
      </w:r>
      <w:r>
        <w:rPr>
          <w:spacing w:val="-51"/>
        </w:rPr>
        <w:t> </w:t>
      </w:r>
      <w:r>
        <w:rPr/>
        <w:t>有</w:t>
      </w:r>
      <w:r>
        <w:rPr>
          <w:spacing w:val="-50"/>
        </w:rPr>
        <w:t> </w:t>
      </w:r>
      <w:r>
        <w:rPr/>
        <w:t>限</w:t>
      </w:r>
      <w:r>
        <w:rPr>
          <w:spacing w:val="-51"/>
        </w:rPr>
        <w:t> </w:t>
      </w:r>
      <w:r>
        <w:rPr/>
        <w:t>公</w:t>
      </w:r>
      <w:r>
        <w:rPr>
          <w:spacing w:val="-50"/>
        </w:rPr>
        <w:t> </w:t>
      </w:r>
      <w:r>
        <w:rPr/>
        <w:t>司</w:t>
      </w:r>
      <w:r>
        <w:rPr>
          <w:spacing w:val="-50"/>
        </w:rPr>
        <w:t> </w:t>
      </w:r>
      <w:r>
        <w:rPr/>
        <w:t>长</w:t>
      </w:r>
      <w:r>
        <w:rPr>
          <w:spacing w:val="-51"/>
        </w:rPr>
        <w:t> </w:t>
      </w:r>
      <w:r>
        <w:rPr/>
        <w:t>沙</w:t>
      </w:r>
      <w:r>
        <w:rPr>
          <w:spacing w:val="-50"/>
        </w:rPr>
        <w:t> </w:t>
      </w:r>
      <w:r>
        <w:rPr/>
        <w:t>分</w:t>
      </w:r>
      <w:r>
        <w:rPr>
          <w:spacing w:val="-51"/>
        </w:rPr>
        <w:t> </w:t>
      </w:r>
      <w:r>
        <w:rPr/>
        <w:t>行</w:t>
      </w:r>
      <w:r>
        <w:rPr>
          <w:spacing w:val="-50"/>
        </w:rPr>
        <w:t> </w:t>
      </w:r>
      <w:r>
        <w:rPr/>
        <w:t>出</w:t>
      </w:r>
      <w:r>
        <w:rPr>
          <w:spacing w:val="-50"/>
        </w:rPr>
        <w:t> </w:t>
      </w:r>
      <w:r>
        <w:rPr/>
        <w:t>具</w:t>
      </w:r>
      <w:r>
        <w:rPr>
          <w:spacing w:val="-51"/>
        </w:rPr>
        <w:t> </w:t>
      </w:r>
      <w:r>
        <w:rPr/>
        <w:t>了</w:t>
      </w:r>
      <w:r>
        <w:rPr>
          <w:spacing w:val="-50"/>
        </w:rPr>
        <w:t> </w:t>
      </w:r>
      <w:r>
        <w:rPr/>
        <w:t>编</w:t>
      </w:r>
      <w:r>
        <w:rPr>
          <w:spacing w:val="-51"/>
        </w:rPr>
        <w:t> </w:t>
      </w:r>
      <w:r>
        <w:rPr/>
        <w:t>号</w:t>
      </w:r>
      <w:r>
        <w:rPr>
          <w:spacing w:val="-51"/>
        </w:rPr>
        <w:t> </w:t>
      </w:r>
      <w:r>
        <w:rPr/>
        <w:t>为</w:t>
      </w:r>
      <w:r>
        <w:rPr/>
        <w:t> </w:t>
      </w:r>
      <w:r>
        <w:rPr>
          <w:rFonts w:ascii="Times New Roman" w:hAnsi="Times New Roman" w:cs="Times New Roman" w:eastAsia="Times New Roman" w:hint="default"/>
        </w:rPr>
        <w:t>“ZB6610201800000014”</w:t>
      </w:r>
      <w:r>
        <w:rPr/>
        <w:t>最高额保证合同，为该行向本公司提供的最高额度为</w:t>
      </w:r>
      <w:r>
        <w:rPr>
          <w:rFonts w:ascii="Times New Roman" w:hAnsi="Times New Roman" w:cs="Times New Roman" w:eastAsia="Times New Roman" w:hint="default"/>
        </w:rPr>
        <w:t>5,500</w:t>
      </w:r>
      <w:r>
        <w:rPr/>
        <w:t>万元人民币的授信提供连带责任保证，授</w:t>
      </w:r>
      <w:r>
        <w:rPr>
          <w:spacing w:val="-72"/>
        </w:rPr>
        <w:t> </w:t>
      </w:r>
      <w:r>
        <w:rPr>
          <w:spacing w:val="-72"/>
        </w:rPr>
      </w:r>
      <w:r>
        <w:rPr/>
        <w:t>信期间为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w:t>
      </w:r>
    </w:p>
    <w:p>
      <w:pPr>
        <w:pStyle w:val="BodyText"/>
        <w:spacing w:line="240" w:lineRule="auto" w:before="133"/>
        <w:ind w:left="574"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日，公司在该行借款为短期借款</w:t>
      </w:r>
      <w:r>
        <w:rPr>
          <w:rFonts w:ascii="Times New Roman" w:hAnsi="Times New Roman" w:cs="Times New Roman" w:eastAsia="Times New Roman" w:hint="default"/>
        </w:rPr>
        <w:t>2,000</w:t>
      </w:r>
      <w:r>
        <w:rPr/>
        <w:t>万元。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已逾期未偿还的短期借款情况" w:id="282"/>
      <w:bookmarkEnd w:id="282"/>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0"/>
        <w:jc w:val="left"/>
      </w:pPr>
      <w:r>
        <w:rPr/>
        <w:t>本公司期末无已到期未偿还的短期借款。</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7、以公允价值计量且其变动计入当期损益的金融负债" w:id="283"/>
      <w:bookmarkEnd w:id="283"/>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8、衍生金融负债" w:id="284"/>
      <w:bookmarkEnd w:id="284"/>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9、应付票据及应付账款" w:id="285"/>
      <w:bookmarkEnd w:id="285"/>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13,158,636.00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56,244,946.79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37,898,597.33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56,244,946.79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51,057,233.33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286"/>
      <w:bookmarkEnd w:id="286"/>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13,158,636.00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13,158,636.00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账款列示" w:id="287"/>
      <w:bookmarkEnd w:id="287"/>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56,244,946.79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37,898,597.33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56,244,946.79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37,898,597.33</w:t>
            </w:r>
          </w:p>
        </w:tc>
      </w:tr>
    </w:tbl>
    <w:p>
      <w:pPr>
        <w:spacing w:line="240" w:lineRule="auto" w:before="2"/>
        <w:rPr>
          <w:rFonts w:ascii="宋体" w:hAnsi="宋体" w:cs="宋体" w:eastAsia="宋体" w:hint="default"/>
          <w:sz w:val="19"/>
          <w:szCs w:val="19"/>
        </w:rPr>
      </w:pPr>
    </w:p>
    <w:p>
      <w:pPr>
        <w:spacing w:line="547" w:lineRule="auto" w:before="35"/>
        <w:ind w:left="154" w:right="7490" w:firstLine="0"/>
        <w:jc w:val="left"/>
        <w:rPr>
          <w:rFonts w:ascii="宋体" w:hAnsi="宋体" w:cs="宋体" w:eastAsia="宋体" w:hint="default"/>
          <w:sz w:val="21"/>
          <w:szCs w:val="21"/>
        </w:rPr>
      </w:pPr>
      <w:bookmarkStart w:name="（3）账龄超过1年的重要应付账款" w:id="288"/>
      <w:bookmarkEnd w:id="2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年的重要应付账款</w:t>
      </w:r>
      <w:r>
        <w:rPr>
          <w:rFonts w:ascii="宋体" w:hAnsi="宋体" w:cs="宋体" w:eastAsia="宋体" w:hint="default"/>
          <w:b/>
          <w:bCs/>
          <w:w w:val="99"/>
          <w:sz w:val="21"/>
          <w:szCs w:val="21"/>
        </w:rPr>
        <w:t> </w:t>
      </w:r>
      <w:r>
        <w:rPr>
          <w:rFonts w:ascii="宋体" w:hAnsi="宋体" w:cs="宋体" w:eastAsia="宋体" w:hint="default"/>
          <w:sz w:val="18"/>
          <w:szCs w:val="18"/>
        </w:rPr>
        <w:t>期末无账龄超过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年的重要应付账款。 </w:t>
      </w:r>
      <w:bookmarkStart w:name="30、预收款项" w:id="289"/>
      <w:bookmarkEnd w:id="289"/>
      <w:r>
        <w:rPr>
          <w:rFonts w:ascii="宋体" w:hAnsi="宋体" w:cs="宋体" w:eastAsia="宋体" w:hint="default"/>
          <w:sz w:val="18"/>
          <w:szCs w:val="18"/>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、预收款项</w:t>
      </w:r>
      <w:r>
        <w:rPr>
          <w:rFonts w:ascii="宋体" w:hAnsi="宋体" w:cs="宋体" w:eastAsia="宋体" w:hint="default"/>
          <w:sz w:val="21"/>
          <w:szCs w:val="21"/>
        </w:rPr>
      </w:r>
    </w:p>
    <w:p>
      <w:pPr>
        <w:pStyle w:val="Heading3"/>
        <w:spacing w:line="240" w:lineRule="auto" w:before="25"/>
        <w:ind w:right="0"/>
        <w:jc w:val="left"/>
        <w:rPr>
          <w:b w:val="0"/>
          <w:bCs w:val="0"/>
        </w:rPr>
      </w:pPr>
      <w:bookmarkStart w:name="（1）预收款项列示" w:id="290"/>
      <w:bookmarkEnd w:id="29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项目进度款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63,246,508.94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37,298,630.40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63,246,508.94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37,298,630.40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91"/>
      <w:bookmarkEnd w:id="29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期末建造合同形成的已结算未完工项目情况" w:id="292"/>
      <w:bookmarkEnd w:id="29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期末无账龄超过</w:t>
      </w:r>
      <w:r>
        <w:rPr>
          <w:rFonts w:ascii="Times New Roman" w:hAnsi="Times New Roman" w:cs="Times New Roman" w:eastAsia="Times New Roman" w:hint="default"/>
        </w:rPr>
        <w:t>1</w:t>
      </w:r>
      <w:r>
        <w:rPr/>
        <w:t>年的重要预收款项。</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1、应付职工薪酬" w:id="293"/>
      <w:bookmarkEnd w:id="293"/>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94"/>
      <w:bookmarkEnd w:id="29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17,143,276.92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104,297,180.48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105,060,277.14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16,380,180.26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17,844.96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9,957,413.26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9,952,328.48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22,929.74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17,161,121.88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114,254,593.74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115,012,605.62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16,403,110.00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95"/>
      <w:bookmarkEnd w:id="29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16,265,581.33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97,324,394.26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98,090,230.36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15,499,745.23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623,841.84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623,841.84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10,646.00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3,252,268.85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3,250,009.41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12,905.44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9,536.04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2,851,028.43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2,848,837.67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11,726.80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164,358.53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164,335.65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392.88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739.96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236,881.89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236,836.09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785.76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2,834,885.00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2,834,885.00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867,049.59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261,790.53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261,310.53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867,529.59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17,143,276.92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104,297,180.48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105,060,277.14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16,380,180.26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96"/>
      <w:bookmarkEnd w:id="29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6,225,074.56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6,220,108.89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22,107.67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232,338.70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232,219.59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17,844.96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9,957,413.26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9,952,328.48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22,929.74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2、应交税费" w:id="297"/>
      <w:bookmarkEnd w:id="297"/>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76"/>
        <w:gridCol w:w="3206"/>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11,158,452.02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2,908,617.84</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5,741,679.02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8,063,270.14</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161,186.93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232,154.93</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731,672.97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203,116.19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444,597.98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447,182.04</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教育费附加及地方教育附加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522,623.27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144,861.70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31,201.70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48,097.30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50,400.00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18,816,613.89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12,097,700.14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3、其他应付款" w:id="298"/>
      <w:bookmarkEnd w:id="298"/>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2,777,775.29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8,783,455.42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2,777,775.29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8,783,455.42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299"/>
      <w:bookmarkEnd w:id="299"/>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应付股利" w:id="300"/>
      <w:bookmarkEnd w:id="300"/>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其他应付款" w:id="301"/>
      <w:bookmarkEnd w:id="301"/>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上市扶持资金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2,589,096.04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2,974,021.45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上市发行费用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188,679.25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5,309,433.97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2,777,775.29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8,783,455.42</w:t>
            </w:r>
          </w:p>
        </w:tc>
      </w:tr>
    </w:tbl>
    <w:p>
      <w:pPr>
        <w:pStyle w:val="BodyText"/>
        <w:spacing w:line="338" w:lineRule="auto" w:before="51"/>
        <w:ind w:right="7602"/>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r>
        <w:rPr>
          <w:w w:val="99"/>
        </w:rPr>
        <w:t> </w:t>
      </w:r>
      <w:r>
        <w:rPr/>
        <w:t>期末无账龄超过</w:t>
      </w:r>
      <w:r>
        <w:rPr>
          <w:rFonts w:ascii="Times New Roman" w:hAnsi="Times New Roman" w:cs="Times New Roman" w:eastAsia="Times New Roman" w:hint="default"/>
        </w:rPr>
        <w:t>1</w:t>
      </w:r>
      <w:r>
        <w:rPr/>
        <w:t>年的重要其他应付款。</w:t>
      </w:r>
    </w:p>
    <w:p>
      <w:pPr>
        <w:spacing w:after="0" w:line="33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4、持有待售负债" w:id="302"/>
      <w:bookmarkEnd w:id="302"/>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5、一年内到期的非流动负债" w:id="303"/>
      <w:bookmarkEnd w:id="303"/>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6、其他流动负债" w:id="304"/>
      <w:bookmarkEnd w:id="304"/>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7、长期借款" w:id="305"/>
      <w:bookmarkEnd w:id="305"/>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8、应付债券" w:id="306"/>
      <w:bookmarkEnd w:id="306"/>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9、长期应付款" w:id="307"/>
      <w:bookmarkEnd w:id="307"/>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0、长期应付职工薪酬" w:id="308"/>
      <w:bookmarkEnd w:id="308"/>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1、预计负债" w:id="309"/>
      <w:bookmarkEnd w:id="309"/>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8,218,899.01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7,452,670.61</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8,218,899.01</w:t>
            </w:r>
          </w:p>
        </w:tc>
        <w:tc>
          <w:tcPr>
            <w:tcW w:w="239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7,452,670.61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2、递延收益" w:id="310"/>
      <w:bookmarkEnd w:id="310"/>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16,500,000.00</w:t>
            </w: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1134"/>
        <w:gridCol w:w="850"/>
        <w:gridCol w:w="994"/>
        <w:gridCol w:w="991"/>
        <w:gridCol w:w="851"/>
        <w:gridCol w:w="1134"/>
        <w:gridCol w:w="1063"/>
      </w:tblGrid>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0" w:right="41"/>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0" w:right="3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面向电子政务 的专有云计算 平台研发与推 广项目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长沙信息产业 园管理委员会 省移动互联网 产业专项资金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5"/>
        <w:rPr>
          <w:rFonts w:ascii="宋体" w:hAnsi="宋体" w:cs="宋体" w:eastAsia="宋体" w:hint="default"/>
          <w:sz w:val="13"/>
          <w:szCs w:val="13"/>
        </w:rPr>
      </w:pPr>
    </w:p>
    <w:p>
      <w:pPr>
        <w:pStyle w:val="BodyText"/>
        <w:spacing w:line="300" w:lineRule="auto"/>
        <w:ind w:right="1130" w:firstLine="360"/>
        <w:jc w:val="both"/>
      </w:pPr>
      <w:r>
        <w:rPr/>
        <w:t>（</w:t>
      </w:r>
      <w:r>
        <w:rPr>
          <w:rFonts w:ascii="Times New Roman" w:hAnsi="Times New Roman" w:cs="Times New Roman" w:eastAsia="Times New Roman" w:hint="default"/>
        </w:rPr>
        <w:t>1</w:t>
      </w:r>
      <w:r>
        <w:rPr/>
        <w:t>）根据湖南省发展和改革委员会</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日《关于湖南科创信息技术股份有限公司面向电子政务的专有云计算 </w:t>
      </w:r>
      <w:r>
        <w:rPr>
          <w:spacing w:val="-1"/>
        </w:rPr>
        <w:t>平台研发与推广项目实施方案的批复》（湘发改高技专项</w:t>
      </w:r>
      <w:r>
        <w:rPr>
          <w:rFonts w:ascii="Times New Roman" w:hAnsi="Times New Roman" w:cs="Times New Roman" w:eastAsia="Times New Roman" w:hint="default"/>
          <w:spacing w:val="-1"/>
        </w:rPr>
        <w:t>[2014]20</w:t>
      </w:r>
      <w:r>
        <w:rPr>
          <w:spacing w:val="-1"/>
        </w:rPr>
        <w:t>号）文件、长沙市财政局</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23</w:t>
      </w:r>
      <w:r>
        <w:rPr>
          <w:spacing w:val="-1"/>
        </w:rPr>
        <w:t>日《关于下达中央</w:t>
      </w:r>
      <w:r>
        <w:rPr>
          <w:spacing w:val="-53"/>
        </w:rPr>
        <w:t> </w:t>
      </w:r>
      <w:r>
        <w:rPr>
          <w:spacing w:val="-53"/>
        </w:rPr>
      </w:r>
      <w:r>
        <w:rPr/>
        <w:t>财政补助</w:t>
      </w:r>
      <w:r>
        <w:rPr>
          <w:rFonts w:ascii="Times New Roman" w:hAnsi="Times New Roman" w:cs="Times New Roman" w:eastAsia="Times New Roman" w:hint="default"/>
        </w:rPr>
        <w:t>2014</w:t>
      </w:r>
      <w:r>
        <w:rPr/>
        <w:t>年战略新兴产业发展专项资金（云计算工程项目）的通知》（长财企指</w:t>
      </w:r>
      <w:r>
        <w:rPr>
          <w:rFonts w:ascii="Times New Roman" w:hAnsi="Times New Roman" w:cs="Times New Roman" w:eastAsia="Times New Roman" w:hint="default"/>
        </w:rPr>
        <w:t>[2014]141</w:t>
      </w:r>
      <w:r>
        <w:rPr/>
        <w:t>号）文件，公司获得中央财</w:t>
      </w:r>
      <w:r>
        <w:rPr>
          <w:spacing w:val="-33"/>
        </w:rPr>
        <w:t> </w:t>
      </w:r>
      <w:r>
        <w:rPr>
          <w:spacing w:val="-33"/>
        </w:rPr>
      </w:r>
      <w:r>
        <w:rPr/>
        <w:t>政补助</w:t>
      </w:r>
      <w:r>
        <w:rPr>
          <w:rFonts w:ascii="Times New Roman" w:hAnsi="Times New Roman" w:cs="Times New Roman" w:eastAsia="Times New Roman" w:hint="default"/>
        </w:rPr>
        <w:t>2014</w:t>
      </w:r>
      <w:r>
        <w:rPr/>
        <w:t>年战略新兴产业发展专项资金（云计算工程项目）</w:t>
      </w:r>
      <w:r>
        <w:rPr>
          <w:rFonts w:ascii="Times New Roman" w:hAnsi="Times New Roman" w:cs="Times New Roman" w:eastAsia="Times New Roman" w:hint="default"/>
        </w:rPr>
        <w:t>15,000,000.00</w:t>
      </w:r>
      <w:r>
        <w:rPr/>
        <w:t>元，用于</w:t>
      </w:r>
      <w:r>
        <w:rPr>
          <w:rFonts w:ascii="Times New Roman" w:hAnsi="Times New Roman" w:cs="Times New Roman" w:eastAsia="Times New Roman" w:hint="default"/>
        </w:rPr>
        <w:t>“</w:t>
      </w:r>
      <w:r>
        <w:rPr/>
        <w:t>面向电子政务的专有云计算平台研发</w:t>
      </w:r>
      <w:r>
        <w:rPr>
          <w:spacing w:val="-37"/>
        </w:rPr>
        <w:t> </w:t>
      </w:r>
      <w:r>
        <w:rPr>
          <w:spacing w:val="-37"/>
        </w:rPr>
      </w:r>
      <w:r>
        <w:rPr/>
        <w:t>与推广项目</w:t>
      </w:r>
      <w:r>
        <w:rPr>
          <w:rFonts w:ascii="Times New Roman" w:hAnsi="Times New Roman" w:cs="Times New Roman" w:eastAsia="Times New Roman" w:hint="default"/>
        </w:rPr>
        <w:t>”</w:t>
      </w:r>
      <w:r>
        <w:rPr/>
        <w:t>。该补助为与资产相关的政府补助，将于项目验收后按对应资产的剩余折旧期间平均摊销计入当期损益。</w:t>
      </w:r>
    </w:p>
    <w:p>
      <w:pPr>
        <w:pStyle w:val="BodyText"/>
        <w:spacing w:line="300" w:lineRule="auto" w:before="133"/>
        <w:ind w:right="1130" w:firstLine="360"/>
        <w:jc w:val="both"/>
      </w:pPr>
      <w:r>
        <w:rPr>
          <w:spacing w:val="-1"/>
        </w:rPr>
        <w:t>（</w:t>
      </w:r>
      <w:r>
        <w:rPr>
          <w:rFonts w:ascii="Times New Roman" w:hAnsi="Times New Roman" w:cs="Times New Roman" w:eastAsia="Times New Roman" w:hint="default"/>
          <w:spacing w:val="-1"/>
        </w:rPr>
        <w:t>2</w:t>
      </w:r>
      <w:r>
        <w:rPr>
          <w:spacing w:val="-1"/>
        </w:rPr>
        <w:t>）公司获得</w:t>
      </w:r>
      <w:r>
        <w:rPr>
          <w:rFonts w:ascii="Times New Roman" w:hAnsi="Times New Roman" w:cs="Times New Roman" w:eastAsia="Times New Roman" w:hint="default"/>
          <w:spacing w:val="-1"/>
        </w:rPr>
        <w:t>2018</w:t>
      </w:r>
      <w:r>
        <w:rPr>
          <w:spacing w:val="-1"/>
        </w:rPr>
        <w:t>年湖南省移动互联网产业发展专项资金</w:t>
      </w:r>
      <w:r>
        <w:rPr>
          <w:rFonts w:ascii="Times New Roman" w:hAnsi="Times New Roman" w:cs="Times New Roman" w:eastAsia="Times New Roman" w:hint="default"/>
          <w:spacing w:val="-1"/>
        </w:rPr>
        <w:t>1,500,000.00</w:t>
      </w:r>
      <w:r>
        <w:rPr>
          <w:spacing w:val="-1"/>
        </w:rPr>
        <w:t>元，用于</w:t>
      </w:r>
      <w:r>
        <w:rPr>
          <w:rFonts w:ascii="Times New Roman" w:hAnsi="Times New Roman" w:cs="Times New Roman" w:eastAsia="Times New Roman" w:hint="default"/>
          <w:spacing w:val="-1"/>
        </w:rPr>
        <w:t>“</w:t>
      </w:r>
      <w:r>
        <w:rPr>
          <w:spacing w:val="-1"/>
        </w:rPr>
        <w:t>面向企业用户的互联网直播云平台</w:t>
      </w:r>
      <w:r>
        <w:rPr>
          <w:rFonts w:ascii="Times New Roman" w:hAnsi="Times New Roman" w:cs="Times New Roman" w:eastAsia="Times New Roman" w:hint="default"/>
          <w:spacing w:val="-1"/>
        </w:rPr>
        <w:t>”</w:t>
      </w:r>
      <w:r>
        <w:rPr>
          <w:spacing w:val="-1"/>
        </w:rPr>
        <w:t>项</w:t>
      </w:r>
      <w:r>
        <w:rPr/>
        <w:t> 目。该补助为与资产相关的政府补助，将于项目验收后按对应资产的剩余折旧期间平均摊销计入当期损益。</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43、其他非流动负债" w:id="311"/>
      <w:bookmarkEnd w:id="311"/>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4、股本" w:id="312"/>
      <w:bookmarkEnd w:id="312"/>
      <w:r>
        <w:rPr>
          <w:b w:val="0"/>
          <w:bCs w:val="0"/>
        </w:rPr>
      </w:r>
      <w:r>
        <w:rPr>
          <w:rFonts w:ascii="Times New Roman" w:hAnsi="Times New Roman" w:cs="Times New Roman" w:eastAsia="Times New Roman" w:hint="default"/>
        </w:rPr>
        <w:t>44</w:t>
      </w:r>
      <w:r>
        <w:rPr/>
        <w:t>、股本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92,945,999.00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65,062,199.00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65,062,199.00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158,008,198.00</w:t>
            </w:r>
          </w:p>
        </w:tc>
      </w:tr>
    </w:tbl>
    <w:p>
      <w:pPr>
        <w:pStyle w:val="BodyText"/>
        <w:spacing w:line="240" w:lineRule="auto" w:before="51"/>
        <w:ind w:right="0"/>
        <w:jc w:val="left"/>
      </w:pPr>
      <w:r>
        <w:rPr/>
        <w:t>其他说明：</w:t>
      </w:r>
    </w:p>
    <w:p>
      <w:pPr>
        <w:pStyle w:val="BodyText"/>
        <w:spacing w:line="300" w:lineRule="auto" w:before="116"/>
        <w:ind w:right="1184" w:firstLine="290"/>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日召开</w:t>
      </w:r>
      <w:r>
        <w:rPr>
          <w:rFonts w:ascii="Times New Roman" w:hAnsi="Times New Roman" w:cs="Times New Roman" w:eastAsia="Times New Roman" w:hint="default"/>
        </w:rPr>
        <w:t>2017</w:t>
      </w:r>
      <w:r>
        <w:rPr/>
        <w:t>年年度股东大会，审议通过《关于公司</w:t>
      </w:r>
      <w:r>
        <w:rPr>
          <w:rFonts w:ascii="Times New Roman" w:hAnsi="Times New Roman" w:cs="Times New Roman" w:eastAsia="Times New Roman" w:hint="default"/>
        </w:rPr>
        <w:t>2017</w:t>
      </w:r>
      <w:r>
        <w:rPr/>
        <w:t>年度利润分配的预案》，本次利润分配方案 为：以总股本</w:t>
      </w:r>
      <w:r>
        <w:rPr>
          <w:rFonts w:ascii="Times New Roman" w:hAnsi="Times New Roman" w:cs="Times New Roman" w:eastAsia="Times New Roman" w:hint="default"/>
        </w:rPr>
        <w:t>92,945,999</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w:t>
      </w:r>
      <w:r>
        <w:rPr/>
        <w:t>元（含税），共计分配</w:t>
      </w:r>
      <w:r>
        <w:rPr>
          <w:rFonts w:ascii="Times New Roman" w:hAnsi="Times New Roman" w:cs="Times New Roman" w:eastAsia="Times New Roman" w:hint="default"/>
        </w:rPr>
        <w:t>9,294,599.90</w:t>
      </w:r>
      <w:r>
        <w:rPr/>
        <w:t>元，并以资本公积 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股，共计转增</w:t>
      </w:r>
      <w:r>
        <w:rPr>
          <w:rFonts w:ascii="Times New Roman" w:hAnsi="Times New Roman" w:cs="Times New Roman" w:eastAsia="Times New Roman" w:hint="default"/>
        </w:rPr>
        <w:t>65,062,199</w:t>
      </w:r>
      <w:r>
        <w:rPr/>
        <w:t>股。</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45、其他权益工具" w:id="313"/>
      <w:bookmarkEnd w:id="313"/>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6、资本公积" w:id="314"/>
      <w:bookmarkEnd w:id="314"/>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144,586,901.00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65,062,199.00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79,524,702.00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2,252,627.80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2,252,627.80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146,839,528.80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65,062,199.00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81,777,329.80</w:t>
            </w:r>
          </w:p>
        </w:tc>
      </w:tr>
    </w:tbl>
    <w:p>
      <w:pPr>
        <w:pStyle w:val="BodyText"/>
        <w:spacing w:line="357" w:lineRule="auto" w:before="51"/>
        <w:ind w:left="516" w:right="1120" w:hanging="363"/>
        <w:jc w:val="left"/>
      </w:pPr>
      <w:r>
        <w:rPr/>
        <w:t>其他说明，包括本期增减变动情况、变动原因说明：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日召开</w:t>
      </w:r>
      <w:r>
        <w:rPr>
          <w:rFonts w:ascii="Times New Roman" w:hAnsi="Times New Roman" w:cs="Times New Roman" w:eastAsia="Times New Roman" w:hint="default"/>
        </w:rPr>
        <w:t>2017</w:t>
      </w:r>
      <w:r>
        <w:rPr/>
        <w:t>年年度股东大会，审议通过《关于公司</w:t>
      </w:r>
      <w:r>
        <w:rPr>
          <w:rFonts w:ascii="Times New Roman" w:hAnsi="Times New Roman" w:cs="Times New Roman" w:eastAsia="Times New Roman" w:hint="default"/>
        </w:rPr>
        <w:t>2017</w:t>
      </w:r>
      <w:r>
        <w:rPr/>
        <w:t>年度利润分配的预案》，本次利润分配方案</w:t>
      </w:r>
    </w:p>
    <w:p>
      <w:pPr>
        <w:pStyle w:val="BodyText"/>
        <w:spacing w:line="214" w:lineRule="exact"/>
        <w:ind w:right="0"/>
        <w:jc w:val="left"/>
      </w:pPr>
      <w:r>
        <w:rPr/>
        <w:t>为：以总股本</w:t>
      </w:r>
      <w:r>
        <w:rPr>
          <w:rFonts w:ascii="Times New Roman" w:hAnsi="Times New Roman" w:cs="Times New Roman" w:eastAsia="Times New Roman" w:hint="default"/>
        </w:rPr>
        <w:t>92,945,999</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w:t>
      </w:r>
      <w:r>
        <w:rPr/>
        <w:t>元（含税），共计分配</w:t>
      </w:r>
      <w:r>
        <w:rPr>
          <w:rFonts w:ascii="Times New Roman" w:hAnsi="Times New Roman" w:cs="Times New Roman" w:eastAsia="Times New Roman" w:hint="default"/>
        </w:rPr>
        <w:t>9,294,599.90</w:t>
      </w:r>
      <w:r>
        <w:rPr/>
        <w:t>元，并以资本公积</w:t>
      </w:r>
    </w:p>
    <w:p>
      <w:pPr>
        <w:pStyle w:val="BodyText"/>
        <w:spacing w:line="240" w:lineRule="auto" w:before="63"/>
        <w:ind w:right="0"/>
        <w:jc w:val="left"/>
      </w:pPr>
      <w:r>
        <w:rPr/>
        <w:t>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7</w:t>
      </w:r>
      <w:r>
        <w:rPr/>
        <w:t>股，共计转增</w:t>
      </w:r>
      <w:r>
        <w:rPr>
          <w:rFonts w:ascii="Times New Roman" w:hAnsi="Times New Roman" w:cs="Times New Roman" w:eastAsia="Times New Roman" w:hint="default"/>
        </w:rPr>
        <w:t>65,062,199</w:t>
      </w:r>
      <w:r>
        <w:rPr/>
        <w:t>股，资本公积减少</w:t>
      </w:r>
      <w:r>
        <w:rPr>
          <w:rFonts w:ascii="Times New Roman" w:hAnsi="Times New Roman" w:cs="Times New Roman" w:eastAsia="Times New Roman" w:hint="default"/>
        </w:rPr>
        <w:t>65,062,199</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47、库存股" w:id="315"/>
      <w:bookmarkEnd w:id="315"/>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8、其他综合收益" w:id="316"/>
      <w:bookmarkEnd w:id="316"/>
      <w:r>
        <w:rPr>
          <w:b w:val="0"/>
          <w:bCs w:val="0"/>
        </w:rPr>
      </w:r>
      <w:r>
        <w:rPr>
          <w:rFonts w:ascii="Times New Roman" w:hAnsi="Times New Roman" w:cs="Times New Roman" w:eastAsia="Times New Roman" w:hint="default"/>
        </w:rPr>
        <w:t>48</w:t>
      </w:r>
      <w:r>
        <w:rPr/>
        <w:t>、其他综合收益</w:t>
      </w:r>
      <w:r>
        <w:rPr>
          <w:b w:val="0"/>
          <w:bCs w:val="0"/>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4"/>
          <w:szCs w:val="24"/>
        </w:rPr>
      </w:pPr>
    </w:p>
    <w:p>
      <w:pPr>
        <w:pStyle w:val="Heading3"/>
        <w:spacing w:line="240" w:lineRule="auto" w:before="35"/>
        <w:ind w:right="0"/>
        <w:jc w:val="left"/>
        <w:rPr>
          <w:b w:val="0"/>
          <w:bCs w:val="0"/>
        </w:rPr>
      </w:pPr>
      <w:bookmarkStart w:name="49、专项储备" w:id="317"/>
      <w:bookmarkEnd w:id="317"/>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0、盈余公积" w:id="318"/>
      <w:bookmarkEnd w:id="318"/>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19,269,620.84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3,472,339.75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22,741,960.59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19,269,620.84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3,472,339.75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22,741,960.59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1、未分配利润" w:id="319"/>
      <w:bookmarkEnd w:id="319"/>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119,830,978.30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85,219,081.03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119,830,978.30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85,219,081.03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35,111,525.15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44,494,787.97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3,472,339.75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4,306,410.78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分配现金股利</w:t>
            </w:r>
          </w:p>
        </w:tc>
        <w:tc>
          <w:tcPr>
            <w:tcW w:w="2936"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9,294,599.90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5,576,479.92</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142,175,563.80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119,830,978.30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2、营业收入和营业成本" w:id="320"/>
      <w:bookmarkEnd w:id="320"/>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331,194,379.53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211,097,828.33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306,172,462.08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187,429,541.35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1,409,976.18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277,370.42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1,251,063.20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276,898.46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332,604,355.71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211,375,198.75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307,423,525.28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187,706,439.81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3、税金及附加" w:id="321"/>
      <w:bookmarkEnd w:id="321"/>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1,519,583.02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749,584.54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1,085,827.79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518,421.89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783,973.70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781,244.02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164,330.32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164,330.32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其他税金</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286,216.79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309,447.58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3,839,931.62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2,523,028.35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4、销售费用" w:id="322"/>
      <w:bookmarkEnd w:id="322"/>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5,649,048.53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3,000,768.18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6,652,087.12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6,148,470.50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3,873,855.49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3,341,516.02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市场开发费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2,857,520.26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2,083,364.21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898,842.52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1,373,664.15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2,340,466.15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2,067,365.51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招投标费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2,517,347.57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2,237,648.77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413,920.45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179,849.84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25,203,088.09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20,432,647.18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5、管理费用" w:id="323"/>
      <w:bookmarkEnd w:id="323"/>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13,758,665.24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12,953,449.95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4,919,198.43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4,968,759.45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4,069,353.88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3,878,154.96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3,666,159.68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2,554,089.50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1,805,289.41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2,396,014.13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1,895,893.74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2,276,206.79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3,413.74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30,115,220.38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29,030,088.52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6、研发费用" w:id="324"/>
      <w:bookmarkEnd w:id="324"/>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24,057,530.43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21,634,919.80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188,972.12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204,534.34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5,539.80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205,578.62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24,252,042.35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22,045,032.76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7、财务费用" w:id="325"/>
      <w:bookmarkEnd w:id="325"/>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1,452,755.53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2,563,659.46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1,199,006.73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178,656.84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174,031.16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173,771.67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未实现融资收益摊销转入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-992,675.14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-564,895.18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2,558,774.29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8、资产减值损失" w:id="326"/>
      <w:bookmarkEnd w:id="326"/>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7,122,205.15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4,334,805.39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7,122,205.15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4,334,805.39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9、其他收益" w:id="327"/>
      <w:bookmarkEnd w:id="327"/>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6,286,431.47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7,490,313.17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长沙市服务外包发展专项资金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湖南省首台（套）重大技术装备奖励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认定高新技术企业研发经费补贴资金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高校毕业生见习补贴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186,440.00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235,430.00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湖南省开放型经济发展专项切块资金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经济工作大会支持款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长沙市失业保险管理服务局稳岗补贴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97,611.81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149,178.29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77,143.16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84,471.82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50,217.00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长沙市商务局年度市服务贸易和服务外 包发展资金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创新平台建设专项补助资金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小微企业创业创新基地城市示范</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长沙市技术创新示范企业补助资金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长沙市财政局高新区专项补贴</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长沙市知识产权局密集型培育资金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8,169,146.44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9,805,410.28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0、投资收益" w:id="328"/>
      <w:bookmarkEnd w:id="328"/>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61、公允价值变动收益" w:id="329"/>
      <w:bookmarkEnd w:id="329"/>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2、资产处置收益" w:id="330"/>
      <w:bookmarkEnd w:id="330"/>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未划分为持有待售的固定资产处置利得</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-7,460.00</w:t>
            </w:r>
            <w:r>
              <w:rPr>
                <w:rFonts w:ascii="Times New Roman"/>
                <w:sz w:val="18"/>
              </w:rPr>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-7,460.00</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3、营业外收入" w:id="331"/>
      <w:bookmarkEnd w:id="331"/>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04"/>
        <w:gridCol w:w="2479"/>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3,070,000.00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1,208.00</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683,285.66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1,208.00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501,208.00</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3,753,285.66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501,208.00</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left"/>
              <w:rPr>
                <w:rFonts w:ascii="宋体" w:hAnsi="宋体" w:cs="宋体" w:eastAsia="宋体" w:hint="default"/>
                <w:sz w:val="18"/>
                <w:szCs w:val="18"/>
              </w:rPr>
            </w:pPr>
            <w:r>
              <w:rPr>
                <w:rFonts w:ascii="宋体" w:hAnsi="宋体" w:cs="宋体" w:eastAsia="宋体" w:hint="default"/>
                <w:sz w:val="18"/>
                <w:szCs w:val="18"/>
              </w:rPr>
              <w:t>上市专项引 导补助资金</w:t>
            </w:r>
          </w:p>
        </w:tc>
        <w:tc>
          <w:tcPr>
            <w:tcW w:w="10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当地政府机 关</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6"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4、营业外支出" w:id="332"/>
      <w:bookmarkEnd w:id="332"/>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28,385.23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28,385.23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60,198.34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10,814.35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60,198.34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123,583.57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60,814.35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123,583.57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5、所得税费用" w:id="333"/>
      <w:bookmarkEnd w:id="333"/>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34"/>
      <w:bookmarkEnd w:id="33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5,818,042.53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8,367,811.08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-1,312,256.70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-651,883.79</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4,505,785.83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7,715,927.29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35"/>
      <w:bookmarkEnd w:id="33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790"/>
        <w:gridCol w:w="3768"/>
      </w:tblGrid>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7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39,808,335.42</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7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5,971,250.31</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7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45,605.41</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7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-344,945.53</w:t>
            </w:r>
            <w:r>
              <w:rPr>
                <w:rFonts w:ascii="Times New Roman"/>
                <w:sz w:val="18"/>
              </w:rPr>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7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1,309,584.49</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7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-75,629.47</w:t>
            </w:r>
            <w:r>
              <w:rPr>
                <w:rFonts w:ascii="Times New Roman"/>
                <w:sz w:val="18"/>
              </w:rPr>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7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99,358.85</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-2,499,438.23</w:t>
            </w: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合并抵销利润影响当期所得税</w:t>
            </w:r>
          </w:p>
        </w:tc>
        <w:tc>
          <w:tcPr>
            <w:tcW w:w="37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4,505,785.83</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6、其他综合收益" w:id="336"/>
      <w:bookmarkEnd w:id="336"/>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详见附注。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7、现金流量表项目" w:id="337"/>
      <w:bookmarkEnd w:id="337"/>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38"/>
      <w:bookmarkEnd w:id="33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银行承兑汇票保证金、保函保证金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5,268,773.83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政府补助及其他营业外收入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3,383,922.97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6,068,382.77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1,199,006.73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178,656.84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9,851,703.53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6,247,039.61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39"/>
      <w:bookmarkEnd w:id="33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6,250,060.28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1,481,820.35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31,979,391.30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31,579,964.41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银行承兑汇票保证金、保函保证金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7,440,894.21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95,198.34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60,814.35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38,324,649.92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40,563,493.32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收到的其他与投资活动有关的现金" w:id="340"/>
      <w:bookmarkEnd w:id="34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业务收到的款项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4,793,699.29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4,793,699.29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支付的其他与投资活动有关的现金" w:id="341"/>
      <w:bookmarkEnd w:id="34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收到的其他与筹资活动有关的现金" w:id="342"/>
      <w:bookmarkEnd w:id="34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支付的其他与筹资活动有关的现金" w:id="343"/>
      <w:bookmarkEnd w:id="34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上市发行费用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5,120,754.72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5,837,300.00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5,120,754.72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5,837,300.00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8、现金流量表补充资料" w:id="344"/>
      <w:bookmarkEnd w:id="344"/>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45"/>
      <w:bookmarkEnd w:id="34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35,302,549.59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44,567,203.28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7,122,205.15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4,334,805.39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203.62999pt;width:151.25pt;height:20.8pt;mso-position-horizontal-relative:page;mso-position-vertical-relative:page;z-index:-796168" coordorigin="4467,4073" coordsize="3025,416">
            <v:group style="position:absolute;left:4478;top:4084;width:2;height:393" coordorigin="4478,4084" coordsize="2,393">
              <v:shape style="position:absolute;left:4478;top:4084;width:2;height:393" coordorigin="4478,4084" coordsize="0,393" path="m4478,4084l4478,4476e" filled="false" stroked="true" strokeweight="1.140pt" strokecolor="#ffffff">
                <v:path arrowok="t"/>
              </v:shape>
            </v:group>
            <v:group style="position:absolute;left:4490;top:4084;width:3002;height:393" coordorigin="4490,4084" coordsize="3002,393">
              <v:shape style="position:absolute;left:4490;top:4084;width:3002;height:393" coordorigin="4490,4084" coordsize="3002,393" path="m4490,4476l7491,4476,7491,4084,4490,4084,4490,4476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4,848,642.78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4,983,862.68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758,619.33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561,775.47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7,460.00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28,385.23</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460,080.39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2,563,659.46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-1,312,256.70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-651,883.79</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-15,862,809.82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-6,294,205.30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-88,640,963.96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-46,147,174.80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37,836,480.64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3,536,574.30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-19,459,067.37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7,462,076.69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202,099,393.28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308,209,155.39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308,209,155.39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114,254,575.25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45" w:right="0"/>
              <w:jc w:val="left"/>
              <w:rPr>
                <w:rFonts w:ascii="Times New Roman" w:hAnsi="Times New Roman" w:cs="Times New Roman" w:eastAsia="Times New Roman" w:hint="default"/>
                <w:sz w:val="18"/>
                <w:szCs w:val="18"/>
              </w:rPr>
            </w:pPr>
            <w:r>
              <w:rPr>
                <w:rFonts w:ascii="Times New Roman"/>
                <w:sz w:val="18"/>
              </w:rPr>
              <w:t>-106,109,762.11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193,954,580.14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46"/>
      <w:bookmarkEnd w:id="34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本期收到的处置子公司的现金净额" w:id="347"/>
      <w:bookmarkEnd w:id="34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现金和现金等价物的构成" w:id="348"/>
      <w:bookmarkEnd w:id="34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202,099,393.28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308,209,155.39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285,827.45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184,105.99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201,813,565.83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308,025,049.40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202,099,393.28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308,209,155.39</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9、所有者权益变动表项目注释" w:id="349"/>
      <w:bookmarkEnd w:id="349"/>
      <w:r>
        <w:rPr>
          <w:b w:val="0"/>
          <w:bCs w:val="0"/>
        </w:rPr>
      </w:r>
      <w:r>
        <w:rPr>
          <w:rFonts w:ascii="Times New Roman" w:hAnsi="Times New Roman" w:cs="Times New Roman" w:eastAsia="Times New Roman" w:hint="default"/>
        </w:rPr>
        <w:t>69</w:t>
      </w:r>
      <w:r>
        <w:rPr/>
        <w:t>、所有者权益变动表项目注释</w:t>
      </w:r>
      <w:r>
        <w:rPr>
          <w:b w:val="0"/>
          <w:bCs w:val="0"/>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4"/>
          <w:szCs w:val="24"/>
        </w:rPr>
      </w:pPr>
    </w:p>
    <w:p>
      <w:pPr>
        <w:pStyle w:val="Heading3"/>
        <w:spacing w:line="240" w:lineRule="auto" w:before="35"/>
        <w:ind w:right="0"/>
        <w:jc w:val="left"/>
        <w:rPr>
          <w:b w:val="0"/>
          <w:bCs w:val="0"/>
        </w:rPr>
      </w:pPr>
      <w:bookmarkStart w:name="70、所有权或使用权受到限制的资产" w:id="350"/>
      <w:bookmarkEnd w:id="350"/>
      <w:r>
        <w:rPr>
          <w:b w:val="0"/>
          <w:bCs w:val="0"/>
        </w:rPr>
      </w:r>
      <w:r>
        <w:rPr>
          <w:rFonts w:ascii="Times New Roman" w:hAnsi="Times New Roman" w:cs="Times New Roman" w:eastAsia="Times New Roman" w:hint="default"/>
        </w:rPr>
        <w:t>70</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6,984,233.82</w:t>
            </w:r>
          </w:p>
        </w:tc>
        <w:tc>
          <w:tcPr>
            <w:tcW w:w="31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保函保证金及承兑汇票保证金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2,692,383.47</w:t>
            </w:r>
          </w:p>
        </w:tc>
        <w:tc>
          <w:tcPr>
            <w:tcW w:w="31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9,676,617.29</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1、外币货币性项目" w:id="351"/>
      <w:bookmarkEnd w:id="351"/>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52"/>
      <w:bookmarkEnd w:id="35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0"/>
        <w:jc w:val="left"/>
        <w:rPr>
          <w:b w:val="0"/>
          <w:bCs w:val="0"/>
        </w:rPr>
      </w:pPr>
      <w:bookmarkStart w:name="（2）境外经营实体说明，包括对于重要的境外经营实体，应披露其境外主要经营地、记账" w:id="353"/>
      <w:bookmarkEnd w:id="35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2、套期" w:id="354"/>
      <w:bookmarkEnd w:id="354"/>
      <w:r>
        <w:rPr>
          <w:b w:val="0"/>
          <w:bCs w:val="0"/>
        </w:rPr>
      </w:r>
      <w:r>
        <w:rPr>
          <w:rFonts w:ascii="Times New Roman" w:hAnsi="Times New Roman" w:cs="Times New Roman" w:eastAsia="Times New Roman" w:hint="default"/>
        </w:rPr>
        <w:t>72</w:t>
      </w:r>
      <w:r>
        <w:rPr/>
        <w:t>、套期</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73、政府补助" w:id="355"/>
      <w:bookmarkEnd w:id="355"/>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56"/>
      <w:bookmarkEnd w:id="356"/>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08"/>
        <w:gridCol w:w="2138"/>
        <w:gridCol w:w="2268"/>
        <w:gridCol w:w="2054"/>
      </w:tblGrid>
      <w:tr>
        <w:trPr>
          <w:trHeight w:val="397"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7" w:hRule="exact"/>
        </w:trPr>
        <w:tc>
          <w:tcPr>
            <w:tcW w:w="31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本期软件增值税退税</w:t>
            </w:r>
          </w:p>
        </w:tc>
        <w:tc>
          <w:tcPr>
            <w:tcW w:w="2138"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6,286,431.47</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6,286,431.47</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本期收到的前期软件增值税退税</w:t>
            </w:r>
          </w:p>
        </w:tc>
        <w:tc>
          <w:tcPr>
            <w:tcW w:w="2138"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3,096,238.14</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期初其他应收款</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移动互联网产业专项资金</w:t>
            </w:r>
          </w:p>
        </w:tc>
        <w:tc>
          <w:tcPr>
            <w:tcW w:w="2138"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0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长沙市服务外包发展专项资金</w:t>
            </w:r>
          </w:p>
        </w:tc>
        <w:tc>
          <w:tcPr>
            <w:tcW w:w="2138"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599,000.00</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599,000.00</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湖南省首台（套）重大技术装备奖励</w:t>
            </w:r>
          </w:p>
        </w:tc>
        <w:tc>
          <w:tcPr>
            <w:tcW w:w="2138"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714" w:hRule="exact"/>
        </w:trPr>
        <w:tc>
          <w:tcPr>
            <w:tcW w:w="31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长沙市认定高新技术企业研发经费补贴 资金</w:t>
            </w:r>
          </w:p>
        </w:tc>
        <w:tc>
          <w:tcPr>
            <w:tcW w:w="2138"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高校毕业生见习补贴</w:t>
            </w:r>
          </w:p>
        </w:tc>
        <w:tc>
          <w:tcPr>
            <w:tcW w:w="2138"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186,440.00</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186,440.00</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湖南省开放型经济发展专项切块资金</w:t>
            </w:r>
          </w:p>
        </w:tc>
        <w:tc>
          <w:tcPr>
            <w:tcW w:w="2138"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经济工作大会支持款</w:t>
            </w:r>
          </w:p>
        </w:tc>
        <w:tc>
          <w:tcPr>
            <w:tcW w:w="2138"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104,000.00</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104,000.00</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长沙市失业保险管理服务局稳岗补贴</w:t>
            </w:r>
          </w:p>
        </w:tc>
        <w:tc>
          <w:tcPr>
            <w:tcW w:w="2138"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97,611.81</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97,611.81</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w:t>
            </w:r>
          </w:p>
        </w:tc>
        <w:tc>
          <w:tcPr>
            <w:tcW w:w="2138"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77,143.16</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77,143.16</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2138"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8,520.00</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8,520.00</w:t>
            </w:r>
          </w:p>
        </w:tc>
      </w:tr>
      <w:tr>
        <w:trPr>
          <w:trHeight w:val="402" w:hRule="exact"/>
        </w:trPr>
        <w:tc>
          <w:tcPr>
            <w:tcW w:w="310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tabs>
                <w:tab w:pos="47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138"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12,765,384.58</w:t>
            </w:r>
          </w:p>
        </w:tc>
        <w:tc>
          <w:tcPr>
            <w:tcW w:w="226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8,169,146.44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政府补助退回情况" w:id="357"/>
      <w:bookmarkEnd w:id="357"/>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48" w:lineRule="auto"/>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 本期无退回的政府补助。</w:t>
      </w:r>
    </w:p>
    <w:p>
      <w:pPr>
        <w:spacing w:line="240" w:lineRule="auto" w:before="9"/>
        <w:rPr>
          <w:rFonts w:ascii="宋体" w:hAnsi="宋体" w:cs="宋体" w:eastAsia="宋体" w:hint="default"/>
          <w:sz w:val="20"/>
          <w:szCs w:val="20"/>
        </w:rPr>
      </w:pPr>
    </w:p>
    <w:p>
      <w:pPr>
        <w:spacing w:line="487" w:lineRule="auto" w:before="0"/>
        <w:ind w:left="154" w:right="8328" w:firstLine="0"/>
        <w:jc w:val="left"/>
        <w:rPr>
          <w:rFonts w:ascii="宋体" w:hAnsi="宋体" w:cs="宋体" w:eastAsia="宋体" w:hint="default"/>
          <w:sz w:val="21"/>
          <w:szCs w:val="21"/>
        </w:rPr>
      </w:pPr>
      <w:bookmarkStart w:name="74、其他" w:id="358"/>
      <w:bookmarkEnd w:id="358"/>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59"/>
      <w:bookmarkEnd w:id="359"/>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60"/>
      <w:bookmarkEnd w:id="36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361"/>
      <w:bookmarkEnd w:id="36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合并成本及商誉" w:id="362"/>
      <w:bookmarkEnd w:id="36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072"/>
        <w:jc w:val="left"/>
      </w:pPr>
      <w:r>
        <w:rPr/>
        <w:t>合并成本公允价值的确定方法、或有对价及其变动的说明： 无</w:t>
      </w:r>
    </w:p>
    <w:p>
      <w:pPr>
        <w:pStyle w:val="BodyText"/>
        <w:spacing w:line="357" w:lineRule="auto" w:before="29"/>
        <w:ind w:right="8592"/>
        <w:jc w:val="left"/>
      </w:pPr>
      <w:r>
        <w:rPr/>
        <w:t>大额商誉形成的主要原因： 无</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bookmarkStart w:name="（3）被购买方于购买日可辨认资产、负债" w:id="363"/>
      <w:bookmarkEnd w:id="36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512"/>
        <w:jc w:val="left"/>
      </w:pPr>
      <w:r>
        <w:rPr/>
        <w:t>可辨认资产、负债公允价值的确定方法： 无 企业合并中承担的被购买方的或有负债：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4）购买日之前持有的股权按照公允价值重新计量产生的利得或损失" w:id="364"/>
      <w:bookmarkEnd w:id="364"/>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购买日或合并当期期末无法合理确定合并对价或被购买方可辨认资产、负债公允价值" w:id="365"/>
      <w:bookmarkEnd w:id="365"/>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6）其他说明" w:id="366"/>
      <w:bookmarkEnd w:id="366"/>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同一控制下企业合并" w:id="367"/>
      <w:bookmarkEnd w:id="367"/>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反向购买" w:id="368"/>
      <w:bookmarkEnd w:id="36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处置子公司" w:id="369"/>
      <w:bookmarkEnd w:id="36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7"/>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370"/>
      <w:bookmarkEnd w:id="37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2" w:firstLine="0"/>
        <w:jc w:val="left"/>
        <w:rPr>
          <w:rFonts w:ascii="宋体" w:hAnsi="宋体" w:cs="宋体" w:eastAsia="宋体" w:hint="default"/>
          <w:sz w:val="21"/>
          <w:szCs w:val="21"/>
        </w:rPr>
      </w:pPr>
      <w:bookmarkStart w:name="6、其他" w:id="371"/>
      <w:bookmarkEnd w:id="37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72"/>
      <w:bookmarkEnd w:id="372"/>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73"/>
      <w:bookmarkEnd w:id="37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0"/>
        <w:jc w:val="left"/>
        <w:rPr>
          <w:b w:val="0"/>
          <w:bCs w:val="0"/>
        </w:rPr>
      </w:pPr>
      <w:bookmarkStart w:name="（1）企业集团的构成" w:id="374"/>
      <w:bookmarkEnd w:id="37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北京科创鑫源信 息技术有限公司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IT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永兴科创南方技 术服务有限公司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永兴</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永兴</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IT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湖南科创信息系 统集成有限公司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IT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的非全资子公司" w:id="375"/>
      <w:bookmarkEnd w:id="37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北京科创鑫源信息技术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190,444.84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969,473.40</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永兴科创南方技术服务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579.60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7,918,183.98</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191,024.44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8,887,657.38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重要非全资子公司的主要财务信息" w:id="376"/>
      <w:bookmarkEnd w:id="37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北京科 创鑫源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9,957,05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9,989,85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7,709,80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4.42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8,011,33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8.76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6,664,57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46,666.1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6,711,23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4,851,60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269,779.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5,121,38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3.49</w:t>
            </w:r>
          </w:p>
        </w:tc>
      </w:tr>
      <w:tr>
        <w:trPr>
          <w:trHeight w:val="1339"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永兴科 创南方 技术服 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2,457,06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38,607,3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41,064,4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55.96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21,119,4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08.07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21,119,4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2,449,43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17,555,9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05.58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20,005,3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43.94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51,756.0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51,756.0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北京科创鑫 源信息技术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8,639,151.73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388,662.94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388,662.94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1,713,385.44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8,182,290.56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170,461.57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170,461.57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1,570,514.74</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26"/>
              <w:jc w:val="left"/>
              <w:rPr>
                <w:rFonts w:ascii="宋体" w:hAnsi="宋体" w:cs="宋体" w:eastAsia="宋体" w:hint="default"/>
                <w:sz w:val="18"/>
                <w:szCs w:val="18"/>
              </w:rPr>
            </w:pPr>
            <w:r>
              <w:rPr>
                <w:rFonts w:ascii="宋体" w:hAnsi="宋体" w:cs="宋体" w:eastAsia="宋体" w:hint="default"/>
                <w:sz w:val="18"/>
                <w:szCs w:val="18"/>
              </w:rPr>
              <w:t>永兴科创南 方技术服务</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1,459.95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1,459.95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7,626.60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-27,987.06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-27,987.06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5,343.94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4）使用企业集团资产和清偿企业集团债务的重大限制" w:id="377"/>
      <w:bookmarkEnd w:id="37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378"/>
      <w:bookmarkEnd w:id="37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在子公司的所有者权益份额发生变化且仍控制子公司的交易" w:id="379"/>
      <w:bookmarkEnd w:id="37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在合营安排或联营企业中的权益" w:id="380"/>
      <w:bookmarkEnd w:id="38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381"/>
      <w:bookmarkEnd w:id="38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在未纳入合并财务报表范围的结构化主体中的权益" w:id="382"/>
      <w:bookmarkEnd w:id="38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6、其他" w:id="383"/>
      <w:bookmarkEnd w:id="383"/>
      <w:r>
        <w:rPr>
          <w:b w:val="0"/>
          <w:bCs w:val="0"/>
        </w:rPr>
      </w:r>
      <w:r>
        <w:rPr>
          <w:rFonts w:ascii="Times New Roman" w:hAnsi="Times New Roman" w:cs="Times New Roman" w:eastAsia="Times New Roman" w:hint="default"/>
        </w:rPr>
        <w:t>6</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十、与金融工具相关的风险" w:id="384"/>
      <w:bookmarkEnd w:id="384"/>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3" w:firstLine="360"/>
        <w:jc w:val="both"/>
      </w:pPr>
      <w:r>
        <w:rPr>
          <w:spacing w:val="-2"/>
        </w:rPr>
        <w:t>本公司报告期的主要金融工具，除衍生工具外，包括银行借款和货币资金。这些金融工具的主要目的在于为本公司的运</w:t>
      </w:r>
      <w:r>
        <w:rPr/>
        <w:t> </w:t>
      </w:r>
      <w:r>
        <w:rPr>
          <w:spacing w:val="-2"/>
        </w:rPr>
        <w:t>营融资。本公司具有多种因经营而直接产生的其他金融资产和负债，如应收票据及应收账款和应付票据及应付账款、其他应</w:t>
      </w:r>
      <w:r>
        <w:rPr>
          <w:spacing w:val="-66"/>
        </w:rPr>
        <w:t> </w:t>
      </w:r>
      <w:r>
        <w:rPr>
          <w:spacing w:val="-66"/>
        </w:rPr>
      </w:r>
      <w:r>
        <w:rPr/>
        <w:t>收款和其他应付款、长期应收款、其他流动资产等。</w:t>
      </w:r>
    </w:p>
    <w:p>
      <w:pPr>
        <w:pStyle w:val="BodyText"/>
        <w:spacing w:line="240" w:lineRule="auto" w:before="137"/>
        <w:ind w:left="514" w:right="0"/>
        <w:jc w:val="left"/>
      </w:pPr>
      <w:r>
        <w:rPr/>
        <w:t>本公司的金融工具导致的主要风险是信用风险、流动风险及市场风险。</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rFonts w:ascii="Times New Roman" w:hAnsi="Times New Roman" w:cs="Times New Roman" w:eastAsia="Times New Roman" w:hint="default"/>
        </w:rPr>
        <w:t>1.</w:t>
      </w:r>
      <w:r>
        <w:rPr/>
        <w:t>金融工具分类</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t>（</w:t>
      </w:r>
      <w:r>
        <w:rPr>
          <w:rFonts w:ascii="Times New Roman" w:hAnsi="Times New Roman" w:cs="Times New Roman" w:eastAsia="Times New Roman" w:hint="default"/>
        </w:rPr>
        <w:t>1</w:t>
      </w:r>
      <w:r>
        <w:rPr/>
        <w:t>）资产负债表日的各类金融资产的账面价值如下：</w:t>
      </w:r>
    </w:p>
    <w:p>
      <w:pPr>
        <w:spacing w:line="240" w:lineRule="auto" w:before="2"/>
        <w:rPr>
          <w:rFonts w:ascii="宋体" w:hAnsi="宋体" w:cs="宋体" w:eastAsia="宋体" w:hint="default"/>
          <w:sz w:val="23"/>
          <w:szCs w:val="23"/>
        </w:rPr>
      </w:pPr>
    </w:p>
    <w:tbl>
      <w:tblPr>
        <w:tblW w:w="0" w:type="auto"/>
        <w:jc w:val="left"/>
        <w:tblInd w:w="153" w:type="dxa"/>
        <w:tblLayout w:type="fixed"/>
        <w:tblCellMar>
          <w:top w:w="0" w:type="dxa"/>
          <w:left w:w="0" w:type="dxa"/>
          <w:bottom w:w="0" w:type="dxa"/>
          <w:right w:w="0" w:type="dxa"/>
        </w:tblCellMar>
        <w:tblLook w:val="01E0"/>
      </w:tblPr>
      <w:tblGrid>
        <w:gridCol w:w="3684"/>
        <w:gridCol w:w="1140"/>
        <w:gridCol w:w="1910"/>
        <w:gridCol w:w="1269"/>
        <w:gridCol w:w="1688"/>
      </w:tblGrid>
      <w:tr>
        <w:trPr>
          <w:trHeight w:val="289" w:hRule="exact"/>
        </w:trPr>
        <w:tc>
          <w:tcPr>
            <w:tcW w:w="3684" w:type="dxa"/>
            <w:tcBorders>
              <w:top w:val="nil" w:sz="6" w:space="0" w:color="auto"/>
              <w:left w:val="nil" w:sz="6" w:space="0" w:color="auto"/>
              <w:bottom w:val="single" w:sz="6" w:space="0" w:color="000000"/>
              <w:right w:val="nil" w:sz="6" w:space="0" w:color="auto"/>
            </w:tcBorders>
          </w:tcPr>
          <w:p>
            <w:pPr>
              <w:pStyle w:val="TableParagraph"/>
              <w:spacing w:line="150" w:lineRule="exact"/>
              <w:ind w:left="399" w:right="0"/>
              <w:jc w:val="left"/>
              <w:rPr>
                <w:rFonts w:ascii="宋体" w:hAnsi="宋体" w:cs="宋体" w:eastAsia="宋体" w:hint="default"/>
                <w:sz w:val="15"/>
                <w:szCs w:val="15"/>
              </w:rPr>
            </w:pPr>
            <w:r>
              <w:rPr>
                <w:rFonts w:ascii="宋体" w:hAnsi="宋体" w:cs="宋体" w:eastAsia="宋体" w:hint="default"/>
                <w:b/>
                <w:bCs/>
                <w:sz w:val="15"/>
                <w:szCs w:val="15"/>
              </w:rPr>
              <w:t>金融资产项目</w:t>
            </w:r>
            <w:r>
              <w:rPr>
                <w:rFonts w:ascii="宋体" w:hAnsi="宋体" w:cs="宋体" w:eastAsia="宋体" w:hint="default"/>
                <w:sz w:val="15"/>
                <w:szCs w:val="15"/>
              </w:rPr>
            </w:r>
          </w:p>
        </w:tc>
        <w:tc>
          <w:tcPr>
            <w:tcW w:w="1140" w:type="dxa"/>
            <w:tcBorders>
              <w:top w:val="nil" w:sz="6" w:space="0" w:color="auto"/>
              <w:left w:val="nil" w:sz="6" w:space="0" w:color="auto"/>
              <w:bottom w:val="single" w:sz="6" w:space="0" w:color="000000"/>
              <w:right w:val="nil" w:sz="6" w:space="0" w:color="auto"/>
            </w:tcBorders>
          </w:tcPr>
          <w:p>
            <w:pPr/>
          </w:p>
        </w:tc>
        <w:tc>
          <w:tcPr>
            <w:tcW w:w="1910" w:type="dxa"/>
            <w:tcBorders>
              <w:top w:val="nil" w:sz="6" w:space="0" w:color="auto"/>
              <w:left w:val="nil" w:sz="6" w:space="0" w:color="auto"/>
              <w:bottom w:val="single" w:sz="6" w:space="0" w:color="000000"/>
              <w:right w:val="nil" w:sz="6" w:space="0" w:color="auto"/>
            </w:tcBorders>
          </w:tcPr>
          <w:p>
            <w:pPr>
              <w:pStyle w:val="TableParagraph"/>
              <w:spacing w:line="150" w:lineRule="exact"/>
              <w:ind w:right="159"/>
              <w:jc w:val="center"/>
              <w:rPr>
                <w:rFonts w:ascii="宋体" w:hAnsi="宋体" w:cs="宋体" w:eastAsia="宋体" w:hint="default"/>
                <w:sz w:val="15"/>
                <w:szCs w:val="15"/>
              </w:rPr>
            </w:pPr>
            <w:r>
              <w:rPr>
                <w:rFonts w:ascii="宋体" w:hAnsi="宋体" w:cs="宋体" w:eastAsia="宋体" w:hint="default"/>
                <w:b/>
                <w:bCs/>
                <w:sz w:val="15"/>
                <w:szCs w:val="15"/>
              </w:rPr>
              <w:t>期末</w:t>
            </w:r>
            <w:r>
              <w:rPr>
                <w:rFonts w:ascii="宋体" w:hAnsi="宋体" w:cs="宋体" w:eastAsia="宋体" w:hint="default"/>
                <w:sz w:val="15"/>
                <w:szCs w:val="15"/>
              </w:rPr>
            </w:r>
          </w:p>
        </w:tc>
        <w:tc>
          <w:tcPr>
            <w:tcW w:w="1269" w:type="dxa"/>
            <w:tcBorders>
              <w:top w:val="nil" w:sz="6" w:space="0" w:color="auto"/>
              <w:left w:val="nil" w:sz="6" w:space="0" w:color="auto"/>
              <w:bottom w:val="single" w:sz="6" w:space="0" w:color="000000"/>
              <w:right w:val="nil" w:sz="6" w:space="0" w:color="auto"/>
            </w:tcBorders>
          </w:tcPr>
          <w:p>
            <w:pPr/>
          </w:p>
        </w:tc>
        <w:tc>
          <w:tcPr>
            <w:tcW w:w="1688" w:type="dxa"/>
            <w:tcBorders>
              <w:top w:val="nil" w:sz="6" w:space="0" w:color="auto"/>
              <w:left w:val="nil" w:sz="6" w:space="0" w:color="auto"/>
              <w:bottom w:val="single" w:sz="6" w:space="0" w:color="000000"/>
              <w:right w:val="nil" w:sz="6" w:space="0" w:color="auto"/>
            </w:tcBorders>
          </w:tcPr>
          <w:p>
            <w:pPr/>
          </w:p>
        </w:tc>
      </w:tr>
      <w:tr>
        <w:trPr>
          <w:trHeight w:val="769" w:hRule="exact"/>
        </w:trPr>
        <w:tc>
          <w:tcPr>
            <w:tcW w:w="3684" w:type="dxa"/>
            <w:tcBorders>
              <w:top w:val="single" w:sz="6" w:space="0" w:color="000000"/>
              <w:left w:val="nil" w:sz="6" w:space="0" w:color="auto"/>
              <w:bottom w:val="single" w:sz="6" w:space="0" w:color="000000"/>
              <w:right w:val="nil" w:sz="6" w:space="0" w:color="auto"/>
            </w:tcBorders>
          </w:tcPr>
          <w:p>
            <w:pPr>
              <w:pStyle w:val="TableParagraph"/>
              <w:spacing w:line="432" w:lineRule="auto" w:before="75"/>
              <w:ind w:left="1896" w:right="129"/>
              <w:jc w:val="left"/>
              <w:rPr>
                <w:rFonts w:ascii="宋体" w:hAnsi="宋体" w:cs="宋体" w:eastAsia="宋体" w:hint="default"/>
                <w:sz w:val="15"/>
                <w:szCs w:val="15"/>
              </w:rPr>
            </w:pPr>
            <w:r>
              <w:rPr>
                <w:rFonts w:ascii="宋体" w:hAnsi="宋体" w:cs="宋体" w:eastAsia="宋体" w:hint="default"/>
                <w:b/>
                <w:bCs/>
                <w:sz w:val="15"/>
                <w:szCs w:val="15"/>
              </w:rPr>
              <w:t>以公允价值计量且其变动</w:t>
            </w:r>
            <w:r>
              <w:rPr>
                <w:rFonts w:ascii="宋体" w:hAnsi="宋体" w:cs="宋体" w:eastAsia="宋体" w:hint="default"/>
                <w:b/>
                <w:bCs/>
                <w:w w:val="99"/>
                <w:sz w:val="15"/>
                <w:szCs w:val="15"/>
              </w:rPr>
              <w:t> </w:t>
            </w:r>
            <w:r>
              <w:rPr>
                <w:rFonts w:ascii="宋体" w:hAnsi="宋体" w:cs="宋体" w:eastAsia="宋体" w:hint="default"/>
                <w:b/>
                <w:bCs/>
                <w:sz w:val="15"/>
                <w:szCs w:val="15"/>
              </w:rPr>
              <w:t>计入当期损益的金融资产</w:t>
            </w:r>
            <w:r>
              <w:rPr>
                <w:rFonts w:ascii="宋体" w:hAnsi="宋体" w:cs="宋体" w:eastAsia="宋体" w:hint="default"/>
                <w:sz w:val="15"/>
                <w:szCs w:val="15"/>
              </w:rPr>
            </w:r>
          </w:p>
        </w:tc>
        <w:tc>
          <w:tcPr>
            <w:tcW w:w="1140" w:type="dxa"/>
            <w:tcBorders>
              <w:top w:val="single" w:sz="6" w:space="0" w:color="000000"/>
              <w:left w:val="nil" w:sz="6" w:space="0" w:color="auto"/>
              <w:bottom w:val="single" w:sz="6" w:space="0" w:color="000000"/>
              <w:right w:val="nil" w:sz="6" w:space="0" w:color="auto"/>
            </w:tcBorders>
          </w:tcPr>
          <w:p>
            <w:pPr>
              <w:pStyle w:val="TableParagraph"/>
              <w:spacing w:line="432" w:lineRule="auto" w:before="75"/>
              <w:ind w:left="131" w:right="404" w:firstLine="75"/>
              <w:jc w:val="left"/>
              <w:rPr>
                <w:rFonts w:ascii="宋体" w:hAnsi="宋体" w:cs="宋体" w:eastAsia="宋体" w:hint="default"/>
                <w:sz w:val="15"/>
                <w:szCs w:val="15"/>
              </w:rPr>
            </w:pPr>
            <w:r>
              <w:rPr>
                <w:rFonts w:ascii="宋体" w:hAnsi="宋体" w:cs="宋体" w:eastAsia="宋体" w:hint="default"/>
                <w:b/>
                <w:bCs/>
                <w:sz w:val="15"/>
                <w:szCs w:val="15"/>
              </w:rPr>
              <w:t>持有至</w:t>
            </w:r>
            <w:r>
              <w:rPr>
                <w:rFonts w:ascii="宋体" w:hAnsi="宋体" w:cs="宋体" w:eastAsia="宋体" w:hint="default"/>
                <w:b/>
                <w:bCs/>
                <w:w w:val="99"/>
                <w:sz w:val="15"/>
                <w:szCs w:val="15"/>
              </w:rPr>
              <w:t> </w:t>
            </w:r>
            <w:r>
              <w:rPr>
                <w:rFonts w:ascii="宋体" w:hAnsi="宋体" w:cs="宋体" w:eastAsia="宋体" w:hint="default"/>
                <w:b/>
                <w:bCs/>
                <w:sz w:val="15"/>
                <w:szCs w:val="15"/>
              </w:rPr>
              <w:t>到期投资</w:t>
            </w:r>
            <w:r>
              <w:rPr>
                <w:rFonts w:ascii="宋体" w:hAnsi="宋体" w:cs="宋体" w:eastAsia="宋体" w:hint="default"/>
                <w:sz w:val="15"/>
                <w:szCs w:val="15"/>
              </w:rPr>
            </w:r>
          </w:p>
        </w:tc>
        <w:tc>
          <w:tcPr>
            <w:tcW w:w="1910" w:type="dxa"/>
            <w:tcBorders>
              <w:top w:val="single" w:sz="6" w:space="0" w:color="000000"/>
              <w:left w:val="nil" w:sz="6" w:space="0" w:color="auto"/>
              <w:bottom w:val="single" w:sz="6" w:space="0" w:color="000000"/>
              <w:right w:val="nil" w:sz="6" w:space="0" w:color="auto"/>
            </w:tcBorders>
          </w:tcPr>
          <w:p>
            <w:pPr>
              <w:pStyle w:val="TableParagraph"/>
              <w:spacing w:line="432" w:lineRule="auto" w:before="75"/>
              <w:ind w:left="406" w:right="749" w:firstLine="225"/>
              <w:jc w:val="left"/>
              <w:rPr>
                <w:rFonts w:ascii="宋体" w:hAnsi="宋体" w:cs="宋体" w:eastAsia="宋体" w:hint="default"/>
                <w:sz w:val="15"/>
                <w:szCs w:val="15"/>
              </w:rPr>
            </w:pPr>
            <w:r>
              <w:rPr>
                <w:rFonts w:ascii="宋体" w:hAnsi="宋体" w:cs="宋体" w:eastAsia="宋体" w:hint="default"/>
                <w:b/>
                <w:bCs/>
                <w:sz w:val="15"/>
                <w:szCs w:val="15"/>
              </w:rPr>
              <w:t>贷款</w:t>
            </w:r>
            <w:r>
              <w:rPr>
                <w:rFonts w:ascii="宋体" w:hAnsi="宋体" w:cs="宋体" w:eastAsia="宋体" w:hint="default"/>
                <w:b/>
                <w:bCs/>
                <w:spacing w:val="1"/>
                <w:w w:val="99"/>
                <w:sz w:val="15"/>
                <w:szCs w:val="15"/>
              </w:rPr>
              <w:t> </w:t>
            </w:r>
            <w:r>
              <w:rPr>
                <w:rFonts w:ascii="宋体" w:hAnsi="宋体" w:cs="宋体" w:eastAsia="宋体" w:hint="default"/>
                <w:b/>
                <w:bCs/>
                <w:sz w:val="15"/>
                <w:szCs w:val="15"/>
              </w:rPr>
              <w:t>和应收款项</w:t>
            </w:r>
            <w:r>
              <w:rPr>
                <w:rFonts w:ascii="宋体" w:hAnsi="宋体" w:cs="宋体" w:eastAsia="宋体" w:hint="default"/>
                <w:sz w:val="15"/>
                <w:szCs w:val="15"/>
              </w:rPr>
            </w:r>
          </w:p>
        </w:tc>
        <w:tc>
          <w:tcPr>
            <w:tcW w:w="1269" w:type="dxa"/>
            <w:tcBorders>
              <w:top w:val="single" w:sz="6" w:space="0" w:color="000000"/>
              <w:left w:val="nil" w:sz="6" w:space="0" w:color="auto"/>
              <w:bottom w:val="single" w:sz="6" w:space="0" w:color="000000"/>
              <w:right w:val="nil" w:sz="6" w:space="0" w:color="auto"/>
            </w:tcBorders>
          </w:tcPr>
          <w:p>
            <w:pPr>
              <w:pStyle w:val="TableParagraph"/>
              <w:spacing w:line="432" w:lineRule="auto" w:before="75"/>
              <w:ind w:left="182" w:right="482"/>
              <w:jc w:val="left"/>
              <w:rPr>
                <w:rFonts w:ascii="宋体" w:hAnsi="宋体" w:cs="宋体" w:eastAsia="宋体" w:hint="default"/>
                <w:sz w:val="15"/>
                <w:szCs w:val="15"/>
              </w:rPr>
            </w:pPr>
            <w:r>
              <w:rPr>
                <w:rFonts w:ascii="宋体" w:hAnsi="宋体" w:cs="宋体" w:eastAsia="宋体" w:hint="default"/>
                <w:b/>
                <w:bCs/>
                <w:sz w:val="15"/>
                <w:szCs w:val="15"/>
              </w:rPr>
              <w:t>可供出售</w:t>
            </w:r>
            <w:r>
              <w:rPr>
                <w:rFonts w:ascii="宋体" w:hAnsi="宋体" w:cs="宋体" w:eastAsia="宋体" w:hint="default"/>
                <w:b/>
                <w:bCs/>
                <w:w w:val="99"/>
                <w:sz w:val="15"/>
                <w:szCs w:val="15"/>
              </w:rPr>
              <w:t> </w:t>
            </w:r>
            <w:r>
              <w:rPr>
                <w:rFonts w:ascii="宋体" w:hAnsi="宋体" w:cs="宋体" w:eastAsia="宋体" w:hint="default"/>
                <w:b/>
                <w:bCs/>
                <w:sz w:val="15"/>
                <w:szCs w:val="15"/>
              </w:rPr>
              <w:t>金融资产</w:t>
            </w:r>
            <w:r>
              <w:rPr>
                <w:rFonts w:ascii="宋体" w:hAnsi="宋体" w:cs="宋体" w:eastAsia="宋体" w:hint="default"/>
                <w:sz w:val="15"/>
                <w:szCs w:val="15"/>
              </w:rPr>
            </w:r>
          </w:p>
        </w:tc>
        <w:tc>
          <w:tcPr>
            <w:tcW w:w="1688" w:type="dxa"/>
            <w:tcBorders>
              <w:top w:val="single" w:sz="6" w:space="0" w:color="000000"/>
              <w:left w:val="nil" w:sz="6" w:space="0" w:color="auto"/>
              <w:bottom w:val="single" w:sz="6" w:space="0" w:color="000000"/>
              <w:right w:val="nil" w:sz="6" w:space="0" w:color="auto"/>
            </w:tcBorders>
          </w:tcPr>
          <w:p>
            <w:pPr>
              <w:pStyle w:val="TableParagraph"/>
              <w:spacing w:line="240" w:lineRule="auto" w:before="75"/>
              <w:ind w:left="484" w:right="0"/>
              <w:jc w:val="left"/>
              <w:rPr>
                <w:rFonts w:ascii="宋体" w:hAnsi="宋体" w:cs="宋体" w:eastAsia="宋体" w:hint="default"/>
                <w:sz w:val="15"/>
                <w:szCs w:val="15"/>
              </w:rPr>
            </w:pPr>
            <w:r>
              <w:rPr>
                <w:rFonts w:ascii="宋体" w:hAnsi="宋体" w:cs="宋体" w:eastAsia="宋体" w:hint="default"/>
                <w:b/>
                <w:bCs/>
                <w:sz w:val="15"/>
                <w:szCs w:val="15"/>
              </w:rPr>
              <w:t>合</w:t>
            </w:r>
            <w:r>
              <w:rPr>
                <w:rFonts w:ascii="宋体" w:hAnsi="宋体" w:cs="宋体" w:eastAsia="宋体" w:hint="default"/>
                <w:b/>
                <w:bCs/>
                <w:spacing w:val="51"/>
                <w:sz w:val="15"/>
                <w:szCs w:val="15"/>
              </w:rPr>
              <w:t> </w:t>
            </w:r>
            <w:r>
              <w:rPr>
                <w:rFonts w:ascii="宋体" w:hAnsi="宋体" w:cs="宋体" w:eastAsia="宋体" w:hint="default"/>
                <w:b/>
                <w:bCs/>
                <w:sz w:val="15"/>
                <w:szCs w:val="15"/>
              </w:rPr>
              <w:t>计</w:t>
            </w:r>
            <w:r>
              <w:rPr>
                <w:rFonts w:ascii="宋体" w:hAnsi="宋体" w:cs="宋体" w:eastAsia="宋体" w:hint="default"/>
                <w:sz w:val="15"/>
                <w:szCs w:val="15"/>
              </w:rPr>
            </w:r>
          </w:p>
        </w:tc>
      </w:tr>
      <w:tr>
        <w:trPr>
          <w:trHeight w:val="418" w:hRule="exact"/>
        </w:trPr>
        <w:tc>
          <w:tcPr>
            <w:tcW w:w="3684" w:type="dxa"/>
            <w:tcBorders>
              <w:top w:val="single" w:sz="6" w:space="0" w:color="000000"/>
              <w:left w:val="nil" w:sz="6" w:space="0" w:color="auto"/>
              <w:bottom w:val="single" w:sz="6" w:space="0" w:color="000000"/>
              <w:right w:val="nil" w:sz="6" w:space="0" w:color="auto"/>
            </w:tcBorders>
          </w:tcPr>
          <w:p>
            <w:pPr>
              <w:pStyle w:val="TableParagraph"/>
              <w:spacing w:line="240" w:lineRule="auto" w:before="75"/>
              <w:ind w:left="9"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140" w:type="dxa"/>
            <w:tcBorders>
              <w:top w:val="single" w:sz="6" w:space="0" w:color="000000"/>
              <w:left w:val="nil" w:sz="6" w:space="0" w:color="auto"/>
              <w:bottom w:val="single" w:sz="6" w:space="0" w:color="000000"/>
              <w:right w:val="nil" w:sz="6" w:space="0" w:color="auto"/>
            </w:tcBorders>
          </w:tcPr>
          <w:p>
            <w:pPr/>
          </w:p>
        </w:tc>
        <w:tc>
          <w:tcPr>
            <w:tcW w:w="1910" w:type="dxa"/>
            <w:tcBorders>
              <w:top w:val="single" w:sz="6" w:space="0" w:color="000000"/>
              <w:left w:val="nil" w:sz="6" w:space="0" w:color="auto"/>
              <w:bottom w:val="single" w:sz="6" w:space="0" w:color="000000"/>
              <w:right w:val="nil" w:sz="6" w:space="0" w:color="auto"/>
            </w:tcBorders>
          </w:tcPr>
          <w:p>
            <w:pPr>
              <w:pStyle w:val="TableParagraph"/>
              <w:spacing w:line="240" w:lineRule="auto" w:before="109"/>
              <w:ind w:right="180"/>
              <w:jc w:val="right"/>
              <w:rPr>
                <w:rFonts w:ascii="Times New Roman" w:hAnsi="Times New Roman" w:cs="Times New Roman" w:eastAsia="Times New Roman" w:hint="default"/>
                <w:sz w:val="15"/>
                <w:szCs w:val="15"/>
              </w:rPr>
            </w:pPr>
            <w:r>
              <w:rPr>
                <w:rFonts w:ascii="Times New Roman"/>
                <w:spacing w:val="-1"/>
                <w:sz w:val="15"/>
              </w:rPr>
              <w:t>204,791,776.75</w:t>
            </w:r>
          </w:p>
        </w:tc>
        <w:tc>
          <w:tcPr>
            <w:tcW w:w="1269" w:type="dxa"/>
            <w:tcBorders>
              <w:top w:val="single" w:sz="6" w:space="0" w:color="000000"/>
              <w:left w:val="nil" w:sz="6" w:space="0" w:color="auto"/>
              <w:bottom w:val="single" w:sz="6" w:space="0" w:color="000000"/>
              <w:right w:val="nil" w:sz="6" w:space="0" w:color="auto"/>
            </w:tcBorders>
          </w:tcPr>
          <w:p>
            <w:pPr/>
          </w:p>
        </w:tc>
        <w:tc>
          <w:tcPr>
            <w:tcW w:w="16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9"/>
              <w:ind w:right="16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204,791,776.75</w:t>
            </w:r>
            <w:r>
              <w:rPr>
                <w:rFonts w:ascii="Times New Roman"/>
                <w:spacing w:val="-1"/>
                <w:sz w:val="15"/>
              </w:rPr>
            </w:r>
          </w:p>
        </w:tc>
      </w:tr>
      <w:tr>
        <w:trPr>
          <w:trHeight w:val="416" w:hRule="exact"/>
        </w:trPr>
        <w:tc>
          <w:tcPr>
            <w:tcW w:w="3684" w:type="dxa"/>
            <w:tcBorders>
              <w:top w:val="single" w:sz="6" w:space="0" w:color="000000"/>
              <w:left w:val="nil" w:sz="6" w:space="0" w:color="auto"/>
              <w:bottom w:val="single" w:sz="6" w:space="0" w:color="000000"/>
              <w:right w:val="nil" w:sz="6" w:space="0" w:color="auto"/>
            </w:tcBorders>
          </w:tcPr>
          <w:p>
            <w:pPr>
              <w:pStyle w:val="TableParagraph"/>
              <w:spacing w:line="240" w:lineRule="auto" w:before="74"/>
              <w:ind w:left="9" w:right="0"/>
              <w:jc w:val="left"/>
              <w:rPr>
                <w:rFonts w:ascii="宋体" w:hAnsi="宋体" w:cs="宋体" w:eastAsia="宋体" w:hint="default"/>
                <w:sz w:val="15"/>
                <w:szCs w:val="15"/>
              </w:rPr>
            </w:pPr>
            <w:r>
              <w:rPr>
                <w:rFonts w:ascii="宋体" w:hAnsi="宋体" w:cs="宋体" w:eastAsia="宋体" w:hint="default"/>
                <w:sz w:val="15"/>
                <w:szCs w:val="15"/>
              </w:rPr>
              <w:t>应收票据及应收账款</w:t>
            </w:r>
          </w:p>
        </w:tc>
        <w:tc>
          <w:tcPr>
            <w:tcW w:w="1140" w:type="dxa"/>
            <w:tcBorders>
              <w:top w:val="single" w:sz="6" w:space="0" w:color="000000"/>
              <w:left w:val="nil" w:sz="6" w:space="0" w:color="auto"/>
              <w:bottom w:val="single" w:sz="6" w:space="0" w:color="000000"/>
              <w:right w:val="nil" w:sz="6" w:space="0" w:color="auto"/>
            </w:tcBorders>
          </w:tcPr>
          <w:p>
            <w:pPr/>
          </w:p>
        </w:tc>
        <w:tc>
          <w:tcPr>
            <w:tcW w:w="1910" w:type="dxa"/>
            <w:tcBorders>
              <w:top w:val="single" w:sz="6" w:space="0" w:color="000000"/>
              <w:left w:val="nil" w:sz="6" w:space="0" w:color="auto"/>
              <w:bottom w:val="single" w:sz="6" w:space="0" w:color="000000"/>
              <w:right w:val="nil" w:sz="6" w:space="0" w:color="auto"/>
            </w:tcBorders>
          </w:tcPr>
          <w:p>
            <w:pPr>
              <w:pStyle w:val="TableParagraph"/>
              <w:spacing w:line="240" w:lineRule="auto" w:before="108"/>
              <w:ind w:right="180"/>
              <w:jc w:val="right"/>
              <w:rPr>
                <w:rFonts w:ascii="Times New Roman" w:hAnsi="Times New Roman" w:cs="Times New Roman" w:eastAsia="Times New Roman" w:hint="default"/>
                <w:sz w:val="15"/>
                <w:szCs w:val="15"/>
              </w:rPr>
            </w:pPr>
            <w:r>
              <w:rPr>
                <w:rFonts w:ascii="Times New Roman"/>
                <w:spacing w:val="-1"/>
                <w:sz w:val="15"/>
              </w:rPr>
              <w:t>155,691,264.58</w:t>
            </w:r>
          </w:p>
        </w:tc>
        <w:tc>
          <w:tcPr>
            <w:tcW w:w="1269" w:type="dxa"/>
            <w:tcBorders>
              <w:top w:val="single" w:sz="6" w:space="0" w:color="000000"/>
              <w:left w:val="nil" w:sz="6" w:space="0" w:color="auto"/>
              <w:bottom w:val="single" w:sz="6" w:space="0" w:color="000000"/>
              <w:right w:val="nil" w:sz="6" w:space="0" w:color="auto"/>
            </w:tcBorders>
          </w:tcPr>
          <w:p>
            <w:pPr/>
          </w:p>
        </w:tc>
        <w:tc>
          <w:tcPr>
            <w:tcW w:w="16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8"/>
              <w:ind w:right="16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155,691,264.58</w:t>
            </w:r>
            <w:r>
              <w:rPr>
                <w:rFonts w:ascii="Times New Roman"/>
                <w:spacing w:val="-1"/>
                <w:sz w:val="15"/>
              </w:rPr>
            </w:r>
          </w:p>
        </w:tc>
      </w:tr>
      <w:tr>
        <w:trPr>
          <w:trHeight w:val="418" w:hRule="exact"/>
        </w:trPr>
        <w:tc>
          <w:tcPr>
            <w:tcW w:w="3684" w:type="dxa"/>
            <w:tcBorders>
              <w:top w:val="single" w:sz="6" w:space="0" w:color="000000"/>
              <w:left w:val="nil" w:sz="6" w:space="0" w:color="auto"/>
              <w:bottom w:val="single" w:sz="6" w:space="0" w:color="000000"/>
              <w:right w:val="nil" w:sz="6" w:space="0" w:color="auto"/>
            </w:tcBorders>
          </w:tcPr>
          <w:p>
            <w:pPr>
              <w:pStyle w:val="TableParagraph"/>
              <w:spacing w:line="240" w:lineRule="auto" w:before="75"/>
              <w:ind w:left="9"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140" w:type="dxa"/>
            <w:tcBorders>
              <w:top w:val="single" w:sz="6" w:space="0" w:color="000000"/>
              <w:left w:val="nil" w:sz="6" w:space="0" w:color="auto"/>
              <w:bottom w:val="single" w:sz="6" w:space="0" w:color="000000"/>
              <w:right w:val="nil" w:sz="6" w:space="0" w:color="auto"/>
            </w:tcBorders>
          </w:tcPr>
          <w:p>
            <w:pPr/>
          </w:p>
        </w:tc>
        <w:tc>
          <w:tcPr>
            <w:tcW w:w="1910" w:type="dxa"/>
            <w:tcBorders>
              <w:top w:val="single" w:sz="6" w:space="0" w:color="000000"/>
              <w:left w:val="nil" w:sz="6" w:space="0" w:color="auto"/>
              <w:bottom w:val="single" w:sz="6" w:space="0" w:color="000000"/>
              <w:right w:val="nil" w:sz="6" w:space="0" w:color="auto"/>
            </w:tcBorders>
          </w:tcPr>
          <w:p>
            <w:pPr>
              <w:pStyle w:val="TableParagraph"/>
              <w:spacing w:line="240" w:lineRule="auto" w:before="109"/>
              <w:ind w:right="182"/>
              <w:jc w:val="right"/>
              <w:rPr>
                <w:rFonts w:ascii="Times New Roman" w:hAnsi="Times New Roman" w:cs="Times New Roman" w:eastAsia="Times New Roman" w:hint="default"/>
                <w:sz w:val="15"/>
                <w:szCs w:val="15"/>
              </w:rPr>
            </w:pPr>
            <w:r>
              <w:rPr>
                <w:rFonts w:ascii="Times New Roman"/>
                <w:spacing w:val="-1"/>
                <w:sz w:val="15"/>
              </w:rPr>
              <w:t>13,627,098.04</w:t>
            </w:r>
          </w:p>
        </w:tc>
        <w:tc>
          <w:tcPr>
            <w:tcW w:w="1269" w:type="dxa"/>
            <w:tcBorders>
              <w:top w:val="single" w:sz="6" w:space="0" w:color="000000"/>
              <w:left w:val="nil" w:sz="6" w:space="0" w:color="auto"/>
              <w:bottom w:val="single" w:sz="6" w:space="0" w:color="000000"/>
              <w:right w:val="nil" w:sz="6" w:space="0" w:color="auto"/>
            </w:tcBorders>
          </w:tcPr>
          <w:p>
            <w:pPr/>
          </w:p>
        </w:tc>
        <w:tc>
          <w:tcPr>
            <w:tcW w:w="16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9"/>
              <w:ind w:right="16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13,627,098.04</w:t>
            </w:r>
            <w:r>
              <w:rPr>
                <w:rFonts w:ascii="Times New Roman"/>
                <w:spacing w:val="-1"/>
                <w:sz w:val="15"/>
              </w:rPr>
            </w:r>
          </w:p>
        </w:tc>
      </w:tr>
      <w:tr>
        <w:trPr>
          <w:trHeight w:val="416" w:hRule="exact"/>
        </w:trPr>
        <w:tc>
          <w:tcPr>
            <w:tcW w:w="3684" w:type="dxa"/>
            <w:tcBorders>
              <w:top w:val="single" w:sz="6" w:space="0" w:color="000000"/>
              <w:left w:val="nil" w:sz="6" w:space="0" w:color="auto"/>
              <w:bottom w:val="single" w:sz="6" w:space="0" w:color="000000"/>
              <w:right w:val="nil" w:sz="6" w:space="0" w:color="auto"/>
            </w:tcBorders>
          </w:tcPr>
          <w:p>
            <w:pPr>
              <w:pStyle w:val="TableParagraph"/>
              <w:spacing w:line="240" w:lineRule="auto" w:before="74"/>
              <w:ind w:left="9" w:right="0"/>
              <w:jc w:val="left"/>
              <w:rPr>
                <w:rFonts w:ascii="宋体" w:hAnsi="宋体" w:cs="宋体" w:eastAsia="宋体" w:hint="default"/>
                <w:sz w:val="15"/>
                <w:szCs w:val="15"/>
              </w:rPr>
            </w:pPr>
            <w:r>
              <w:rPr>
                <w:rFonts w:ascii="宋体" w:hAnsi="宋体" w:cs="宋体" w:eastAsia="宋体" w:hint="default"/>
                <w:sz w:val="15"/>
                <w:szCs w:val="15"/>
              </w:rPr>
              <w:t>长期应收款</w:t>
            </w:r>
          </w:p>
        </w:tc>
        <w:tc>
          <w:tcPr>
            <w:tcW w:w="1140" w:type="dxa"/>
            <w:tcBorders>
              <w:top w:val="single" w:sz="6" w:space="0" w:color="000000"/>
              <w:left w:val="nil" w:sz="6" w:space="0" w:color="auto"/>
              <w:bottom w:val="single" w:sz="6" w:space="0" w:color="000000"/>
              <w:right w:val="nil" w:sz="6" w:space="0" w:color="auto"/>
            </w:tcBorders>
          </w:tcPr>
          <w:p>
            <w:pPr/>
          </w:p>
        </w:tc>
        <w:tc>
          <w:tcPr>
            <w:tcW w:w="1910" w:type="dxa"/>
            <w:tcBorders>
              <w:top w:val="single" w:sz="6" w:space="0" w:color="000000"/>
              <w:left w:val="nil" w:sz="6" w:space="0" w:color="auto"/>
              <w:bottom w:val="single" w:sz="6" w:space="0" w:color="000000"/>
              <w:right w:val="nil" w:sz="6" w:space="0" w:color="auto"/>
            </w:tcBorders>
          </w:tcPr>
          <w:p>
            <w:pPr>
              <w:pStyle w:val="TableParagraph"/>
              <w:spacing w:line="240" w:lineRule="auto" w:before="108"/>
              <w:ind w:right="182"/>
              <w:jc w:val="right"/>
              <w:rPr>
                <w:rFonts w:ascii="Times New Roman" w:hAnsi="Times New Roman" w:cs="Times New Roman" w:eastAsia="Times New Roman" w:hint="default"/>
                <w:sz w:val="15"/>
                <w:szCs w:val="15"/>
              </w:rPr>
            </w:pPr>
            <w:r>
              <w:rPr>
                <w:rFonts w:ascii="Times New Roman"/>
                <w:spacing w:val="-1"/>
                <w:sz w:val="15"/>
              </w:rPr>
              <w:t>55,704,790.86</w:t>
            </w:r>
          </w:p>
        </w:tc>
        <w:tc>
          <w:tcPr>
            <w:tcW w:w="1269" w:type="dxa"/>
            <w:tcBorders>
              <w:top w:val="single" w:sz="6" w:space="0" w:color="000000"/>
              <w:left w:val="nil" w:sz="6" w:space="0" w:color="auto"/>
              <w:bottom w:val="single" w:sz="6" w:space="0" w:color="000000"/>
              <w:right w:val="nil" w:sz="6" w:space="0" w:color="auto"/>
            </w:tcBorders>
          </w:tcPr>
          <w:p>
            <w:pPr/>
          </w:p>
        </w:tc>
        <w:tc>
          <w:tcPr>
            <w:tcW w:w="16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8"/>
              <w:ind w:right="16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55,704,790.86</w:t>
            </w:r>
            <w:r>
              <w:rPr>
                <w:rFonts w:ascii="Times New Roman"/>
                <w:spacing w:val="-1"/>
                <w:sz w:val="15"/>
              </w:rPr>
            </w:r>
          </w:p>
        </w:tc>
      </w:tr>
      <w:tr>
        <w:trPr>
          <w:trHeight w:val="418" w:hRule="exact"/>
        </w:trPr>
        <w:tc>
          <w:tcPr>
            <w:tcW w:w="3684" w:type="dxa"/>
            <w:tcBorders>
              <w:top w:val="single" w:sz="6" w:space="0" w:color="000000"/>
              <w:left w:val="nil" w:sz="6" w:space="0" w:color="auto"/>
              <w:bottom w:val="single" w:sz="6" w:space="0" w:color="000000"/>
              <w:right w:val="nil" w:sz="6" w:space="0" w:color="auto"/>
            </w:tcBorders>
          </w:tcPr>
          <w:p>
            <w:pPr>
              <w:pStyle w:val="TableParagraph"/>
              <w:spacing w:line="240" w:lineRule="auto" w:before="75"/>
              <w:ind w:left="716"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45"/>
                <w:sz w:val="15"/>
                <w:szCs w:val="15"/>
              </w:rPr>
              <w:t> </w:t>
            </w:r>
            <w:r>
              <w:rPr>
                <w:rFonts w:ascii="宋体" w:hAnsi="宋体" w:cs="宋体" w:eastAsia="宋体" w:hint="default"/>
                <w:sz w:val="15"/>
                <w:szCs w:val="15"/>
              </w:rPr>
              <w:t>计</w:t>
            </w:r>
          </w:p>
        </w:tc>
        <w:tc>
          <w:tcPr>
            <w:tcW w:w="1140" w:type="dxa"/>
            <w:tcBorders>
              <w:top w:val="single" w:sz="6" w:space="0" w:color="000000"/>
              <w:left w:val="nil" w:sz="6" w:space="0" w:color="auto"/>
              <w:bottom w:val="single" w:sz="6" w:space="0" w:color="000000"/>
              <w:right w:val="nil" w:sz="6" w:space="0" w:color="auto"/>
            </w:tcBorders>
          </w:tcPr>
          <w:p>
            <w:pPr/>
          </w:p>
        </w:tc>
        <w:tc>
          <w:tcPr>
            <w:tcW w:w="1910" w:type="dxa"/>
            <w:tcBorders>
              <w:top w:val="single" w:sz="6" w:space="0" w:color="000000"/>
              <w:left w:val="nil" w:sz="6" w:space="0" w:color="auto"/>
              <w:bottom w:val="single" w:sz="6" w:space="0" w:color="000000"/>
              <w:right w:val="nil" w:sz="6" w:space="0" w:color="auto"/>
            </w:tcBorders>
          </w:tcPr>
          <w:p>
            <w:pPr>
              <w:pStyle w:val="TableParagraph"/>
              <w:spacing w:line="240" w:lineRule="auto" w:before="109"/>
              <w:ind w:right="180"/>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429,814,930.23</w:t>
            </w:r>
            <w:r>
              <w:rPr>
                <w:rFonts w:ascii="Times New Roman"/>
                <w:spacing w:val="-1"/>
                <w:sz w:val="15"/>
              </w:rPr>
            </w:r>
          </w:p>
        </w:tc>
        <w:tc>
          <w:tcPr>
            <w:tcW w:w="1269" w:type="dxa"/>
            <w:tcBorders>
              <w:top w:val="single" w:sz="6" w:space="0" w:color="000000"/>
              <w:left w:val="nil" w:sz="6" w:space="0" w:color="auto"/>
              <w:bottom w:val="single" w:sz="6" w:space="0" w:color="000000"/>
              <w:right w:val="nil" w:sz="6" w:space="0" w:color="auto"/>
            </w:tcBorders>
          </w:tcPr>
          <w:p>
            <w:pPr/>
          </w:p>
        </w:tc>
        <w:tc>
          <w:tcPr>
            <w:tcW w:w="1688" w:type="dxa"/>
            <w:tcBorders>
              <w:top w:val="single" w:sz="6" w:space="0" w:color="000000"/>
              <w:left w:val="nil" w:sz="6" w:space="0" w:color="auto"/>
              <w:bottom w:val="single" w:sz="6" w:space="0" w:color="000000"/>
              <w:right w:val="nil" w:sz="6" w:space="0" w:color="auto"/>
            </w:tcBorders>
          </w:tcPr>
          <w:p>
            <w:pPr>
              <w:pStyle w:val="TableParagraph"/>
              <w:spacing w:line="240" w:lineRule="auto" w:before="109"/>
              <w:ind w:right="16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429,814,930.23</w:t>
            </w:r>
            <w:r>
              <w:rPr>
                <w:rFonts w:ascii="Times New Roman"/>
                <w:spacing w:val="-1"/>
                <w:sz w:val="15"/>
              </w:rPr>
            </w:r>
          </w:p>
        </w:tc>
      </w:tr>
    </w:tbl>
    <w:p>
      <w:pPr>
        <w:spacing w:line="240" w:lineRule="auto" w:before="1"/>
        <w:rPr>
          <w:rFonts w:ascii="宋体" w:hAnsi="宋体" w:cs="宋体" w:eastAsia="宋体" w:hint="default"/>
          <w:sz w:val="5"/>
          <w:szCs w:val="5"/>
        </w:rPr>
      </w:pPr>
    </w:p>
    <w:p>
      <w:pPr>
        <w:pStyle w:val="BodyText"/>
        <w:spacing w:line="240" w:lineRule="auto" w:before="44"/>
        <w:ind w:left="514" w:right="0"/>
        <w:jc w:val="left"/>
      </w:pPr>
      <w:r>
        <w:rPr/>
        <w:t>接上表：</w:t>
      </w:r>
    </w:p>
    <w:p>
      <w:pPr>
        <w:spacing w:line="240" w:lineRule="auto" w:before="3"/>
        <w:rPr>
          <w:rFonts w:ascii="宋体" w:hAnsi="宋体" w:cs="宋体" w:eastAsia="宋体" w:hint="default"/>
          <w:sz w:val="24"/>
          <w:szCs w:val="24"/>
        </w:rPr>
      </w:pPr>
    </w:p>
    <w:tbl>
      <w:tblPr>
        <w:tblW w:w="0" w:type="auto"/>
        <w:jc w:val="left"/>
        <w:tblInd w:w="153" w:type="dxa"/>
        <w:tblLayout w:type="fixed"/>
        <w:tblCellMar>
          <w:top w:w="0" w:type="dxa"/>
          <w:left w:w="0" w:type="dxa"/>
          <w:bottom w:w="0" w:type="dxa"/>
          <w:right w:w="0" w:type="dxa"/>
        </w:tblCellMar>
        <w:tblLook w:val="01E0"/>
      </w:tblPr>
      <w:tblGrid>
        <w:gridCol w:w="4599"/>
        <w:gridCol w:w="1181"/>
        <w:gridCol w:w="1410"/>
        <w:gridCol w:w="1169"/>
        <w:gridCol w:w="1281"/>
      </w:tblGrid>
      <w:tr>
        <w:trPr>
          <w:trHeight w:val="289" w:hRule="exact"/>
        </w:trPr>
        <w:tc>
          <w:tcPr>
            <w:tcW w:w="4599" w:type="dxa"/>
            <w:tcBorders>
              <w:top w:val="nil" w:sz="6" w:space="0" w:color="auto"/>
              <w:left w:val="nil" w:sz="6" w:space="0" w:color="auto"/>
              <w:bottom w:val="single" w:sz="6" w:space="0" w:color="000000"/>
              <w:right w:val="nil" w:sz="6" w:space="0" w:color="auto"/>
            </w:tcBorders>
          </w:tcPr>
          <w:p>
            <w:pPr>
              <w:pStyle w:val="TableParagraph"/>
              <w:spacing w:line="150" w:lineRule="exact"/>
              <w:ind w:left="620" w:right="0"/>
              <w:jc w:val="left"/>
              <w:rPr>
                <w:rFonts w:ascii="宋体" w:hAnsi="宋体" w:cs="宋体" w:eastAsia="宋体" w:hint="default"/>
                <w:sz w:val="15"/>
                <w:szCs w:val="15"/>
              </w:rPr>
            </w:pPr>
            <w:r>
              <w:rPr>
                <w:rFonts w:ascii="宋体" w:hAnsi="宋体" w:cs="宋体" w:eastAsia="宋体" w:hint="default"/>
                <w:b/>
                <w:bCs/>
                <w:sz w:val="15"/>
                <w:szCs w:val="15"/>
              </w:rPr>
              <w:t>金融资产项目</w:t>
            </w:r>
            <w:r>
              <w:rPr>
                <w:rFonts w:ascii="宋体" w:hAnsi="宋体" w:cs="宋体" w:eastAsia="宋体" w:hint="default"/>
                <w:sz w:val="15"/>
                <w:szCs w:val="15"/>
              </w:rPr>
            </w:r>
          </w:p>
        </w:tc>
        <w:tc>
          <w:tcPr>
            <w:tcW w:w="1181" w:type="dxa"/>
            <w:tcBorders>
              <w:top w:val="nil" w:sz="6" w:space="0" w:color="auto"/>
              <w:left w:val="nil" w:sz="6" w:space="0" w:color="auto"/>
              <w:bottom w:val="single" w:sz="6" w:space="0" w:color="000000"/>
              <w:right w:val="nil" w:sz="6" w:space="0" w:color="auto"/>
            </w:tcBorders>
          </w:tcPr>
          <w:p>
            <w:pPr/>
          </w:p>
        </w:tc>
        <w:tc>
          <w:tcPr>
            <w:tcW w:w="1410" w:type="dxa"/>
            <w:tcBorders>
              <w:top w:val="nil" w:sz="6" w:space="0" w:color="auto"/>
              <w:left w:val="nil" w:sz="6" w:space="0" w:color="auto"/>
              <w:bottom w:val="single" w:sz="6" w:space="0" w:color="000000"/>
              <w:right w:val="nil" w:sz="6" w:space="0" w:color="auto"/>
            </w:tcBorders>
          </w:tcPr>
          <w:p>
            <w:pPr>
              <w:pStyle w:val="TableParagraph"/>
              <w:spacing w:line="150" w:lineRule="exact"/>
              <w:ind w:left="-38" w:right="0"/>
              <w:jc w:val="left"/>
              <w:rPr>
                <w:rFonts w:ascii="宋体" w:hAnsi="宋体" w:cs="宋体" w:eastAsia="宋体" w:hint="default"/>
                <w:sz w:val="15"/>
                <w:szCs w:val="15"/>
              </w:rPr>
            </w:pPr>
            <w:r>
              <w:rPr>
                <w:rFonts w:ascii="宋体" w:hAnsi="宋体" w:cs="宋体" w:eastAsia="宋体" w:hint="default"/>
                <w:b/>
                <w:bCs/>
                <w:sz w:val="15"/>
                <w:szCs w:val="15"/>
              </w:rPr>
              <w:t>期初</w:t>
            </w:r>
            <w:r>
              <w:rPr>
                <w:rFonts w:ascii="宋体" w:hAnsi="宋体" w:cs="宋体" w:eastAsia="宋体" w:hint="default"/>
                <w:sz w:val="15"/>
                <w:szCs w:val="15"/>
              </w:rPr>
            </w:r>
          </w:p>
        </w:tc>
        <w:tc>
          <w:tcPr>
            <w:tcW w:w="1169" w:type="dxa"/>
            <w:tcBorders>
              <w:top w:val="nil" w:sz="6" w:space="0" w:color="auto"/>
              <w:left w:val="nil" w:sz="6" w:space="0" w:color="auto"/>
              <w:bottom w:val="single" w:sz="6" w:space="0" w:color="000000"/>
              <w:right w:val="nil" w:sz="6" w:space="0" w:color="auto"/>
            </w:tcBorders>
          </w:tcPr>
          <w:p>
            <w:pPr/>
          </w:p>
        </w:tc>
        <w:tc>
          <w:tcPr>
            <w:tcW w:w="1281" w:type="dxa"/>
            <w:tcBorders>
              <w:top w:val="nil" w:sz="6" w:space="0" w:color="auto"/>
              <w:left w:val="nil" w:sz="6" w:space="0" w:color="auto"/>
              <w:bottom w:val="single" w:sz="6" w:space="0" w:color="000000"/>
              <w:right w:val="nil" w:sz="6" w:space="0" w:color="auto"/>
            </w:tcBorders>
          </w:tcPr>
          <w:p>
            <w:pPr/>
          </w:p>
        </w:tc>
      </w:tr>
      <w:tr>
        <w:trPr>
          <w:trHeight w:val="769" w:hRule="exact"/>
        </w:trPr>
        <w:tc>
          <w:tcPr>
            <w:tcW w:w="4599" w:type="dxa"/>
            <w:tcBorders>
              <w:top w:val="single" w:sz="6" w:space="0" w:color="000000"/>
              <w:left w:val="nil" w:sz="6" w:space="0" w:color="auto"/>
              <w:bottom w:val="single" w:sz="6" w:space="0" w:color="000000"/>
              <w:right w:val="nil" w:sz="6" w:space="0" w:color="auto"/>
            </w:tcBorders>
          </w:tcPr>
          <w:p>
            <w:pPr>
              <w:pStyle w:val="TableParagraph"/>
              <w:spacing w:line="432" w:lineRule="auto" w:before="74"/>
              <w:ind w:left="2614" w:right="327"/>
              <w:jc w:val="left"/>
              <w:rPr>
                <w:rFonts w:ascii="宋体" w:hAnsi="宋体" w:cs="宋体" w:eastAsia="宋体" w:hint="default"/>
                <w:sz w:val="15"/>
                <w:szCs w:val="15"/>
              </w:rPr>
            </w:pPr>
            <w:r>
              <w:rPr>
                <w:rFonts w:ascii="宋体" w:hAnsi="宋体" w:cs="宋体" w:eastAsia="宋体" w:hint="default"/>
                <w:b/>
                <w:bCs/>
                <w:sz w:val="15"/>
                <w:szCs w:val="15"/>
              </w:rPr>
              <w:t>以公允价值计量且其变动</w:t>
            </w:r>
            <w:r>
              <w:rPr>
                <w:rFonts w:ascii="宋体" w:hAnsi="宋体" w:cs="宋体" w:eastAsia="宋体" w:hint="default"/>
                <w:b/>
                <w:bCs/>
                <w:w w:val="99"/>
                <w:sz w:val="15"/>
                <w:szCs w:val="15"/>
              </w:rPr>
              <w:t> </w:t>
            </w:r>
            <w:r>
              <w:rPr>
                <w:rFonts w:ascii="宋体" w:hAnsi="宋体" w:cs="宋体" w:eastAsia="宋体" w:hint="default"/>
                <w:b/>
                <w:bCs/>
                <w:sz w:val="15"/>
                <w:szCs w:val="15"/>
              </w:rPr>
              <w:t>计入当期损益的金融资产</w:t>
            </w:r>
            <w:r>
              <w:rPr>
                <w:rFonts w:ascii="宋体" w:hAnsi="宋体" w:cs="宋体" w:eastAsia="宋体" w:hint="default"/>
                <w:sz w:val="15"/>
                <w:szCs w:val="15"/>
              </w:rPr>
            </w:r>
          </w:p>
        </w:tc>
        <w:tc>
          <w:tcPr>
            <w:tcW w:w="1181" w:type="dxa"/>
            <w:tcBorders>
              <w:top w:val="single" w:sz="6" w:space="0" w:color="000000"/>
              <w:left w:val="nil" w:sz="6" w:space="0" w:color="auto"/>
              <w:bottom w:val="single" w:sz="6" w:space="0" w:color="000000"/>
              <w:right w:val="nil" w:sz="6" w:space="0" w:color="auto"/>
            </w:tcBorders>
          </w:tcPr>
          <w:p>
            <w:pPr>
              <w:pStyle w:val="TableParagraph"/>
              <w:spacing w:line="432" w:lineRule="auto" w:before="74"/>
              <w:ind w:left="329" w:right="246" w:firstLine="75"/>
              <w:jc w:val="left"/>
              <w:rPr>
                <w:rFonts w:ascii="宋体" w:hAnsi="宋体" w:cs="宋体" w:eastAsia="宋体" w:hint="default"/>
                <w:sz w:val="15"/>
                <w:szCs w:val="15"/>
              </w:rPr>
            </w:pPr>
            <w:r>
              <w:rPr>
                <w:rFonts w:ascii="宋体" w:hAnsi="宋体" w:cs="宋体" w:eastAsia="宋体" w:hint="default"/>
                <w:b/>
                <w:bCs/>
                <w:sz w:val="15"/>
                <w:szCs w:val="15"/>
              </w:rPr>
              <w:t>持有至</w:t>
            </w:r>
            <w:r>
              <w:rPr>
                <w:rFonts w:ascii="宋体" w:hAnsi="宋体" w:cs="宋体" w:eastAsia="宋体" w:hint="default"/>
                <w:b/>
                <w:bCs/>
                <w:w w:val="99"/>
                <w:sz w:val="15"/>
                <w:szCs w:val="15"/>
              </w:rPr>
              <w:t> </w:t>
            </w:r>
            <w:r>
              <w:rPr>
                <w:rFonts w:ascii="宋体" w:hAnsi="宋体" w:cs="宋体" w:eastAsia="宋体" w:hint="default"/>
                <w:b/>
                <w:bCs/>
                <w:sz w:val="15"/>
                <w:szCs w:val="15"/>
              </w:rPr>
              <w:t>到期投资</w:t>
            </w:r>
            <w:r>
              <w:rPr>
                <w:rFonts w:ascii="宋体" w:hAnsi="宋体" w:cs="宋体" w:eastAsia="宋体" w:hint="default"/>
                <w:sz w:val="15"/>
                <w:szCs w:val="15"/>
              </w:rPr>
            </w:r>
          </w:p>
        </w:tc>
        <w:tc>
          <w:tcPr>
            <w:tcW w:w="1410" w:type="dxa"/>
            <w:tcBorders>
              <w:top w:val="single" w:sz="6" w:space="0" w:color="000000"/>
              <w:left w:val="nil" w:sz="6" w:space="0" w:color="auto"/>
              <w:bottom w:val="single" w:sz="6" w:space="0" w:color="000000"/>
              <w:right w:val="nil" w:sz="6" w:space="0" w:color="auto"/>
            </w:tcBorders>
          </w:tcPr>
          <w:p>
            <w:pPr>
              <w:pStyle w:val="TableParagraph"/>
              <w:spacing w:line="432" w:lineRule="auto" w:before="74"/>
              <w:ind w:left="248" w:right="407" w:firstLine="225"/>
              <w:jc w:val="left"/>
              <w:rPr>
                <w:rFonts w:ascii="宋体" w:hAnsi="宋体" w:cs="宋体" w:eastAsia="宋体" w:hint="default"/>
                <w:sz w:val="15"/>
                <w:szCs w:val="15"/>
              </w:rPr>
            </w:pPr>
            <w:r>
              <w:rPr>
                <w:rFonts w:ascii="宋体" w:hAnsi="宋体" w:cs="宋体" w:eastAsia="宋体" w:hint="default"/>
                <w:b/>
                <w:bCs/>
                <w:sz w:val="15"/>
                <w:szCs w:val="15"/>
              </w:rPr>
              <w:t>贷款</w:t>
            </w:r>
            <w:r>
              <w:rPr>
                <w:rFonts w:ascii="宋体" w:hAnsi="宋体" w:cs="宋体" w:eastAsia="宋体" w:hint="default"/>
                <w:b/>
                <w:bCs/>
                <w:spacing w:val="1"/>
                <w:w w:val="99"/>
                <w:sz w:val="15"/>
                <w:szCs w:val="15"/>
              </w:rPr>
              <w:t> </w:t>
            </w:r>
            <w:r>
              <w:rPr>
                <w:rFonts w:ascii="宋体" w:hAnsi="宋体" w:cs="宋体" w:eastAsia="宋体" w:hint="default"/>
                <w:b/>
                <w:bCs/>
                <w:sz w:val="15"/>
                <w:szCs w:val="15"/>
              </w:rPr>
              <w:t>和应收款项</w:t>
            </w:r>
            <w:r>
              <w:rPr>
                <w:rFonts w:ascii="宋体" w:hAnsi="宋体" w:cs="宋体" w:eastAsia="宋体" w:hint="default"/>
                <w:sz w:val="15"/>
                <w:szCs w:val="15"/>
              </w:rPr>
            </w:r>
          </w:p>
        </w:tc>
        <w:tc>
          <w:tcPr>
            <w:tcW w:w="1169" w:type="dxa"/>
            <w:tcBorders>
              <w:top w:val="single" w:sz="6" w:space="0" w:color="000000"/>
              <w:left w:val="nil" w:sz="6" w:space="0" w:color="auto"/>
              <w:bottom w:val="single" w:sz="6" w:space="0" w:color="000000"/>
              <w:right w:val="nil" w:sz="6" w:space="0" w:color="auto"/>
            </w:tcBorders>
          </w:tcPr>
          <w:p>
            <w:pPr>
              <w:pStyle w:val="TableParagraph"/>
              <w:spacing w:line="432" w:lineRule="auto" w:before="74"/>
              <w:ind w:left="185" w:right="379"/>
              <w:jc w:val="left"/>
              <w:rPr>
                <w:rFonts w:ascii="宋体" w:hAnsi="宋体" w:cs="宋体" w:eastAsia="宋体" w:hint="default"/>
                <w:sz w:val="15"/>
                <w:szCs w:val="15"/>
              </w:rPr>
            </w:pPr>
            <w:r>
              <w:rPr>
                <w:rFonts w:ascii="宋体" w:hAnsi="宋体" w:cs="宋体" w:eastAsia="宋体" w:hint="default"/>
                <w:b/>
                <w:bCs/>
                <w:sz w:val="15"/>
                <w:szCs w:val="15"/>
              </w:rPr>
              <w:t>可供出售</w:t>
            </w:r>
            <w:r>
              <w:rPr>
                <w:rFonts w:ascii="宋体" w:hAnsi="宋体" w:cs="宋体" w:eastAsia="宋体" w:hint="default"/>
                <w:b/>
                <w:bCs/>
                <w:w w:val="99"/>
                <w:sz w:val="15"/>
                <w:szCs w:val="15"/>
              </w:rPr>
              <w:t> </w:t>
            </w:r>
            <w:r>
              <w:rPr>
                <w:rFonts w:ascii="宋体" w:hAnsi="宋体" w:cs="宋体" w:eastAsia="宋体" w:hint="default"/>
                <w:b/>
                <w:bCs/>
                <w:sz w:val="15"/>
                <w:szCs w:val="15"/>
              </w:rPr>
              <w:t>金融资产</w:t>
            </w:r>
            <w:r>
              <w:rPr>
                <w:rFonts w:ascii="宋体" w:hAnsi="宋体" w:cs="宋体" w:eastAsia="宋体" w:hint="default"/>
                <w:sz w:val="15"/>
                <w:szCs w:val="15"/>
              </w:rPr>
            </w:r>
          </w:p>
        </w:tc>
        <w:tc>
          <w:tcPr>
            <w:tcW w:w="1281" w:type="dxa"/>
            <w:tcBorders>
              <w:top w:val="single" w:sz="6" w:space="0" w:color="000000"/>
              <w:left w:val="nil" w:sz="6" w:space="0" w:color="auto"/>
              <w:bottom w:val="single" w:sz="6" w:space="0" w:color="000000"/>
              <w:right w:val="nil" w:sz="6" w:space="0" w:color="auto"/>
            </w:tcBorders>
          </w:tcPr>
          <w:p>
            <w:pPr>
              <w:pStyle w:val="TableParagraph"/>
              <w:spacing w:line="240" w:lineRule="auto" w:before="74"/>
              <w:ind w:left="381" w:right="0"/>
              <w:jc w:val="left"/>
              <w:rPr>
                <w:rFonts w:ascii="宋体" w:hAnsi="宋体" w:cs="宋体" w:eastAsia="宋体" w:hint="default"/>
                <w:sz w:val="15"/>
                <w:szCs w:val="15"/>
              </w:rPr>
            </w:pPr>
            <w:r>
              <w:rPr>
                <w:rFonts w:ascii="宋体" w:hAnsi="宋体" w:cs="宋体" w:eastAsia="宋体" w:hint="default"/>
                <w:b/>
                <w:bCs/>
                <w:sz w:val="15"/>
                <w:szCs w:val="15"/>
              </w:rPr>
              <w:t>合</w:t>
            </w:r>
            <w:r>
              <w:rPr>
                <w:rFonts w:ascii="宋体" w:hAnsi="宋体" w:cs="宋体" w:eastAsia="宋体" w:hint="default"/>
                <w:b/>
                <w:bCs/>
                <w:spacing w:val="51"/>
                <w:sz w:val="15"/>
                <w:szCs w:val="15"/>
              </w:rPr>
              <w:t> </w:t>
            </w:r>
            <w:r>
              <w:rPr>
                <w:rFonts w:ascii="宋体" w:hAnsi="宋体" w:cs="宋体" w:eastAsia="宋体" w:hint="default"/>
                <w:b/>
                <w:bCs/>
                <w:sz w:val="15"/>
                <w:szCs w:val="15"/>
              </w:rPr>
              <w:t>计</w:t>
            </w:r>
            <w:r>
              <w:rPr>
                <w:rFonts w:ascii="宋体" w:hAnsi="宋体" w:cs="宋体" w:eastAsia="宋体" w:hint="default"/>
                <w:sz w:val="15"/>
                <w:szCs w:val="15"/>
              </w:rPr>
            </w:r>
          </w:p>
        </w:tc>
      </w:tr>
      <w:tr>
        <w:trPr>
          <w:trHeight w:val="416" w:hRule="exact"/>
        </w:trPr>
        <w:tc>
          <w:tcPr>
            <w:tcW w:w="4599" w:type="dxa"/>
            <w:tcBorders>
              <w:top w:val="single" w:sz="6" w:space="0" w:color="000000"/>
              <w:left w:val="nil" w:sz="6" w:space="0" w:color="auto"/>
              <w:bottom w:val="single" w:sz="6" w:space="0" w:color="000000"/>
              <w:right w:val="nil" w:sz="6" w:space="0" w:color="auto"/>
            </w:tcBorders>
          </w:tcPr>
          <w:p>
            <w:pPr>
              <w:pStyle w:val="TableParagraph"/>
              <w:spacing w:line="240" w:lineRule="auto" w:before="74"/>
              <w:ind w:left="9" w:right="0"/>
              <w:jc w:val="left"/>
              <w:rPr>
                <w:rFonts w:ascii="宋体" w:hAnsi="宋体" w:cs="宋体" w:eastAsia="宋体" w:hint="default"/>
                <w:sz w:val="15"/>
                <w:szCs w:val="15"/>
              </w:rPr>
            </w:pPr>
            <w:r>
              <w:rPr>
                <w:rFonts w:ascii="宋体" w:hAnsi="宋体" w:cs="宋体" w:eastAsia="宋体" w:hint="default"/>
                <w:sz w:val="15"/>
                <w:szCs w:val="15"/>
              </w:rPr>
              <w:t>货币资金</w:t>
            </w:r>
          </w:p>
        </w:tc>
        <w:tc>
          <w:tcPr>
            <w:tcW w:w="1181" w:type="dxa"/>
            <w:tcBorders>
              <w:top w:val="single" w:sz="6" w:space="0" w:color="000000"/>
              <w:left w:val="nil" w:sz="6" w:space="0" w:color="auto"/>
              <w:bottom w:val="single" w:sz="6" w:space="0" w:color="000000"/>
              <w:right w:val="nil" w:sz="6" w:space="0" w:color="auto"/>
            </w:tcBorders>
          </w:tcPr>
          <w:p>
            <w:pPr/>
          </w:p>
        </w:tc>
        <w:tc>
          <w:tcPr>
            <w:tcW w:w="1410" w:type="dxa"/>
            <w:tcBorders>
              <w:top w:val="single" w:sz="6" w:space="0" w:color="000000"/>
              <w:left w:val="nil" w:sz="6" w:space="0" w:color="auto"/>
              <w:bottom w:val="single" w:sz="6" w:space="0" w:color="000000"/>
              <w:right w:val="nil" w:sz="6" w:space="0" w:color="auto"/>
            </w:tcBorders>
          </w:tcPr>
          <w:p>
            <w:pPr>
              <w:pStyle w:val="TableParagraph"/>
              <w:spacing w:line="240" w:lineRule="auto" w:before="108"/>
              <w:ind w:left="199" w:right="0"/>
              <w:jc w:val="left"/>
              <w:rPr>
                <w:rFonts w:ascii="Times New Roman" w:hAnsi="Times New Roman" w:cs="Times New Roman" w:eastAsia="Times New Roman" w:hint="default"/>
                <w:sz w:val="15"/>
                <w:szCs w:val="15"/>
              </w:rPr>
            </w:pPr>
            <w:r>
              <w:rPr>
                <w:rFonts w:ascii="Times New Roman"/>
                <w:sz w:val="15"/>
              </w:rPr>
              <w:t>316,170,312.69</w:t>
            </w:r>
          </w:p>
        </w:tc>
        <w:tc>
          <w:tcPr>
            <w:tcW w:w="1169" w:type="dxa"/>
            <w:tcBorders>
              <w:top w:val="single" w:sz="6" w:space="0" w:color="000000"/>
              <w:left w:val="nil" w:sz="6" w:space="0" w:color="auto"/>
              <w:bottom w:val="single" w:sz="6" w:space="0" w:color="000000"/>
              <w:right w:val="nil" w:sz="6" w:space="0" w:color="auto"/>
            </w:tcBorders>
          </w:tcPr>
          <w:p>
            <w:pPr/>
          </w:p>
        </w:tc>
        <w:tc>
          <w:tcPr>
            <w:tcW w:w="1281" w:type="dxa"/>
            <w:tcBorders>
              <w:top w:val="single" w:sz="6" w:space="0" w:color="000000"/>
              <w:left w:val="nil" w:sz="6" w:space="0" w:color="auto"/>
              <w:bottom w:val="single" w:sz="6" w:space="0" w:color="000000"/>
              <w:right w:val="nil" w:sz="6" w:space="0" w:color="auto"/>
            </w:tcBorders>
          </w:tcPr>
          <w:p>
            <w:pPr>
              <w:pStyle w:val="TableParagraph"/>
              <w:spacing w:line="240" w:lineRule="auto" w:before="108"/>
              <w:ind w:right="16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316,170,312.69</w:t>
            </w:r>
            <w:r>
              <w:rPr>
                <w:rFonts w:ascii="Times New Roman"/>
                <w:spacing w:val="-1"/>
                <w:sz w:val="15"/>
              </w:rPr>
            </w:r>
          </w:p>
        </w:tc>
      </w:tr>
      <w:tr>
        <w:trPr>
          <w:trHeight w:val="418" w:hRule="exact"/>
        </w:trPr>
        <w:tc>
          <w:tcPr>
            <w:tcW w:w="4599" w:type="dxa"/>
            <w:tcBorders>
              <w:top w:val="single" w:sz="6" w:space="0" w:color="000000"/>
              <w:left w:val="nil" w:sz="6" w:space="0" w:color="auto"/>
              <w:bottom w:val="single" w:sz="6" w:space="0" w:color="000000"/>
              <w:right w:val="nil" w:sz="6" w:space="0" w:color="auto"/>
            </w:tcBorders>
          </w:tcPr>
          <w:p>
            <w:pPr>
              <w:pStyle w:val="TableParagraph"/>
              <w:spacing w:line="240" w:lineRule="auto" w:before="75"/>
              <w:ind w:left="9" w:right="0"/>
              <w:jc w:val="left"/>
              <w:rPr>
                <w:rFonts w:ascii="宋体" w:hAnsi="宋体" w:cs="宋体" w:eastAsia="宋体" w:hint="default"/>
                <w:sz w:val="15"/>
                <w:szCs w:val="15"/>
              </w:rPr>
            </w:pPr>
            <w:r>
              <w:rPr>
                <w:rFonts w:ascii="宋体" w:hAnsi="宋体" w:cs="宋体" w:eastAsia="宋体" w:hint="default"/>
                <w:sz w:val="15"/>
                <w:szCs w:val="15"/>
              </w:rPr>
              <w:t>应收票据及应收账款</w:t>
            </w:r>
          </w:p>
        </w:tc>
        <w:tc>
          <w:tcPr>
            <w:tcW w:w="1181" w:type="dxa"/>
            <w:tcBorders>
              <w:top w:val="single" w:sz="6" w:space="0" w:color="000000"/>
              <w:left w:val="nil" w:sz="6" w:space="0" w:color="auto"/>
              <w:bottom w:val="single" w:sz="6" w:space="0" w:color="000000"/>
              <w:right w:val="nil" w:sz="6" w:space="0" w:color="auto"/>
            </w:tcBorders>
          </w:tcPr>
          <w:p>
            <w:pPr/>
          </w:p>
        </w:tc>
        <w:tc>
          <w:tcPr>
            <w:tcW w:w="1410" w:type="dxa"/>
            <w:tcBorders>
              <w:top w:val="single" w:sz="6" w:space="0" w:color="000000"/>
              <w:left w:val="nil" w:sz="6" w:space="0" w:color="auto"/>
              <w:bottom w:val="single" w:sz="6" w:space="0" w:color="000000"/>
              <w:right w:val="nil" w:sz="6" w:space="0" w:color="auto"/>
            </w:tcBorders>
          </w:tcPr>
          <w:p>
            <w:pPr>
              <w:pStyle w:val="TableParagraph"/>
              <w:spacing w:line="240" w:lineRule="auto" w:before="109"/>
              <w:ind w:left="286" w:right="0"/>
              <w:jc w:val="left"/>
              <w:rPr>
                <w:rFonts w:ascii="Times New Roman" w:hAnsi="Times New Roman" w:cs="Times New Roman" w:eastAsia="Times New Roman" w:hint="default"/>
                <w:sz w:val="15"/>
                <w:szCs w:val="15"/>
              </w:rPr>
            </w:pPr>
            <w:r>
              <w:rPr>
                <w:rFonts w:ascii="Times New Roman"/>
                <w:sz w:val="15"/>
              </w:rPr>
              <w:t>108,777,095.65</w:t>
            </w:r>
          </w:p>
        </w:tc>
        <w:tc>
          <w:tcPr>
            <w:tcW w:w="1169" w:type="dxa"/>
            <w:tcBorders>
              <w:top w:val="single" w:sz="6" w:space="0" w:color="000000"/>
              <w:left w:val="nil" w:sz="6" w:space="0" w:color="auto"/>
              <w:bottom w:val="single" w:sz="6" w:space="0" w:color="000000"/>
              <w:right w:val="nil" w:sz="6" w:space="0" w:color="auto"/>
            </w:tcBorders>
          </w:tcPr>
          <w:p>
            <w:pPr/>
          </w:p>
        </w:tc>
        <w:tc>
          <w:tcPr>
            <w:tcW w:w="1281" w:type="dxa"/>
            <w:tcBorders>
              <w:top w:val="single" w:sz="6" w:space="0" w:color="000000"/>
              <w:left w:val="nil" w:sz="6" w:space="0" w:color="auto"/>
              <w:bottom w:val="single" w:sz="6" w:space="0" w:color="000000"/>
              <w:right w:val="nil" w:sz="6" w:space="0" w:color="auto"/>
            </w:tcBorders>
          </w:tcPr>
          <w:p>
            <w:pPr>
              <w:pStyle w:val="TableParagraph"/>
              <w:spacing w:line="240" w:lineRule="auto" w:before="109"/>
              <w:ind w:right="194"/>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108,777,095.65</w:t>
            </w:r>
            <w:r>
              <w:rPr>
                <w:rFonts w:ascii="Times New Roman"/>
                <w:spacing w:val="-1"/>
                <w:sz w:val="15"/>
              </w:rPr>
            </w:r>
          </w:p>
        </w:tc>
      </w:tr>
      <w:tr>
        <w:trPr>
          <w:trHeight w:val="416" w:hRule="exact"/>
        </w:trPr>
        <w:tc>
          <w:tcPr>
            <w:tcW w:w="4599" w:type="dxa"/>
            <w:tcBorders>
              <w:top w:val="single" w:sz="6" w:space="0" w:color="000000"/>
              <w:left w:val="nil" w:sz="6" w:space="0" w:color="auto"/>
              <w:bottom w:val="single" w:sz="6" w:space="0" w:color="000000"/>
              <w:right w:val="nil" w:sz="6" w:space="0" w:color="auto"/>
            </w:tcBorders>
          </w:tcPr>
          <w:p>
            <w:pPr>
              <w:pStyle w:val="TableParagraph"/>
              <w:spacing w:line="240" w:lineRule="auto" w:before="74"/>
              <w:ind w:left="9"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181" w:type="dxa"/>
            <w:tcBorders>
              <w:top w:val="single" w:sz="6" w:space="0" w:color="000000"/>
              <w:left w:val="nil" w:sz="6" w:space="0" w:color="auto"/>
              <w:bottom w:val="single" w:sz="6" w:space="0" w:color="000000"/>
              <w:right w:val="nil" w:sz="6" w:space="0" w:color="auto"/>
            </w:tcBorders>
          </w:tcPr>
          <w:p>
            <w:pPr/>
          </w:p>
        </w:tc>
        <w:tc>
          <w:tcPr>
            <w:tcW w:w="1410" w:type="dxa"/>
            <w:tcBorders>
              <w:top w:val="single" w:sz="6" w:space="0" w:color="000000"/>
              <w:left w:val="nil" w:sz="6" w:space="0" w:color="auto"/>
              <w:bottom w:val="single" w:sz="6" w:space="0" w:color="000000"/>
              <w:right w:val="nil" w:sz="6" w:space="0" w:color="auto"/>
            </w:tcBorders>
          </w:tcPr>
          <w:p>
            <w:pPr>
              <w:pStyle w:val="TableParagraph"/>
              <w:spacing w:line="240" w:lineRule="auto" w:before="108"/>
              <w:ind w:left="273" w:right="0"/>
              <w:jc w:val="left"/>
              <w:rPr>
                <w:rFonts w:ascii="Times New Roman" w:hAnsi="Times New Roman" w:cs="Times New Roman" w:eastAsia="Times New Roman" w:hint="default"/>
                <w:sz w:val="15"/>
                <w:szCs w:val="15"/>
              </w:rPr>
            </w:pPr>
            <w:r>
              <w:rPr>
                <w:rFonts w:ascii="Times New Roman"/>
                <w:sz w:val="15"/>
              </w:rPr>
              <w:t>12,193,218.50</w:t>
            </w:r>
          </w:p>
        </w:tc>
        <w:tc>
          <w:tcPr>
            <w:tcW w:w="1169" w:type="dxa"/>
            <w:tcBorders>
              <w:top w:val="single" w:sz="6" w:space="0" w:color="000000"/>
              <w:left w:val="nil" w:sz="6" w:space="0" w:color="auto"/>
              <w:bottom w:val="single" w:sz="6" w:space="0" w:color="000000"/>
              <w:right w:val="nil" w:sz="6" w:space="0" w:color="auto"/>
            </w:tcBorders>
          </w:tcPr>
          <w:p>
            <w:pPr/>
          </w:p>
        </w:tc>
        <w:tc>
          <w:tcPr>
            <w:tcW w:w="1281" w:type="dxa"/>
            <w:tcBorders>
              <w:top w:val="single" w:sz="6" w:space="0" w:color="000000"/>
              <w:left w:val="nil" w:sz="6" w:space="0" w:color="auto"/>
              <w:bottom w:val="single" w:sz="6" w:space="0" w:color="000000"/>
              <w:right w:val="nil" w:sz="6" w:space="0" w:color="auto"/>
            </w:tcBorders>
          </w:tcPr>
          <w:p>
            <w:pPr>
              <w:pStyle w:val="TableParagraph"/>
              <w:spacing w:line="240" w:lineRule="auto" w:before="108"/>
              <w:ind w:right="16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12,193,218.50</w:t>
            </w:r>
            <w:r>
              <w:rPr>
                <w:rFonts w:ascii="Times New Roman"/>
                <w:spacing w:val="-1"/>
                <w:sz w:val="15"/>
              </w:rPr>
            </w:r>
          </w:p>
        </w:tc>
      </w:tr>
      <w:tr>
        <w:trPr>
          <w:trHeight w:val="418" w:hRule="exact"/>
        </w:trPr>
        <w:tc>
          <w:tcPr>
            <w:tcW w:w="4599" w:type="dxa"/>
            <w:tcBorders>
              <w:top w:val="single" w:sz="6" w:space="0" w:color="000000"/>
              <w:left w:val="nil" w:sz="6" w:space="0" w:color="auto"/>
              <w:bottom w:val="single" w:sz="6" w:space="0" w:color="000000"/>
              <w:right w:val="nil" w:sz="6" w:space="0" w:color="auto"/>
            </w:tcBorders>
          </w:tcPr>
          <w:p>
            <w:pPr>
              <w:pStyle w:val="TableParagraph"/>
              <w:spacing w:line="240" w:lineRule="auto" w:before="75"/>
              <w:ind w:left="9" w:right="0"/>
              <w:jc w:val="left"/>
              <w:rPr>
                <w:rFonts w:ascii="宋体" w:hAnsi="宋体" w:cs="宋体" w:eastAsia="宋体" w:hint="default"/>
                <w:sz w:val="15"/>
                <w:szCs w:val="15"/>
              </w:rPr>
            </w:pPr>
            <w:r>
              <w:rPr>
                <w:rFonts w:ascii="宋体" w:hAnsi="宋体" w:cs="宋体" w:eastAsia="宋体" w:hint="default"/>
                <w:sz w:val="15"/>
                <w:szCs w:val="15"/>
              </w:rPr>
              <w:t>长期应收款</w:t>
            </w:r>
          </w:p>
        </w:tc>
        <w:tc>
          <w:tcPr>
            <w:tcW w:w="1181" w:type="dxa"/>
            <w:tcBorders>
              <w:top w:val="single" w:sz="6" w:space="0" w:color="000000"/>
              <w:left w:val="nil" w:sz="6" w:space="0" w:color="auto"/>
              <w:bottom w:val="single" w:sz="6" w:space="0" w:color="000000"/>
              <w:right w:val="nil" w:sz="6" w:space="0" w:color="auto"/>
            </w:tcBorders>
          </w:tcPr>
          <w:p>
            <w:pPr/>
          </w:p>
        </w:tc>
        <w:tc>
          <w:tcPr>
            <w:tcW w:w="1410" w:type="dxa"/>
            <w:tcBorders>
              <w:top w:val="single" w:sz="6" w:space="0" w:color="000000"/>
              <w:left w:val="nil" w:sz="6" w:space="0" w:color="auto"/>
              <w:bottom w:val="single" w:sz="6" w:space="0" w:color="000000"/>
              <w:right w:val="nil" w:sz="6" w:space="0" w:color="auto"/>
            </w:tcBorders>
          </w:tcPr>
          <w:p>
            <w:pPr>
              <w:pStyle w:val="TableParagraph"/>
              <w:spacing w:line="240" w:lineRule="auto" w:before="109"/>
              <w:ind w:left="349" w:right="0"/>
              <w:jc w:val="left"/>
              <w:rPr>
                <w:rFonts w:ascii="Times New Roman" w:hAnsi="Times New Roman" w:cs="Times New Roman" w:eastAsia="Times New Roman" w:hint="default"/>
                <w:sz w:val="15"/>
                <w:szCs w:val="15"/>
              </w:rPr>
            </w:pPr>
            <w:r>
              <w:rPr>
                <w:rFonts w:ascii="Times New Roman"/>
                <w:sz w:val="15"/>
              </w:rPr>
              <w:t>7,860,000.00</w:t>
            </w:r>
          </w:p>
        </w:tc>
        <w:tc>
          <w:tcPr>
            <w:tcW w:w="1169" w:type="dxa"/>
            <w:tcBorders>
              <w:top w:val="single" w:sz="6" w:space="0" w:color="000000"/>
              <w:left w:val="nil" w:sz="6" w:space="0" w:color="auto"/>
              <w:bottom w:val="single" w:sz="6" w:space="0" w:color="000000"/>
              <w:right w:val="nil" w:sz="6" w:space="0" w:color="auto"/>
            </w:tcBorders>
          </w:tcPr>
          <w:p>
            <w:pPr/>
          </w:p>
        </w:tc>
        <w:tc>
          <w:tcPr>
            <w:tcW w:w="1281" w:type="dxa"/>
            <w:tcBorders>
              <w:top w:val="single" w:sz="6" w:space="0" w:color="000000"/>
              <w:left w:val="nil" w:sz="6" w:space="0" w:color="auto"/>
              <w:bottom w:val="single" w:sz="6" w:space="0" w:color="000000"/>
              <w:right w:val="nil" w:sz="6" w:space="0" w:color="auto"/>
            </w:tcBorders>
          </w:tcPr>
          <w:p>
            <w:pPr>
              <w:pStyle w:val="TableParagraph"/>
              <w:spacing w:line="240" w:lineRule="auto" w:before="109"/>
              <w:ind w:right="16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7,860,000.00</w:t>
            </w:r>
            <w:r>
              <w:rPr>
                <w:rFonts w:ascii="Times New Roman"/>
                <w:spacing w:val="-1"/>
                <w:sz w:val="15"/>
              </w:rPr>
            </w:r>
          </w:p>
        </w:tc>
      </w:tr>
      <w:tr>
        <w:trPr>
          <w:trHeight w:val="418" w:hRule="exact"/>
        </w:trPr>
        <w:tc>
          <w:tcPr>
            <w:tcW w:w="4599" w:type="dxa"/>
            <w:tcBorders>
              <w:top w:val="single" w:sz="6" w:space="0" w:color="000000"/>
              <w:left w:val="nil" w:sz="6" w:space="0" w:color="auto"/>
              <w:bottom w:val="single" w:sz="6" w:space="0" w:color="000000"/>
              <w:right w:val="nil" w:sz="6" w:space="0" w:color="auto"/>
            </w:tcBorders>
          </w:tcPr>
          <w:p>
            <w:pPr>
              <w:pStyle w:val="TableParagraph"/>
              <w:spacing w:line="240" w:lineRule="auto" w:before="74"/>
              <w:ind w:left="937" w:right="0"/>
              <w:jc w:val="left"/>
              <w:rPr>
                <w:rFonts w:ascii="宋体" w:hAnsi="宋体" w:cs="宋体" w:eastAsia="宋体" w:hint="default"/>
                <w:sz w:val="15"/>
                <w:szCs w:val="15"/>
              </w:rPr>
            </w:pPr>
            <w:r>
              <w:rPr>
                <w:rFonts w:ascii="宋体" w:hAnsi="宋体" w:cs="宋体" w:eastAsia="宋体" w:hint="default"/>
                <w:sz w:val="15"/>
                <w:szCs w:val="15"/>
              </w:rPr>
              <w:t>合</w:t>
            </w:r>
            <w:r>
              <w:rPr>
                <w:rFonts w:ascii="宋体" w:hAnsi="宋体" w:cs="宋体" w:eastAsia="宋体" w:hint="default"/>
                <w:spacing w:val="45"/>
                <w:sz w:val="15"/>
                <w:szCs w:val="15"/>
              </w:rPr>
              <w:t> </w:t>
            </w:r>
            <w:r>
              <w:rPr>
                <w:rFonts w:ascii="宋体" w:hAnsi="宋体" w:cs="宋体" w:eastAsia="宋体" w:hint="default"/>
                <w:sz w:val="15"/>
                <w:szCs w:val="15"/>
              </w:rPr>
              <w:t>计</w:t>
            </w:r>
          </w:p>
        </w:tc>
        <w:tc>
          <w:tcPr>
            <w:tcW w:w="1181" w:type="dxa"/>
            <w:tcBorders>
              <w:top w:val="single" w:sz="6" w:space="0" w:color="000000"/>
              <w:left w:val="nil" w:sz="6" w:space="0" w:color="auto"/>
              <w:bottom w:val="single" w:sz="6" w:space="0" w:color="000000"/>
              <w:right w:val="nil" w:sz="6" w:space="0" w:color="auto"/>
            </w:tcBorders>
          </w:tcPr>
          <w:p>
            <w:pPr/>
          </w:p>
        </w:tc>
        <w:tc>
          <w:tcPr>
            <w:tcW w:w="1410" w:type="dxa"/>
            <w:tcBorders>
              <w:top w:val="single" w:sz="6" w:space="0" w:color="000000"/>
              <w:left w:val="nil" w:sz="6" w:space="0" w:color="auto"/>
              <w:bottom w:val="single" w:sz="6" w:space="0" w:color="000000"/>
              <w:right w:val="nil" w:sz="6" w:space="0" w:color="auto"/>
            </w:tcBorders>
          </w:tcPr>
          <w:p>
            <w:pPr>
              <w:pStyle w:val="TableParagraph"/>
              <w:spacing w:line="240" w:lineRule="auto" w:before="108"/>
              <w:ind w:left="199" w:right="0"/>
              <w:jc w:val="left"/>
              <w:rPr>
                <w:rFonts w:ascii="Times New Roman" w:hAnsi="Times New Roman" w:cs="Times New Roman" w:eastAsia="Times New Roman" w:hint="default"/>
                <w:sz w:val="15"/>
                <w:szCs w:val="15"/>
              </w:rPr>
            </w:pPr>
            <w:r>
              <w:rPr>
                <w:rFonts w:ascii="Times New Roman"/>
                <w:sz w:val="15"/>
              </w:rPr>
            </w:r>
            <w:r>
              <w:rPr>
                <w:rFonts w:ascii="Times New Roman"/>
                <w:sz w:val="15"/>
                <w:u w:val="single" w:color="000000"/>
              </w:rPr>
              <w:t>445,000,626.84</w:t>
            </w:r>
            <w:r>
              <w:rPr>
                <w:rFonts w:ascii="Times New Roman"/>
                <w:sz w:val="15"/>
              </w:rPr>
            </w:r>
          </w:p>
        </w:tc>
        <w:tc>
          <w:tcPr>
            <w:tcW w:w="1169" w:type="dxa"/>
            <w:tcBorders>
              <w:top w:val="single" w:sz="6" w:space="0" w:color="000000"/>
              <w:left w:val="nil" w:sz="6" w:space="0" w:color="auto"/>
              <w:bottom w:val="single" w:sz="6" w:space="0" w:color="000000"/>
              <w:right w:val="nil" w:sz="6" w:space="0" w:color="auto"/>
            </w:tcBorders>
          </w:tcPr>
          <w:p>
            <w:pPr/>
          </w:p>
        </w:tc>
        <w:tc>
          <w:tcPr>
            <w:tcW w:w="1281" w:type="dxa"/>
            <w:tcBorders>
              <w:top w:val="single" w:sz="6" w:space="0" w:color="000000"/>
              <w:left w:val="nil" w:sz="6" w:space="0" w:color="auto"/>
              <w:bottom w:val="single" w:sz="6" w:space="0" w:color="000000"/>
              <w:right w:val="nil" w:sz="6" w:space="0" w:color="auto"/>
            </w:tcBorders>
          </w:tcPr>
          <w:p>
            <w:pPr>
              <w:pStyle w:val="TableParagraph"/>
              <w:spacing w:line="240" w:lineRule="auto" w:before="108"/>
              <w:ind w:right="167"/>
              <w:jc w:val="right"/>
              <w:rPr>
                <w:rFonts w:ascii="Times New Roman" w:hAnsi="Times New Roman" w:cs="Times New Roman" w:eastAsia="Times New Roman" w:hint="default"/>
                <w:sz w:val="15"/>
                <w:szCs w:val="15"/>
              </w:rPr>
            </w:pPr>
            <w:r>
              <w:rPr>
                <w:rFonts w:ascii="Times New Roman"/>
                <w:sz w:val="15"/>
              </w:rPr>
            </w:r>
            <w:r>
              <w:rPr>
                <w:rFonts w:ascii="Times New Roman"/>
                <w:spacing w:val="-1"/>
                <w:sz w:val="15"/>
                <w:u w:val="single" w:color="000000"/>
              </w:rPr>
              <w:t>445,000,626.84</w:t>
            </w:r>
            <w:r>
              <w:rPr>
                <w:rFonts w:ascii="Times New Roman"/>
                <w:spacing w:val="-1"/>
                <w:sz w:val="15"/>
              </w:rPr>
            </w:r>
          </w:p>
        </w:tc>
      </w:tr>
    </w:tbl>
    <w:p>
      <w:pPr>
        <w:spacing w:line="240" w:lineRule="auto" w:before="1"/>
        <w:rPr>
          <w:rFonts w:ascii="宋体" w:hAnsi="宋体" w:cs="宋体" w:eastAsia="宋体" w:hint="default"/>
          <w:sz w:val="5"/>
          <w:szCs w:val="5"/>
        </w:rPr>
      </w:pPr>
    </w:p>
    <w:p>
      <w:pPr>
        <w:pStyle w:val="BodyText"/>
        <w:spacing w:line="240" w:lineRule="auto" w:before="44"/>
        <w:ind w:left="514" w:right="0"/>
        <w:jc w:val="left"/>
      </w:pPr>
      <w:r>
        <w:rPr/>
        <w:t>（</w:t>
      </w:r>
      <w:r>
        <w:rPr>
          <w:rFonts w:ascii="Times New Roman" w:hAnsi="Times New Roman" w:cs="Times New Roman" w:eastAsia="Times New Roman" w:hint="default"/>
        </w:rPr>
        <w:t>2</w:t>
      </w:r>
      <w:r>
        <w:rPr/>
        <w:t>）资产负债表日的各类金融负债的账面价值如下：</w:t>
      </w:r>
    </w:p>
    <w:p>
      <w:pPr>
        <w:spacing w:line="240" w:lineRule="auto" w:before="13"/>
        <w:rPr>
          <w:rFonts w:ascii="宋体" w:hAnsi="宋体" w:cs="宋体" w:eastAsia="宋体" w:hint="default"/>
          <w:sz w:val="21"/>
          <w:szCs w:val="21"/>
        </w:rPr>
      </w:pPr>
    </w:p>
    <w:tbl>
      <w:tblPr>
        <w:tblW w:w="0" w:type="auto"/>
        <w:jc w:val="left"/>
        <w:tblInd w:w="153" w:type="dxa"/>
        <w:tblLayout w:type="fixed"/>
        <w:tblCellMar>
          <w:top w:w="0" w:type="dxa"/>
          <w:left w:w="0" w:type="dxa"/>
          <w:bottom w:w="0" w:type="dxa"/>
          <w:right w:w="0" w:type="dxa"/>
        </w:tblCellMar>
        <w:tblLook w:val="01E0"/>
      </w:tblPr>
      <w:tblGrid>
        <w:gridCol w:w="4786"/>
        <w:gridCol w:w="2710"/>
        <w:gridCol w:w="2324"/>
      </w:tblGrid>
      <w:tr>
        <w:trPr>
          <w:trHeight w:val="302" w:hRule="exact"/>
        </w:trPr>
        <w:tc>
          <w:tcPr>
            <w:tcW w:w="4786" w:type="dxa"/>
            <w:tcBorders>
              <w:top w:val="nil" w:sz="6" w:space="0" w:color="auto"/>
              <w:left w:val="nil" w:sz="6" w:space="0" w:color="auto"/>
              <w:bottom w:val="single" w:sz="6" w:space="0" w:color="000000"/>
              <w:right w:val="nil" w:sz="6" w:space="0" w:color="auto"/>
            </w:tcBorders>
          </w:tcPr>
          <w:p>
            <w:pPr>
              <w:pStyle w:val="TableParagraph"/>
              <w:spacing w:line="180" w:lineRule="exact"/>
              <w:ind w:left="563"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2710" w:type="dxa"/>
            <w:tcBorders>
              <w:top w:val="nil" w:sz="6" w:space="0" w:color="auto"/>
              <w:left w:val="nil" w:sz="6" w:space="0" w:color="auto"/>
              <w:bottom w:val="single" w:sz="6" w:space="0" w:color="000000"/>
              <w:right w:val="nil" w:sz="6" w:space="0" w:color="auto"/>
            </w:tcBorders>
          </w:tcPr>
          <w:p>
            <w:pPr>
              <w:pStyle w:val="TableParagraph"/>
              <w:spacing w:line="180" w:lineRule="exact"/>
              <w:ind w:right="250"/>
              <w:jc w:val="center"/>
              <w:rPr>
                <w:rFonts w:ascii="宋体" w:hAnsi="宋体" w:cs="宋体" w:eastAsia="宋体" w:hint="default"/>
                <w:sz w:val="18"/>
                <w:szCs w:val="18"/>
              </w:rPr>
            </w:pPr>
            <w:r>
              <w:rPr>
                <w:rFonts w:ascii="宋体" w:hAnsi="宋体" w:cs="宋体" w:eastAsia="宋体" w:hint="default"/>
                <w:b/>
                <w:bCs/>
                <w:sz w:val="18"/>
                <w:szCs w:val="18"/>
              </w:rPr>
              <w:t>期末</w:t>
            </w:r>
            <w:r>
              <w:rPr>
                <w:rFonts w:ascii="宋体" w:hAnsi="宋体" w:cs="宋体" w:eastAsia="宋体" w:hint="default"/>
                <w:sz w:val="18"/>
                <w:szCs w:val="18"/>
              </w:rPr>
            </w:r>
          </w:p>
        </w:tc>
        <w:tc>
          <w:tcPr>
            <w:tcW w:w="2324" w:type="dxa"/>
            <w:tcBorders>
              <w:top w:val="nil" w:sz="6" w:space="0" w:color="auto"/>
              <w:left w:val="nil" w:sz="6" w:space="0" w:color="auto"/>
              <w:bottom w:val="single" w:sz="6" w:space="0" w:color="000000"/>
              <w:right w:val="nil" w:sz="6" w:space="0" w:color="auto"/>
            </w:tcBorders>
          </w:tcPr>
          <w:p>
            <w:pPr/>
          </w:p>
        </w:tc>
      </w:tr>
      <w:tr>
        <w:trPr>
          <w:trHeight w:val="769" w:hRule="exact"/>
        </w:trPr>
        <w:tc>
          <w:tcPr>
            <w:tcW w:w="4786" w:type="dxa"/>
            <w:tcBorders>
              <w:top w:val="single" w:sz="6" w:space="0" w:color="000000"/>
              <w:left w:val="nil" w:sz="6" w:space="0" w:color="auto"/>
              <w:bottom w:val="single" w:sz="6" w:space="0" w:color="000000"/>
              <w:right w:val="nil" w:sz="6" w:space="0" w:color="auto"/>
            </w:tcBorders>
          </w:tcPr>
          <w:p>
            <w:pPr>
              <w:pStyle w:val="TableParagraph"/>
              <w:spacing w:line="360" w:lineRule="auto" w:before="52"/>
              <w:ind w:left="2335" w:right="462"/>
              <w:jc w:val="left"/>
              <w:rPr>
                <w:rFonts w:ascii="宋体" w:hAnsi="宋体" w:cs="宋体" w:eastAsia="宋体" w:hint="default"/>
                <w:sz w:val="18"/>
                <w:szCs w:val="18"/>
              </w:rPr>
            </w:pPr>
            <w:r>
              <w:rPr>
                <w:rFonts w:ascii="宋体" w:hAnsi="宋体" w:cs="宋体" w:eastAsia="宋体" w:hint="default"/>
                <w:b/>
                <w:bCs/>
                <w:sz w:val="18"/>
                <w:szCs w:val="18"/>
              </w:rPr>
              <w:t>以公允价值计量且其变动</w:t>
            </w:r>
            <w:r>
              <w:rPr>
                <w:rFonts w:ascii="宋体" w:hAnsi="宋体" w:cs="宋体" w:eastAsia="宋体" w:hint="default"/>
                <w:b/>
                <w:bCs/>
                <w:w w:val="99"/>
                <w:sz w:val="18"/>
                <w:szCs w:val="18"/>
              </w:rPr>
              <w:t> </w:t>
            </w:r>
            <w:r>
              <w:rPr>
                <w:rFonts w:ascii="宋体" w:hAnsi="宋体" w:cs="宋体" w:eastAsia="宋体" w:hint="default"/>
                <w:b/>
                <w:bCs/>
                <w:sz w:val="18"/>
                <w:szCs w:val="18"/>
              </w:rPr>
              <w:t>计入当期损益的金融负债</w:t>
            </w:r>
            <w:r>
              <w:rPr>
                <w:rFonts w:ascii="宋体" w:hAnsi="宋体" w:cs="宋体" w:eastAsia="宋体" w:hint="default"/>
                <w:sz w:val="18"/>
                <w:szCs w:val="18"/>
              </w:rPr>
            </w:r>
          </w:p>
        </w:tc>
        <w:tc>
          <w:tcPr>
            <w:tcW w:w="2710"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left="464"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2324"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left="72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418" w:hRule="exact"/>
        </w:trPr>
        <w:tc>
          <w:tcPr>
            <w:tcW w:w="4786"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710" w:type="dxa"/>
            <w:tcBorders>
              <w:top w:val="single" w:sz="6" w:space="0" w:color="000000"/>
              <w:left w:val="nil" w:sz="6" w:space="0" w:color="auto"/>
              <w:bottom w:val="single" w:sz="6" w:space="0" w:color="000000"/>
              <w:right w:val="nil" w:sz="6" w:space="0" w:color="auto"/>
            </w:tcBorders>
          </w:tcPr>
          <w:p>
            <w:pPr>
              <w:pStyle w:val="TableParagraph"/>
              <w:spacing w:line="240" w:lineRule="auto" w:before="92"/>
              <w:ind w:right="721"/>
              <w:jc w:val="right"/>
              <w:rPr>
                <w:rFonts w:ascii="Times New Roman" w:hAnsi="Times New Roman" w:cs="Times New Roman" w:eastAsia="Times New Roman" w:hint="default"/>
                <w:sz w:val="18"/>
                <w:szCs w:val="18"/>
              </w:rPr>
            </w:pPr>
            <w:r>
              <w:rPr>
                <w:rFonts w:ascii="Times New Roman"/>
                <w:spacing w:val="-1"/>
                <w:sz w:val="18"/>
              </w:rPr>
              <w:t>20,000,000.00</w:t>
            </w:r>
          </w:p>
        </w:tc>
        <w:tc>
          <w:tcPr>
            <w:tcW w:w="2324" w:type="dxa"/>
            <w:tcBorders>
              <w:top w:val="single" w:sz="6" w:space="0" w:color="000000"/>
              <w:left w:val="nil" w:sz="6" w:space="0" w:color="auto"/>
              <w:bottom w:val="single" w:sz="6" w:space="0" w:color="000000"/>
              <w:right w:val="nil" w:sz="6" w:space="0" w:color="auto"/>
            </w:tcBorders>
          </w:tcPr>
          <w:p>
            <w:pPr>
              <w:pStyle w:val="TableParagraph"/>
              <w:spacing w:line="240" w:lineRule="auto" w:before="92"/>
              <w:ind w:right="36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20,000,000.00</w:t>
            </w:r>
            <w:r>
              <w:rPr>
                <w:rFonts w:ascii="Times New Roman"/>
                <w:spacing w:val="-1"/>
                <w:sz w:val="18"/>
              </w:rPr>
            </w:r>
          </w:p>
        </w:tc>
      </w:tr>
      <w:tr>
        <w:trPr>
          <w:trHeight w:val="417" w:hRule="exact"/>
        </w:trPr>
        <w:tc>
          <w:tcPr>
            <w:tcW w:w="4786"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710" w:type="dxa"/>
            <w:tcBorders>
              <w:top w:val="single" w:sz="6" w:space="0" w:color="000000"/>
              <w:left w:val="nil" w:sz="6" w:space="0" w:color="auto"/>
              <w:bottom w:val="single" w:sz="6" w:space="0" w:color="000000"/>
              <w:right w:val="nil" w:sz="6" w:space="0" w:color="auto"/>
            </w:tcBorders>
          </w:tcPr>
          <w:p>
            <w:pPr>
              <w:pStyle w:val="TableParagraph"/>
              <w:spacing w:line="240" w:lineRule="auto" w:before="91"/>
              <w:ind w:right="721"/>
              <w:jc w:val="right"/>
              <w:rPr>
                <w:rFonts w:ascii="Times New Roman" w:hAnsi="Times New Roman" w:cs="Times New Roman" w:eastAsia="Times New Roman" w:hint="default"/>
                <w:sz w:val="18"/>
                <w:szCs w:val="18"/>
              </w:rPr>
            </w:pPr>
            <w:r>
              <w:rPr>
                <w:rFonts w:ascii="Times New Roman"/>
                <w:spacing w:val="-1"/>
                <w:sz w:val="18"/>
              </w:rPr>
              <w:t>56,244,946.79</w:t>
            </w:r>
          </w:p>
        </w:tc>
        <w:tc>
          <w:tcPr>
            <w:tcW w:w="2324" w:type="dxa"/>
            <w:tcBorders>
              <w:top w:val="single" w:sz="6" w:space="0" w:color="000000"/>
              <w:left w:val="nil" w:sz="6" w:space="0" w:color="auto"/>
              <w:bottom w:val="single" w:sz="6" w:space="0" w:color="000000"/>
              <w:right w:val="nil" w:sz="6" w:space="0" w:color="auto"/>
            </w:tcBorders>
          </w:tcPr>
          <w:p>
            <w:pPr>
              <w:pStyle w:val="TableParagraph"/>
              <w:spacing w:line="240" w:lineRule="auto" w:before="91"/>
              <w:ind w:right="36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56,244,946.79</w:t>
            </w:r>
            <w:r>
              <w:rPr>
                <w:rFonts w:ascii="Times New Roman"/>
                <w:spacing w:val="-1"/>
                <w:sz w:val="18"/>
              </w:rPr>
            </w:r>
          </w:p>
        </w:tc>
      </w:tr>
      <w:tr>
        <w:trPr>
          <w:trHeight w:val="418" w:hRule="exact"/>
        </w:trPr>
        <w:tc>
          <w:tcPr>
            <w:tcW w:w="4786"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10" w:type="dxa"/>
            <w:tcBorders>
              <w:top w:val="single" w:sz="6" w:space="0" w:color="000000"/>
              <w:left w:val="nil" w:sz="6" w:space="0" w:color="auto"/>
              <w:bottom w:val="single" w:sz="6" w:space="0" w:color="000000"/>
              <w:right w:val="nil" w:sz="6" w:space="0" w:color="auto"/>
            </w:tcBorders>
          </w:tcPr>
          <w:p>
            <w:pPr>
              <w:pStyle w:val="TableParagraph"/>
              <w:spacing w:line="240" w:lineRule="auto" w:before="92"/>
              <w:ind w:right="721"/>
              <w:jc w:val="right"/>
              <w:rPr>
                <w:rFonts w:ascii="Times New Roman" w:hAnsi="Times New Roman" w:cs="Times New Roman" w:eastAsia="Times New Roman" w:hint="default"/>
                <w:sz w:val="18"/>
                <w:szCs w:val="18"/>
              </w:rPr>
            </w:pPr>
            <w:r>
              <w:rPr>
                <w:rFonts w:ascii="Times New Roman"/>
                <w:spacing w:val="-1"/>
                <w:sz w:val="18"/>
              </w:rPr>
              <w:t>2,777,775.29</w:t>
            </w:r>
          </w:p>
        </w:tc>
        <w:tc>
          <w:tcPr>
            <w:tcW w:w="2324" w:type="dxa"/>
            <w:tcBorders>
              <w:top w:val="single" w:sz="6" w:space="0" w:color="000000"/>
              <w:left w:val="nil" w:sz="6" w:space="0" w:color="auto"/>
              <w:bottom w:val="single" w:sz="6" w:space="0" w:color="000000"/>
              <w:right w:val="nil" w:sz="6" w:space="0" w:color="auto"/>
            </w:tcBorders>
          </w:tcPr>
          <w:p>
            <w:pPr>
              <w:pStyle w:val="TableParagraph"/>
              <w:spacing w:line="240" w:lineRule="auto" w:before="92"/>
              <w:ind w:right="36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2,777,775.29</w:t>
            </w:r>
            <w:r>
              <w:rPr>
                <w:rFonts w:ascii="Times New Roman"/>
                <w:spacing w:val="-1"/>
                <w:sz w:val="18"/>
              </w:rPr>
            </w:r>
          </w:p>
        </w:tc>
      </w:tr>
      <w:tr>
        <w:trPr>
          <w:trHeight w:val="418" w:hRule="exact"/>
        </w:trPr>
        <w:tc>
          <w:tcPr>
            <w:tcW w:w="4786"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left="94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710" w:type="dxa"/>
            <w:tcBorders>
              <w:top w:val="single" w:sz="6" w:space="0" w:color="000000"/>
              <w:left w:val="nil" w:sz="6" w:space="0" w:color="auto"/>
              <w:bottom w:val="single" w:sz="6" w:space="0" w:color="000000"/>
              <w:right w:val="nil" w:sz="6" w:space="0" w:color="auto"/>
            </w:tcBorders>
          </w:tcPr>
          <w:p>
            <w:pPr>
              <w:pStyle w:val="TableParagraph"/>
              <w:spacing w:line="240" w:lineRule="auto" w:before="91"/>
              <w:ind w:right="72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79,022,722.08</w:t>
            </w:r>
            <w:r>
              <w:rPr>
                <w:rFonts w:ascii="Times New Roman"/>
                <w:spacing w:val="-1"/>
                <w:sz w:val="18"/>
              </w:rPr>
            </w:r>
          </w:p>
        </w:tc>
        <w:tc>
          <w:tcPr>
            <w:tcW w:w="2324" w:type="dxa"/>
            <w:tcBorders>
              <w:top w:val="single" w:sz="6" w:space="0" w:color="000000"/>
              <w:left w:val="nil" w:sz="6" w:space="0" w:color="auto"/>
              <w:bottom w:val="single" w:sz="6" w:space="0" w:color="000000"/>
              <w:right w:val="nil" w:sz="6" w:space="0" w:color="auto"/>
            </w:tcBorders>
          </w:tcPr>
          <w:p>
            <w:pPr>
              <w:pStyle w:val="TableParagraph"/>
              <w:spacing w:line="240" w:lineRule="auto" w:before="91"/>
              <w:ind w:right="36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79,022,722.08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pPr>
      <w:r>
        <w:rPr/>
        <w:t>接上表：</w:t>
      </w:r>
    </w:p>
    <w:p>
      <w:pPr>
        <w:spacing w:line="240" w:lineRule="auto" w:before="1"/>
        <w:rPr>
          <w:rFonts w:ascii="宋体" w:hAnsi="宋体" w:cs="宋体" w:eastAsia="宋体" w:hint="default"/>
          <w:sz w:val="23"/>
          <w:szCs w:val="23"/>
        </w:rPr>
      </w:pPr>
    </w:p>
    <w:tbl>
      <w:tblPr>
        <w:tblW w:w="0" w:type="auto"/>
        <w:jc w:val="left"/>
        <w:tblInd w:w="153" w:type="dxa"/>
        <w:tblLayout w:type="fixed"/>
        <w:tblCellMar>
          <w:top w:w="0" w:type="dxa"/>
          <w:left w:w="0" w:type="dxa"/>
          <w:bottom w:w="0" w:type="dxa"/>
          <w:right w:w="0" w:type="dxa"/>
        </w:tblCellMar>
        <w:tblLook w:val="01E0"/>
      </w:tblPr>
      <w:tblGrid>
        <w:gridCol w:w="5514"/>
        <w:gridCol w:w="2217"/>
        <w:gridCol w:w="1908"/>
      </w:tblGrid>
      <w:tr>
        <w:trPr>
          <w:trHeight w:val="302" w:hRule="exact"/>
        </w:trPr>
        <w:tc>
          <w:tcPr>
            <w:tcW w:w="5514" w:type="dxa"/>
            <w:tcBorders>
              <w:top w:val="nil" w:sz="6" w:space="0" w:color="auto"/>
              <w:left w:val="nil" w:sz="6" w:space="0" w:color="auto"/>
              <w:bottom w:val="single" w:sz="6" w:space="0" w:color="000000"/>
              <w:right w:val="nil" w:sz="6" w:space="0" w:color="auto"/>
            </w:tcBorders>
          </w:tcPr>
          <w:p>
            <w:pPr>
              <w:pStyle w:val="TableParagraph"/>
              <w:spacing w:line="180" w:lineRule="exact"/>
              <w:ind w:left="837" w:right="0"/>
              <w:jc w:val="left"/>
              <w:rPr>
                <w:rFonts w:ascii="宋体" w:hAnsi="宋体" w:cs="宋体" w:eastAsia="宋体" w:hint="default"/>
                <w:sz w:val="18"/>
                <w:szCs w:val="18"/>
              </w:rPr>
            </w:pPr>
            <w:r>
              <w:rPr>
                <w:rFonts w:ascii="宋体" w:hAnsi="宋体" w:cs="宋体" w:eastAsia="宋体" w:hint="default"/>
                <w:b/>
                <w:bCs/>
                <w:sz w:val="18"/>
                <w:szCs w:val="18"/>
              </w:rPr>
              <w:t>金融负债项目</w:t>
            </w:r>
            <w:r>
              <w:rPr>
                <w:rFonts w:ascii="宋体" w:hAnsi="宋体" w:cs="宋体" w:eastAsia="宋体" w:hint="default"/>
                <w:sz w:val="18"/>
                <w:szCs w:val="18"/>
              </w:rPr>
            </w:r>
          </w:p>
        </w:tc>
        <w:tc>
          <w:tcPr>
            <w:tcW w:w="2217" w:type="dxa"/>
            <w:tcBorders>
              <w:top w:val="nil" w:sz="6" w:space="0" w:color="auto"/>
              <w:left w:val="nil" w:sz="6" w:space="0" w:color="auto"/>
              <w:bottom w:val="single" w:sz="6" w:space="0" w:color="000000"/>
              <w:right w:val="nil" w:sz="6" w:space="0" w:color="auto"/>
            </w:tcBorders>
          </w:tcPr>
          <w:p>
            <w:pPr>
              <w:pStyle w:val="TableParagraph"/>
              <w:spacing w:line="180" w:lineRule="exact"/>
              <w:ind w:left="504" w:right="0"/>
              <w:jc w:val="left"/>
              <w:rPr>
                <w:rFonts w:ascii="宋体" w:hAnsi="宋体" w:cs="宋体" w:eastAsia="宋体" w:hint="default"/>
                <w:sz w:val="18"/>
                <w:szCs w:val="18"/>
              </w:rPr>
            </w:pPr>
            <w:r>
              <w:rPr>
                <w:rFonts w:ascii="宋体" w:hAnsi="宋体" w:cs="宋体" w:eastAsia="宋体" w:hint="default"/>
                <w:b/>
                <w:bCs/>
                <w:sz w:val="18"/>
                <w:szCs w:val="18"/>
              </w:rPr>
              <w:t>期初</w:t>
            </w:r>
            <w:r>
              <w:rPr>
                <w:rFonts w:ascii="宋体" w:hAnsi="宋体" w:cs="宋体" w:eastAsia="宋体" w:hint="default"/>
                <w:sz w:val="18"/>
                <w:szCs w:val="18"/>
              </w:rPr>
            </w:r>
          </w:p>
        </w:tc>
        <w:tc>
          <w:tcPr>
            <w:tcW w:w="1908" w:type="dxa"/>
            <w:tcBorders>
              <w:top w:val="nil" w:sz="6" w:space="0" w:color="auto"/>
              <w:left w:val="nil" w:sz="6" w:space="0" w:color="auto"/>
              <w:bottom w:val="single" w:sz="6" w:space="0" w:color="000000"/>
              <w:right w:val="nil" w:sz="6" w:space="0" w:color="auto"/>
            </w:tcBorders>
          </w:tcPr>
          <w:p>
            <w:pPr/>
          </w:p>
        </w:tc>
      </w:tr>
      <w:tr>
        <w:trPr>
          <w:trHeight w:val="770" w:hRule="exact"/>
        </w:trPr>
        <w:tc>
          <w:tcPr>
            <w:tcW w:w="5514" w:type="dxa"/>
            <w:tcBorders>
              <w:top w:val="single" w:sz="6" w:space="0" w:color="000000"/>
              <w:left w:val="nil" w:sz="6" w:space="0" w:color="auto"/>
              <w:bottom w:val="single" w:sz="6" w:space="0" w:color="000000"/>
              <w:right w:val="nil" w:sz="6" w:space="0" w:color="auto"/>
            </w:tcBorders>
          </w:tcPr>
          <w:p>
            <w:pPr>
              <w:pStyle w:val="TableParagraph"/>
              <w:spacing w:line="357" w:lineRule="auto" w:before="52"/>
              <w:ind w:left="3066" w:right="459"/>
              <w:jc w:val="left"/>
              <w:rPr>
                <w:rFonts w:ascii="宋体" w:hAnsi="宋体" w:cs="宋体" w:eastAsia="宋体" w:hint="default"/>
                <w:sz w:val="18"/>
                <w:szCs w:val="18"/>
              </w:rPr>
            </w:pPr>
            <w:r>
              <w:rPr>
                <w:rFonts w:ascii="宋体" w:hAnsi="宋体" w:cs="宋体" w:eastAsia="宋体" w:hint="default"/>
                <w:b/>
                <w:bCs/>
                <w:sz w:val="18"/>
                <w:szCs w:val="18"/>
              </w:rPr>
              <w:t>以公允价值计量且其变动</w:t>
            </w:r>
            <w:r>
              <w:rPr>
                <w:rFonts w:ascii="宋体" w:hAnsi="宋体" w:cs="宋体" w:eastAsia="宋体" w:hint="default"/>
                <w:b/>
                <w:bCs/>
                <w:w w:val="99"/>
                <w:sz w:val="18"/>
                <w:szCs w:val="18"/>
              </w:rPr>
              <w:t> </w:t>
            </w:r>
            <w:r>
              <w:rPr>
                <w:rFonts w:ascii="宋体" w:hAnsi="宋体" w:cs="宋体" w:eastAsia="宋体" w:hint="default"/>
                <w:b/>
                <w:bCs/>
                <w:sz w:val="18"/>
                <w:szCs w:val="18"/>
              </w:rPr>
              <w:t>计入当期损益的金融负债</w:t>
            </w:r>
            <w:r>
              <w:rPr>
                <w:rFonts w:ascii="宋体" w:hAnsi="宋体" w:cs="宋体" w:eastAsia="宋体" w:hint="default"/>
                <w:sz w:val="18"/>
                <w:szCs w:val="18"/>
              </w:rPr>
            </w:r>
          </w:p>
        </w:tc>
        <w:tc>
          <w:tcPr>
            <w:tcW w:w="2217"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left="461" w:right="0"/>
              <w:jc w:val="left"/>
              <w:rPr>
                <w:rFonts w:ascii="宋体" w:hAnsi="宋体" w:cs="宋体" w:eastAsia="宋体" w:hint="default"/>
                <w:sz w:val="18"/>
                <w:szCs w:val="18"/>
              </w:rPr>
            </w:pPr>
            <w:r>
              <w:rPr>
                <w:rFonts w:ascii="宋体" w:hAnsi="宋体" w:cs="宋体" w:eastAsia="宋体" w:hint="default"/>
                <w:b/>
                <w:bCs/>
                <w:sz w:val="18"/>
                <w:szCs w:val="18"/>
              </w:rPr>
              <w:t>其他金融负债</w:t>
            </w:r>
            <w:r>
              <w:rPr>
                <w:rFonts w:ascii="宋体" w:hAnsi="宋体" w:cs="宋体" w:eastAsia="宋体" w:hint="default"/>
                <w:sz w:val="18"/>
                <w:szCs w:val="18"/>
              </w:rPr>
            </w:r>
          </w:p>
        </w:tc>
        <w:tc>
          <w:tcPr>
            <w:tcW w:w="1908"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right="56"/>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418" w:hRule="exact"/>
        </w:trPr>
        <w:tc>
          <w:tcPr>
            <w:tcW w:w="5514"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17" w:type="dxa"/>
            <w:tcBorders>
              <w:top w:val="single" w:sz="6" w:space="0" w:color="000000"/>
              <w:left w:val="nil" w:sz="6" w:space="0" w:color="auto"/>
              <w:bottom w:val="single" w:sz="6" w:space="0" w:color="000000"/>
              <w:right w:val="nil" w:sz="6" w:space="0" w:color="auto"/>
            </w:tcBorders>
          </w:tcPr>
          <w:p>
            <w:pPr>
              <w:pStyle w:val="TableParagraph"/>
              <w:spacing w:line="240" w:lineRule="auto" w:before="92"/>
              <w:ind w:right="419"/>
              <w:jc w:val="right"/>
              <w:rPr>
                <w:rFonts w:ascii="Times New Roman" w:hAnsi="Times New Roman" w:cs="Times New Roman" w:eastAsia="Times New Roman" w:hint="default"/>
                <w:sz w:val="18"/>
                <w:szCs w:val="18"/>
              </w:rPr>
            </w:pPr>
            <w:r>
              <w:rPr>
                <w:rFonts w:ascii="Times New Roman"/>
                <w:spacing w:val="-1"/>
                <w:sz w:val="18"/>
              </w:rPr>
              <w:t>70,000,000.00</w:t>
            </w:r>
          </w:p>
        </w:tc>
        <w:tc>
          <w:tcPr>
            <w:tcW w:w="1908" w:type="dxa"/>
            <w:tcBorders>
              <w:top w:val="single" w:sz="6" w:space="0" w:color="000000"/>
              <w:left w:val="nil" w:sz="6" w:space="0" w:color="auto"/>
              <w:bottom w:val="single" w:sz="6" w:space="0" w:color="000000"/>
              <w:right w:val="nil" w:sz="6" w:space="0" w:color="auto"/>
            </w:tcBorders>
          </w:tcPr>
          <w:p>
            <w:pPr>
              <w:pStyle w:val="TableParagraph"/>
              <w:spacing w:line="240" w:lineRule="auto" w:before="92"/>
              <w:ind w:right="36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70,000,000.00</w:t>
            </w:r>
            <w:r>
              <w:rPr>
                <w:rFonts w:ascii="Times New Roman"/>
                <w:spacing w:val="-1"/>
                <w:sz w:val="18"/>
              </w:rPr>
            </w:r>
          </w:p>
        </w:tc>
      </w:tr>
      <w:tr>
        <w:trPr>
          <w:trHeight w:val="416" w:hRule="exact"/>
        </w:trPr>
        <w:tc>
          <w:tcPr>
            <w:tcW w:w="5514"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17" w:type="dxa"/>
            <w:tcBorders>
              <w:top w:val="single" w:sz="6" w:space="0" w:color="000000"/>
              <w:left w:val="nil" w:sz="6" w:space="0" w:color="auto"/>
              <w:bottom w:val="single" w:sz="6" w:space="0" w:color="000000"/>
              <w:right w:val="nil" w:sz="6" w:space="0" w:color="auto"/>
            </w:tcBorders>
          </w:tcPr>
          <w:p>
            <w:pPr>
              <w:pStyle w:val="TableParagraph"/>
              <w:spacing w:line="240" w:lineRule="auto" w:before="91"/>
              <w:ind w:right="419"/>
              <w:jc w:val="right"/>
              <w:rPr>
                <w:rFonts w:ascii="Times New Roman" w:hAnsi="Times New Roman" w:cs="Times New Roman" w:eastAsia="Times New Roman" w:hint="default"/>
                <w:sz w:val="18"/>
                <w:szCs w:val="18"/>
              </w:rPr>
            </w:pPr>
            <w:r>
              <w:rPr>
                <w:rFonts w:ascii="Times New Roman"/>
                <w:spacing w:val="-1"/>
                <w:sz w:val="18"/>
              </w:rPr>
              <w:t>51,057,233.33</w:t>
            </w:r>
          </w:p>
        </w:tc>
        <w:tc>
          <w:tcPr>
            <w:tcW w:w="1908" w:type="dxa"/>
            <w:tcBorders>
              <w:top w:val="single" w:sz="6" w:space="0" w:color="000000"/>
              <w:left w:val="nil" w:sz="6" w:space="0" w:color="auto"/>
              <w:bottom w:val="single" w:sz="6" w:space="0" w:color="000000"/>
              <w:right w:val="nil" w:sz="6" w:space="0" w:color="auto"/>
            </w:tcBorders>
          </w:tcPr>
          <w:p>
            <w:pPr>
              <w:pStyle w:val="TableParagraph"/>
              <w:spacing w:line="240" w:lineRule="auto" w:before="91"/>
              <w:ind w:right="36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51,057,233.33</w:t>
            </w:r>
            <w:r>
              <w:rPr>
                <w:rFonts w:ascii="Times New Roman"/>
                <w:spacing w:val="-1"/>
                <w:sz w:val="18"/>
              </w:rPr>
            </w:r>
          </w:p>
        </w:tc>
      </w:tr>
      <w:tr>
        <w:trPr>
          <w:trHeight w:val="418" w:hRule="exact"/>
        </w:trPr>
        <w:tc>
          <w:tcPr>
            <w:tcW w:w="5514" w:type="dxa"/>
            <w:tcBorders>
              <w:top w:val="single" w:sz="6" w:space="0" w:color="000000"/>
              <w:left w:val="nil" w:sz="6" w:space="0" w:color="auto"/>
              <w:bottom w:val="single" w:sz="6" w:space="0" w:color="000000"/>
              <w:right w:val="nil" w:sz="6" w:space="0" w:color="auto"/>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17" w:type="dxa"/>
            <w:tcBorders>
              <w:top w:val="single" w:sz="6" w:space="0" w:color="000000"/>
              <w:left w:val="nil" w:sz="6" w:space="0" w:color="auto"/>
              <w:bottom w:val="single" w:sz="6" w:space="0" w:color="000000"/>
              <w:right w:val="nil" w:sz="6" w:space="0" w:color="auto"/>
            </w:tcBorders>
          </w:tcPr>
          <w:p>
            <w:pPr>
              <w:pStyle w:val="TableParagraph"/>
              <w:spacing w:line="240" w:lineRule="auto" w:before="92"/>
              <w:ind w:right="419"/>
              <w:jc w:val="right"/>
              <w:rPr>
                <w:rFonts w:ascii="Times New Roman" w:hAnsi="Times New Roman" w:cs="Times New Roman" w:eastAsia="Times New Roman" w:hint="default"/>
                <w:sz w:val="18"/>
                <w:szCs w:val="18"/>
              </w:rPr>
            </w:pPr>
            <w:r>
              <w:rPr>
                <w:rFonts w:ascii="Times New Roman"/>
                <w:spacing w:val="-1"/>
                <w:sz w:val="18"/>
              </w:rPr>
              <w:t>8,783,455.42</w:t>
            </w:r>
          </w:p>
        </w:tc>
        <w:tc>
          <w:tcPr>
            <w:tcW w:w="1908" w:type="dxa"/>
            <w:tcBorders>
              <w:top w:val="single" w:sz="6" w:space="0" w:color="000000"/>
              <w:left w:val="nil" w:sz="6" w:space="0" w:color="auto"/>
              <w:bottom w:val="single" w:sz="6" w:space="0" w:color="000000"/>
              <w:right w:val="nil" w:sz="6" w:space="0" w:color="auto"/>
            </w:tcBorders>
          </w:tcPr>
          <w:p>
            <w:pPr>
              <w:pStyle w:val="TableParagraph"/>
              <w:spacing w:line="240" w:lineRule="auto" w:before="92"/>
              <w:ind w:right="36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8,783,455.42</w:t>
            </w:r>
            <w:r>
              <w:rPr>
                <w:rFonts w:ascii="Times New Roman"/>
                <w:spacing w:val="-1"/>
                <w:sz w:val="18"/>
              </w:rPr>
            </w:r>
          </w:p>
        </w:tc>
      </w:tr>
      <w:tr>
        <w:trPr>
          <w:trHeight w:val="418" w:hRule="exact"/>
        </w:trPr>
        <w:tc>
          <w:tcPr>
            <w:tcW w:w="5514" w:type="dxa"/>
            <w:tcBorders>
              <w:top w:val="single" w:sz="6" w:space="0" w:color="000000"/>
              <w:left w:val="nil" w:sz="6" w:space="0" w:color="auto"/>
              <w:bottom w:val="single" w:sz="6" w:space="0" w:color="000000"/>
              <w:right w:val="nil" w:sz="6" w:space="0" w:color="auto"/>
            </w:tcBorders>
          </w:tcPr>
          <w:p>
            <w:pPr>
              <w:pStyle w:val="TableParagraph"/>
              <w:spacing w:line="240" w:lineRule="auto" w:before="51"/>
              <w:ind w:left="1218"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217" w:type="dxa"/>
            <w:tcBorders>
              <w:top w:val="single" w:sz="6" w:space="0" w:color="000000"/>
              <w:left w:val="nil" w:sz="6" w:space="0" w:color="auto"/>
              <w:bottom w:val="single" w:sz="6" w:space="0" w:color="000000"/>
              <w:right w:val="nil" w:sz="6" w:space="0" w:color="auto"/>
            </w:tcBorders>
          </w:tcPr>
          <w:p>
            <w:pPr>
              <w:pStyle w:val="TableParagraph"/>
              <w:spacing w:line="240" w:lineRule="auto" w:before="91"/>
              <w:ind w:right="419"/>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129,840,688.75</w:t>
            </w:r>
            <w:r>
              <w:rPr>
                <w:rFonts w:ascii="Times New Roman"/>
                <w:spacing w:val="-1"/>
                <w:sz w:val="18"/>
              </w:rPr>
            </w:r>
          </w:p>
        </w:tc>
        <w:tc>
          <w:tcPr>
            <w:tcW w:w="1908" w:type="dxa"/>
            <w:tcBorders>
              <w:top w:val="single" w:sz="6" w:space="0" w:color="000000"/>
              <w:left w:val="nil" w:sz="6" w:space="0" w:color="auto"/>
              <w:bottom w:val="single" w:sz="6" w:space="0" w:color="000000"/>
              <w:right w:val="nil" w:sz="6" w:space="0" w:color="auto"/>
            </w:tcBorders>
          </w:tcPr>
          <w:p>
            <w:pPr>
              <w:pStyle w:val="TableParagraph"/>
              <w:spacing w:line="240" w:lineRule="auto" w:before="91"/>
              <w:ind w:right="361"/>
              <w:jc w:val="right"/>
              <w:rPr>
                <w:rFonts w:ascii="Times New Roman" w:hAnsi="Times New Roman" w:cs="Times New Roman" w:eastAsia="Times New Roman" w:hint="default"/>
                <w:sz w:val="18"/>
                <w:szCs w:val="18"/>
              </w:rPr>
            </w:pPr>
            <w:r>
              <w:rPr>
                <w:rFonts w:ascii="Times New Roman"/>
                <w:sz w:val="18"/>
              </w:rPr>
            </w:r>
            <w:r>
              <w:rPr>
                <w:rFonts w:ascii="Times New Roman"/>
                <w:spacing w:val="-1"/>
                <w:sz w:val="18"/>
                <w:u w:val="single" w:color="000000"/>
              </w:rPr>
              <w:t>129,840,688.75</w:t>
            </w:r>
            <w:r>
              <w:rPr>
                <w:rFonts w:ascii="Times New Roman"/>
                <w:spacing w:val="-1"/>
                <w:sz w:val="18"/>
              </w:rPr>
            </w:r>
          </w:p>
        </w:tc>
      </w:tr>
    </w:tbl>
    <w:p>
      <w:pPr>
        <w:spacing w:line="240" w:lineRule="auto" w:before="0"/>
        <w:rPr>
          <w:rFonts w:ascii="宋体" w:hAnsi="宋体" w:cs="宋体" w:eastAsia="宋体" w:hint="default"/>
          <w:sz w:val="20"/>
          <w:szCs w:val="20"/>
        </w:rPr>
      </w:pPr>
    </w:p>
    <w:p>
      <w:pPr>
        <w:pStyle w:val="BodyText"/>
        <w:spacing w:line="420" w:lineRule="atLeast" w:before="49"/>
        <w:ind w:left="514" w:right="1118"/>
        <w:jc w:val="left"/>
      </w:pPr>
      <w:r>
        <w:rPr>
          <w:rFonts w:ascii="Times New Roman" w:hAnsi="Times New Roman" w:cs="Times New Roman" w:eastAsia="Times New Roman" w:hint="default"/>
        </w:rPr>
        <w:t>2.</w:t>
      </w:r>
      <w:r>
        <w:rPr/>
        <w:t>信用风险 </w:t>
      </w:r>
      <w:r>
        <w:rPr>
          <w:spacing w:val="-2"/>
        </w:rPr>
        <w:t>本公司的金融资产主要为货币资金、应收票据及应收账款、其他应收款。信用风险主要来源于客户等未能如期偿付的应</w:t>
      </w:r>
    </w:p>
    <w:p>
      <w:pPr>
        <w:pStyle w:val="BodyText"/>
        <w:spacing w:line="240" w:lineRule="auto" w:before="76"/>
        <w:ind w:right="0"/>
        <w:jc w:val="left"/>
      </w:pPr>
      <w:r>
        <w:rPr/>
        <w:t>收款项，最大的风险敞口等于这些金融工具的账面金额。</w:t>
      </w:r>
    </w:p>
    <w:p>
      <w:pPr>
        <w:spacing w:line="240" w:lineRule="auto" w:before="0"/>
        <w:rPr>
          <w:rFonts w:ascii="宋体" w:hAnsi="宋体" w:cs="宋体" w:eastAsia="宋体" w:hint="default"/>
          <w:sz w:val="15"/>
          <w:szCs w:val="15"/>
        </w:rPr>
      </w:pPr>
    </w:p>
    <w:p>
      <w:pPr>
        <w:pStyle w:val="BodyText"/>
        <w:spacing w:line="316" w:lineRule="auto"/>
        <w:ind w:right="0" w:firstLine="360"/>
        <w:jc w:val="left"/>
      </w:pPr>
      <w:r>
        <w:rPr>
          <w:spacing w:val="-2"/>
        </w:rPr>
        <w:t>本公司的货币资金主要为银行存款、保证金性质的其他货币资金，主要存放于在国内商业银行；应收票据主要为银行承</w:t>
      </w:r>
      <w:r>
        <w:rPr/>
        <w:t> 兑汇票。本公司管理层认为上述金融资产不存在重大的信用风险。</w:t>
      </w:r>
    </w:p>
    <w:p>
      <w:pPr>
        <w:pStyle w:val="BodyText"/>
        <w:spacing w:line="316" w:lineRule="auto" w:before="139"/>
        <w:ind w:right="1032" w:firstLine="360"/>
        <w:jc w:val="left"/>
      </w:pPr>
      <w:r>
        <w:rPr/>
        <w:t>本公司的应收账款主要为应收客户项目款，相应主要客户系信用良好的第三方。公司建立了较为完善的跟踪收款制度， </w:t>
      </w:r>
      <w:r>
        <w:rPr>
          <w:spacing w:val="-2"/>
        </w:rPr>
        <w:t>以确保应收账款不面临重大坏账风险。同时，公司制订了较为谨慎的应收账款坏账准备计提政策，已在财务报表中合理计提</w:t>
      </w:r>
      <w:r>
        <w:rPr>
          <w:spacing w:val="-66"/>
        </w:rPr>
        <w:t> </w:t>
      </w:r>
      <w:r>
        <w:rPr>
          <w:spacing w:val="-66"/>
        </w:rPr>
      </w:r>
      <w:r>
        <w:rPr/>
        <w:t>了减值准备。综上所述，本公司管理层认为，申报期内应收账款不存在由于客户违约带来的重大信用风险。</w:t>
      </w:r>
    </w:p>
    <w:p>
      <w:pPr>
        <w:pStyle w:val="BodyText"/>
        <w:spacing w:line="319" w:lineRule="auto" w:before="139"/>
        <w:ind w:right="1132" w:firstLine="360"/>
        <w:jc w:val="both"/>
      </w:pPr>
      <w:r>
        <w:rPr>
          <w:spacing w:val="-2"/>
        </w:rPr>
        <w:t>本公司的其他应收款，主要为投标保证金及履约保证金，其中投标保证金可在项目招投标结束之后予以退回，履约保证</w:t>
      </w:r>
      <w:r>
        <w:rPr/>
        <w:t> </w:t>
      </w:r>
      <w:r>
        <w:rPr>
          <w:spacing w:val="-2"/>
        </w:rPr>
        <w:t>金为所属项目客户为保障双方履行合同中约定的责任和义务予以收取的保证金款项，一般在项目完工后予以收回，上述情况</w:t>
      </w:r>
      <w:r>
        <w:rPr>
          <w:spacing w:val="-64"/>
        </w:rPr>
        <w:t> </w:t>
      </w:r>
      <w:r>
        <w:rPr>
          <w:spacing w:val="-64"/>
        </w:rPr>
      </w:r>
      <w:r>
        <w:rPr>
          <w:spacing w:val="-2"/>
        </w:rPr>
        <w:t>为防范其他应收款不发生坏账风险提供了合理保证，同时公司根据坏账准备计提政策，已在财务报表中谨慎的计提了相应坏</w:t>
      </w:r>
      <w:r>
        <w:rPr>
          <w:spacing w:val="-64"/>
        </w:rPr>
        <w:t> </w:t>
      </w:r>
      <w:r>
        <w:rPr>
          <w:spacing w:val="-64"/>
        </w:rPr>
      </w:r>
      <w:r>
        <w:rPr>
          <w:spacing w:val="-2"/>
        </w:rPr>
        <w:t>账准备，另根据报告期内保证金回收等历史信息，不存在大额坏账情况。综上所述，公司管理层认为，申报期内其他应收款</w:t>
      </w:r>
      <w:r>
        <w:rPr>
          <w:spacing w:val="-66"/>
        </w:rPr>
        <w:t> </w:t>
      </w:r>
      <w:r>
        <w:rPr>
          <w:spacing w:val="-66"/>
        </w:rPr>
      </w:r>
      <w:r>
        <w:rPr/>
        <w:t>不存在重大信用风险。</w:t>
      </w:r>
    </w:p>
    <w:p>
      <w:pPr>
        <w:pStyle w:val="BodyText"/>
        <w:spacing w:line="415" w:lineRule="auto" w:before="137"/>
        <w:ind w:left="514" w:right="1118"/>
        <w:jc w:val="left"/>
      </w:pPr>
      <w:r>
        <w:rPr>
          <w:rFonts w:ascii="Times New Roman" w:hAnsi="Times New Roman" w:cs="Times New Roman" w:eastAsia="Times New Roman" w:hint="default"/>
        </w:rPr>
        <w:t>3.</w:t>
      </w:r>
      <w:r>
        <w:rPr/>
        <w:t>流动风险 </w:t>
      </w:r>
      <w:r>
        <w:rPr>
          <w:spacing w:val="-2"/>
        </w:rPr>
        <w:t>流动风险，是指公司在履行与金融负债有关的义务时遇到资金短缺的风险。本公司的政策是确保拥有充足的资金以偿还</w:t>
      </w:r>
    </w:p>
    <w:p>
      <w:pPr>
        <w:pStyle w:val="BodyText"/>
        <w:spacing w:line="194" w:lineRule="exact"/>
        <w:ind w:right="0"/>
        <w:jc w:val="left"/>
      </w:pPr>
      <w:r>
        <w:rPr>
          <w:spacing w:val="-4"/>
        </w:rPr>
        <w:t>到期债务。流动性风险由本公司的财务部门集中控制。财务部门通过监控现金余额以及对未来 </w:t>
      </w:r>
      <w:r>
        <w:rPr>
          <w:rFonts w:ascii="Times New Roman" w:hAnsi="Times New Roman" w:cs="Times New Roman" w:eastAsia="Times New Roman" w:hint="default"/>
        </w:rPr>
        <w:t>12</w:t>
      </w:r>
      <w:r>
        <w:rPr>
          <w:rFonts w:ascii="Times New Roman" w:hAnsi="Times New Roman" w:cs="Times New Roman" w:eastAsia="Times New Roman" w:hint="default"/>
          <w:spacing w:val="39"/>
        </w:rPr>
        <w:t> </w:t>
      </w:r>
      <w:r>
        <w:rPr/>
        <w:t>个月现金流量的滚动预测，</w:t>
      </w:r>
    </w:p>
    <w:p>
      <w:pPr>
        <w:pStyle w:val="BodyText"/>
        <w:spacing w:line="240" w:lineRule="auto" w:before="63"/>
        <w:ind w:right="0"/>
        <w:jc w:val="left"/>
      </w:pPr>
      <w:r>
        <w:rPr/>
        <w:t>确保公司在所有合理预测的情况下拥有充足的资金偿还债务。</w:t>
      </w:r>
    </w:p>
    <w:p>
      <w:pPr>
        <w:pStyle w:val="BodyText"/>
        <w:spacing w:line="420" w:lineRule="atLeast" w:before="25"/>
        <w:ind w:left="514" w:right="1032"/>
        <w:jc w:val="left"/>
      </w:pPr>
      <w:r>
        <w:rPr>
          <w:rFonts w:ascii="Times New Roman" w:hAnsi="Times New Roman" w:cs="Times New Roman" w:eastAsia="Times New Roman" w:hint="default"/>
        </w:rPr>
        <w:t>4.</w:t>
      </w:r>
      <w:r>
        <w:rPr/>
        <w:t>市场风险 市场风险，是指金融工具的公允价值或未来现金流量因市场价格变动而发生波动的风险。市场风险主要包括利率风险、</w:t>
      </w:r>
    </w:p>
    <w:p>
      <w:pPr>
        <w:pStyle w:val="BodyText"/>
        <w:spacing w:line="240" w:lineRule="auto" w:before="76"/>
        <w:ind w:right="0"/>
        <w:jc w:val="left"/>
      </w:pPr>
      <w:r>
        <w:rPr/>
        <w:t>外汇风险等。</w:t>
      </w:r>
    </w:p>
    <w:p>
      <w:pPr>
        <w:pStyle w:val="BodyText"/>
        <w:spacing w:line="420" w:lineRule="atLeast" w:before="25"/>
        <w:ind w:left="514" w:right="1118"/>
        <w:jc w:val="left"/>
      </w:pP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利率风险，是指金融工具的公允价值或未来现金流量因市场利率变动而发生波动的风险。本公司借款的借款合同对借款</w:t>
      </w:r>
    </w:p>
    <w:p>
      <w:pPr>
        <w:pStyle w:val="BodyText"/>
        <w:spacing w:line="240" w:lineRule="auto" w:before="76"/>
        <w:ind w:right="0"/>
        <w:jc w:val="left"/>
      </w:pPr>
      <w:r>
        <w:rPr/>
        <w:t>利率均进行了明确约定，故本公司金融负债不存在市场利率变动的重大风险。</w:t>
      </w:r>
    </w:p>
    <w:p>
      <w:pPr>
        <w:pStyle w:val="BodyText"/>
        <w:spacing w:line="420" w:lineRule="atLeast" w:before="25"/>
        <w:ind w:left="514" w:right="1118"/>
        <w:jc w:val="left"/>
      </w:pPr>
      <w:r>
        <w:rPr>
          <w:rFonts w:ascii="Times New Roman" w:hAnsi="Times New Roman" w:cs="Times New Roman" w:eastAsia="Times New Roman" w:hint="default"/>
        </w:rPr>
        <w:t>2</w:t>
      </w:r>
      <w:r>
        <w:rPr/>
        <w:t>）外汇风险 </w:t>
      </w:r>
      <w:r>
        <w:rPr>
          <w:spacing w:val="-2"/>
        </w:rPr>
        <w:t>外汇风险，是指金融工具的公允价值或未来现金流量因外汇汇率变动而发生波动的风险。本公司无出口销售收入，不存</w:t>
      </w:r>
    </w:p>
    <w:p>
      <w:pPr>
        <w:pStyle w:val="BodyText"/>
        <w:spacing w:line="240" w:lineRule="auto" w:before="76"/>
        <w:ind w:right="0"/>
        <w:jc w:val="left"/>
      </w:pPr>
      <w:r>
        <w:rPr/>
        <w:t>在金融工具的公允价值或未来现金流量因外汇汇率变动而发生波动的重大风险。</w:t>
      </w:r>
    </w:p>
    <w:p>
      <w:pPr>
        <w:spacing w:line="240" w:lineRule="auto" w:before="0"/>
        <w:rPr>
          <w:rFonts w:ascii="宋体" w:hAnsi="宋体" w:cs="宋体" w:eastAsia="宋体" w:hint="default"/>
          <w:sz w:val="15"/>
          <w:szCs w:val="15"/>
        </w:rPr>
      </w:pPr>
    </w:p>
    <w:p>
      <w:pPr>
        <w:pStyle w:val="BodyText"/>
        <w:spacing w:line="240" w:lineRule="auto"/>
        <w:ind w:left="514" w:right="0"/>
        <w:jc w:val="left"/>
      </w:pPr>
      <w:r>
        <w:rPr>
          <w:rFonts w:ascii="Times New Roman" w:hAnsi="Times New Roman" w:cs="Times New Roman" w:eastAsia="Times New Roman" w:hint="default"/>
        </w:rPr>
        <w:t>5.</w:t>
      </w:r>
      <w:r>
        <w:rPr/>
        <w:t>资本管理</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8" w:firstLine="360"/>
        <w:jc w:val="left"/>
      </w:pPr>
      <w:r>
        <w:rPr>
          <w:spacing w:val="-2"/>
        </w:rPr>
        <w:t>本公司资本管理的主要目标是确保本公司持续经营的能力，并保持健康的资本比率，以支持业务发展并使股东价值最大</w:t>
      </w:r>
      <w:r>
        <w:rPr/>
        <w:t> 化。</w:t>
      </w:r>
    </w:p>
    <w:p>
      <w:pPr>
        <w:pStyle w:val="BodyText"/>
        <w:spacing w:line="316" w:lineRule="auto" w:before="139"/>
        <w:ind w:right="0" w:firstLine="360"/>
        <w:jc w:val="left"/>
      </w:pPr>
      <w:r>
        <w:rPr>
          <w:spacing w:val="-2"/>
        </w:rPr>
        <w:t>本公司管理资本结构并根据经济形势以及相关资产的风险特征的变化对其进行调整。为维持或调整资本结构，本公司可</w:t>
      </w:r>
      <w:r>
        <w:rPr/>
        <w:t> 以调整对股东的利润分配、向股东归还资本或发行新股。</w:t>
      </w:r>
    </w:p>
    <w:p>
      <w:pPr>
        <w:pStyle w:val="BodyText"/>
        <w:spacing w:line="432" w:lineRule="exact" w:before="4"/>
        <w:ind w:left="514" w:right="0"/>
        <w:jc w:val="left"/>
      </w:pPr>
      <w:r>
        <w:rPr/>
        <w:t>本公司不受外部强制性资本要求约束。与上期相比，公司资本管理目标、政策或程序未发生变化。 </w:t>
      </w:r>
      <w:r>
        <w:rPr>
          <w:spacing w:val="-2"/>
        </w:rPr>
        <w:t>本公司以资产负债率（即总负债除以总资产）为基础对资本结构进行监控。</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w:t>
      </w:r>
    </w:p>
    <w:p>
      <w:pPr>
        <w:pStyle w:val="BodyText"/>
        <w:spacing w:line="240" w:lineRule="auto" w:before="15"/>
        <w:ind w:right="0"/>
        <w:jc w:val="left"/>
      </w:pPr>
      <w:r>
        <w:rPr/>
        <w:t>的资产负债率分别为为</w:t>
      </w:r>
      <w:r>
        <w:rPr>
          <w:rFonts w:ascii="Times New Roman" w:hAnsi="Times New Roman" w:cs="Times New Roman" w:eastAsia="Times New Roman" w:hint="default"/>
        </w:rPr>
        <w:t>32.84%</w:t>
      </w:r>
      <w:r>
        <w:rPr/>
        <w:t>和</w:t>
      </w:r>
      <w:r>
        <w:rPr>
          <w:rFonts w:ascii="Times New Roman" w:hAnsi="Times New Roman" w:cs="Times New Roman" w:eastAsia="Times New Roman" w:hint="default"/>
        </w:rPr>
        <w:t>36.09%</w:t>
      </w:r>
      <w:r>
        <w:rPr/>
        <w:t>。</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一、公允价值的披露" w:id="385"/>
      <w:bookmarkEnd w:id="385"/>
      <w:r>
        <w:rPr>
          <w:b w:val="0"/>
          <w:bCs w:val="0"/>
        </w:rPr>
      </w:r>
      <w:r>
        <w:rPr/>
        <w:t>十一、公允价值的披露</w:t>
      </w:r>
      <w:r>
        <w:rPr>
          <w:b w:val="0"/>
          <w:bCs w:val="0"/>
        </w:rPr>
      </w:r>
    </w:p>
    <w:p>
      <w:pPr>
        <w:pStyle w:val="BodyText"/>
        <w:spacing w:line="430" w:lineRule="atLeast" w:before="152"/>
        <w:ind w:left="574" w:right="0"/>
        <w:jc w:val="left"/>
      </w:pPr>
      <w:r>
        <w:rPr/>
        <w:t>公允价值，是指市场参与者在计量日发生的有序交易中，出售一项资产所能收到或转移一项债务所需支付的价格。 本公司报告期内财务报表中的金融资产与金融负债，均不以公允价值计量，以下方法和假设用于估计公允价值：货币</w:t>
      </w:r>
    </w:p>
    <w:p>
      <w:pPr>
        <w:pStyle w:val="BodyText"/>
        <w:spacing w:line="316" w:lineRule="auto" w:before="76"/>
        <w:ind w:right="1118"/>
        <w:jc w:val="left"/>
      </w:pPr>
      <w:r>
        <w:rPr>
          <w:spacing w:val="-2"/>
        </w:rPr>
        <w:t>资金、应收票据、应收账款、其他应收款、应付票据、应付账款、其他应付款等，因剩余期限不长，公允价值与账面价值相</w:t>
      </w:r>
      <w:r>
        <w:rPr>
          <w:spacing w:val="-67"/>
        </w:rPr>
        <w:t> </w:t>
      </w:r>
      <w:r>
        <w:rPr>
          <w:spacing w:val="-67"/>
        </w:rPr>
      </w:r>
      <w:r>
        <w:rPr/>
        <w:t>等。</w:t>
      </w:r>
    </w:p>
    <w:p>
      <w:pPr>
        <w:spacing w:line="240" w:lineRule="auto" w:before="10"/>
        <w:rPr>
          <w:rFonts w:ascii="宋体" w:hAnsi="宋体" w:cs="宋体" w:eastAsia="宋体" w:hint="default"/>
          <w:sz w:val="20"/>
          <w:szCs w:val="20"/>
        </w:rPr>
      </w:pPr>
    </w:p>
    <w:p>
      <w:pPr>
        <w:spacing w:line="506" w:lineRule="auto" w:before="0"/>
        <w:ind w:left="154" w:right="7692" w:firstLine="0"/>
        <w:jc w:val="left"/>
        <w:rPr>
          <w:rFonts w:ascii="宋体" w:hAnsi="宋体" w:cs="宋体" w:eastAsia="宋体" w:hint="default"/>
          <w:sz w:val="18"/>
          <w:szCs w:val="18"/>
        </w:rPr>
      </w:pPr>
      <w:bookmarkStart w:name="十二、关联方及关联交易" w:id="386"/>
      <w:bookmarkEnd w:id="386"/>
      <w:r>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bookmarkStart w:name="1、本企业的母公司情况" w:id="387"/>
      <w:bookmarkEnd w:id="38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18"/>
          <w:szCs w:val="18"/>
        </w:rPr>
        <w:t>本公司无母公司。</w:t>
      </w:r>
    </w:p>
    <w:p>
      <w:pPr>
        <w:pStyle w:val="BodyText"/>
        <w:spacing w:line="234" w:lineRule="exact"/>
        <w:ind w:right="0"/>
        <w:jc w:val="left"/>
      </w:pPr>
      <w:r>
        <w:rPr/>
        <w:t>本企业最终控制方是公司共同实际控制人费耀平、李杰、李建华、刘应龙、刘星沙。</w:t>
      </w:r>
    </w:p>
    <w:p>
      <w:pPr>
        <w:spacing w:line="240" w:lineRule="auto" w:before="11"/>
        <w:rPr>
          <w:rFonts w:ascii="宋体" w:hAnsi="宋体" w:cs="宋体" w:eastAsia="宋体" w:hint="default"/>
          <w:sz w:val="26"/>
          <w:szCs w:val="26"/>
        </w:rPr>
      </w:pPr>
    </w:p>
    <w:p>
      <w:pPr>
        <w:spacing w:line="547" w:lineRule="auto" w:before="0"/>
        <w:ind w:left="154" w:right="5982" w:firstLine="0"/>
        <w:jc w:val="left"/>
        <w:rPr>
          <w:rFonts w:ascii="宋体" w:hAnsi="宋体" w:cs="宋体" w:eastAsia="宋体" w:hint="default"/>
          <w:sz w:val="21"/>
          <w:szCs w:val="21"/>
        </w:rPr>
      </w:pPr>
      <w:bookmarkStart w:name="2、本企业的子公司情况" w:id="388"/>
      <w:bookmarkEnd w:id="38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、在其他主体中的权益。 </w:t>
      </w:r>
      <w:bookmarkStart w:name="3、本企业合营和联营企业情况" w:id="389"/>
      <w:bookmarkEnd w:id="389"/>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50"/>
        <w:ind w:right="0"/>
        <w:jc w:val="left"/>
      </w:pPr>
      <w:r>
        <w:rPr/>
        <w:t>本企业重要的合营或联营企业详见附注。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390"/>
      <w:bookmarkEnd w:id="39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124"/>
              <w:jc w:val="center"/>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以上股东中南大学资产经营管理有限公司的母公司</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5、关联交易情况" w:id="391"/>
      <w:bookmarkEnd w:id="39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92"/>
      <w:bookmarkEnd w:id="39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54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4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0" w:right="0"/>
              <w:jc w:val="left"/>
              <w:rPr>
                <w:rFonts w:ascii="Times New Roman" w:hAnsi="Times New Roman" w:cs="Times New Roman" w:eastAsia="Times New Roman" w:hint="default"/>
                <w:sz w:val="18"/>
                <w:szCs w:val="18"/>
              </w:rPr>
            </w:pPr>
            <w:r>
              <w:rPr>
                <w:rFonts w:ascii="Times New Roman"/>
                <w:sz w:val="18"/>
              </w:rPr>
              <w:t>100,000.00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7"/>
          <w:szCs w:val="27"/>
        </w:rPr>
      </w:pPr>
    </w:p>
    <w:p>
      <w:pPr>
        <w:pStyle w:val="BodyText"/>
        <w:spacing w:line="240" w:lineRule="auto" w:before="44"/>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47"/>
        <w:gridCol w:w="2271"/>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22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系统集成、信息技术服务</w:t>
            </w:r>
          </w:p>
        </w:tc>
        <w:tc>
          <w:tcPr>
            <w:tcW w:w="227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left="1281" w:right="0"/>
              <w:jc w:val="left"/>
              <w:rPr>
                <w:rFonts w:ascii="Times New Roman" w:hAnsi="Times New Roman" w:cs="Times New Roman" w:eastAsia="Times New Roman" w:hint="default"/>
                <w:sz w:val="18"/>
                <w:szCs w:val="18"/>
              </w:rPr>
            </w:pPr>
            <w:r>
              <w:rPr>
                <w:rFonts w:ascii="Times New Roman"/>
                <w:sz w:val="18"/>
              </w:rPr>
              <w:t>2,736,701.36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1,495,889.37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关联受托管理/承包及委托管理/出包情况" w:id="393"/>
      <w:bookmarkEnd w:id="39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关联租赁情况" w:id="394"/>
      <w:bookmarkEnd w:id="39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关联担保情况" w:id="395"/>
      <w:bookmarkEnd w:id="39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本公司作为被担保方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费耀平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7" w:right="0"/>
              <w:jc w:val="left"/>
              <w:rPr>
                <w:rFonts w:ascii="Times New Roman" w:hAnsi="Times New Roman" w:cs="Times New Roman" w:eastAsia="Times New Roman" w:hint="default"/>
                <w:sz w:val="18"/>
                <w:szCs w:val="18"/>
              </w:rPr>
            </w:pPr>
            <w:r>
              <w:rPr>
                <w:rFonts w:ascii="Times New Roman"/>
                <w:sz w:val="18"/>
              </w:rPr>
              <w:t>55,000,000.00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pStyle w:val="BodyText"/>
        <w:spacing w:line="300" w:lineRule="auto" w:before="115"/>
        <w:ind w:right="1137"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日，本公司董事长费耀平向上海浦东发展银行股份有限公司长沙分行出具了编号为 </w:t>
      </w:r>
      <w:r>
        <w:rPr>
          <w:rFonts w:ascii="Times New Roman" w:hAnsi="Times New Roman" w:cs="Times New Roman" w:eastAsia="Times New Roman" w:hint="default"/>
        </w:rPr>
        <w:t>“ZB6610201800000014”</w:t>
      </w:r>
      <w:r>
        <w:rPr/>
        <w:t>最高额保证合同，为该行向本公司提供的最高额度为</w:t>
      </w:r>
      <w:r>
        <w:rPr>
          <w:rFonts w:ascii="Times New Roman" w:hAnsi="Times New Roman" w:cs="Times New Roman" w:eastAsia="Times New Roman" w:hint="default"/>
        </w:rPr>
        <w:t>5,500</w:t>
      </w:r>
      <w:r>
        <w:rPr/>
        <w:t>万元人民币的授信提供连带责任保证，授</w:t>
      </w:r>
      <w:r>
        <w:rPr>
          <w:w w:val="100"/>
        </w:rPr>
        <w:t> </w:t>
      </w:r>
      <w:r>
        <w:rPr/>
        <w:t>信期间为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w:t>
      </w:r>
    </w:p>
    <w:p>
      <w:pPr>
        <w:pStyle w:val="BodyText"/>
        <w:spacing w:line="240" w:lineRule="auto" w:before="13"/>
        <w:ind w:left="514"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日，公司在该行借款为短期借款</w:t>
      </w:r>
      <w:r>
        <w:rPr>
          <w:rFonts w:ascii="Times New Roman" w:hAnsi="Times New Roman" w:cs="Times New Roman" w:eastAsia="Times New Roman" w:hint="default"/>
        </w:rPr>
        <w:t>2,000</w:t>
      </w:r>
      <w:r>
        <w:rPr/>
        <w:t>万元。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5）关联方资金拆借" w:id="396"/>
      <w:bookmarkEnd w:id="39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关联方资产转让、债务重组情况" w:id="397"/>
      <w:bookmarkEnd w:id="39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关键管理人员报酬" w:id="398"/>
      <w:bookmarkEnd w:id="39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3,187,400.00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2,523,000.00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399"/>
      <w:bookmarkEnd w:id="399"/>
      <w:r>
        <w:rPr>
          <w:b w:val="0"/>
          <w:bCs w:val="0"/>
        </w:rPr>
      </w:r>
      <w:r>
        <w:rPr/>
        <w:t>（</w:t>
      </w:r>
      <w:r>
        <w:rPr>
          <w:rFonts w:ascii="Times New Roman" w:hAnsi="Times New Roman" w:cs="Times New Roman" w:eastAsia="Times New Roman" w:hint="default"/>
        </w:rPr>
        <w:t>8</w:t>
      </w:r>
      <w:r>
        <w:rPr/>
        <w:t>）其他关联交易</w:t>
      </w:r>
      <w:r>
        <w:rPr>
          <w:b w:val="0"/>
          <w:bCs w:val="0"/>
        </w:rPr>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6、关联方应收应付款项" w:id="400"/>
      <w:bookmarkEnd w:id="40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01"/>
      <w:bookmarkEnd w:id="40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434,500.00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429,000.00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21,450.00</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837,840.00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837,840.00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837,840.00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167,568.00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402"/>
      <w:bookmarkEnd w:id="40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关联方承诺" w:id="403"/>
      <w:bookmarkEnd w:id="40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04"/>
      <w:bookmarkEnd w:id="40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05"/>
      <w:bookmarkEnd w:id="405"/>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06"/>
      <w:bookmarkEnd w:id="40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以权益结算的股份支付情况" w:id="407"/>
      <w:bookmarkEnd w:id="40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以现金结算的股份支付情况" w:id="408"/>
      <w:bookmarkEnd w:id="40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股份支付的修改、终止情况" w:id="409"/>
      <w:bookmarkEnd w:id="409"/>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952" w:firstLine="0"/>
        <w:jc w:val="left"/>
        <w:rPr>
          <w:rFonts w:ascii="宋体" w:hAnsi="宋体" w:cs="宋体" w:eastAsia="宋体" w:hint="default"/>
          <w:sz w:val="21"/>
          <w:szCs w:val="21"/>
        </w:rPr>
      </w:pPr>
      <w:bookmarkStart w:name="5、其他" w:id="410"/>
      <w:bookmarkEnd w:id="41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11"/>
      <w:bookmarkEnd w:id="41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12"/>
      <w:bookmarkEnd w:id="412"/>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8"/>
        <w:ind w:right="6432"/>
        <w:jc w:val="left"/>
      </w:pPr>
      <w:r>
        <w:rPr/>
        <w:t>资产负债表日存在的重要承诺 截至资产负债表日，本公司无需要披露的承诺及事项。</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或有事项" w:id="413"/>
      <w:bookmarkEnd w:id="41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14"/>
      <w:bookmarkEnd w:id="41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截至资产负债表日，本公司无需要披露的或有事项。</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2）公司没有需要披露的重要或有事项，也应予以说明" w:id="415"/>
      <w:bookmarkEnd w:id="41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16"/>
      <w:bookmarkEnd w:id="41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17"/>
      <w:bookmarkEnd w:id="41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18"/>
      <w:bookmarkEnd w:id="41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3"/>
        <w:spacing w:line="240" w:lineRule="auto" w:before="83"/>
        <w:ind w:right="0"/>
        <w:jc w:val="left"/>
        <w:rPr>
          <w:b w:val="0"/>
          <w:bCs w:val="0"/>
        </w:rPr>
      </w:pPr>
      <w:bookmarkStart w:name="2、利润分配情况" w:id="419"/>
      <w:bookmarkEnd w:id="41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9,480,491.88</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9,480,491.88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销售退回" w:id="420"/>
      <w:bookmarkEnd w:id="42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5" w:firstLine="0"/>
        <w:jc w:val="left"/>
        <w:rPr>
          <w:rFonts w:ascii="宋体" w:hAnsi="宋体" w:cs="宋体" w:eastAsia="宋体" w:hint="default"/>
          <w:sz w:val="21"/>
          <w:szCs w:val="21"/>
        </w:rPr>
      </w:pPr>
      <w:bookmarkStart w:name="4、其他资产负债表日后事项说明" w:id="421"/>
      <w:bookmarkEnd w:id="42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22"/>
      <w:bookmarkEnd w:id="422"/>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23"/>
      <w:bookmarkEnd w:id="42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3"/>
        <w:spacing w:line="240" w:lineRule="auto" w:before="84"/>
        <w:ind w:right="0"/>
        <w:jc w:val="left"/>
        <w:rPr>
          <w:b w:val="0"/>
          <w:bCs w:val="0"/>
        </w:rPr>
      </w:pPr>
      <w:bookmarkStart w:name="2、债务重组" w:id="424"/>
      <w:bookmarkEnd w:id="424"/>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25"/>
      <w:bookmarkEnd w:id="425"/>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26"/>
      <w:bookmarkEnd w:id="426"/>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27"/>
      <w:bookmarkEnd w:id="427"/>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分部信息" w:id="428"/>
      <w:bookmarkEnd w:id="428"/>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7、其他对投资者决策有影响的重要交易和事项" w:id="429"/>
      <w:bookmarkEnd w:id="429"/>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spacing w:line="487" w:lineRule="auto" w:before="35"/>
        <w:ind w:left="154" w:right="6472" w:firstLine="0"/>
        <w:jc w:val="left"/>
        <w:rPr>
          <w:rFonts w:ascii="宋体" w:hAnsi="宋体" w:cs="宋体" w:eastAsia="宋体" w:hint="default"/>
          <w:sz w:val="21"/>
          <w:szCs w:val="21"/>
        </w:rPr>
      </w:pPr>
      <w:bookmarkStart w:name="8、其他" w:id="430"/>
      <w:bookmarkEnd w:id="43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31"/>
      <w:bookmarkEnd w:id="43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432"/>
      <w:bookmarkEnd w:id="432"/>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1,964,488.04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154,881,114.50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106,404,070.70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154,911,114.50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108,368,558.74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433"/>
      <w:bookmarkEnd w:id="433"/>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1,964,488.04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1,964,488.04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rFonts w:ascii="Times New Roman" w:hAnsi="Times New Roman" w:cs="Times New Roman" w:eastAsia="Times New Roman" w:hint="default"/>
        </w:rPr>
        <w:t>2)</w:t>
      </w:r>
      <w:r>
        <w:rPr/>
        <w:t>期末公司已质押的应收票据</w:t>
      </w:r>
    </w:p>
    <w:p>
      <w:pPr>
        <w:pStyle w:val="BodyText"/>
        <w:spacing w:line="240" w:lineRule="auto" w:before="104"/>
        <w:ind w:right="-20"/>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5165" w:space="366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8,761,302.36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8,761,302.36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期末无因出票人无力履约而转为应收账款的票据。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应收账款" w:id="434"/>
      <w:bookmarkEnd w:id="434"/>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170,523,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565.04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15,642,4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50.54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154,881,1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14.50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116,871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,680.80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10,467,61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106,404,07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170,523,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15,642,4</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154,881,1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2" w:right="0"/>
              <w:jc w:val="left"/>
              <w:rPr>
                <w:rFonts w:ascii="Times New Roman" w:hAnsi="Times New Roman" w:cs="Times New Roman" w:eastAsia="Times New Roman" w:hint="default"/>
                <w:sz w:val="18"/>
                <w:szCs w:val="18"/>
              </w:rPr>
            </w:pPr>
            <w:r>
              <w:rPr>
                <w:rFonts w:ascii="Times New Roman"/>
                <w:sz w:val="18"/>
              </w:rPr>
              <w:t>116,871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10,467,61</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106,404,07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565.04</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3" w:right="0"/>
              <w:jc w:val="left"/>
              <w:rPr>
                <w:rFonts w:ascii="Times New Roman" w:hAnsi="Times New Roman" w:cs="Times New Roman" w:eastAsia="Times New Roman" w:hint="default"/>
                <w:sz w:val="18"/>
                <w:szCs w:val="18"/>
              </w:rPr>
            </w:pPr>
            <w:r>
              <w:rPr>
                <w:rFonts w:ascii="Times New Roman"/>
                <w:sz w:val="18"/>
              </w:rPr>
              <w:t>50.54</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14.50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sz w:val="18"/>
              </w:rPr>
              <w:t>,680.80</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5" w:right="0"/>
              <w:jc w:val="left"/>
              <w:rPr>
                <w:rFonts w:ascii="Times New Roman" w:hAnsi="Times New Roman" w:cs="Times New Roman" w:eastAsia="Times New Roman" w:hint="default"/>
                <w:sz w:val="18"/>
                <w:szCs w:val="18"/>
              </w:rPr>
            </w:pPr>
            <w:r>
              <w:rPr>
                <w:rFonts w:ascii="Times New Roman"/>
                <w:sz w:val="18"/>
              </w:rPr>
              <w:t>0.10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4" w:right="0"/>
              <w:jc w:val="left"/>
              <w:rPr>
                <w:rFonts w:ascii="Times New Roman" w:hAnsi="Times New Roman" w:cs="Times New Roman" w:eastAsia="Times New Roman" w:hint="default"/>
                <w:sz w:val="18"/>
                <w:szCs w:val="18"/>
              </w:rPr>
            </w:pPr>
            <w:r>
              <w:rPr>
                <w:rFonts w:ascii="Times New Roman"/>
                <w:sz w:val="18"/>
              </w:rPr>
              <w:t>0.70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0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120,185,096.97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6,009,254.84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120,185,096.97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6,009,254.84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31,603,205.54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3,160,320.55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12,718,630.80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2,543,726.16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3,357,493.99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1,678,747.00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2,043,678.74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1,634,942.99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615,459.00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615,459.00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170,523,565.04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15,642,450.54</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组合中，采用余额百分比法计提坏账准备的应收账款：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0"/>
        <w:jc w:val="left"/>
      </w:pPr>
      <w:r>
        <w:rPr/>
        <w:t>本期计提坏账准备金额</w:t>
      </w:r>
      <w:r>
        <w:rPr>
          <w:spacing w:val="-47"/>
        </w:rPr>
        <w:t> </w:t>
      </w:r>
      <w:r>
        <w:rPr>
          <w:rFonts w:ascii="Times New Roman" w:hAnsi="Times New Roman" w:cs="Times New Roman" w:eastAsia="Times New Roman" w:hint="default"/>
        </w:rPr>
        <w:t>5,174,840.44</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1"/>
        <w:ind w:right="0"/>
        <w:jc w:val="left"/>
      </w:pPr>
      <w:r>
        <w:rPr>
          <w:rFonts w:ascii="Times New Roman" w:hAnsi="Times New Roman" w:cs="Times New Roman" w:eastAsia="Times New Roman" w:hint="default"/>
        </w:rPr>
        <w:t>3)</w:t>
      </w:r>
      <w:r>
        <w:rPr/>
        <w:t>本期实际核销的应收账款情况</w:t>
      </w:r>
    </w:p>
    <w:p>
      <w:pPr>
        <w:pStyle w:val="BodyText"/>
        <w:spacing w:line="338" w:lineRule="auto" w:before="103"/>
        <w:ind w:right="1521"/>
        <w:jc w:val="left"/>
      </w:pPr>
      <w:r>
        <w:rPr>
          <w:rFonts w:ascii="Times New Roman" w:hAnsi="Times New Roman" w:cs="Times New Roman" w:eastAsia="Times New Roman" w:hint="default"/>
        </w:rPr>
        <w:t>4)</w:t>
      </w:r>
      <w:r>
        <w:rPr/>
        <w:t>按欠款方归集的期末余额前五名的应收账款情况</w:t>
      </w:r>
      <w:r>
        <w:rPr>
          <w:w w:val="99"/>
        </w:rPr>
        <w:t> </w:t>
      </w:r>
      <w:r>
        <w:rPr/>
        <w:t>期末应收账款余额前五名合计</w:t>
      </w:r>
      <w:r>
        <w:rPr>
          <w:rFonts w:ascii="Times New Roman" w:hAnsi="Times New Roman" w:cs="Times New Roman" w:eastAsia="Times New Roman" w:hint="default"/>
        </w:rPr>
        <w:t>41,253,921.30</w:t>
      </w:r>
      <w:r>
        <w:rPr/>
        <w:t>元，占应收账款余额的比例为</w:t>
      </w:r>
      <w:r>
        <w:rPr>
          <w:rFonts w:ascii="Times New Roman" w:hAnsi="Times New Roman" w:cs="Times New Roman" w:eastAsia="Times New Roman" w:hint="default"/>
        </w:rPr>
        <w:t>24.19</w:t>
      </w:r>
      <w:r>
        <w:rPr>
          <w:rFonts w:ascii="Times New Roman" w:hAnsi="Times New Roman" w:cs="Times New Roman" w:eastAsia="Times New Roman" w:hint="default"/>
          <w:spacing w:val="-9"/>
        </w:rPr>
        <w:t> </w:t>
      </w:r>
      <w:r>
        <w:rPr>
          <w:rFonts w:ascii="Times New Roman" w:hAnsi="Times New Roman" w:cs="Times New Roman" w:eastAsia="Times New Roman" w:hint="default"/>
        </w:rPr>
        <w:t>%</w:t>
      </w:r>
      <w:r>
        <w:rPr/>
        <w:t>，坏账准备期末余额</w:t>
      </w:r>
      <w:r>
        <w:rPr>
          <w:rFonts w:ascii="Times New Roman" w:hAnsi="Times New Roman" w:cs="Times New Roman" w:eastAsia="Times New Roman" w:hint="default"/>
        </w:rPr>
        <w:t>2,062,696.07</w:t>
      </w:r>
      <w:r>
        <w:rPr/>
        <w:t>元。</w:t>
      </w:r>
    </w:p>
    <w:p>
      <w:pPr>
        <w:pStyle w:val="BodyText"/>
        <w:spacing w:line="345" w:lineRule="auto" w:before="102"/>
        <w:ind w:right="6432"/>
        <w:jc w:val="left"/>
      </w:pPr>
      <w:r>
        <w:rPr>
          <w:rFonts w:ascii="Times New Roman" w:hAnsi="Times New Roman" w:cs="Times New Roman" w:eastAsia="Times New Roman" w:hint="default"/>
        </w:rPr>
        <w:t>5)</w:t>
      </w:r>
      <w:r>
        <w:rPr/>
        <w:t>因金融资产转移而终止确认的应收账款</w:t>
      </w:r>
      <w:r>
        <w:rPr>
          <w:w w:val="99"/>
        </w:rPr>
        <w:t> </w:t>
      </w:r>
      <w:r>
        <w:rPr/>
        <w:t>期末无因金融资产转移而终止确认的应收账款。</w:t>
      </w:r>
      <w:r>
        <w:rPr>
          <w:w w:val="99"/>
        </w:rPr>
        <w:t> </w:t>
      </w:r>
      <w:r>
        <w:rPr>
          <w:rFonts w:ascii="Times New Roman" w:hAnsi="Times New Roman" w:cs="Times New Roman" w:eastAsia="Times New Roman" w:hint="default"/>
        </w:rPr>
        <w:t>6)</w:t>
      </w:r>
      <w:r>
        <w:rPr/>
        <w:t>转移应收账款且继续涉入形成的资产、负债金额</w:t>
      </w:r>
      <w:r>
        <w:rPr>
          <w:w w:val="99"/>
        </w:rPr>
        <w:t> </w:t>
      </w:r>
      <w:r>
        <w:rPr/>
        <w:t>期末无因转移应收账款而继续涉入形成的资产、负债。</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2、其他应收款" w:id="435"/>
      <w:bookmarkEnd w:id="43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14,802,809.53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13,889,816.61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14,802,809.53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13,889,816.61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应收利息" w:id="436"/>
      <w:bookmarkEnd w:id="43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应收股利" w:id="437"/>
      <w:bookmarkEnd w:id="43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其他应收款" w:id="438"/>
      <w:bookmarkEnd w:id="43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38"/>
        <w:gridCol w:w="849"/>
        <w:gridCol w:w="721"/>
        <w:gridCol w:w="710"/>
        <w:gridCol w:w="856"/>
        <w:gridCol w:w="790"/>
        <w:gridCol w:w="764"/>
        <w:gridCol w:w="652"/>
        <w:gridCol w:w="909"/>
        <w:gridCol w:w="836"/>
        <w:gridCol w:w="932"/>
      </w:tblGrid>
      <w:tr>
        <w:trPr>
          <w:trHeight w:val="402"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2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7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1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1538" w:type="dxa"/>
            <w:vMerge/>
            <w:tcBorders>
              <w:left w:val="single" w:sz="4" w:space="0" w:color="000000"/>
              <w:bottom w:val="nil" w:sz="6" w:space="0" w:color="auto"/>
              <w:right w:val="single" w:sz="4" w:space="0" w:color="000000"/>
            </w:tcBorders>
            <w:shd w:val="clear" w:color="auto" w:fill="D2D2D2"/>
          </w:tcPr>
          <w:p>
            <w:pPr/>
          </w:p>
        </w:tc>
        <w:tc>
          <w:tcPr>
            <w:tcW w:w="1570" w:type="dxa"/>
            <w:gridSpan w:val="2"/>
            <w:vMerge/>
            <w:tcBorders>
              <w:left w:val="single" w:sz="4" w:space="0" w:color="000000"/>
              <w:bottom w:val="single" w:sz="4" w:space="0" w:color="000000"/>
              <w:right w:val="single" w:sz="4" w:space="0" w:color="000000"/>
            </w:tcBorders>
            <w:shd w:val="clear" w:color="auto" w:fill="D2D2D2"/>
          </w:tcPr>
          <w:p>
            <w:pPr/>
          </w:p>
        </w:tc>
        <w:tc>
          <w:tcPr>
            <w:tcW w:w="1565"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8" w:hRule="exact"/>
        </w:trPr>
        <w:tc>
          <w:tcPr>
            <w:tcW w:w="1538" w:type="dxa"/>
            <w:vMerge w:val="restart"/>
            <w:tcBorders>
              <w:top w:val="nil" w:sz="6" w:space="0" w:color="auto"/>
              <w:left w:val="single" w:sz="4" w:space="0" w:color="000000"/>
              <w:right w:val="single" w:sz="4" w:space="0" w:color="000000"/>
            </w:tcBorders>
            <w:shd w:val="clear" w:color="auto" w:fill="D2D2D2"/>
          </w:tcPr>
          <w:p>
            <w:pPr/>
          </w:p>
        </w:tc>
        <w:tc>
          <w:tcPr>
            <w:tcW w:w="8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0" w:type="dxa"/>
            <w:vMerge/>
            <w:tcBorders>
              <w:left w:val="single" w:sz="4" w:space="0" w:color="000000"/>
              <w:bottom w:val="nil" w:sz="6" w:space="0" w:color="auto"/>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38" w:type="dxa"/>
            <w:vMerge/>
            <w:tcBorders>
              <w:left w:val="single" w:sz="4" w:space="0" w:color="000000"/>
              <w:bottom w:val="single" w:sz="4" w:space="0" w:color="000000"/>
              <w:right w:val="single" w:sz="4" w:space="0" w:color="000000"/>
            </w:tcBorders>
            <w:shd w:val="clear" w:color="auto" w:fill="D2D2D2"/>
          </w:tcPr>
          <w:p>
            <w:pPr/>
          </w:p>
        </w:tc>
        <w:tc>
          <w:tcPr>
            <w:tcW w:w="849" w:type="dxa"/>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56"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909" w:type="dxa"/>
            <w:vMerge/>
            <w:tcBorders>
              <w:left w:val="single" w:sz="4" w:space="0" w:color="000000"/>
              <w:bottom w:val="single" w:sz="4" w:space="0" w:color="000000"/>
              <w:right w:val="single" w:sz="4" w:space="0" w:color="000000"/>
            </w:tcBorders>
            <w:shd w:val="clear" w:color="auto" w:fill="D2D2D2"/>
          </w:tcPr>
          <w:p>
            <w:pPr/>
          </w:p>
        </w:tc>
        <w:tc>
          <w:tcPr>
            <w:tcW w:w="836" w:type="dxa"/>
            <w:vMerge/>
            <w:tcBorders>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4"/>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8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18,805,36</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4.68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97.41%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4,002,55</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5.15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14,802,80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9.53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16,018,5</w:t>
            </w:r>
          </w:p>
          <w:p>
            <w:pPr>
              <w:pStyle w:val="TableParagraph"/>
              <w:spacing w:line="240" w:lineRule="auto" w:before="106"/>
              <w:ind w:left="326" w:right="0"/>
              <w:jc w:val="left"/>
              <w:rPr>
                <w:rFonts w:ascii="Times New Roman" w:hAnsi="Times New Roman" w:cs="Times New Roman" w:eastAsia="Times New Roman" w:hint="default"/>
                <w:sz w:val="18"/>
                <w:szCs w:val="18"/>
              </w:rPr>
            </w:pPr>
            <w:r>
              <w:rPr>
                <w:rFonts w:ascii="Times New Roman"/>
                <w:sz w:val="18"/>
              </w:rPr>
              <w:t>24.12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2,128,707.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13.29%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13,889,816.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r>
      <w:tr>
        <w:trPr>
          <w:trHeight w:val="1026"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4"/>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84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499,355.9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499,355.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91</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909"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849" w:type="dxa"/>
            <w:vMerge w:val="restart"/>
            <w:tcBorders>
              <w:top w:val="single" w:sz="4" w:space="0" w:color="000000"/>
              <w:left w:val="single" w:sz="9" w:space="0" w:color="D2D2D2"/>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19,304,72</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0.59</w:t>
            </w:r>
          </w:p>
        </w:tc>
        <w:tc>
          <w:tcPr>
            <w:tcW w:w="7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4,501,91</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1.06</w:t>
            </w:r>
          </w:p>
        </w:tc>
        <w:tc>
          <w:tcPr>
            <w:tcW w:w="856"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14,802,80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9.53</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16,018,5</w:t>
            </w:r>
          </w:p>
          <w:p>
            <w:pPr>
              <w:pStyle w:val="TableParagraph"/>
              <w:spacing w:line="240" w:lineRule="auto" w:before="106"/>
              <w:ind w:left="326" w:right="0"/>
              <w:jc w:val="left"/>
              <w:rPr>
                <w:rFonts w:ascii="Times New Roman" w:hAnsi="Times New Roman" w:cs="Times New Roman" w:eastAsia="Times New Roman" w:hint="default"/>
                <w:sz w:val="18"/>
                <w:szCs w:val="18"/>
              </w:rPr>
            </w:pPr>
            <w:r>
              <w:rPr>
                <w:rFonts w:ascii="Times New Roman"/>
                <w:sz w:val="18"/>
              </w:rPr>
              <w:t>24.12</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0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2,128,707.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c>
          <w:tcPr>
            <w:tcW w:w="836"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13,889,816.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r>
      <w:tr>
        <w:trPr>
          <w:trHeight w:val="392" w:hRule="exact"/>
        </w:trPr>
        <w:tc>
          <w:tcPr>
            <w:tcW w:w="15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49" w:type="dxa"/>
            <w:vMerge/>
            <w:tcBorders>
              <w:left w:val="single" w:sz="9" w:space="0" w:color="D2D2D2"/>
              <w:right w:val="single" w:sz="4" w:space="0" w:color="000000"/>
            </w:tcBorders>
          </w:tcPr>
          <w:p>
            <w:pPr/>
          </w:p>
        </w:tc>
        <w:tc>
          <w:tcPr>
            <w:tcW w:w="721"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56"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909" w:type="dxa"/>
            <w:vMerge/>
            <w:tcBorders>
              <w:left w:val="single" w:sz="4" w:space="0" w:color="000000"/>
              <w:right w:val="single" w:sz="4" w:space="0" w:color="000000"/>
            </w:tcBorders>
          </w:tcPr>
          <w:p>
            <w:pPr/>
          </w:p>
        </w:tc>
        <w:tc>
          <w:tcPr>
            <w:tcW w:w="836"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849" w:type="dxa"/>
            <w:vMerge/>
            <w:tcBorders>
              <w:left w:val="single" w:sz="9" w:space="0" w:color="D2D2D2"/>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6"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909" w:type="dxa"/>
            <w:vMerge/>
            <w:tcBorders>
              <w:left w:val="single" w:sz="4" w:space="0" w:color="000000"/>
              <w:bottom w:val="single" w:sz="4" w:space="0" w:color="000000"/>
              <w:right w:val="single" w:sz="4" w:space="0" w:color="000000"/>
            </w:tcBorders>
          </w:tcPr>
          <w:p>
            <w:pPr/>
          </w:p>
        </w:tc>
        <w:tc>
          <w:tcPr>
            <w:tcW w:w="836"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11,264,357.69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563,217.88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3,724,952.26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372,495.23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936,515.86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187,303.17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1,844,129.01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1,844,129.01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493,465.57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493,465.57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541,944.29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541,944.29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18,805,364.68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4,002,555.15</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组合中，采用余额百分比法计提坏账准备的其他应收款：</w:t>
      </w:r>
    </w:p>
    <w:p>
      <w:pPr>
        <w:pStyle w:val="BodyText"/>
        <w:spacing w:line="338" w:lineRule="auto" w:before="11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240" w:lineRule="auto" w:before="44"/>
        <w:ind w:right="1779"/>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13"/>
        <w:jc w:val="left"/>
      </w:pPr>
      <w:r>
        <w:rPr/>
        <w:t>本期计提坏账准备金额</w:t>
      </w:r>
      <w:r>
        <w:rPr>
          <w:spacing w:val="-47"/>
        </w:rPr>
        <w:t> </w:t>
      </w:r>
      <w:r>
        <w:rPr>
          <w:rFonts w:ascii="Times New Roman" w:hAnsi="Times New Roman" w:cs="Times New Roman" w:eastAsia="Times New Roman" w:hint="default"/>
        </w:rPr>
        <w:t>2,373,203.55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300" w:lineRule="auto" w:before="102"/>
        <w:ind w:right="3219"/>
        <w:jc w:val="left"/>
      </w:pPr>
      <w:r>
        <w:rPr>
          <w:rFonts w:ascii="Times New Roman" w:hAnsi="Times New Roman" w:cs="Times New Roman" w:eastAsia="Times New Roman" w:hint="default"/>
        </w:rPr>
        <w:t>3)</w:t>
      </w:r>
      <w:r>
        <w:rPr/>
        <w:t>本期实际核销的其他应收款情况</w:t>
      </w:r>
      <w:r>
        <w:rPr>
          <w:w w:val="99"/>
        </w:rPr>
        <w:t> </w:t>
      </w:r>
      <w:r>
        <w:rPr/>
        <w:t>本公司本期无实际核销的其他应收款。</w:t>
      </w:r>
    </w:p>
    <w:p>
      <w:pPr>
        <w:pStyle w:val="BodyText"/>
        <w:spacing w:line="240" w:lineRule="auto" w:before="72"/>
        <w:ind w:right="1779"/>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投标及履约保证金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13,317,276.12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8,819,134.38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其他往来及备用金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5,987,444.47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4,103,151.60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增值税软件退税</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3,096,238.14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19,304,720.59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16,018,524.12</w:t>
            </w:r>
          </w:p>
        </w:tc>
      </w:tr>
    </w:tbl>
    <w:p>
      <w:pPr>
        <w:spacing w:line="240" w:lineRule="auto" w:before="6"/>
        <w:rPr>
          <w:rFonts w:ascii="宋体" w:hAnsi="宋体" w:cs="宋体" w:eastAsia="宋体" w:hint="default"/>
          <w:sz w:val="27"/>
          <w:szCs w:val="27"/>
        </w:rPr>
      </w:pPr>
    </w:p>
    <w:p>
      <w:pPr>
        <w:pStyle w:val="BodyText"/>
        <w:spacing w:line="240" w:lineRule="auto" w:before="44"/>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pict>
          <v:shape style="position:absolute;margin-left:398.140015pt;margin-top:109.631721pt;width:76.6pt;height:15.65pt;mso-position-horizontal-relative:page;mso-position-vertical-relative:paragraph;z-index:-796144"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404.320007pt;margin-top:109.631721pt;width:70.4pt;height:35.75pt;mso-position-horizontal-relative:page;mso-position-vertical-relative:paragraph;z-index:-796120" coordorigin="8086,2193" coordsize="1408,715">
            <v:group style="position:absolute;left:8086;top:2193;width:1408;height:313" coordorigin="8086,2193" coordsize="1408,313">
              <v:shape style="position:absolute;left:8086;top:2193;width:1408;height:313" coordorigin="8086,2193" coordsize="1408,313" path="m8086,2505l9494,2505,9494,2193,8086,2193,8086,2505xe" filled="true" fillcolor="#ffffff" stroked="false">
                <v:path arrowok="t"/>
                <v:fill type="solid"/>
              </v:shape>
            </v:group>
            <v:group style="position:absolute;left:8098;top:2505;width:2;height:392" coordorigin="8098,2505" coordsize="2,392">
              <v:shape style="position:absolute;left:8098;top:2505;width:2;height:392" coordorigin="8098,2505" coordsize="0,392" path="m8098,2505l8098,2896e" filled="false" stroked="true" strokeweight="1.140pt" strokecolor="#ffffff">
                <v:path arrowok="t"/>
              </v:shape>
            </v:group>
            <v:group style="position:absolute;left:8109;top:2505;width:1363;height:392" coordorigin="8109,2505" coordsize="1363,392">
              <v:shape style="position:absolute;left:8109;top:2505;width:1363;height:392" coordorigin="8109,2505" coordsize="1363,392" path="m8109,2896l9472,2896,9472,2505,8109,2505,8109,2896xe" filled="true" fillcolor="#ffffff" stroked="false">
                <v:path arrowok="t"/>
                <v:fill type="solid"/>
              </v:shape>
            </v:group>
            <w10:wrap type="none"/>
          </v:group>
        </w:pict>
      </w: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9"/>
        <w:gridCol w:w="1417"/>
        <w:gridCol w:w="1277"/>
        <w:gridCol w:w="2834"/>
        <w:gridCol w:w="1419"/>
        <w:gridCol w:w="1205"/>
      </w:tblGrid>
      <w:tr>
        <w:trPr>
          <w:trHeight w:val="1026"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4" w:right="7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6" w:right="56"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湖南建工德顺电 子科技有限公司</w:t>
            </w:r>
          </w:p>
        </w:tc>
        <w:tc>
          <w:tcPr>
            <w:tcW w:w="14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4,097,682.00</w:t>
            </w:r>
          </w:p>
        </w:tc>
        <w:tc>
          <w:tcPr>
            <w:tcW w:w="28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24"/>
              <w:jc w:val="right"/>
              <w:rPr>
                <w:rFonts w:ascii="Times New Roman" w:hAnsi="Times New Roman" w:cs="Times New Roman" w:eastAsia="Times New Roman" w:hint="default"/>
                <w:sz w:val="18"/>
                <w:szCs w:val="18"/>
              </w:rPr>
            </w:pPr>
            <w:r>
              <w:rPr>
                <w:rFonts w:ascii="Times New Roman"/>
                <w:sz w:val="18"/>
              </w:rPr>
              <w:t>21.23%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204,884.10</w:t>
            </w: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24"/>
              <w:jc w:val="left"/>
              <w:rPr>
                <w:rFonts w:ascii="宋体" w:hAnsi="宋体" w:cs="宋体" w:eastAsia="宋体" w:hint="default"/>
                <w:sz w:val="18"/>
                <w:szCs w:val="18"/>
              </w:rPr>
            </w:pPr>
            <w:r>
              <w:rPr>
                <w:rFonts w:ascii="宋体" w:hAnsi="宋体" w:cs="宋体" w:eastAsia="宋体" w:hint="default"/>
                <w:sz w:val="18"/>
                <w:szCs w:val="18"/>
              </w:rPr>
              <w:t>北京科创鑫源信 息技术有限公司</w:t>
            </w:r>
          </w:p>
        </w:tc>
        <w:tc>
          <w:tcPr>
            <w:tcW w:w="14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其他往来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2,229,064.60</w:t>
            </w:r>
          </w:p>
        </w:tc>
        <w:tc>
          <w:tcPr>
            <w:tcW w:w="28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800000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501643.71</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283614.71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632785.51</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4-5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11020.67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tabs>
                <w:tab w:pos="431" w:val="left" w:leader="none"/>
              </w:tabs>
              <w:spacing w:line="240" w:lineRule="auto" w:before="127"/>
              <w:ind w:left="-123" w:right="42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2"/>
                <w:sz w:val="18"/>
                <w:szCs w:val="18"/>
              </w:rPr>
              <w:t>11.55%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790,693.49</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岳阳市政府采购 管理办公室</w:t>
            </w:r>
          </w:p>
        </w:tc>
        <w:tc>
          <w:tcPr>
            <w:tcW w:w="14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1,032,350.00</w:t>
            </w:r>
          </w:p>
        </w:tc>
        <w:tc>
          <w:tcPr>
            <w:tcW w:w="28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449350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583000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68"/>
              <w:jc w:val="right"/>
              <w:rPr>
                <w:rFonts w:ascii="Times New Roman" w:hAnsi="Times New Roman" w:cs="Times New Roman" w:eastAsia="Times New Roman" w:hint="default"/>
                <w:sz w:val="18"/>
                <w:szCs w:val="18"/>
              </w:rPr>
            </w:pPr>
            <w:r>
              <w:rPr>
                <w:rFonts w:ascii="Times New Roman"/>
                <w:sz w:val="18"/>
              </w:rPr>
              <w:t>5.35%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80,767.50</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中南大学</w:t>
            </w:r>
          </w:p>
        </w:tc>
        <w:tc>
          <w:tcPr>
            <w:tcW w:w="14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837,840.00</w:t>
            </w:r>
          </w:p>
        </w:tc>
        <w:tc>
          <w:tcPr>
            <w:tcW w:w="28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68"/>
              <w:jc w:val="right"/>
              <w:rPr>
                <w:rFonts w:ascii="Times New Roman" w:hAnsi="Times New Roman" w:cs="Times New Roman" w:eastAsia="Times New Roman" w:hint="default"/>
                <w:sz w:val="18"/>
                <w:szCs w:val="18"/>
              </w:rPr>
            </w:pPr>
            <w:r>
              <w:rPr>
                <w:rFonts w:ascii="Times New Roman"/>
                <w:sz w:val="18"/>
              </w:rPr>
              <w:t>4.34%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837,840.00</w:t>
            </w:r>
          </w:p>
        </w:tc>
      </w:tr>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24"/>
              <w:jc w:val="left"/>
              <w:rPr>
                <w:rFonts w:ascii="宋体" w:hAnsi="宋体" w:cs="宋体" w:eastAsia="宋体" w:hint="default"/>
                <w:sz w:val="18"/>
                <w:szCs w:val="18"/>
              </w:rPr>
            </w:pPr>
            <w:r>
              <w:rPr>
                <w:rFonts w:ascii="宋体" w:hAnsi="宋体" w:cs="宋体" w:eastAsia="宋体" w:hint="default"/>
                <w:sz w:val="18"/>
                <w:szCs w:val="18"/>
              </w:rPr>
              <w:t>湖南第一师范学 院</w:t>
            </w:r>
          </w:p>
        </w:tc>
        <w:tc>
          <w:tcPr>
            <w:tcW w:w="14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619,280.15</w:t>
            </w:r>
          </w:p>
        </w:tc>
        <w:tc>
          <w:tcPr>
            <w:tcW w:w="28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68"/>
              <w:jc w:val="right"/>
              <w:rPr>
                <w:rFonts w:ascii="Times New Roman" w:hAnsi="Times New Roman" w:cs="Times New Roman" w:eastAsia="Times New Roman" w:hint="default"/>
                <w:sz w:val="18"/>
                <w:szCs w:val="18"/>
              </w:rPr>
            </w:pPr>
            <w:r>
              <w:rPr>
                <w:rFonts w:ascii="Times New Roman"/>
                <w:sz w:val="18"/>
              </w:rPr>
              <w:t>3.21%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61,928.02</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8,816,216.75</w:t>
            </w:r>
          </w:p>
        </w:tc>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24"/>
              <w:jc w:val="right"/>
              <w:rPr>
                <w:rFonts w:ascii="Times New Roman" w:hAnsi="Times New Roman" w:cs="Times New Roman" w:eastAsia="Times New Roman" w:hint="default"/>
                <w:sz w:val="18"/>
                <w:szCs w:val="18"/>
              </w:rPr>
            </w:pPr>
            <w:r>
              <w:rPr>
                <w:rFonts w:ascii="Times New Roman"/>
                <w:sz w:val="18"/>
              </w:rPr>
              <w:t>45.68%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1,976,113.11</w:t>
            </w:r>
          </w:p>
        </w:tc>
      </w:tr>
    </w:tbl>
    <w:p>
      <w:pPr>
        <w:pStyle w:val="BodyText"/>
        <w:spacing w:line="338" w:lineRule="auto" w:before="51"/>
        <w:ind w:right="7692"/>
        <w:jc w:val="left"/>
      </w:pPr>
      <w:r>
        <w:rPr>
          <w:rFonts w:ascii="Times New Roman" w:hAnsi="Times New Roman" w:cs="Times New Roman" w:eastAsia="Times New Roman" w:hint="default"/>
        </w:rPr>
        <w:t>6)</w:t>
      </w:r>
      <w:r>
        <w:rPr/>
        <w:t>涉及政府补助的应收款项</w:t>
      </w:r>
      <w:r>
        <w:rPr>
          <w:w w:val="99"/>
        </w:rPr>
        <w:t> </w:t>
      </w:r>
      <w:r>
        <w:rPr/>
        <w:t>期末余额中无应收政府补助款。</w:t>
      </w:r>
    </w:p>
    <w:p>
      <w:pPr>
        <w:pStyle w:val="BodyText"/>
        <w:spacing w:line="415" w:lineRule="auto" w:before="122"/>
        <w:ind w:right="3973"/>
        <w:jc w:val="left"/>
      </w:pPr>
      <w:r>
        <w:rPr>
          <w:rFonts w:ascii="Times New Roman" w:hAnsi="Times New Roman" w:cs="Times New Roman" w:eastAsia="Times New Roman" w:hint="default"/>
        </w:rPr>
        <w:t>7)</w:t>
      </w:r>
      <w:r>
        <w:rPr/>
        <w:t>因金融资产转移而终止确认的其他应收款</w:t>
      </w:r>
      <w:r>
        <w:rPr>
          <w:w w:val="99"/>
        </w:rPr>
        <w:t> </w:t>
      </w:r>
      <w:r>
        <w:rPr/>
        <w:t>期末无因金融资产转移而终止确认的其他应收款。</w:t>
      </w:r>
    </w:p>
    <w:p>
      <w:pPr>
        <w:pStyle w:val="BodyText"/>
        <w:spacing w:line="235" w:lineRule="exact"/>
        <w:ind w:right="0"/>
        <w:jc w:val="left"/>
      </w:pPr>
      <w:r>
        <w:rPr>
          <w:rFonts w:ascii="Times New Roman" w:hAnsi="Times New Roman" w:cs="Times New Roman" w:eastAsia="Times New Roman" w:hint="default"/>
        </w:rPr>
        <w:t>8)</w:t>
      </w:r>
      <w:r>
        <w:rPr/>
        <w:t>转移其他应收款且继续涉入形成的资产、负债金额</w:t>
      </w:r>
    </w:p>
    <w:p>
      <w:pPr>
        <w:pStyle w:val="BodyText"/>
        <w:spacing w:line="240" w:lineRule="auto" w:before="102"/>
        <w:ind w:right="0"/>
        <w:jc w:val="left"/>
      </w:pPr>
      <w:r>
        <w:rPr/>
        <w:t>期末无因转移其他应收款而继续涉入形成的资产、负债。</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3、长期股权投资" w:id="439"/>
      <w:bookmarkEnd w:id="43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13,080,000.00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40"/>
      <w:bookmarkEnd w:id="44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6"/>
        <w:gridCol w:w="1259"/>
        <w:gridCol w:w="1418"/>
        <w:gridCol w:w="1418"/>
        <w:gridCol w:w="1559"/>
        <w:gridCol w:w="1276"/>
        <w:gridCol w:w="1202"/>
      </w:tblGrid>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2" w:right="91"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5" w:right="55"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北京科创鑫源信 息技术有限公司</w:t>
            </w:r>
          </w:p>
        </w:tc>
        <w:tc>
          <w:tcPr>
            <w:tcW w:w="1259"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湖南科创信息系 统集成有限公司</w:t>
            </w:r>
          </w:p>
        </w:tc>
        <w:tc>
          <w:tcPr>
            <w:tcW w:w="1259" w:type="dxa"/>
            <w:tcBorders>
              <w:top w:val="single" w:sz="4" w:space="0" w:color="000000"/>
              <w:left w:val="single" w:sz="10" w:space="0" w:color="C6ECCC"/>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永兴科创南方技 术服务有限公司</w:t>
            </w:r>
          </w:p>
        </w:tc>
        <w:tc>
          <w:tcPr>
            <w:tcW w:w="1259"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12,060,000.00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41"/>
      <w:bookmarkEnd w:id="44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其他说明" w:id="442"/>
      <w:bookmarkEnd w:id="44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443"/>
      <w:bookmarkEnd w:id="44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3"/>
        <w:gridCol w:w="1850"/>
        <w:gridCol w:w="1913"/>
        <w:gridCol w:w="1913"/>
        <w:gridCol w:w="1913"/>
      </w:tblGrid>
      <w:tr>
        <w:trPr>
          <w:trHeight w:val="205"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318,673,677.29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204,572,734.62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298,050,171.52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183,170,523.45</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1,409,976.18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277,370.42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1,251,063.20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276,898.46</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320,083,653.47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204,850,105.04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299,301,234.72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183,447,421.91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bookmarkStart w:name="5、投资收益" w:id="444"/>
      <w:bookmarkEnd w:id="44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-1,494,258.11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-1,494,258.11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其他" w:id="445"/>
      <w:bookmarkEnd w:id="445"/>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446"/>
      <w:bookmarkEnd w:id="446"/>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47"/>
      <w:bookmarkEnd w:id="44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2,382,714.97</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-122,375.57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339,050.91</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1,921,288.49</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448"/>
      <w:bookmarkEnd w:id="44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300"/>
              <w:jc w:val="right"/>
              <w:rPr>
                <w:rFonts w:ascii="Times New Roman" w:hAnsi="Times New Roman" w:cs="Times New Roman" w:eastAsia="Times New Roman" w:hint="default"/>
                <w:sz w:val="18"/>
                <w:szCs w:val="18"/>
              </w:rPr>
            </w:pPr>
            <w:r>
              <w:rPr>
                <w:rFonts w:ascii="Times New Roman"/>
                <w:sz w:val="18"/>
              </w:rPr>
              <w:t>8.98%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8" w:right="0"/>
              <w:jc w:val="left"/>
              <w:rPr>
                <w:rFonts w:ascii="Times New Roman" w:hAnsi="Times New Roman" w:cs="Times New Roman" w:eastAsia="Times New Roman" w:hint="default"/>
                <w:sz w:val="18"/>
                <w:szCs w:val="18"/>
              </w:rPr>
            </w:pPr>
            <w:r>
              <w:rPr>
                <w:rFonts w:ascii="Times New Roman"/>
                <w:sz w:val="18"/>
              </w:rPr>
              <w:t>0.220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8" w:right="0"/>
              <w:jc w:val="left"/>
              <w:rPr>
                <w:rFonts w:ascii="Times New Roman" w:hAnsi="Times New Roman" w:cs="Times New Roman" w:eastAsia="Times New Roman" w:hint="default"/>
                <w:sz w:val="18"/>
                <w:szCs w:val="18"/>
              </w:rPr>
            </w:pPr>
            <w:r>
              <w:rPr>
                <w:rFonts w:ascii="Times New Roman"/>
                <w:sz w:val="18"/>
              </w:rPr>
              <w:t>0.220</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300"/>
              <w:jc w:val="right"/>
              <w:rPr>
                <w:rFonts w:ascii="Times New Roman" w:hAnsi="Times New Roman" w:cs="Times New Roman" w:eastAsia="Times New Roman" w:hint="default"/>
                <w:sz w:val="18"/>
                <w:szCs w:val="18"/>
              </w:rPr>
            </w:pPr>
            <w:r>
              <w:rPr>
                <w:rFonts w:ascii="Times New Roman"/>
                <w:sz w:val="18"/>
              </w:rPr>
              <w:t>8.49%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94" w:right="0"/>
              <w:jc w:val="left"/>
              <w:rPr>
                <w:rFonts w:ascii="Times New Roman" w:hAnsi="Times New Roman" w:cs="Times New Roman" w:eastAsia="Times New Roman" w:hint="default"/>
                <w:sz w:val="18"/>
                <w:szCs w:val="18"/>
              </w:rPr>
            </w:pPr>
            <w:r>
              <w:rPr>
                <w:rFonts w:ascii="Times New Roman"/>
                <w:sz w:val="18"/>
              </w:rPr>
              <w:t>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94" w:right="0"/>
              <w:jc w:val="left"/>
              <w:rPr>
                <w:rFonts w:ascii="Times New Roman" w:hAnsi="Times New Roman" w:cs="Times New Roman" w:eastAsia="Times New Roman" w:hint="default"/>
                <w:sz w:val="18"/>
                <w:szCs w:val="18"/>
              </w:rPr>
            </w:pPr>
            <w:r>
              <w:rPr>
                <w:rFonts w:ascii="Times New Roman"/>
                <w:sz w:val="18"/>
              </w:rPr>
              <w:t>0.21</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49"/>
      <w:bookmarkEnd w:id="44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50"/>
      <w:bookmarkEnd w:id="45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451"/>
      <w:bookmarkEnd w:id="45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452"/>
      <w:bookmarkEnd w:id="45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453"/>
      <w:bookmarkEnd w:id="453"/>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3286" w:right="0"/>
        <w:jc w:val="left"/>
        <w:rPr>
          <w:b w:val="0"/>
          <w:bCs w:val="0"/>
        </w:rPr>
      </w:pPr>
      <w:bookmarkStart w:name="_TOC_250000" w:id="454"/>
      <w:bookmarkStart w:name="第十二节 备查文件目录" w:id="455"/>
      <w:r>
        <w:rPr>
          <w:b w:val="0"/>
          <w:bCs w:val="0"/>
        </w:rPr>
      </w:r>
      <w:r>
        <w:rPr/>
        <w:t>第十二节</w:t>
      </w:r>
      <w:r>
        <w:rPr>
          <w:spacing w:val="-8"/>
        </w:rPr>
        <w:t> </w:t>
      </w:r>
      <w:r>
        <w:rPr/>
        <w:t>备查文件目录</w:t>
      </w:r>
      <w:bookmarkEnd w:id="454"/>
      <w:r>
        <w:rPr>
          <w:b w:val="0"/>
          <w:bCs w:val="0"/>
        </w:rPr>
      </w:r>
    </w:p>
    <w:p>
      <w:pPr>
        <w:spacing w:line="240" w:lineRule="auto" w:before="7"/>
        <w:rPr>
          <w:rFonts w:ascii="宋体" w:hAnsi="宋体" w:cs="宋体" w:eastAsia="宋体" w:hint="default"/>
          <w:b/>
          <w:bCs/>
          <w:sz w:val="42"/>
          <w:szCs w:val="42"/>
        </w:rPr>
      </w:pPr>
    </w:p>
    <w:p>
      <w:pPr>
        <w:pStyle w:val="Heading5"/>
        <w:spacing w:line="316" w:lineRule="auto" w:before="0"/>
        <w:ind w:right="2652"/>
        <w:jc w:val="left"/>
        <w:rPr>
          <w:b w:val="0"/>
          <w:bCs w:val="0"/>
        </w:rPr>
      </w:pPr>
      <w:r>
        <w:rPr>
          <w:w w:val="95"/>
        </w:rPr>
        <w:t>一、载有公司法定代表人、主管会计工作负责人、会计机构负责人签名并盖章的财务报表。</w:t>
      </w:r>
      <w:r>
        <w:rPr>
          <w:spacing w:val="8"/>
          <w:w w:val="95"/>
        </w:rPr>
        <w:t> </w:t>
      </w:r>
      <w:r>
        <w:rPr>
          <w:spacing w:val="8"/>
          <w:w w:val="95"/>
        </w:rPr>
      </w:r>
      <w:r>
        <w:rPr/>
        <w:t>二、载有会计师事务所盖章，注册会计师签名并盖章的审计报告原件。</w:t>
      </w:r>
      <w:r>
        <w:rPr>
          <w:w w:val="99"/>
        </w:rPr>
        <w:t> </w:t>
      </w:r>
      <w:r>
        <w:rPr/>
        <w:t>三、报告期内在中国证监会指定网站上公开披露过的所有公司文件的正本及公告的原稿。</w:t>
      </w:r>
      <w:r>
        <w:rPr>
          <w:w w:val="99"/>
        </w:rPr>
        <w:t> </w:t>
      </w:r>
      <w:r>
        <w:rPr/>
        <w:t>四、其他相关文件。</w:t>
      </w:r>
      <w:r>
        <w:rPr>
          <w:b w:val="0"/>
          <w:bCs w:val="0"/>
        </w:rPr>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96792" type="#_x0000_t75" stroked="false">
          <v:imagedata r:id="rId1" o:title=""/>
        </v:shape>
      </w:pict>
    </w:r>
    <w:r>
      <w:rPr/>
      <w:pict>
        <v:shape style="position:absolute;margin-left:294.420013pt;margin-top:795.517944pt;width:6.5pt;height:11pt;mso-position-horizontal-relative:page;mso-position-vertical-relative:page;z-index:-7967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96744" type="#_x0000_t75" stroked="false">
          <v:imagedata r:id="rId1" o:title=""/>
        </v:shape>
      </w:pict>
    </w:r>
    <w:r>
      <w:rPr/>
      <w:pict>
        <v:shape style="position:absolute;margin-left:291.200012pt;margin-top:781.957947pt;width:13pt;height:11pt;mso-position-horizontal-relative:page;mso-position-vertical-relative:page;z-index:-796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96696" type="#_x0000_t75" stroked="false">
          <v:imagedata r:id="rId1" o:title=""/>
        </v:shape>
      </w:pict>
    </w:r>
    <w:r>
      <w:rPr/>
      <w:pict>
        <v:shape style="position:absolute;margin-left:291.200012pt;margin-top:781.957947pt;width:13pt;height:11pt;mso-position-horizontal-relative:page;mso-position-vertical-relative:page;z-index:-796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96648" type="#_x0000_t75" stroked="false">
          <v:imagedata r:id="rId1" o:title=""/>
        </v:shape>
      </w:pict>
    </w:r>
    <w:r>
      <w:rPr/>
      <w:pict>
        <v:shape style="position:absolute;margin-left:289.920013pt;margin-top:781.957947pt;width:15.5pt;height:11pt;mso-position-horizontal-relative:page;mso-position-vertical-relative:page;z-index:-7966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796600" type="#_x0000_t75" stroked="false">
          <v:imagedata r:id="rId1" o:title=""/>
        </v:shape>
      </w:pict>
    </w:r>
    <w:r>
      <w:rPr/>
      <w:pict>
        <v:shape style="position:absolute;margin-left:288.920013pt;margin-top:781.957947pt;width:17.5pt;height:11pt;mso-position-horizontal-relative:page;mso-position-vertical-relative:page;z-index:-796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796816" type="#_x0000_t202" filled="false" stroked="false">
          <v:textbox inset="0,0,0,0">
            <w:txbxContent>
              <w:p>
                <w:pPr>
                  <w:pStyle w:val="BodyText"/>
                  <w:spacing w:line="214" w:lineRule="exact"/>
                  <w:ind w:left="20" w:right="0"/>
                  <w:jc w:val="left"/>
                </w:pPr>
                <w:r>
                  <w:rPr/>
                  <w:t>湖南科创信息技术股份有限公司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13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4" w:firstLine="420"/>
      <w:outlineLvl w:val="4"/>
    </w:pPr>
    <w:rPr>
      <w:rFonts w:ascii="宋体" w:hAnsi="宋体" w:eastAsia="宋体"/>
      <w:sz w:val="21"/>
      <w:szCs w:val="21"/>
    </w:rPr>
  </w:style>
  <w:style w:styleId="Heading5" w:type="paragraph">
    <w:name w:val="Heading 5"/>
    <w:basedOn w:val="Normal"/>
    <w:uiPriority w:val="1"/>
    <w:qFormat/>
    <w:pPr>
      <w:spacing w:before="44"/>
      <w:ind w:left="154"/>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chinacreator.com/" TargetMode="External"/><Relationship Id="rId10" Type="http://schemas.openxmlformats.org/officeDocument/2006/relationships/hyperlink" Target="mailto:creator@chinacreator.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湖南科创信息技术股份有限公司</dc:creator>
  <dc:title>湖南科创信息技术股份有限公司2018年年度报告全文</dc:title>
  <dcterms:created xsi:type="dcterms:W3CDTF">2020-05-05T00:54:41Z</dcterms:created>
  <dcterms:modified xsi:type="dcterms:W3CDTF">2020-05-05T00:54:41Z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2019-04-19T00:00:00Z</vt:filetime>
  </property>
  <property fmtid="{D5CDD505-2E9C-101B-9397-08002B2CF9AE}" pid="3" name="Creator">
    <vt:lpwstr>Microsoft® Office Word 2007</vt:lpwstr>
  </property>
  <property fmtid="{D5CDD505-2E9C-101B-9397-08002B2CF9AE}" pid="4" name="LastSaved">
    <vt:filetime>2020-05-04T00:00:00Z</vt:filetime>
  </property>
</Properties>
</file>