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footer1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line="1216" w:lineRule="exact"/>
        <w:ind w:left="362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733265" cy="7726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733265" cy="772668"/>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501" w:lineRule="exact" w:before="0"/>
        <w:ind w:left="2431" w:right="243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北京百华悦邦科技股份有限公司</w:t>
      </w:r>
      <w:r>
        <w:rPr>
          <w:rFonts w:ascii="Microsoft JhengHei" w:hAnsi="Microsoft JhengHei" w:cs="Microsoft JhengHei" w:eastAsia="Microsoft JhengHei" w:hint="default"/>
          <w:sz w:val="36"/>
          <w:szCs w:val="36"/>
        </w:rPr>
      </w:r>
    </w:p>
    <w:p>
      <w:pPr>
        <w:spacing w:line="240" w:lineRule="auto" w:before="4"/>
        <w:rPr>
          <w:rFonts w:ascii="Microsoft JhengHei" w:hAnsi="Microsoft JhengHei" w:cs="Microsoft JhengHei" w:eastAsia="Microsoft JhengHei" w:hint="default"/>
          <w:b/>
          <w:bCs/>
          <w:sz w:val="45"/>
          <w:szCs w:val="45"/>
        </w:rPr>
      </w:pPr>
    </w:p>
    <w:p>
      <w:pPr>
        <w:spacing w:before="0"/>
        <w:ind w:left="2431" w:right="2434" w:firstLine="0"/>
        <w:jc w:val="center"/>
        <w:rPr>
          <w:rFonts w:ascii="Microsoft JhengHei" w:hAnsi="Microsoft JhengHei" w:cs="Microsoft JhengHei" w:eastAsia="Microsoft JhengHei" w:hint="default"/>
          <w:sz w:val="36"/>
          <w:szCs w:val="36"/>
        </w:rPr>
      </w:pPr>
      <w:r>
        <w:rPr>
          <w:rFonts w:ascii="Times New Roman" w:hAnsi="Times New Roman" w:cs="Times New Roman" w:eastAsia="Times New Roman" w:hint="default"/>
          <w:b/>
          <w:bCs/>
          <w:sz w:val="36"/>
          <w:szCs w:val="36"/>
        </w:rPr>
        <w:t>2017</w:t>
      </w:r>
      <w:r>
        <w:rPr>
          <w:rFonts w:ascii="Times New Roman" w:hAnsi="Times New Roman" w:cs="Times New Roman" w:eastAsia="Times New Roman" w:hint="default"/>
          <w:b/>
          <w:bCs/>
          <w:spacing w:val="5"/>
          <w:sz w:val="36"/>
          <w:szCs w:val="36"/>
        </w:rPr>
        <w:t> </w:t>
      </w:r>
      <w:r>
        <w:rPr>
          <w:rFonts w:ascii="Microsoft JhengHei" w:hAnsi="Microsoft JhengHei" w:cs="Microsoft JhengHei" w:eastAsia="Microsoft JhengHei" w:hint="default"/>
          <w:b/>
          <w:bCs/>
          <w:sz w:val="36"/>
          <w:szCs w:val="36"/>
        </w:rPr>
        <w:t>年年度报告</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8"/>
          <w:szCs w:val="38"/>
        </w:rPr>
      </w:pPr>
    </w:p>
    <w:p>
      <w:pPr>
        <w:spacing w:line="240" w:lineRule="auto" w:before="0"/>
        <w:rPr>
          <w:rFonts w:ascii="Microsoft JhengHei" w:hAnsi="Microsoft JhengHei" w:cs="Microsoft JhengHei" w:eastAsia="Microsoft JhengHei" w:hint="default"/>
          <w:b/>
          <w:bCs/>
          <w:sz w:val="38"/>
          <w:szCs w:val="38"/>
        </w:rPr>
      </w:pPr>
    </w:p>
    <w:p>
      <w:pPr>
        <w:spacing w:line="240" w:lineRule="auto" w:before="0"/>
        <w:rPr>
          <w:rFonts w:ascii="Microsoft JhengHei" w:hAnsi="Microsoft JhengHei" w:cs="Microsoft JhengHei" w:eastAsia="Microsoft JhengHei" w:hint="default"/>
          <w:b/>
          <w:bCs/>
          <w:sz w:val="38"/>
          <w:szCs w:val="38"/>
        </w:rPr>
      </w:pPr>
    </w:p>
    <w:p>
      <w:pPr>
        <w:spacing w:line="240" w:lineRule="auto" w:before="0"/>
        <w:rPr>
          <w:rFonts w:ascii="Microsoft JhengHei" w:hAnsi="Microsoft JhengHei" w:cs="Microsoft JhengHei" w:eastAsia="Microsoft JhengHei" w:hint="default"/>
          <w:b/>
          <w:bCs/>
          <w:sz w:val="38"/>
          <w:szCs w:val="38"/>
        </w:rPr>
      </w:pPr>
    </w:p>
    <w:p>
      <w:pPr>
        <w:spacing w:line="240" w:lineRule="auto" w:before="0"/>
        <w:rPr>
          <w:rFonts w:ascii="Microsoft JhengHei" w:hAnsi="Microsoft JhengHei" w:cs="Microsoft JhengHei" w:eastAsia="Microsoft JhengHei" w:hint="default"/>
          <w:b/>
          <w:bCs/>
          <w:sz w:val="38"/>
          <w:szCs w:val="38"/>
        </w:rPr>
      </w:pPr>
    </w:p>
    <w:p>
      <w:pPr>
        <w:spacing w:line="240" w:lineRule="auto" w:before="0"/>
        <w:rPr>
          <w:rFonts w:ascii="Microsoft JhengHei" w:hAnsi="Microsoft JhengHei" w:cs="Microsoft JhengHei" w:eastAsia="Microsoft JhengHei" w:hint="default"/>
          <w:b/>
          <w:bCs/>
          <w:sz w:val="38"/>
          <w:szCs w:val="38"/>
        </w:rPr>
      </w:pPr>
    </w:p>
    <w:p>
      <w:pPr>
        <w:spacing w:line="240" w:lineRule="auto" w:before="0"/>
        <w:rPr>
          <w:rFonts w:ascii="Microsoft JhengHei" w:hAnsi="Microsoft JhengHei" w:cs="Microsoft JhengHei" w:eastAsia="Microsoft JhengHei" w:hint="default"/>
          <w:b/>
          <w:bCs/>
          <w:sz w:val="38"/>
          <w:szCs w:val="38"/>
        </w:rPr>
      </w:pPr>
    </w:p>
    <w:p>
      <w:pPr>
        <w:spacing w:line="240" w:lineRule="auto" w:before="0"/>
        <w:rPr>
          <w:rFonts w:ascii="Microsoft JhengHei" w:hAnsi="Microsoft JhengHei" w:cs="Microsoft JhengHei" w:eastAsia="Microsoft JhengHei" w:hint="default"/>
          <w:b/>
          <w:bCs/>
          <w:sz w:val="38"/>
          <w:szCs w:val="38"/>
        </w:rPr>
      </w:pPr>
    </w:p>
    <w:p>
      <w:pPr>
        <w:spacing w:line="240" w:lineRule="auto" w:before="6"/>
        <w:rPr>
          <w:rFonts w:ascii="Microsoft JhengHei" w:hAnsi="Microsoft JhengHei" w:cs="Microsoft JhengHei" w:eastAsia="Microsoft JhengHei" w:hint="default"/>
          <w:b/>
          <w:bCs/>
          <w:sz w:val="28"/>
          <w:szCs w:val="28"/>
        </w:rPr>
      </w:pPr>
    </w:p>
    <w:p>
      <w:pPr>
        <w:spacing w:before="0"/>
        <w:ind w:left="2431" w:right="2431" w:firstLine="0"/>
        <w:jc w:val="center"/>
        <w:rPr>
          <w:rFonts w:ascii="Microsoft JhengHei" w:hAnsi="Microsoft JhengHei" w:cs="Microsoft JhengHei" w:eastAsia="Microsoft JhengHei" w:hint="default"/>
          <w:sz w:val="36"/>
          <w:szCs w:val="36"/>
        </w:rPr>
      </w:pPr>
      <w:r>
        <w:rPr>
          <w:rFonts w:ascii="Times New Roman" w:hAnsi="Times New Roman" w:cs="Times New Roman" w:eastAsia="Times New Roman" w:hint="default"/>
          <w:b/>
          <w:bCs/>
          <w:sz w:val="36"/>
          <w:szCs w:val="36"/>
        </w:rPr>
        <w:t>2018 </w:t>
      </w:r>
      <w:r>
        <w:rPr>
          <w:rFonts w:ascii="Microsoft JhengHei" w:hAnsi="Microsoft JhengHei" w:cs="Microsoft JhengHei" w:eastAsia="Microsoft JhengHei" w:hint="default"/>
          <w:b/>
          <w:bCs/>
          <w:sz w:val="36"/>
          <w:szCs w:val="36"/>
        </w:rPr>
        <w:t>年 </w:t>
      </w:r>
      <w:r>
        <w:rPr>
          <w:rFonts w:ascii="Times New Roman" w:hAnsi="Times New Roman" w:cs="Times New Roman" w:eastAsia="Times New Roman" w:hint="default"/>
          <w:b/>
          <w:bCs/>
          <w:sz w:val="36"/>
          <w:szCs w:val="36"/>
        </w:rPr>
        <w:t>4</w:t>
      </w:r>
      <w:r>
        <w:rPr>
          <w:rFonts w:ascii="Times New Roman" w:hAnsi="Times New Roman" w:cs="Times New Roman" w:eastAsia="Times New Roman" w:hint="default"/>
          <w:b/>
          <w:bCs/>
          <w:spacing w:val="3"/>
          <w:sz w:val="36"/>
          <w:szCs w:val="36"/>
        </w:rPr>
        <w:t> </w:t>
      </w:r>
      <w:r>
        <w:rPr>
          <w:rFonts w:ascii="Microsoft JhengHei" w:hAnsi="Microsoft JhengHei" w:cs="Microsoft JhengHei" w:eastAsia="Microsoft JhengHei" w:hint="default"/>
          <w:b/>
          <w:bCs/>
          <w:sz w:val="36"/>
          <w:szCs w:val="36"/>
        </w:rPr>
        <w:t>月</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headerReference w:type="default" r:id="rId5"/>
          <w:footerReference w:type="default" r:id="rId6"/>
          <w:type w:val="continuous"/>
          <w:pgSz w:w="11910" w:h="16840"/>
          <w:pgMar w:header="745" w:footer="980"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1"/>
          <w:szCs w:val="21"/>
        </w:rPr>
      </w:pPr>
    </w:p>
    <w:p>
      <w:pPr>
        <w:pStyle w:val="Heading1"/>
        <w:spacing w:line="456" w:lineRule="exact"/>
        <w:ind w:left="2431" w:right="2433"/>
        <w:jc w:val="center"/>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38" w:lineRule="auto"/>
        <w:ind w:left="152" w:right="0"/>
        <w:jc w:val="left"/>
      </w:pPr>
      <w:r>
        <w:rPr>
          <w:spacing w:val="-2"/>
        </w:rPr>
        <w:t>公司董事会、监事会及董事、监事、高级管理人员保证年度报告内容的真实、准确、完整，不存在虚假记载、误导性陈述或</w:t>
      </w:r>
      <w:r>
        <w:rPr>
          <w:spacing w:val="-71"/>
        </w:rPr>
        <w:t> </w:t>
      </w:r>
      <w:r>
        <w:rPr>
          <w:spacing w:val="-71"/>
        </w:rPr>
      </w:r>
      <w:r>
        <w:rPr/>
        <w:t>重大遗漏，并承担个别和连带的法律责任。 </w:t>
      </w:r>
      <w:r>
        <w:rPr>
          <w:spacing w:val="-1"/>
        </w:rPr>
        <w:t>公司负责人刘铁峰、主管会计工作负责人陈立娅及会计机构负责人</w:t>
      </w:r>
      <w:r>
        <w:rPr>
          <w:rFonts w:ascii="Times New Roman" w:hAnsi="Times New Roman" w:cs="Times New Roman" w:eastAsia="Times New Roman" w:hint="default"/>
          <w:spacing w:val="-1"/>
        </w:rPr>
        <w:t>(</w:t>
      </w:r>
      <w:r>
        <w:rPr>
          <w:spacing w:val="-1"/>
        </w:rPr>
        <w:t>会计主管人员</w:t>
      </w:r>
      <w:r>
        <w:rPr>
          <w:rFonts w:ascii="Times New Roman" w:hAnsi="Times New Roman" w:cs="Times New Roman" w:eastAsia="Times New Roman" w:hint="default"/>
          <w:spacing w:val="-1"/>
        </w:rPr>
        <w:t>)</w:t>
      </w:r>
      <w:r>
        <w:rPr>
          <w:spacing w:val="-1"/>
        </w:rPr>
        <w:t>陈立娅声明：保证年度报告中财务报告的</w:t>
      </w:r>
    </w:p>
    <w:p>
      <w:pPr>
        <w:pStyle w:val="BodyText"/>
        <w:spacing w:line="217" w:lineRule="exact"/>
        <w:ind w:left="152" w:right="0"/>
        <w:jc w:val="left"/>
      </w:pPr>
      <w:r>
        <w:rPr/>
        <w:t>真实、准确、完整。</w:t>
      </w:r>
    </w:p>
    <w:p>
      <w:pPr>
        <w:pStyle w:val="BodyText"/>
        <w:spacing w:line="240" w:lineRule="auto" w:before="117"/>
        <w:ind w:left="152" w:right="0"/>
        <w:jc w:val="left"/>
      </w:pPr>
      <w:r>
        <w:rPr/>
        <w:t>非标准审计意见提示</w:t>
      </w:r>
    </w:p>
    <w:p>
      <w:pPr>
        <w:pStyle w:val="BodyText"/>
        <w:spacing w:line="338" w:lineRule="auto" w:before="117"/>
        <w:ind w:left="152"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内部控制重大缺陷提示</w:t>
      </w:r>
    </w:p>
    <w:p>
      <w:pPr>
        <w:pStyle w:val="BodyText"/>
        <w:spacing w:line="340" w:lineRule="auto" w:before="43"/>
        <w:ind w:left="152"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对年度报告涉及未来计划等前瞻性陈述的风险提示</w:t>
      </w:r>
    </w:p>
    <w:p>
      <w:pPr>
        <w:pStyle w:val="BodyText"/>
        <w:spacing w:line="350" w:lineRule="auto" w:before="39"/>
        <w:ind w:left="152"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pStyle w:val="BodyText"/>
        <w:spacing w:line="312" w:lineRule="auto" w:before="32"/>
        <w:ind w:left="152" w:right="150"/>
        <w:jc w:val="both"/>
      </w:pPr>
      <w:r>
        <w:rPr>
          <w:spacing w:val="-2"/>
        </w:rPr>
        <w:t>本报告中如涉及未来计划、业绩预测等前瞻性陈述，均不构成本公司对任何投资者及相关人士的实质承诺，投资者及相关人</w:t>
      </w:r>
      <w:r>
        <w:rPr>
          <w:spacing w:val="-63"/>
        </w:rPr>
        <w:t> </w:t>
      </w:r>
      <w:r>
        <w:rPr>
          <w:spacing w:val="-63"/>
        </w:rPr>
      </w:r>
      <w:r>
        <w:rPr>
          <w:spacing w:val="-2"/>
        </w:rPr>
        <w:t>士均对此保持足够的风险认识，并且应当理解计划、预测与承诺之间的差异。公司在经营过程中可能存在主要收入来源不稳</w:t>
      </w:r>
      <w:r>
        <w:rPr>
          <w:spacing w:val="-65"/>
        </w:rPr>
        <w:t> </w:t>
      </w:r>
      <w:r>
        <w:rPr>
          <w:spacing w:val="-65"/>
        </w:rPr>
      </w:r>
      <w:r>
        <w:rPr>
          <w:spacing w:val="-2"/>
          <w:w w:val="100"/>
        </w:rPr>
        <w:t>定的风险、内部控制风险、人工成本、房租成本上涨的风险等。风险公司在本报告</w:t>
      </w:r>
      <w:r>
        <w:rPr>
          <w:rFonts w:ascii="Times New Roman" w:hAnsi="Times New Roman" w:cs="Times New Roman" w:eastAsia="Times New Roman" w:hint="default"/>
          <w:spacing w:val="-2"/>
          <w:w w:val="100"/>
        </w:rPr>
        <w:t>“</w:t>
      </w:r>
      <w:r>
        <w:rPr>
          <w:spacing w:val="-2"/>
          <w:w w:val="100"/>
        </w:rPr>
        <w:t>四（九）、公司未来发展的展望</w:t>
      </w:r>
      <w:r>
        <w:rPr>
          <w:rFonts w:ascii="Times New Roman" w:hAnsi="Times New Roman" w:cs="Times New Roman" w:eastAsia="Times New Roman" w:hint="default"/>
          <w:spacing w:val="-2"/>
          <w:w w:val="100"/>
        </w:rPr>
        <w:t>”</w:t>
      </w:r>
      <w:r>
        <w:rPr>
          <w:spacing w:val="-2"/>
          <w:w w:val="100"/>
        </w:rPr>
        <w:t>部分，</w:t>
      </w:r>
      <w:r>
        <w:rPr>
          <w:spacing w:val="-72"/>
          <w:w w:val="100"/>
        </w:rPr>
        <w:t> </w:t>
      </w:r>
      <w:r>
        <w:rPr>
          <w:spacing w:val="-72"/>
          <w:w w:val="100"/>
        </w:rPr>
      </w:r>
      <w:r>
        <w:rPr/>
        <w:t>具体分析了公司经营过程中可能存在的风险及应对措施，敬请投资者关注相关内容。</w:t>
      </w:r>
    </w:p>
    <w:p>
      <w:pPr>
        <w:pStyle w:val="BodyText"/>
        <w:spacing w:line="240" w:lineRule="auto" w:before="63"/>
        <w:ind w:left="152" w:right="0"/>
        <w:jc w:val="left"/>
      </w:pPr>
      <w:r>
        <w:rPr/>
        <w:t>董事会审议的报告期利润分配预案或公积金转增股本预案</w:t>
      </w:r>
    </w:p>
    <w:p>
      <w:pPr>
        <w:pStyle w:val="BodyText"/>
        <w:spacing w:line="240" w:lineRule="auto" w:before="117"/>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152" w:right="0"/>
        <w:jc w:val="left"/>
      </w:pPr>
      <w:r>
        <w:rPr/>
        <w:t>公司经本次董事会审议通过的利润分配预案为</w:t>
      </w:r>
      <w:r>
        <w:rPr>
          <w:spacing w:val="-10"/>
        </w:rPr>
        <w:t>：</w:t>
      </w:r>
      <w:r>
        <w:rPr/>
        <w:t>以</w:t>
      </w:r>
      <w:r>
        <w:rPr>
          <w:spacing w:val="-44"/>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为基数</w:t>
      </w:r>
      <w:r>
        <w:rPr>
          <w:spacing w:val="-10"/>
        </w:rPr>
        <w:t>，</w:t>
      </w:r>
      <w:r>
        <w:rPr/>
        <w:t>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派</w:t>
      </w:r>
      <w:r>
        <w:rPr/>
        <w:t>发现金红利</w:t>
      </w:r>
      <w:r>
        <w:rPr>
          <w:spacing w:val="-4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10"/>
        </w:rPr>
        <w:t>元</w:t>
      </w:r>
      <w:r>
        <w:rPr/>
        <w:t>（含税</w:t>
      </w:r>
      <w:r>
        <w:rPr>
          <w:spacing w:val="-92"/>
        </w:rPr>
        <w:t>）</w:t>
      </w:r>
      <w:r>
        <w:rPr>
          <w:spacing w:val="-10"/>
        </w:rPr>
        <w:t>，</w:t>
      </w:r>
      <w:r>
        <w:rPr/>
        <w:t>送</w:t>
      </w:r>
    </w:p>
    <w:p>
      <w:pPr>
        <w:pStyle w:val="BodyText"/>
        <w:spacing w:line="240" w:lineRule="auto" w:before="63"/>
        <w:ind w:left="152" w:right="0"/>
        <w:jc w:val="left"/>
      </w:pPr>
      <w:r>
        <w:rPr/>
        <w:t>红股</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股（含税</w:t>
      </w:r>
      <w:r>
        <w:rPr>
          <w:spacing w:val="-92"/>
        </w:rPr>
        <w:t>）</w:t>
      </w:r>
      <w:r>
        <w:rPr/>
        <w:t>，以资本公积金向全体股东每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股。</w:t>
      </w:r>
      <w:r>
        <w:rPr/>
      </w:r>
    </w:p>
    <w:p>
      <w:pPr>
        <w:spacing w:after="0" w:line="240" w:lineRule="auto"/>
        <w:jc w:val="left"/>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8"/>
          <w:szCs w:val="28"/>
        </w:rPr>
      </w:pPr>
    </w:p>
    <w:p>
      <w:pPr>
        <w:spacing w:before="0"/>
        <w:ind w:left="152" w:right="0" w:firstLine="0"/>
        <w:jc w:val="left"/>
        <w:rPr>
          <w:rFonts w:ascii="宋体" w:hAnsi="宋体" w:cs="宋体" w:eastAsia="宋体" w:hint="default"/>
          <w:sz w:val="32"/>
          <w:szCs w:val="32"/>
        </w:rPr>
      </w:pPr>
      <w:r>
        <w:rPr>
          <w:rFonts w:ascii="宋体" w:hAnsi="宋体" w:cs="宋体" w:eastAsia="宋体" w:hint="default"/>
          <w:sz w:val="32"/>
          <w:szCs w:val="32"/>
        </w:rPr>
        <w:t>目录</w:t>
      </w:r>
    </w:p>
    <w:p>
      <w:pPr>
        <w:pStyle w:val="BodyText"/>
        <w:tabs>
          <w:tab w:pos="9782" w:val="right" w:leader="dot"/>
        </w:tabs>
        <w:spacing w:line="240" w:lineRule="auto" w:before="200"/>
        <w:ind w:left="152" w:right="0"/>
        <w:jc w:val="left"/>
        <w:rPr>
          <w:rFonts w:ascii="Times New Roman" w:hAnsi="Times New Roman" w:cs="Times New Roman" w:eastAsia="Times New Roman" w:hint="default"/>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BodyText"/>
        <w:spacing w:line="240" w:lineRule="auto" w:before="101"/>
        <w:ind w:left="152"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spacing w:val="-49"/>
          </w:rPr>
          <w:t> </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rFonts w:ascii="Times New Roman" w:hAnsi="Times New Roman" w:cs="Times New Roman" w:eastAsia="Times New Roman" w:hint="default"/>
          </w:rPr>
          <w:t>- 1</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3"/>
        <w:ind w:left="152" w:right="0"/>
        <w:jc w:val="left"/>
        <w:rPr>
          <w:rFonts w:ascii="Times New Roman" w:hAnsi="Times New Roman" w:cs="Times New Roman" w:eastAsia="Times New Roman" w:hint="default"/>
        </w:rPr>
      </w:pPr>
      <w:hyperlink w:history="true" w:anchor="_bookmark2">
        <w:r>
          <w:rPr/>
          <w:t>第三节</w:t>
        </w:r>
        <w:r>
          <w:rPr>
            <w:spacing w:val="2"/>
          </w:rPr>
          <w:t> </w:t>
        </w:r>
        <w:r>
          <w:rPr/>
          <w:t>公司业务概要</w:t>
        </w:r>
        <w:r>
          <w:rPr>
            <w:spacing w:val="-62"/>
          </w:rPr>
          <w:t> </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rFonts w:ascii="Times New Roman" w:hAnsi="Times New Roman" w:cs="Times New Roman" w:eastAsia="Times New Roman" w:hint="default"/>
          </w:rPr>
          <w:t>- 5</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3"/>
        <w:ind w:left="152" w:right="0"/>
        <w:jc w:val="left"/>
        <w:rPr>
          <w:rFonts w:ascii="Times New Roman" w:hAnsi="Times New Roman" w:cs="Times New Roman" w:eastAsia="Times New Roman" w:hint="default"/>
        </w:rPr>
      </w:pPr>
      <w:hyperlink w:history="true" w:anchor="_bookmark3">
        <w:r>
          <w:rPr/>
          <w:t>第四节</w:t>
        </w:r>
        <w:r>
          <w:rPr>
            <w:spacing w:val="2"/>
          </w:rPr>
          <w:t> </w:t>
        </w:r>
        <w:r>
          <w:rPr/>
          <w:t>经营情况讨论与分析</w:t>
        </w:r>
        <w:r>
          <w:rPr>
            <w:spacing w:val="-55"/>
          </w:rPr>
          <w:t>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1"/>
        <w:ind w:left="152" w:right="0"/>
        <w:jc w:val="left"/>
        <w:rPr>
          <w:rFonts w:ascii="Times New Roman" w:hAnsi="Times New Roman" w:cs="Times New Roman" w:eastAsia="Times New Roman" w:hint="default"/>
        </w:rPr>
      </w:pPr>
      <w:hyperlink w:history="true" w:anchor="_bookmark4">
        <w:r>
          <w:rPr/>
          <w:t>第五节</w:t>
        </w:r>
        <w:r>
          <w:rPr>
            <w:spacing w:val="2"/>
          </w:rPr>
          <w:t> </w:t>
        </w:r>
        <w:r>
          <w:rPr/>
          <w:t>重要事项</w:t>
        </w:r>
        <w:r>
          <w:rPr>
            <w:spacing w:val="-67"/>
          </w:rPr>
          <w:t> </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rPr>
          <w:t>- 23</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3"/>
        <w:ind w:left="152" w:right="0"/>
        <w:jc w:val="left"/>
        <w:rPr>
          <w:rFonts w:ascii="Times New Roman" w:hAnsi="Times New Roman" w:cs="Times New Roman" w:eastAsia="Times New Roman" w:hint="default"/>
        </w:rPr>
      </w:pPr>
      <w:hyperlink w:history="true" w:anchor="_bookmark5">
        <w:r>
          <w:rPr/>
          <w:t>第六节</w:t>
        </w:r>
        <w:r>
          <w:rPr>
            <w:spacing w:val="2"/>
          </w:rPr>
          <w:t> </w:t>
        </w:r>
        <w:r>
          <w:rPr/>
          <w:t>股份变动及股东情况</w:t>
        </w:r>
        <w:r>
          <w:rPr>
            <w:spacing w:val="-55"/>
          </w:rPr>
          <w:t> </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rPr>
          <w:t>- 37</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3"/>
        <w:ind w:left="152" w:right="0"/>
        <w:jc w:val="left"/>
        <w:rPr>
          <w:rFonts w:ascii="Times New Roman" w:hAnsi="Times New Roman" w:cs="Times New Roman" w:eastAsia="Times New Roman" w:hint="default"/>
        </w:rPr>
      </w:pPr>
      <w:hyperlink w:history="true" w:anchor="_bookmark6">
        <w:r>
          <w:rPr/>
          <w:t>第七节</w:t>
        </w:r>
        <w:r>
          <w:rPr>
            <w:spacing w:val="2"/>
          </w:rPr>
          <w:t> </w:t>
        </w:r>
        <w:r>
          <w:rPr/>
          <w:t>优先股相关情况</w:t>
        </w:r>
        <w:r>
          <w:rPr>
            <w:spacing w:val="-59"/>
          </w:rPr>
          <w:t> </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rPr>
          <w:t>- 42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1"/>
        <w:ind w:left="152"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 - 43</w:t>
        </w:r>
        <w:r>
          <w:rPr>
            <w:rFonts w:ascii="Times New Roman" w:hAnsi="Times New Roman" w:cs="Times New Roman" w:eastAsia="Times New Roman" w:hint="default"/>
            <w:spacing w:val="-10"/>
          </w:rPr>
          <w:t> </w:t>
        </w:r>
        <w:r>
          <w:rPr>
            <w:rFonts w:ascii="Times New Roman" w:hAnsi="Times New Roman" w:cs="Times New Roman" w:eastAsia="Times New Roman" w:hint="default"/>
          </w:rPr>
          <w:t>-</w:t>
        </w:r>
      </w:hyperlink>
    </w:p>
    <w:p>
      <w:pPr>
        <w:pStyle w:val="BodyText"/>
        <w:spacing w:line="240" w:lineRule="auto" w:before="103"/>
        <w:ind w:left="152" w:right="0"/>
        <w:jc w:val="left"/>
        <w:rPr>
          <w:rFonts w:ascii="Times New Roman" w:hAnsi="Times New Roman" w:cs="Times New Roman" w:eastAsia="Times New Roman" w:hint="default"/>
        </w:rPr>
      </w:pPr>
      <w:hyperlink w:history="true" w:anchor="_bookmark8">
        <w:r>
          <w:rPr/>
          <w:t>第九节</w:t>
        </w:r>
        <w:r>
          <w:rPr>
            <w:spacing w:val="2"/>
          </w:rPr>
          <w:t> </w:t>
        </w:r>
        <w:r>
          <w:rPr/>
          <w:t>公司治理</w:t>
        </w:r>
        <w:r>
          <w:rPr>
            <w:spacing w:val="-67"/>
          </w:rPr>
          <w:t> </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rPr>
          <w:t>- 48</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3"/>
        <w:ind w:left="152" w:right="0"/>
        <w:jc w:val="left"/>
        <w:rPr>
          <w:rFonts w:ascii="Times New Roman" w:hAnsi="Times New Roman" w:cs="Times New Roman" w:eastAsia="Times New Roman" w:hint="default"/>
        </w:rPr>
      </w:pPr>
      <w:hyperlink w:history="true" w:anchor="_bookmark9">
        <w:r>
          <w:rPr/>
          <w:t>第十节</w:t>
        </w:r>
        <w:r>
          <w:rPr>
            <w:spacing w:val="2"/>
          </w:rPr>
          <w:t> </w:t>
        </w:r>
        <w:r>
          <w:rPr/>
          <w:t>公司债券相关情况</w:t>
        </w:r>
        <w:r>
          <w:rPr>
            <w:spacing w:val="-57"/>
          </w:rPr>
          <w:t> </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rPr>
          <w:t>- 52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spacing w:line="240" w:lineRule="auto" w:before="102"/>
        <w:ind w:left="152" w:right="0"/>
        <w:jc w:val="left"/>
        <w:rPr>
          <w:rFonts w:ascii="Times New Roman" w:hAnsi="Times New Roman" w:cs="Times New Roman" w:eastAsia="Times New Roman" w:hint="default"/>
        </w:rPr>
      </w:pPr>
      <w:hyperlink w:history="true" w:anchor="_bookmark10">
        <w:r>
          <w:rPr/>
          <w:t>第十一节</w:t>
        </w:r>
        <w:r>
          <w:rPr>
            <w:spacing w:val="2"/>
          </w:rPr>
          <w:t> </w:t>
        </w:r>
        <w:r>
          <w:rPr/>
          <w:t>财务报告</w:t>
        </w:r>
        <w:r>
          <w:rPr>
            <w:spacing w:val="-64"/>
          </w:rPr>
          <w:t> </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rPr>
          <w:t>- 52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hyperlink>
    </w:p>
    <w:p>
      <w:pPr>
        <w:pStyle w:val="BodyText"/>
        <w:tabs>
          <w:tab w:pos="9512" w:val="left" w:leader="dot"/>
        </w:tabs>
        <w:spacing w:line="240" w:lineRule="auto" w:before="103"/>
        <w:ind w:left="152"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144</w:t>
        </w:r>
      </w:hyperlink>
    </w:p>
    <w:p>
      <w:pPr>
        <w:pStyle w:val="BodyText"/>
        <w:spacing w:line="240" w:lineRule="auto" w:before="46"/>
        <w:ind w:left="152" w:right="0"/>
        <w:jc w:val="left"/>
        <w:rPr>
          <w:rFonts w:ascii="Microsoft JhengHei" w:hAnsi="Microsoft JhengHei" w:cs="Microsoft JhengHei" w:eastAsia="Microsoft JhengHei" w:hint="default"/>
        </w:rPr>
      </w:pPr>
      <w:r>
        <w:rPr/>
        <w:t>第十三节 摘要数据报送</w:t>
      </w:r>
      <w:r>
        <w:rPr>
          <w:spacing w:val="-52"/>
        </w:rPr>
        <w:t> </w:t>
      </w:r>
      <w:r>
        <w:rPr>
          <w:rFonts w:ascii="Times New Roman" w:hAnsi="Times New Roman" w:cs="Times New Roman" w:eastAsia="Times New Roman" w:hint="default"/>
        </w:rPr>
        <w:t>........................................................................................................................................</w:t>
      </w:r>
      <w:r>
        <w:rPr>
          <w:rFonts w:ascii="Microsoft JhengHei" w:hAnsi="Microsoft JhengHei" w:cs="Microsoft JhengHei" w:eastAsia="Microsoft JhengHei" w:hint="default"/>
          <w:b/>
          <w:bCs/>
        </w:rPr>
        <w:t>错误</w:t>
      </w: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未定义书签。</w:t>
      </w:r>
      <w:r>
        <w:rPr>
          <w:rFonts w:ascii="Microsoft JhengHei" w:hAnsi="Microsoft JhengHei" w:cs="Microsoft JhengHei" w:eastAsia="Microsoft JhengHei" w:hint="default"/>
        </w:rPr>
      </w:r>
    </w:p>
    <w:p>
      <w:pPr>
        <w:spacing w:after="0" w:line="240" w:lineRule="auto"/>
        <w:jc w:val="left"/>
        <w:rPr>
          <w:rFonts w:ascii="Microsoft JhengHei" w:hAnsi="Microsoft JhengHei" w:cs="Microsoft JhengHei" w:eastAsia="Microsoft JhengHei" w:hint="default"/>
        </w:rPr>
        <w:sectPr>
          <w:pgSz w:w="11910" w:h="16840"/>
          <w:pgMar w:header="745" w:footer="980"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3"/>
        <w:spacing w:line="335" w:lineRule="exact"/>
        <w:ind w:right="0"/>
        <w:jc w:val="left"/>
        <w:rPr>
          <w:b w:val="0"/>
          <w:bCs w:val="0"/>
        </w:rPr>
      </w:pPr>
      <w:r>
        <w:rPr/>
        <w:t>释义</w:t>
      </w:r>
      <w:r>
        <w:rPr>
          <w:b w:val="0"/>
          <w:bCs w:val="0"/>
        </w:rPr>
      </w:r>
    </w:p>
    <w:p>
      <w:pPr>
        <w:spacing w:line="240" w:lineRule="auto" w:before="15"/>
        <w:rPr>
          <w:rFonts w:ascii="Microsoft JhengHei" w:hAnsi="Microsoft JhengHei" w:cs="Microsoft JhengHei" w:eastAsia="Microsoft JhengHei"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公司、本公司、百华悦邦、百邦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百邦有限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北京百华悦邦电子科技有限责任公</w:t>
            </w:r>
            <w:r>
              <w:rPr>
                <w:rFonts w:ascii="宋体" w:hAnsi="宋体" w:cs="宋体" w:eastAsia="宋体" w:hint="default"/>
                <w:spacing w:val="-80"/>
                <w:sz w:val="18"/>
                <w:szCs w:val="18"/>
              </w:rPr>
              <w:t>司</w:t>
            </w:r>
            <w:r>
              <w:rPr>
                <w:rFonts w:ascii="宋体" w:hAnsi="宋体" w:cs="宋体" w:eastAsia="宋体" w:hint="default"/>
                <w:sz w:val="18"/>
                <w:szCs w:val="18"/>
              </w:rPr>
              <w:t>（本公司前身</w:t>
            </w:r>
            <w:r>
              <w:rPr>
                <w:rFonts w:ascii="宋体" w:hAnsi="宋体" w:cs="宋体" w:eastAsia="宋体" w:hint="default"/>
                <w:spacing w:val="-92"/>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为河北百邦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年变更后的名称</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河北百邦电子科技有限公司，为本公司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年设立时的名称</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百邦优保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北京百邦优保电子科技有限责任公司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上海百邦、上海倚盛、倚盛（上海）</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上海百华悦邦电子科技有限公司，原名倚盛（上海）信息科技咨询有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福州百邦电子科技有限公司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杭州百华悦邦电子技术有限公司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石家庄市百华悦邦电子科技有限公司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山东百邦电子科技有限公司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南京百嘉翰邦电子科技有限公司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天津百华悦邦科技有限公司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威海百邦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威海百邦电子有限公司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银川百邦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银川百华悦邦电子科技有限公司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上海闪电蜂</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上海闪电蜂电子商务有限公司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闪电蜂</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公司创办的</w:t>
            </w:r>
            <w:r>
              <w:rPr>
                <w:rFonts w:ascii="宋体" w:hAnsi="宋体" w:cs="宋体" w:eastAsia="宋体" w:hint="default"/>
                <w:spacing w:val="-75"/>
                <w:sz w:val="18"/>
                <w:szCs w:val="18"/>
              </w:rPr>
              <w:t>、</w:t>
            </w:r>
            <w:r>
              <w:rPr>
                <w:rFonts w:ascii="宋体" w:hAnsi="宋体" w:cs="宋体" w:eastAsia="宋体" w:hint="default"/>
                <w:sz w:val="18"/>
                <w:szCs w:val="18"/>
              </w:rPr>
              <w:t>由上海闪电蜂电子商务有限公司运作的</w:t>
            </w:r>
            <w:r>
              <w:rPr>
                <w:rFonts w:ascii="宋体" w:hAnsi="宋体" w:cs="宋体" w:eastAsia="宋体" w:hint="default"/>
                <w:spacing w:val="-44"/>
                <w:sz w:val="18"/>
                <w:szCs w:val="18"/>
              </w:rPr>
              <w:t> </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3"/>
                  <w:w w:val="99"/>
                  <w:sz w:val="18"/>
                  <w:szCs w:val="18"/>
                </w:rPr>
                <w:t>d</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en</w:t>
              </w:r>
              <w:r>
                <w:rPr>
                  <w:rFonts w:ascii="Times New Roman" w:hAnsi="Times New Roman" w:cs="Times New Roman" w:eastAsia="Times New Roman" w:hint="default"/>
                  <w:spacing w:val="-2"/>
                  <w:w w:val="99"/>
                  <w:sz w:val="18"/>
                  <w:szCs w:val="18"/>
                </w:rPr>
                <w:t>g</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z w:val="18"/>
                  <w:szCs w:val="18"/>
                </w:rPr>
              </w:r>
            </w:hyperlink>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电子商务平台</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广州百邦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广州百邦电子科技有限公司，原名广州市天胤电子科技有限公司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达安世纪</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北京达安世纪投资管理有限公司，原名北京达安世纪通讯科技有限公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司，为公司控股股东之一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达安投资</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97" w:lineRule="auto" w:before="49"/>
              <w:ind w:left="28" w:right="53"/>
              <w:jc w:val="left"/>
              <w:rPr>
                <w:rFonts w:ascii="宋体" w:hAnsi="宋体" w:cs="宋体" w:eastAsia="宋体" w:hint="default"/>
                <w:sz w:val="18"/>
                <w:szCs w:val="18"/>
              </w:rPr>
            </w:pPr>
            <w:r>
              <w:rPr>
                <w:rFonts w:ascii="宋体" w:hAnsi="宋体" w:cs="宋体" w:eastAsia="宋体" w:hint="default"/>
                <w:w w:val="99"/>
                <w:sz w:val="18"/>
                <w:szCs w:val="18"/>
              </w:rPr>
              <w:t>达安投资管理有限公司（</w:t>
            </w:r>
            <w:r>
              <w:rPr>
                <w:rFonts w:ascii="Times New Roman" w:hAnsi="Times New Roman" w:cs="Times New Roman" w:eastAsia="Times New Roman" w:hint="default"/>
                <w:w w:val="99"/>
                <w:sz w:val="18"/>
                <w:szCs w:val="18"/>
              </w:rPr>
              <w:t>DAAN</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w w:val="99"/>
                <w:sz w:val="18"/>
                <w:szCs w:val="18"/>
              </w:rPr>
              <w:t>Investment</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Company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9"/>
                <w:sz w:val="18"/>
                <w:szCs w:val="18"/>
              </w:rPr>
              <w:t>Limited</w:t>
            </w:r>
            <w:r>
              <w:rPr>
                <w:rFonts w:ascii="宋体" w:hAnsi="宋体" w:cs="宋体" w:eastAsia="宋体" w:hint="default"/>
                <w:spacing w:val="-9"/>
                <w:sz w:val="18"/>
                <w:szCs w:val="18"/>
              </w:rPr>
              <w:t>），为达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安世纪的全资子公司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悦华众城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北京悦华众城投资管理中心（有限合伙</w:t>
            </w:r>
            <w:r>
              <w:rPr>
                <w:rFonts w:ascii="宋体" w:hAnsi="宋体" w:cs="宋体" w:eastAsia="宋体" w:hint="default"/>
                <w:spacing w:val="-92"/>
                <w:sz w:val="18"/>
                <w:szCs w:val="18"/>
              </w:rPr>
              <w:t>）</w:t>
            </w:r>
            <w:r>
              <w:rPr>
                <w:rFonts w:ascii="宋体" w:hAnsi="宋体" w:cs="宋体" w:eastAsia="宋体" w:hint="default"/>
                <w:sz w:val="18"/>
                <w:szCs w:val="18"/>
              </w:rPr>
              <w:t>，为公司控股股东</w:t>
            </w:r>
            <w:r>
              <w:rPr>
                <w:rFonts w:ascii="宋体" w:hAnsi="宋体" w:cs="宋体" w:eastAsia="宋体" w:hint="default"/>
                <w:spacing w:val="2"/>
                <w:sz w:val="18"/>
                <w:szCs w:val="18"/>
              </w:rPr>
              <w:t>之</w:t>
            </w:r>
            <w:r>
              <w:rPr>
                <w:rFonts w:ascii="宋体" w:hAnsi="宋体" w:cs="宋体" w:eastAsia="宋体" w:hint="default"/>
                <w:sz w:val="18"/>
                <w:szCs w:val="18"/>
              </w:rPr>
              <w:t>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苏州达泰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苏州达泰创业投资中心（有限合伙</w:t>
            </w:r>
            <w:r>
              <w:rPr>
                <w:rFonts w:ascii="宋体" w:hAnsi="宋体" w:cs="宋体" w:eastAsia="宋体" w:hint="default"/>
                <w:spacing w:val="-92"/>
                <w:sz w:val="18"/>
                <w:szCs w:val="18"/>
              </w:rPr>
              <w:t>）</w:t>
            </w:r>
            <w:r>
              <w:rPr>
                <w:rFonts w:ascii="宋体" w:hAnsi="宋体" w:cs="宋体" w:eastAsia="宋体" w:hint="default"/>
                <w:sz w:val="18"/>
                <w:szCs w:val="18"/>
              </w:rPr>
              <w:t>，为公司原股东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深圳力合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深圳力合创赢股权投资基金合伙企业（有限合伙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w:t>
            </w:r>
            <w:r>
              <w:rPr>
                <w:rFonts w:ascii="宋体" w:hAnsi="宋体" w:cs="宋体" w:eastAsia="宋体" w:hint="default"/>
                <w:spacing w:val="2"/>
                <w:sz w:val="18"/>
                <w:szCs w:val="18"/>
              </w:rPr>
              <w:t>股</w:t>
            </w:r>
            <w:r>
              <w:rPr>
                <w:rFonts w:ascii="宋体" w:hAnsi="宋体" w:cs="宋体" w:eastAsia="宋体" w:hint="default"/>
                <w:sz w:val="18"/>
                <w:szCs w:val="18"/>
              </w:rPr>
              <w:t>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天津力合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天津力合创赢股权投资基金合伙企业（有限合伙</w:t>
            </w:r>
            <w:r>
              <w:rPr>
                <w:rFonts w:ascii="宋体" w:hAnsi="宋体" w:cs="宋体" w:eastAsia="宋体" w:hint="default"/>
                <w:spacing w:val="-92"/>
                <w:sz w:val="18"/>
                <w:szCs w:val="18"/>
              </w:rPr>
              <w:t>）</w:t>
            </w:r>
            <w:r>
              <w:rPr>
                <w:rFonts w:ascii="宋体" w:hAnsi="宋体" w:cs="宋体" w:eastAsia="宋体" w:hint="default"/>
                <w:sz w:val="18"/>
                <w:szCs w:val="18"/>
              </w:rPr>
              <w:t>，为公司</w:t>
            </w:r>
            <w:r>
              <w:rPr>
                <w:rFonts w:ascii="宋体" w:hAnsi="宋体" w:cs="宋体" w:eastAsia="宋体" w:hint="default"/>
                <w:spacing w:val="2"/>
                <w:sz w:val="18"/>
                <w:szCs w:val="18"/>
              </w:rPr>
              <w:t>股</w:t>
            </w:r>
            <w:r>
              <w:rPr>
                <w:rFonts w:ascii="宋体" w:hAnsi="宋体" w:cs="宋体" w:eastAsia="宋体" w:hint="default"/>
                <w:sz w:val="18"/>
                <w:szCs w:val="18"/>
              </w:rPr>
              <w:t>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中信建投证券、保荐人、主承销商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普华永道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全国中小企业股份转让系统有限责任公司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新三板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全国中小企业股份转让系统</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苹果公司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苹果电脑贸易（上海）有限公司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苹果手机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美国苹果公司（</w:t>
            </w:r>
            <w:r>
              <w:rPr>
                <w:rFonts w:ascii="Times New Roman" w:hAnsi="Times New Roman" w:cs="Times New Roman" w:eastAsia="Times New Roman" w:hint="default"/>
                <w:sz w:val="18"/>
                <w:szCs w:val="18"/>
              </w:rPr>
              <w:t>Apple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）研发的智能手机系列</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三星手机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pacing w:val="-3"/>
                <w:sz w:val="18"/>
                <w:szCs w:val="18"/>
              </w:rPr>
              <w:t>韩国三星电子有限公司（</w:t>
            </w:r>
            <w:r>
              <w:rPr>
                <w:rFonts w:ascii="Times New Roman" w:hAnsi="Times New Roman" w:cs="Times New Roman" w:eastAsia="Times New Roman" w:hint="default"/>
                <w:spacing w:val="-3"/>
                <w:sz w:val="18"/>
                <w:szCs w:val="18"/>
              </w:rPr>
              <w:t>Samsung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Electronics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4"/>
                <w:sz w:val="18"/>
                <w:szCs w:val="18"/>
              </w:rPr>
              <w:t>Ltd.</w:t>
            </w:r>
            <w:r>
              <w:rPr>
                <w:rFonts w:ascii="宋体" w:hAnsi="宋体" w:cs="宋体" w:eastAsia="宋体" w:hint="default"/>
                <w:spacing w:val="-4"/>
                <w:sz w:val="18"/>
                <w:szCs w:val="18"/>
              </w:rPr>
              <w:t>）研发的智能手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机系列</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三星公司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三星电子（北京）技术服务有限公司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安永公司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安永</w:t>
            </w:r>
            <w:r>
              <w:rPr>
                <w:rFonts w:ascii="Times New Roman" w:hAnsi="Times New Roman" w:cs="Times New Roman" w:eastAsia="Times New Roman" w:hint="default"/>
                <w:sz w:val="18"/>
                <w:szCs w:val="18"/>
              </w:rPr>
              <w:t>(</w:t>
            </w:r>
            <w:r>
              <w:rPr>
                <w:rFonts w:ascii="宋体" w:hAnsi="宋体" w:cs="宋体" w:eastAsia="宋体" w:hint="default"/>
                <w:sz w:val="18"/>
                <w:szCs w:val="18"/>
              </w:rPr>
              <w:t>中国）企业咨询有限公司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PDCA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管理循环原理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质量管理活动的一种原理</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spacing w:line="456" w:lineRule="exact" w:before="0"/>
        <w:ind w:left="2482" w:right="661" w:firstLine="0"/>
        <w:jc w:val="left"/>
        <w:rPr>
          <w:rFonts w:ascii="Microsoft JhengHei" w:hAnsi="Microsoft JhengHei" w:cs="Microsoft JhengHei" w:eastAsia="Microsoft JhengHei" w:hint="default"/>
          <w:sz w:val="32"/>
          <w:szCs w:val="32"/>
        </w:rPr>
      </w:pPr>
      <w:bookmarkStart w:name="_bookmark1" w:id="2"/>
      <w:bookmarkEnd w:id="2"/>
      <w:r>
        <w:rPr/>
      </w:r>
      <w:r>
        <w:rPr>
          <w:rFonts w:ascii="Microsoft JhengHei" w:hAnsi="Microsoft JhengHei" w:cs="Microsoft JhengHei" w:eastAsia="Microsoft JhengHei" w:hint="default"/>
          <w:b/>
          <w:bCs/>
          <w:sz w:val="32"/>
          <w:szCs w:val="32"/>
        </w:rPr>
        <w:t>第二节 </w:t>
      </w:r>
      <w:r>
        <w:rPr>
          <w:rFonts w:ascii="Microsoft JhengHei" w:hAnsi="Microsoft JhengHei" w:cs="Microsoft JhengHei" w:eastAsia="Microsoft JhengHei" w:hint="default"/>
          <w:b/>
          <w:bCs/>
          <w:spacing w:val="15"/>
          <w:sz w:val="32"/>
          <w:szCs w:val="32"/>
        </w:rPr>
        <w:t> </w:t>
      </w:r>
      <w:r>
        <w:rPr>
          <w:rFonts w:ascii="Microsoft JhengHei" w:hAnsi="Microsoft JhengHei" w:cs="Microsoft JhengHei" w:eastAsia="Microsoft JhengHei" w:hint="default"/>
          <w:b/>
          <w:bCs/>
          <w:sz w:val="32"/>
          <w:szCs w:val="32"/>
        </w:rPr>
        <w:t>公司简介和主要财务指标</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9"/>
          <w:szCs w:val="29"/>
        </w:rPr>
      </w:pPr>
    </w:p>
    <w:p>
      <w:pPr>
        <w:spacing w:line="367" w:lineRule="exact" w:before="0"/>
        <w:ind w:left="305" w:right="661" w:firstLine="0"/>
        <w:jc w:val="left"/>
        <w:rPr>
          <w:rFonts w:ascii="Microsoft JhengHei" w:hAnsi="Microsoft JhengHei" w:cs="Microsoft JhengHei" w:eastAsia="Microsoft JhengHei" w:hint="default"/>
          <w:sz w:val="24"/>
          <w:szCs w:val="24"/>
        </w:rPr>
      </w:pPr>
      <w:r>
        <w:rPr/>
        <w:pict>
          <v:group style="position:absolute;margin-left:213.770004pt;margin-top:99.282501pt;width:362.6pt;height:15.4pt;mso-position-horizontal-relative:page;mso-position-vertical-relative:paragraph;z-index:-829744" coordorigin="4275,1986" coordsize="7252,308">
            <v:group style="position:absolute;left:4286;top:1996;width:2;height:286" coordorigin="4286,1996" coordsize="2,286">
              <v:shape style="position:absolute;left:4286;top:1996;width:2;height:286" coordorigin="4286,1996" coordsize="0,286" path="m4286,1996l4286,2282e" filled="false" stroked="true" strokeweight="1.08pt" strokecolor="#ffffff">
                <v:path arrowok="t"/>
              </v:shape>
            </v:group>
            <v:group style="position:absolute;left:4297;top:1996;width:7231;height:286" coordorigin="4297,1996" coordsize="7231,286">
              <v:shape style="position:absolute;left:4297;top:1996;width:7231;height:286" coordorigin="4297,1996" coordsize="7231,286" path="m4297,2282l11527,2282,11527,1996,4297,1996,4297,2282xe" filled="true" fillcolor="#ffffff" stroked="false">
                <v:path arrowok="t"/>
                <v:fill type="solid"/>
              </v:shape>
            </v:group>
            <w10:wrap type="none"/>
          </v:group>
        </w:pict>
      </w:r>
      <w:r>
        <w:rPr>
          <w:rFonts w:ascii="Microsoft JhengHei" w:hAnsi="Microsoft JhengHei" w:cs="Microsoft JhengHei" w:eastAsia="Microsoft JhengHei" w:hint="default"/>
          <w:b/>
          <w:bCs/>
          <w:sz w:val="24"/>
          <w:szCs w:val="24"/>
        </w:rPr>
        <w:t>一、公司信息</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300" w:type="dxa"/>
        <w:tblLayout w:type="fixed"/>
        <w:tblCellMar>
          <w:top w:w="0" w:type="dxa"/>
          <w:left w:w="0" w:type="dxa"/>
          <w:bottom w:w="0" w:type="dxa"/>
          <w:right w:w="0" w:type="dxa"/>
        </w:tblCellMar>
        <w:tblLook w:val="01E0"/>
      </w:tblPr>
      <w:tblGrid>
        <w:gridCol w:w="2273"/>
        <w:gridCol w:w="2964"/>
        <w:gridCol w:w="2145"/>
        <w:gridCol w:w="2188"/>
      </w:tblGrid>
      <w:tr>
        <w:trPr>
          <w:trHeight w:val="325"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百华悦邦</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300736</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百华悦邦</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r>
              <w:rPr>
                <w:rFonts w:ascii="Times New Roman"/>
                <w:sz w:val="18"/>
              </w:rPr>
              <w:t>BYBON Group Company</w:t>
            </w:r>
            <w:r>
              <w:rPr>
                <w:rFonts w:ascii="Times New Roman"/>
                <w:spacing w:val="-9"/>
                <w:sz w:val="18"/>
              </w:rPr>
              <w:t> </w:t>
            </w:r>
            <w:r>
              <w:rPr>
                <w:rFonts w:ascii="Times New Roman"/>
                <w:sz w:val="18"/>
              </w:rPr>
              <w:t>Limited</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4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r>
              <w:rPr>
                <w:rFonts w:ascii="Times New Roman"/>
                <w:sz w:val="18"/>
              </w:rPr>
              <w:t>BYBON</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刘铁峰</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北京市朝阳区望京中环南路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r>
              <w:rPr>
                <w:rFonts w:ascii="Times New Roman"/>
                <w:sz w:val="18"/>
              </w:rPr>
              <w:t>100102</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北京市朝阳区望京望花路花家地北里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座二层</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left="21" w:right="0"/>
              <w:jc w:val="left"/>
              <w:rPr>
                <w:rFonts w:ascii="Times New Roman" w:hAnsi="Times New Roman" w:cs="Times New Roman" w:eastAsia="Times New Roman" w:hint="default"/>
                <w:sz w:val="18"/>
                <w:szCs w:val="18"/>
              </w:rPr>
            </w:pPr>
            <w:r>
              <w:rPr>
                <w:rFonts w:ascii="Times New Roman"/>
                <w:sz w:val="18"/>
              </w:rPr>
              <w:t>100102</w:t>
            </w:r>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hyperlink r:id="rId12">
              <w:r>
                <w:rPr>
                  <w:rFonts w:ascii="Times New Roman"/>
                  <w:sz w:val="18"/>
                </w:rPr>
                <w:t>www.bybon.com</w:t>
              </w:r>
            </w:hyperlink>
          </w:p>
        </w:tc>
      </w:tr>
      <w:tr>
        <w:trPr>
          <w:trHeight w:val="32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hyperlink r:id="rId13">
              <w:r>
                <w:rPr>
                  <w:rFonts w:ascii="Times New Roman"/>
                  <w:sz w:val="18"/>
                </w:rPr>
                <w:t>zhengquan@bybon.cn</w:t>
              </w:r>
            </w:hyperlink>
          </w:p>
        </w:tc>
      </w:tr>
    </w:tbl>
    <w:p>
      <w:pPr>
        <w:spacing w:line="240" w:lineRule="auto" w:before="7"/>
        <w:rPr>
          <w:rFonts w:ascii="Microsoft JhengHei" w:hAnsi="Microsoft JhengHei" w:cs="Microsoft JhengHei" w:eastAsia="Microsoft JhengHei" w:hint="default"/>
          <w:b/>
          <w:bCs/>
          <w:sz w:val="13"/>
          <w:szCs w:val="13"/>
        </w:rPr>
      </w:pPr>
    </w:p>
    <w:p>
      <w:pPr>
        <w:spacing w:line="367" w:lineRule="exact" w:before="0"/>
        <w:ind w:left="305" w:right="6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二、联系人和联系方式</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300" w:type="dxa"/>
        <w:tblLayout w:type="fixed"/>
        <w:tblCellMar>
          <w:top w:w="0" w:type="dxa"/>
          <w:left w:w="0" w:type="dxa"/>
          <w:bottom w:w="0" w:type="dxa"/>
          <w:right w:w="0" w:type="dxa"/>
        </w:tblCellMar>
        <w:tblLook w:val="01E0"/>
      </w:tblPr>
      <w:tblGrid>
        <w:gridCol w:w="3190"/>
        <w:gridCol w:w="3190"/>
        <w:gridCol w:w="3191"/>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陈立娅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王鼎</w:t>
            </w:r>
          </w:p>
        </w:tc>
      </w:tr>
      <w:tr>
        <w:trPr>
          <w:trHeight w:val="12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241" w:lineRule="exact" w:before="8"/>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北京市朝阳区望京望花路花家地北里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1" w:lineRule="exact"/>
              <w:ind w:left="9"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座二层</w:t>
            </w:r>
          </w:p>
        </w:tc>
        <w:tc>
          <w:tcPr>
            <w:tcW w:w="3191" w:type="dxa"/>
            <w:vMerge w:val="restart"/>
            <w:tcBorders>
              <w:top w:val="single" w:sz="4" w:space="0" w:color="000000"/>
              <w:left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北京市朝阳区望京望花路花家地北里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座二层</w:t>
            </w:r>
          </w:p>
        </w:tc>
      </w:tr>
      <w:tr>
        <w:trPr>
          <w:trHeight w:val="43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13"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9" w:right="0"/>
              <w:jc w:val="left"/>
              <w:rPr>
                <w:rFonts w:ascii="Times New Roman" w:hAnsi="Times New Roman" w:cs="Times New Roman" w:eastAsia="Times New Roman" w:hint="default"/>
                <w:sz w:val="18"/>
                <w:szCs w:val="18"/>
              </w:rPr>
            </w:pPr>
            <w:r>
              <w:rPr>
                <w:rFonts w:ascii="Times New Roman"/>
                <w:sz w:val="18"/>
              </w:rPr>
              <w:t>010-57041836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010-57041836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left="9" w:right="0"/>
              <w:jc w:val="left"/>
              <w:rPr>
                <w:rFonts w:ascii="Times New Roman" w:hAnsi="Times New Roman" w:cs="Times New Roman" w:eastAsia="Times New Roman" w:hint="default"/>
                <w:sz w:val="18"/>
                <w:szCs w:val="18"/>
              </w:rPr>
            </w:pPr>
            <w:r>
              <w:rPr>
                <w:rFonts w:ascii="Times New Roman"/>
                <w:sz w:val="18"/>
              </w:rPr>
              <w:t>010-57041884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010-57041884</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left="9" w:right="0"/>
              <w:jc w:val="left"/>
              <w:rPr>
                <w:rFonts w:ascii="Times New Roman" w:hAnsi="Times New Roman" w:cs="Times New Roman" w:eastAsia="Times New Roman" w:hint="default"/>
                <w:sz w:val="18"/>
                <w:szCs w:val="18"/>
              </w:rPr>
            </w:pPr>
            <w:hyperlink r:id="rId13">
              <w:r>
                <w:rPr>
                  <w:rFonts w:ascii="Times New Roman"/>
                  <w:sz w:val="18"/>
                </w:rPr>
                <w:t>zhengquan@bybon.cn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hyperlink r:id="rId13">
              <w:r>
                <w:rPr>
                  <w:rFonts w:ascii="Times New Roman"/>
                  <w:sz w:val="18"/>
                </w:rPr>
                <w:t>zhengquan@bybon.cn</w:t>
              </w:r>
            </w:hyperlink>
          </w:p>
        </w:tc>
      </w:tr>
    </w:tbl>
    <w:p>
      <w:pPr>
        <w:spacing w:line="240" w:lineRule="auto" w:before="7"/>
        <w:rPr>
          <w:rFonts w:ascii="Microsoft JhengHei" w:hAnsi="Microsoft JhengHei" w:cs="Microsoft JhengHei" w:eastAsia="Microsoft JhengHei" w:hint="default"/>
          <w:b/>
          <w:bCs/>
          <w:sz w:val="13"/>
          <w:szCs w:val="13"/>
        </w:rPr>
      </w:pPr>
    </w:p>
    <w:p>
      <w:pPr>
        <w:spacing w:line="367" w:lineRule="exact" w:before="0"/>
        <w:ind w:left="305" w:right="6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三、信息披露及备置地点</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8"/>
          <w:szCs w:val="18"/>
        </w:rPr>
      </w:pPr>
    </w:p>
    <w:tbl>
      <w:tblPr>
        <w:tblW w:w="0" w:type="auto"/>
        <w:jc w:val="left"/>
        <w:tblInd w:w="300" w:type="dxa"/>
        <w:tblLayout w:type="fixed"/>
        <w:tblCellMar>
          <w:top w:w="0" w:type="dxa"/>
          <w:left w:w="0" w:type="dxa"/>
          <w:bottom w:w="0" w:type="dxa"/>
          <w:right w:w="0" w:type="dxa"/>
        </w:tblCellMar>
        <w:tblLook w:val="01E0"/>
      </w:tblPr>
      <w:tblGrid>
        <w:gridCol w:w="3981"/>
        <w:gridCol w:w="5590"/>
      </w:tblGrid>
      <w:tr>
        <w:trPr>
          <w:trHeight w:val="323" w:hRule="exact"/>
        </w:trPr>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323" w:hRule="exact"/>
        </w:trPr>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324" w:hRule="exact"/>
        </w:trPr>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公司总部董事会办公室</w:t>
            </w:r>
          </w:p>
        </w:tc>
      </w:tr>
    </w:tbl>
    <w:p>
      <w:pPr>
        <w:spacing w:after="0" w:line="240" w:lineRule="auto"/>
        <w:jc w:val="left"/>
        <w:rPr>
          <w:rFonts w:ascii="宋体" w:hAnsi="宋体" w:cs="宋体" w:eastAsia="宋体" w:hint="default"/>
          <w:sz w:val="18"/>
          <w:szCs w:val="18"/>
        </w:rPr>
        <w:sectPr>
          <w:headerReference w:type="default" r:id="rId10"/>
          <w:footerReference w:type="default" r:id="rId11"/>
          <w:pgSz w:w="11910" w:h="16840"/>
          <w:pgMar w:header="42" w:footer="0" w:top="240" w:bottom="280" w:left="1680" w:right="2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9"/>
          <w:szCs w:val="29"/>
        </w:rPr>
      </w:pPr>
    </w:p>
    <w:p>
      <w:pPr>
        <w:spacing w:line="20" w:lineRule="exact"/>
        <w:ind w:left="269"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4.4pt;height:.75pt;mso-position-horizontal-relative:char;mso-position-vertical-relative:line" coordorigin="0,0" coordsize="9088,15">
            <v:group style="position:absolute;left:7;top:7;width:9074;height:2" coordorigin="7,7" coordsize="9074,2">
              <v:shape style="position:absolute;left:7;top:7;width:9074;height:2" coordorigin="7,7" coordsize="9074,0" path="m7,7l9081,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7"/>
          <w:szCs w:val="17"/>
        </w:rPr>
      </w:pPr>
    </w:p>
    <w:p>
      <w:pPr>
        <w:spacing w:line="367" w:lineRule="exact" w:before="0"/>
        <w:ind w:left="305" w:right="6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四、其他有关资料</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61"/>
        <w:jc w:val="left"/>
      </w:pPr>
      <w:r>
        <w:rPr/>
        <w:t>公司聘请的会计师事务所</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2651"/>
        <w:gridCol w:w="6919"/>
      </w:tblGrid>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32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上海市黄浦区湖滨路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 </w:t>
            </w:r>
            <w:r>
              <w:rPr>
                <w:rFonts w:ascii="宋体" w:hAnsi="宋体" w:cs="宋体" w:eastAsia="宋体" w:hint="default"/>
                <w:sz w:val="18"/>
                <w:szCs w:val="18"/>
              </w:rPr>
              <w:t>号企业天地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程明、刘渊博</w:t>
            </w:r>
          </w:p>
        </w:tc>
      </w:tr>
    </w:tbl>
    <w:p>
      <w:pPr>
        <w:pStyle w:val="BodyText"/>
        <w:spacing w:line="240" w:lineRule="auto" w:before="8"/>
        <w:ind w:right="661"/>
        <w:jc w:val="left"/>
      </w:pPr>
      <w:r>
        <w:rPr/>
        <w:t>公司聘请的报告期内履行持续督导职责的保荐机构</w:t>
      </w:r>
    </w:p>
    <w:p>
      <w:pPr>
        <w:pStyle w:val="BodyText"/>
        <w:spacing w:line="240" w:lineRule="auto" w:before="38"/>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2393"/>
        <w:gridCol w:w="2391"/>
        <w:gridCol w:w="2393"/>
        <w:gridCol w:w="2393"/>
      </w:tblGrid>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9"/>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号凯 恒中心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闫明庆、曾琨杰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8"/>
        <w:ind w:right="661"/>
        <w:jc w:val="left"/>
      </w:pPr>
      <w:r>
        <w:rPr/>
        <w:t>公司聘请的报告期内履行持续督导职责的财务顾问</w:t>
      </w:r>
    </w:p>
    <w:p>
      <w:pPr>
        <w:pStyle w:val="BodyText"/>
        <w:spacing w:line="240" w:lineRule="auto" w:before="35"/>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五、主要会计数据和财务指标</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61"/>
        <w:jc w:val="left"/>
      </w:pPr>
      <w:r>
        <w:rPr/>
        <w:t>公司是否需追溯调整或重述以前年度会计数据</w:t>
      </w:r>
    </w:p>
    <w:p>
      <w:pPr>
        <w:pStyle w:val="BodyText"/>
        <w:spacing w:line="240" w:lineRule="auto" w:before="38"/>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2609"/>
        <w:gridCol w:w="1750"/>
        <w:gridCol w:w="1738"/>
        <w:gridCol w:w="1738"/>
        <w:gridCol w:w="1736"/>
      </w:tblGrid>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675,123,540.03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648,067,280.60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4.17%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621,158,667.90</w:t>
            </w:r>
          </w:p>
        </w:tc>
      </w:tr>
      <w:tr>
        <w:trPr>
          <w:trHeight w:val="557"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39,635,195.46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47,250,173.48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40,076,727.97</w:t>
            </w:r>
          </w:p>
        </w:tc>
      </w:tr>
      <w:tr>
        <w:trPr>
          <w:trHeight w:val="557"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36,181,023.90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45,307,350.73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40,470,138.29</w:t>
            </w:r>
          </w:p>
        </w:tc>
      </w:tr>
      <w:tr>
        <w:trPr>
          <w:trHeight w:val="557"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45,947,783.94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78,083,315.19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84,883,895.64</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-16.38%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0.99</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-16.38%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0.99</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20.45%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26.28%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25.44%</w:t>
            </w:r>
          </w:p>
        </w:tc>
      </w:tr>
      <w:tr>
        <w:trPr>
          <w:trHeight w:val="32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274,470,198.18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281,685,497.13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-2.56%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263,775,608.42</w:t>
            </w:r>
          </w:p>
        </w:tc>
      </w:tr>
      <w:tr>
        <w:trPr>
          <w:trHeight w:val="557"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202,775,022.21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195,725,026.75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172,010,715.41</w:t>
            </w:r>
          </w:p>
        </w:tc>
      </w:tr>
    </w:tbl>
    <w:p>
      <w:pPr>
        <w:pStyle w:val="BodyText"/>
        <w:spacing w:line="240" w:lineRule="auto" w:before="8"/>
        <w:ind w:right="661"/>
        <w:jc w:val="left"/>
      </w:pPr>
      <w:r>
        <w:rPr/>
        <w:t>截止披露前一交易日的公司总股本：</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4525"/>
        <w:gridCol w:w="5046"/>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54,308,700</w:t>
            </w:r>
          </w:p>
        </w:tc>
      </w:tr>
    </w:tbl>
    <w:p>
      <w:pPr>
        <w:pStyle w:val="BodyText"/>
        <w:spacing w:line="232" w:lineRule="exact" w:before="32"/>
        <w:ind w:right="661"/>
        <w:jc w:val="left"/>
      </w:pPr>
      <w:r>
        <w:rPr/>
        <w:t>公司报告期末至年度报告披露日股本是否因发行新股、增发、配股、股权激励行权、回购等原因发生变化且影响所 有者权益金额</w:t>
      </w:r>
    </w:p>
    <w:p>
      <w:pPr>
        <w:pStyle w:val="BodyText"/>
        <w:spacing w:line="240" w:lineRule="auto" w:before="17"/>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4525"/>
        <w:gridCol w:w="5046"/>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0.7298</w:t>
            </w:r>
          </w:p>
        </w:tc>
      </w:tr>
    </w:tbl>
    <w:p>
      <w:pPr>
        <w:pStyle w:val="BodyText"/>
        <w:spacing w:line="240" w:lineRule="auto" w:before="8"/>
        <w:ind w:right="661"/>
        <w:jc w:val="left"/>
      </w:pPr>
      <w:r>
        <w:rPr/>
        <w:t>是否存在公司债</w:t>
      </w:r>
    </w:p>
    <w:p>
      <w:pPr>
        <w:spacing w:after="0" w:line="240" w:lineRule="auto"/>
        <w:jc w:val="left"/>
        <w:sectPr>
          <w:footerReference w:type="default" r:id="rId15"/>
          <w:pgSz w:w="11910" w:h="16840"/>
          <w:pgMar w:footer="0" w:header="42" w:top="240" w:bottom="160" w:left="1680" w:right="24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六、分季度主要财务指标</w:t>
      </w:r>
      <w:r>
        <w:rPr>
          <w:b w:val="0"/>
          <w:bCs w:val="0"/>
        </w:rPr>
      </w:r>
    </w:p>
    <w:p>
      <w:pPr>
        <w:spacing w:line="240" w:lineRule="auto" w:before="8"/>
        <w:rPr>
          <w:rFonts w:ascii="Microsoft JhengHei" w:hAnsi="Microsoft JhengHei" w:cs="Microsoft JhengHei" w:eastAsia="Microsoft JhengHei" w:hint="default"/>
          <w:b/>
          <w:bCs/>
          <w:sz w:val="13"/>
          <w:szCs w:val="13"/>
        </w:rPr>
      </w:pPr>
    </w:p>
    <w:p>
      <w:pPr>
        <w:pStyle w:val="BodyText"/>
        <w:spacing w:line="240" w:lineRule="auto" w:before="44"/>
        <w:ind w:left="0" w:right="663"/>
        <w:jc w:val="right"/>
      </w:pPr>
      <w:r>
        <w:rPr/>
        <w:t>单位：元</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2609"/>
        <w:gridCol w:w="1753"/>
        <w:gridCol w:w="1740"/>
        <w:gridCol w:w="1738"/>
        <w:gridCol w:w="1731"/>
      </w:tblGrid>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144,744,788.37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207,089,768.79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172,179,186.66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151,109,796.21</w:t>
            </w:r>
          </w:p>
        </w:tc>
      </w:tr>
      <w:tr>
        <w:trPr>
          <w:trHeight w:val="32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10,718,583.26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10,232,324.84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11,772,348.48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6,911,938.88</w:t>
            </w:r>
          </w:p>
        </w:tc>
      </w:tr>
      <w:tr>
        <w:trPr>
          <w:trHeight w:val="557"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3"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8,596,765.35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10,151,559.50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11,223,242.30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6,209,456.75</w:t>
            </w:r>
          </w:p>
        </w:tc>
      </w:tr>
      <w:tr>
        <w:trPr>
          <w:trHeight w:val="32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30,514,122.95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-16,553,635.00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10,300,411.37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21,686,884.62</w:t>
            </w:r>
          </w:p>
        </w:tc>
      </w:tr>
    </w:tbl>
    <w:p>
      <w:pPr>
        <w:pStyle w:val="BodyText"/>
        <w:spacing w:line="240" w:lineRule="auto" w:before="8"/>
        <w:ind w:right="661"/>
        <w:jc w:val="left"/>
      </w:pPr>
      <w:r>
        <w:rPr/>
        <w:t>上述财务指标或其加总数是否与公司已披露季度报告、半年度报告相关财务指标存在重大差异</w:t>
      </w:r>
    </w:p>
    <w:p>
      <w:pPr>
        <w:pStyle w:val="BodyText"/>
        <w:spacing w:line="240" w:lineRule="auto" w:before="38"/>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七、境内外会计准则下会计数据差异</w:t>
      </w:r>
      <w:r>
        <w:rPr>
          <w:b w:val="0"/>
          <w:bCs w:val="0"/>
        </w:rPr>
      </w:r>
    </w:p>
    <w:p>
      <w:pPr>
        <w:pStyle w:val="Heading3"/>
        <w:spacing w:line="240" w:lineRule="auto" w:before="210"/>
        <w:ind w:left="305" w:right="66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八、非经常性损益项目及金额</w:t>
      </w:r>
      <w:r>
        <w:rPr>
          <w:b w:val="0"/>
          <w:bCs w:val="0"/>
        </w:rPr>
      </w:r>
    </w:p>
    <w:p>
      <w:pPr>
        <w:spacing w:line="240" w:lineRule="auto" w:before="8"/>
        <w:rPr>
          <w:rFonts w:ascii="Microsoft JhengHei" w:hAnsi="Microsoft JhengHei" w:cs="Microsoft JhengHei" w:eastAsia="Microsoft JhengHei" w:hint="default"/>
          <w:b/>
          <w:bCs/>
          <w:sz w:val="13"/>
          <w:szCs w:val="13"/>
        </w:rPr>
      </w:pPr>
    </w:p>
    <w:p>
      <w:pPr>
        <w:pStyle w:val="BodyText"/>
        <w:spacing w:line="240" w:lineRule="auto" w:before="44"/>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4"/>
        <w:ind w:left="0" w:right="663"/>
        <w:jc w:val="right"/>
      </w:pPr>
      <w:r>
        <w:rPr/>
        <w:t>单位：元</w:t>
      </w:r>
    </w:p>
    <w:p>
      <w:pPr>
        <w:spacing w:line="240" w:lineRule="auto" w:before="5"/>
        <w:rPr>
          <w:rFonts w:ascii="宋体" w:hAnsi="宋体" w:cs="宋体" w:eastAsia="宋体" w:hint="default"/>
          <w:sz w:val="5"/>
          <w:szCs w:val="5"/>
        </w:rPr>
      </w:pPr>
    </w:p>
    <w:tbl>
      <w:tblPr>
        <w:tblW w:w="0" w:type="auto"/>
        <w:jc w:val="left"/>
        <w:tblInd w:w="312"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11"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-618,543.13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-1,592,450.74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-1,631,329.06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1"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3,016,600.00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713,000.00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3285"/>
        <w:gridCol w:w="1533"/>
        <w:gridCol w:w="1519"/>
        <w:gridCol w:w="1522"/>
        <w:gridCol w:w="1712"/>
      </w:tblGrid>
      <w:tr>
        <w:trPr>
          <w:trHeight w:val="790"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3"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3" w:right="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6"/>
              <w:ind w:left="23"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6"/>
              <w:ind w:left="23" w:right="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3"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2,022,390.08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1,597,092.36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138,500.80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3"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185,115.13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208,555.88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17,614.50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处置长期股权投资</w:t>
            </w:r>
          </w:p>
        </w:tc>
        <w:tc>
          <w:tcPr>
            <w:tcW w:w="153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167,232.83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1,151,390.52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647,607.58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-368,803.44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3" w:type="dxa"/>
            <w:tcBorders>
              <w:top w:val="single" w:sz="4" w:space="0" w:color="000000"/>
              <w:left w:val="single" w:sz="12"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5" w:space="0" w:color="D2D2D2"/>
              <w:right w:val="single" w:sz="4" w:space="0" w:color="000000"/>
            </w:tcBorders>
          </w:tcPr>
          <w:p>
            <w:pPr/>
          </w:p>
        </w:tc>
      </w:tr>
      <w:tr>
        <w:trPr>
          <w:trHeight w:val="325"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3,454,171.56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1,942,822.75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7"/>
              <w:jc w:val="right"/>
              <w:rPr>
                <w:rFonts w:ascii="Times New Roman" w:hAnsi="Times New Roman" w:cs="Times New Roman" w:eastAsia="Times New Roman" w:hint="default"/>
                <w:sz w:val="18"/>
                <w:szCs w:val="18"/>
              </w:rPr>
            </w:pPr>
            <w:r>
              <w:rPr>
                <w:rFonts w:ascii="Times New Roman"/>
                <w:spacing w:val="-1"/>
                <w:sz w:val="18"/>
              </w:rPr>
              <w:t>-393,410.32</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8"/>
        <w:ind w:right="554"/>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w:t>
      </w:r>
    </w:p>
    <w:p>
      <w:pPr>
        <w:pStyle w:val="BodyText"/>
        <w:spacing w:line="230" w:lineRule="exact" w:before="19"/>
        <w:ind w:right="662"/>
        <w:jc w:val="left"/>
      </w:pPr>
      <w:r>
        <w:rPr/>
        <w:t>以及把《公开发行证券的公司信息披露解释性公告第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非经常性损益》中列举的非经常性损益项目界定为经 常性损益的项目，应说明原因</w:t>
      </w:r>
    </w:p>
    <w:p>
      <w:pPr>
        <w:pStyle w:val="BodyText"/>
        <w:spacing w:line="240" w:lineRule="auto" w:before="17"/>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17"/>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456" w:lineRule="exact"/>
        <w:ind w:right="2689"/>
        <w:jc w:val="center"/>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4"/>
        <w:rPr>
          <w:rFonts w:ascii="Microsoft JhengHei" w:hAnsi="Microsoft JhengHei" w:cs="Microsoft JhengHei" w:eastAsia="Microsoft JhengHei" w:hint="default"/>
          <w:b/>
          <w:bCs/>
          <w:sz w:val="46"/>
          <w:szCs w:val="46"/>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78" w:lineRule="auto"/>
        <w:ind w:right="6141"/>
        <w:jc w:val="left"/>
      </w:pPr>
      <w:r>
        <w:rPr/>
        <w:t>公司是否需要遵守特殊行业的披露要求 否</w:t>
      </w:r>
    </w:p>
    <w:p>
      <w:pPr>
        <w:pStyle w:val="BodyText"/>
        <w:spacing w:line="388" w:lineRule="exact" w:before="26"/>
        <w:ind w:left="665" w:right="201"/>
        <w:jc w:val="left"/>
      </w:pPr>
      <w:r>
        <w:rPr/>
        <w:t>（一）公司主要业务 本公司主营业务为手机售后服务。公司通过实体门店连锁经营和电子商务经营相结合的模式，为客户提供手机</w:t>
      </w:r>
    </w:p>
    <w:p>
      <w:pPr>
        <w:pStyle w:val="BodyText"/>
        <w:spacing w:line="182" w:lineRule="exact"/>
        <w:ind w:right="0"/>
        <w:jc w:val="both"/>
      </w:pPr>
      <w:r>
        <w:rPr/>
        <w:t>维修服务、商品销售业务、二手机回收及销售业务、增值服务业务、手机保障服务及其他相关手机服务等。公司专</w:t>
      </w:r>
    </w:p>
    <w:p>
      <w:pPr>
        <w:pStyle w:val="BodyText"/>
        <w:spacing w:line="232" w:lineRule="exact" w:before="23"/>
        <w:ind w:right="201"/>
        <w:jc w:val="both"/>
      </w:pPr>
      <w:r>
        <w:rPr/>
        <w:t>注于手机售后服务产业，坚持以优质的服务为导向、以专业的技术为支撑、以先进的模式为驱动，向消费者提供高 </w:t>
      </w:r>
      <w:r>
        <w:rPr>
          <w:spacing w:val="-1"/>
        </w:rPr>
        <w:t>效、专业、全面的服务，致力于成为我国</w:t>
      </w:r>
      <w:r>
        <w:rPr>
          <w:rFonts w:ascii="Times New Roman" w:hAnsi="Times New Roman" w:cs="Times New Roman" w:eastAsia="Times New Roman" w:hint="default"/>
          <w:spacing w:val="-1"/>
        </w:rPr>
        <w:t>3C</w:t>
      </w:r>
      <w:r>
        <w:rPr>
          <w:spacing w:val="-1"/>
        </w:rPr>
        <w:t>产品售后服务领域一流的、全国性的、线上线下融合的手机综合服务供</w:t>
      </w:r>
      <w:r>
        <w:rPr>
          <w:spacing w:val="-57"/>
        </w:rPr>
        <w:t> </w:t>
      </w:r>
      <w:r>
        <w:rPr>
          <w:spacing w:val="-57"/>
        </w:rPr>
      </w:r>
      <w:r>
        <w:rPr/>
        <w:t>应商。</w:t>
      </w:r>
    </w:p>
    <w:p>
      <w:pPr>
        <w:pStyle w:val="BodyText"/>
        <w:spacing w:line="235" w:lineRule="auto" w:before="138"/>
        <w:ind w:right="0" w:firstLine="359"/>
        <w:jc w:val="left"/>
      </w:pPr>
      <w:r>
        <w:rPr/>
        <w:t>作为</w:t>
      </w:r>
      <w:r>
        <w:rPr>
          <w:rFonts w:ascii="Times New Roman" w:hAnsi="Times New Roman" w:cs="Times New Roman" w:eastAsia="Times New Roman" w:hint="default"/>
        </w:rPr>
        <w:t>“</w:t>
      </w:r>
      <w:r>
        <w:rPr/>
        <w:t>手机服务专家</w:t>
      </w:r>
      <w:r>
        <w:rPr>
          <w:rFonts w:ascii="Times New Roman" w:hAnsi="Times New Roman" w:cs="Times New Roman" w:eastAsia="Times New Roman" w:hint="default"/>
        </w:rPr>
        <w:t>”</w:t>
      </w:r>
      <w:r>
        <w:rPr/>
        <w:t>，百华悦邦在全国</w:t>
      </w:r>
      <w:r>
        <w:rPr>
          <w:rFonts w:ascii="Times New Roman" w:hAnsi="Times New Roman" w:cs="Times New Roman" w:eastAsia="Times New Roman" w:hint="default"/>
        </w:rPr>
        <w:t>20</w:t>
      </w:r>
      <w:r>
        <w:rPr/>
        <w:t>多个地市建有</w:t>
      </w:r>
      <w:r>
        <w:rPr>
          <w:rFonts w:ascii="Times New Roman" w:hAnsi="Times New Roman" w:cs="Times New Roman" w:eastAsia="Times New Roman" w:hint="default"/>
        </w:rPr>
        <w:t>130</w:t>
      </w:r>
      <w:r>
        <w:rPr/>
        <w:t>余家售后服务连锁门店，服务网络涵盖北京、山东、 </w:t>
      </w:r>
      <w:r>
        <w:rPr>
          <w:spacing w:val="-2"/>
        </w:rPr>
        <w:t>浙江、江苏、河北、福建、广东、上海、陕西、辽宁、安徽、天津、吉林、宁夏、重庆、四川、新疆、甘肃、湖北、</w:t>
      </w:r>
      <w:r>
        <w:rPr>
          <w:spacing w:val="-68"/>
        </w:rPr>
        <w:t> </w:t>
      </w:r>
      <w:r>
        <w:rPr>
          <w:spacing w:val="-68"/>
        </w:rPr>
      </w:r>
      <w:r>
        <w:rPr/>
        <w:t>河南、青海、内蒙、山西、湖南等省市区，业务范围遍布全国。百华悦邦与国内外主要的手机生产厂商建立了长期 的互信合作伙伴关系，手机厂商品牌涵盖苹果、三星、华为等主流品牌。百华悦邦是苹果公司在中国知名的授权售</w:t>
      </w:r>
      <w:r>
        <w:rPr/>
        <w:t> 后服务商。</w:t>
      </w:r>
    </w:p>
    <w:p>
      <w:pPr>
        <w:spacing w:line="240" w:lineRule="auto" w:before="9"/>
        <w:rPr>
          <w:rFonts w:ascii="宋体" w:hAnsi="宋体" w:cs="宋体" w:eastAsia="宋体" w:hint="default"/>
          <w:sz w:val="12"/>
          <w:szCs w:val="12"/>
        </w:rPr>
      </w:pPr>
    </w:p>
    <w:p>
      <w:pPr>
        <w:pStyle w:val="BodyText"/>
        <w:spacing w:line="225" w:lineRule="auto"/>
        <w:ind w:right="227" w:firstLine="359"/>
        <w:jc w:val="both"/>
      </w:pPr>
      <w:r>
        <w:rPr/>
        <w:t>随着市场对手机售后服务需求的增加及</w:t>
      </w:r>
      <w:r>
        <w:rPr>
          <w:rFonts w:ascii="Times New Roman" w:hAnsi="Times New Roman" w:cs="Times New Roman" w:eastAsia="Times New Roman" w:hint="default"/>
        </w:rPr>
        <w:t>O2O</w:t>
      </w:r>
      <w:r>
        <w:rPr/>
        <w:t>模式在服务业中的广泛应用，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月底，公司成立上海闪电蜂 电子商务有限公司，创办</w:t>
      </w:r>
      <w:r>
        <w:rPr>
          <w:rFonts w:ascii="Times New Roman" w:hAnsi="Times New Roman" w:cs="Times New Roman" w:eastAsia="Times New Roman" w:hint="default"/>
        </w:rPr>
        <w:t>“</w:t>
      </w:r>
      <w:r>
        <w:rPr/>
        <w:t>闪电蜂</w:t>
      </w:r>
      <w:r>
        <w:rPr>
          <w:rFonts w:ascii="Times New Roman" w:hAnsi="Times New Roman" w:cs="Times New Roman" w:eastAsia="Times New Roman" w:hint="default"/>
        </w:rPr>
        <w:t>”</w:t>
      </w:r>
      <w:r>
        <w:rPr/>
        <w:t>（</w:t>
      </w:r>
      <w:hyperlink r:id="rId9">
        <w:r>
          <w:rPr>
            <w:rFonts w:ascii="Times New Roman" w:hAnsi="Times New Roman" w:cs="Times New Roman" w:eastAsia="Times New Roman" w:hint="default"/>
          </w:rPr>
          <w:t>www.sdfeng.com</w:t>
        </w:r>
      </w:hyperlink>
      <w:r>
        <w:rPr/>
        <w:t>）电子商务平台，开始涉足手机售后服务</w:t>
      </w:r>
      <w:r>
        <w:rPr>
          <w:rFonts w:ascii="Times New Roman" w:hAnsi="Times New Roman" w:cs="Times New Roman" w:eastAsia="Times New Roman" w:hint="default"/>
        </w:rPr>
        <w:t>O2O</w:t>
      </w:r>
      <w:r>
        <w:rPr/>
        <w:t>市场。闪电蜂定 位于</w:t>
      </w:r>
      <w:r>
        <w:rPr>
          <w:rFonts w:ascii="Times New Roman" w:hAnsi="Times New Roman" w:cs="Times New Roman" w:eastAsia="Times New Roman" w:hint="default"/>
        </w:rPr>
        <w:t>“</w:t>
      </w:r>
      <w:r>
        <w:rPr/>
        <w:t>手机服务创新专家</w:t>
      </w:r>
      <w:r>
        <w:rPr>
          <w:rFonts w:ascii="Times New Roman" w:hAnsi="Times New Roman" w:cs="Times New Roman" w:eastAsia="Times New Roman" w:hint="default"/>
        </w:rPr>
        <w:t>”</w:t>
      </w:r>
      <w:r>
        <w:rPr/>
        <w:t>，与传统的纯线下实体门店经营相比，闪电蜂业务覆盖区域更广、产品与服务品类更全， 将为顾客提供一步到位的综合解决方案。</w:t>
      </w:r>
    </w:p>
    <w:p>
      <w:pPr>
        <w:spacing w:line="240" w:lineRule="auto" w:before="9"/>
        <w:rPr>
          <w:rFonts w:ascii="宋体" w:hAnsi="宋体" w:cs="宋体" w:eastAsia="宋体" w:hint="default"/>
          <w:sz w:val="13"/>
          <w:szCs w:val="13"/>
        </w:rPr>
      </w:pPr>
    </w:p>
    <w:p>
      <w:pPr>
        <w:pStyle w:val="BodyText"/>
        <w:spacing w:line="232" w:lineRule="exact"/>
        <w:ind w:right="202" w:firstLine="359"/>
        <w:jc w:val="both"/>
      </w:pPr>
      <w:r>
        <w:rPr>
          <w:spacing w:val="-2"/>
        </w:rPr>
        <w:t>发展至今，公司形成了</w:t>
      </w:r>
      <w:r>
        <w:rPr>
          <w:rFonts w:ascii="Times New Roman" w:hAnsi="Times New Roman" w:cs="Times New Roman" w:eastAsia="Times New Roman" w:hint="default"/>
          <w:spacing w:val="-2"/>
        </w:rPr>
        <w:t>“</w:t>
      </w:r>
      <w:r>
        <w:rPr>
          <w:spacing w:val="-2"/>
        </w:rPr>
        <w:t>实体门店</w:t>
      </w:r>
      <w:r>
        <w:rPr>
          <w:rFonts w:ascii="Times New Roman" w:hAnsi="Times New Roman" w:cs="Times New Roman" w:eastAsia="Times New Roman" w:hint="default"/>
          <w:spacing w:val="-2"/>
        </w:rPr>
        <w:t>+</w:t>
      </w:r>
      <w:r>
        <w:rPr>
          <w:spacing w:val="-2"/>
        </w:rPr>
        <w:t>电商平台</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自有渠道</w:t>
      </w:r>
      <w:r>
        <w:rPr>
          <w:rFonts w:ascii="Times New Roman" w:hAnsi="Times New Roman" w:cs="Times New Roman" w:eastAsia="Times New Roman" w:hint="default"/>
          <w:spacing w:val="-2"/>
        </w:rPr>
        <w:t>+</w:t>
      </w:r>
      <w:r>
        <w:rPr>
          <w:spacing w:val="-2"/>
        </w:rPr>
        <w:t>运营商渠道</w:t>
      </w:r>
      <w:r>
        <w:rPr>
          <w:rFonts w:ascii="Times New Roman" w:hAnsi="Times New Roman" w:cs="Times New Roman" w:eastAsia="Times New Roman" w:hint="default"/>
          <w:spacing w:val="-2"/>
        </w:rPr>
        <w:t>+</w:t>
      </w:r>
      <w:r>
        <w:rPr>
          <w:spacing w:val="-2"/>
        </w:rPr>
        <w:t>零售商渠道</w:t>
      </w:r>
      <w:r>
        <w:rPr>
          <w:rFonts w:ascii="Times New Roman" w:hAnsi="Times New Roman" w:cs="Times New Roman" w:eastAsia="Times New Roman" w:hint="default"/>
          <w:spacing w:val="-2"/>
        </w:rPr>
        <w:t>”</w:t>
      </w:r>
      <w:r>
        <w:rPr>
          <w:spacing w:val="-2"/>
        </w:rPr>
        <w:t>、线上线下融合发展的业务</w:t>
      </w:r>
      <w:r>
        <w:rPr/>
        <w:t> 模式，能够向消费者提供全方位、多品牌的手机售后服务。</w:t>
      </w:r>
    </w:p>
    <w:p>
      <w:pPr>
        <w:pStyle w:val="BodyText"/>
        <w:spacing w:line="240" w:lineRule="auto" w:before="134"/>
        <w:ind w:left="665" w:right="6141"/>
        <w:jc w:val="left"/>
      </w:pPr>
      <w:r>
        <w:rPr/>
        <w:t>（二）行业市场规模</w:t>
      </w:r>
    </w:p>
    <w:p>
      <w:pPr>
        <w:pStyle w:val="BodyText"/>
        <w:spacing w:line="370" w:lineRule="atLeast" w:before="32"/>
        <w:ind w:left="665" w:right="201"/>
        <w:jc w:val="left"/>
      </w:pPr>
      <w:r>
        <w:rPr>
          <w:rFonts w:ascii="Times New Roman" w:hAnsi="Times New Roman" w:cs="Times New Roman" w:eastAsia="Times New Roman" w:hint="default"/>
        </w:rPr>
        <w:t>1</w:t>
      </w:r>
      <w:r>
        <w:rPr/>
        <w:t>、手机售后服务行业发展历程 在我国手机产业发展早期，手机售后服务主要由各生产厂商独立实施。最初，手机厂商在大型城市建立中心维</w:t>
      </w:r>
    </w:p>
    <w:p>
      <w:pPr>
        <w:pStyle w:val="BodyText"/>
        <w:spacing w:line="237" w:lineRule="auto"/>
        <w:ind w:right="206"/>
        <w:jc w:val="both"/>
      </w:pPr>
      <w:r>
        <w:rPr/>
        <w:t>修服务站点，在此基础上向下发展授权服务站，授权服务站收取故障手机，由中心维修服务站负责修理，该模式维</w:t>
      </w:r>
      <w:r>
        <w:rPr>
          <w:spacing w:val="-79"/>
        </w:rPr>
        <w:t> </w:t>
      </w:r>
      <w:r>
        <w:rPr>
          <w:spacing w:val="-79"/>
        </w:rPr>
      </w:r>
      <w:r>
        <w:rPr/>
        <w:t>修速度慢，只能基本满足手机用户对于售后服务的需求；此后，手机厂商推出了快速维修服务，在一级市场建立一</w:t>
      </w:r>
      <w:r>
        <w:rPr>
          <w:spacing w:val="-79"/>
        </w:rPr>
        <w:t> </w:t>
      </w:r>
      <w:r>
        <w:rPr>
          <w:spacing w:val="-79"/>
        </w:rPr>
      </w:r>
      <w:r>
        <w:rPr/>
        <w:t>套快速反应的维修队伍，可以较快地为手机用户提供售后服务，但增加了手机厂商运营成本。</w:t>
      </w:r>
    </w:p>
    <w:p>
      <w:pPr>
        <w:pStyle w:val="BodyText"/>
        <w:spacing w:line="237" w:lineRule="auto" w:before="155"/>
        <w:ind w:right="206" w:firstLine="359"/>
        <w:jc w:val="both"/>
      </w:pPr>
      <w:r>
        <w:rPr/>
        <w:t>随着手机行业竞争加剧，特别是越来越多国内手机厂商的出现，整个手机行业的利润水平逐渐下降。手机售后 服务的质量将影响手机用户对手机品牌的美誉度，而建设大范围的售后服务网络不仅需要大量、持续的资金投入，</w:t>
      </w:r>
      <w:r>
        <w:rPr>
          <w:spacing w:val="-79"/>
        </w:rPr>
        <w:t> </w:t>
      </w:r>
      <w:r>
        <w:rPr>
          <w:spacing w:val="-79"/>
        </w:rPr>
      </w:r>
      <w:r>
        <w:rPr/>
        <w:t>还需要经营者具备优秀的连锁经营管理能力，手机厂商为形成规模经济，逐渐将手机售后服务外包，专业的手机售</w:t>
      </w:r>
      <w:r>
        <w:rPr>
          <w:spacing w:val="-79"/>
        </w:rPr>
        <w:t> </w:t>
      </w:r>
      <w:r>
        <w:rPr>
          <w:spacing w:val="-79"/>
        </w:rPr>
      </w:r>
      <w:r>
        <w:rPr/>
        <w:t>后服务提供商逐渐在手机售后服务市场扮演越来越重要的角色。</w:t>
      </w:r>
    </w:p>
    <w:p>
      <w:pPr>
        <w:spacing w:line="240" w:lineRule="auto" w:before="8"/>
        <w:rPr>
          <w:rFonts w:ascii="宋体" w:hAnsi="宋体" w:cs="宋体" w:eastAsia="宋体" w:hint="default"/>
          <w:sz w:val="13"/>
          <w:szCs w:val="13"/>
        </w:rPr>
      </w:pPr>
    </w:p>
    <w:p>
      <w:pPr>
        <w:pStyle w:val="BodyText"/>
        <w:spacing w:line="232" w:lineRule="exact"/>
        <w:ind w:right="206" w:firstLine="359"/>
        <w:jc w:val="both"/>
      </w:pPr>
      <w:r>
        <w:rPr/>
        <w:t>近年来，我国手机售后服务的内涵发生了重大的变化。除最初的手机维修业务，手机售后服务形式还衍生出手 机保障服务、二手机回收及销售业务、认证二手机销售业务、手机增值服务等内容。</w:t>
      </w:r>
    </w:p>
    <w:p>
      <w:pPr>
        <w:pStyle w:val="BodyText"/>
        <w:spacing w:line="370" w:lineRule="atLeast" w:before="13"/>
        <w:ind w:left="665" w:right="201"/>
        <w:jc w:val="left"/>
      </w:pPr>
      <w:r>
        <w:rPr>
          <w:rFonts w:ascii="Times New Roman" w:hAnsi="Times New Roman" w:cs="Times New Roman" w:eastAsia="Times New Roman" w:hint="default"/>
        </w:rPr>
        <w:t>2</w:t>
      </w:r>
      <w:r>
        <w:rPr/>
        <w:t>、我国手机市场规模 手机售后服务行业的市场规模与移动电话用户数量以及手机市场的销量有极大的相关性。在手机维修方面，根</w:t>
      </w:r>
    </w:p>
    <w:p>
      <w:pPr>
        <w:pStyle w:val="BodyText"/>
        <w:spacing w:line="236" w:lineRule="exact" w:before="18"/>
        <w:ind w:right="203"/>
        <w:jc w:val="both"/>
      </w:pPr>
      <w:r>
        <w:rPr>
          <w:spacing w:val="-2"/>
        </w:rPr>
        <w:t>据中国通信工业协会移动电话售后服务委员会发布的信息：</w:t>
      </w:r>
      <w:r>
        <w:rPr>
          <w:rFonts w:ascii="Times New Roman" w:hAnsi="Times New Roman" w:cs="Times New Roman" w:eastAsia="Times New Roman" w:hint="default"/>
          <w:spacing w:val="-2"/>
        </w:rPr>
        <w:t>8%-10%</w:t>
      </w:r>
      <w:r>
        <w:rPr>
          <w:spacing w:val="-2"/>
        </w:rPr>
        <w:t>的手机会在购机一年内发生故障。庞大的手机保</w:t>
      </w:r>
      <w:r>
        <w:rPr>
          <w:spacing w:val="-62"/>
        </w:rPr>
        <w:t> </w:t>
      </w:r>
      <w:r>
        <w:rPr>
          <w:spacing w:val="-62"/>
        </w:rPr>
      </w:r>
      <w:r>
        <w:rPr/>
        <w:t>有量及年销量、移动互联网的发展及手机功能的发展，为手机售后服务业的高速扩张提供了充足的动力。</w:t>
      </w:r>
    </w:p>
    <w:p>
      <w:pPr>
        <w:spacing w:after="0" w:line="236" w:lineRule="exact"/>
        <w:jc w:val="both"/>
        <w:sectPr>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665" w:right="6141"/>
        <w:jc w:val="left"/>
      </w:pPr>
      <w:r>
        <w:rPr/>
        <w:t>（</w:t>
      </w:r>
      <w:r>
        <w:rPr>
          <w:rFonts w:ascii="Times New Roman" w:hAnsi="Times New Roman" w:cs="Times New Roman" w:eastAsia="Times New Roman" w:hint="default"/>
        </w:rPr>
        <w:t>1</w:t>
      </w:r>
      <w:r>
        <w:rPr/>
        <w:t>）手机用户及普及率持续增长</w:t>
      </w:r>
    </w:p>
    <w:p>
      <w:pPr>
        <w:pStyle w:val="BodyText"/>
        <w:spacing w:line="225" w:lineRule="auto" w:before="152"/>
        <w:ind w:right="198" w:firstLine="359"/>
        <w:jc w:val="both"/>
      </w:pPr>
      <w:r>
        <w:rPr>
          <w:spacing w:val="-4"/>
        </w:rPr>
        <w:t>我国移动电话用户总数达到</w:t>
      </w:r>
      <w:r>
        <w:rPr>
          <w:rFonts w:ascii="Times New Roman" w:hAnsi="Times New Roman" w:cs="Times New Roman" w:eastAsia="Times New Roman" w:hint="default"/>
          <w:spacing w:val="-4"/>
        </w:rPr>
        <w:t>13.2</w:t>
      </w:r>
      <w:r>
        <w:rPr>
          <w:spacing w:val="-4"/>
        </w:rPr>
        <w:t>亿户，普及率达</w:t>
      </w:r>
      <w:r>
        <w:rPr>
          <w:rFonts w:ascii="Times New Roman" w:hAnsi="Times New Roman" w:cs="Times New Roman" w:eastAsia="Times New Roman" w:hint="default"/>
          <w:spacing w:val="-4"/>
        </w:rPr>
        <w:t>96.2%</w:t>
      </w:r>
      <w:r>
        <w:rPr>
          <w:spacing w:val="-4"/>
        </w:rPr>
        <w:t>。根据工信部发布的《</w:t>
      </w:r>
      <w:r>
        <w:rPr>
          <w:rFonts w:ascii="Times New Roman" w:hAnsi="Times New Roman" w:cs="Times New Roman" w:eastAsia="Times New Roman" w:hint="default"/>
          <w:spacing w:val="-4"/>
        </w:rPr>
        <w:t>2016</w:t>
      </w:r>
      <w:r>
        <w:rPr>
          <w:spacing w:val="-4"/>
        </w:rPr>
        <w:t>年通信运营业统计公报》，</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
        </w:rPr>
        <w:t> </w:t>
      </w:r>
      <w:r>
        <w:rPr>
          <w:spacing w:val="-1"/>
        </w:rPr>
        <w:t>年全国移动电话用户净增</w:t>
      </w:r>
      <w:r>
        <w:rPr>
          <w:rFonts w:ascii="Times New Roman" w:hAnsi="Times New Roman" w:cs="Times New Roman" w:eastAsia="Times New Roman" w:hint="default"/>
          <w:spacing w:val="-1"/>
        </w:rPr>
        <w:t>5054</w:t>
      </w:r>
      <w:r>
        <w:rPr>
          <w:spacing w:val="-1"/>
        </w:rPr>
        <w:t>万户，总数达</w:t>
      </w:r>
      <w:r>
        <w:rPr>
          <w:rFonts w:ascii="Times New Roman" w:hAnsi="Times New Roman" w:cs="Times New Roman" w:eastAsia="Times New Roman" w:hint="default"/>
          <w:spacing w:val="-1"/>
        </w:rPr>
        <w:t>13.2</w:t>
      </w:r>
      <w:r>
        <w:rPr>
          <w:spacing w:val="-1"/>
        </w:rPr>
        <w:t>亿户，移动电话用户普及率达</w:t>
      </w:r>
      <w:r>
        <w:rPr>
          <w:rFonts w:ascii="Times New Roman" w:hAnsi="Times New Roman" w:cs="Times New Roman" w:eastAsia="Times New Roman" w:hint="default"/>
          <w:spacing w:val="-1"/>
        </w:rPr>
        <w:t>96.2</w:t>
      </w:r>
      <w:r>
        <w:rPr>
          <w:spacing w:val="-1"/>
        </w:rPr>
        <w:t>部</w:t>
      </w:r>
      <w:r>
        <w:rPr>
          <w:rFonts w:ascii="Times New Roman" w:hAnsi="Times New Roman" w:cs="Times New Roman" w:eastAsia="Times New Roman" w:hint="default"/>
          <w:spacing w:val="-1"/>
        </w:rPr>
        <w:t>/</w:t>
      </w:r>
      <w:r>
        <w:rPr>
          <w:spacing w:val="-1"/>
        </w:rPr>
        <w:t>百人。</w:t>
      </w:r>
      <w:r>
        <w:rPr>
          <w:rFonts w:ascii="Times New Roman" w:hAnsi="Times New Roman" w:cs="Times New Roman" w:eastAsia="Times New Roman" w:hint="default"/>
          <w:spacing w:val="-1"/>
        </w:rPr>
        <w:t>2008-2016</w:t>
      </w:r>
      <w:r>
        <w:rPr>
          <w:spacing w:val="-1"/>
        </w:rPr>
        <w:t>年，我国移动</w:t>
      </w:r>
      <w:r>
        <w:rPr>
          <w:spacing w:val="-45"/>
        </w:rPr>
        <w:t> </w:t>
      </w:r>
      <w:r>
        <w:rPr>
          <w:spacing w:val="-45"/>
        </w:rPr>
      </w:r>
      <w:r>
        <w:rPr>
          <w:spacing w:val="-1"/>
        </w:rPr>
        <w:t>电话用户数从</w:t>
      </w:r>
      <w:r>
        <w:rPr>
          <w:rFonts w:ascii="Times New Roman" w:hAnsi="Times New Roman" w:cs="Times New Roman" w:eastAsia="Times New Roman" w:hint="default"/>
          <w:spacing w:val="-1"/>
        </w:rPr>
        <w:t>6.41</w:t>
      </w:r>
      <w:r>
        <w:rPr>
          <w:spacing w:val="-1"/>
        </w:rPr>
        <w:t>亿户增长到</w:t>
      </w:r>
      <w:r>
        <w:rPr>
          <w:rFonts w:ascii="Times New Roman" w:hAnsi="Times New Roman" w:cs="Times New Roman" w:eastAsia="Times New Roman" w:hint="default"/>
          <w:spacing w:val="-1"/>
        </w:rPr>
        <w:t>13.2</w:t>
      </w:r>
      <w:r>
        <w:rPr>
          <w:spacing w:val="-1"/>
        </w:rPr>
        <w:t>亿户，增幅达</w:t>
      </w:r>
      <w:r>
        <w:rPr>
          <w:rFonts w:ascii="Times New Roman" w:hAnsi="Times New Roman" w:cs="Times New Roman" w:eastAsia="Times New Roman" w:hint="default"/>
          <w:spacing w:val="-1"/>
        </w:rPr>
        <w:t>105.93%</w:t>
      </w:r>
      <w:r>
        <w:rPr>
          <w:spacing w:val="-1"/>
        </w:rPr>
        <w:t>，移动电话用户普及率由</w:t>
      </w:r>
      <w:r>
        <w:rPr>
          <w:rFonts w:ascii="Times New Roman" w:hAnsi="Times New Roman" w:cs="Times New Roman" w:eastAsia="Times New Roman" w:hint="default"/>
          <w:spacing w:val="-1"/>
        </w:rPr>
        <w:t>48.5</w:t>
      </w:r>
      <w:r>
        <w:rPr>
          <w:spacing w:val="-1"/>
        </w:rPr>
        <w:t>部</w:t>
      </w:r>
      <w:r>
        <w:rPr>
          <w:rFonts w:ascii="Times New Roman" w:hAnsi="Times New Roman" w:cs="Times New Roman" w:eastAsia="Times New Roman" w:hint="default"/>
          <w:spacing w:val="-1"/>
        </w:rPr>
        <w:t>/</w:t>
      </w:r>
      <w:r>
        <w:rPr>
          <w:spacing w:val="-1"/>
        </w:rPr>
        <w:t>百人增长到</w:t>
      </w:r>
      <w:r>
        <w:rPr>
          <w:rFonts w:ascii="Times New Roman" w:hAnsi="Times New Roman" w:cs="Times New Roman" w:eastAsia="Times New Roman" w:hint="default"/>
          <w:spacing w:val="-1"/>
        </w:rPr>
        <w:t>96.2</w:t>
      </w:r>
      <w:r>
        <w:rPr>
          <w:spacing w:val="-1"/>
        </w:rPr>
        <w:t>部</w:t>
      </w:r>
      <w:r>
        <w:rPr>
          <w:rFonts w:ascii="Times New Roman" w:hAnsi="Times New Roman" w:cs="Times New Roman" w:eastAsia="Times New Roman" w:hint="default"/>
          <w:spacing w:val="-1"/>
        </w:rPr>
        <w:t>/</w:t>
      </w:r>
      <w:r>
        <w:rPr>
          <w:spacing w:val="-1"/>
        </w:rPr>
        <w:t>百人，增</w:t>
      </w:r>
      <w:r>
        <w:rPr>
          <w:spacing w:val="-46"/>
        </w:rPr>
        <w:t> </w:t>
      </w:r>
      <w:r>
        <w:rPr>
          <w:spacing w:val="-46"/>
        </w:rPr>
      </w:r>
      <w:r>
        <w:rPr/>
        <w:t>幅达</w:t>
      </w:r>
      <w:r>
        <w:rPr>
          <w:rFonts w:ascii="Times New Roman" w:hAnsi="Times New Roman" w:cs="Times New Roman" w:eastAsia="Times New Roman" w:hint="default"/>
        </w:rPr>
        <w:t>98.35%</w:t>
      </w:r>
      <w:r>
        <w:rPr/>
        <w:t>。</w:t>
      </w:r>
    </w:p>
    <w:p>
      <w:pPr>
        <w:pStyle w:val="BodyText"/>
        <w:spacing w:line="240" w:lineRule="auto" w:before="142"/>
        <w:ind w:left="3161" w:right="201"/>
        <w:jc w:val="left"/>
      </w:pPr>
      <w:r>
        <w:rPr>
          <w:rFonts w:ascii="Times New Roman" w:hAnsi="Times New Roman" w:cs="Times New Roman" w:eastAsia="Times New Roman" w:hint="default"/>
        </w:rPr>
        <w:t>2008-2016</w:t>
      </w:r>
      <w:r>
        <w:rPr/>
        <w:t>年中国移动电话用户数及普及率</w:t>
      </w:r>
    </w:p>
    <w:p>
      <w:pPr>
        <w:spacing w:line="240" w:lineRule="auto" w:before="12"/>
        <w:rPr>
          <w:rFonts w:ascii="宋体" w:hAnsi="宋体" w:cs="宋体" w:eastAsia="宋体" w:hint="default"/>
          <w:sz w:val="12"/>
          <w:szCs w:val="12"/>
        </w:rPr>
      </w:pPr>
    </w:p>
    <w:p>
      <w:pPr>
        <w:spacing w:line="4560" w:lineRule="exact"/>
        <w:ind w:left="643"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292724" cy="28956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5292724" cy="2895600"/>
                    </a:xfrm>
                    <a:prstGeom prst="rect">
                      <a:avLst/>
                    </a:prstGeom>
                  </pic:spPr>
                </pic:pic>
              </a:graphicData>
            </a:graphic>
          </wp:inline>
        </w:drawing>
      </w:r>
      <w:r>
        <w:rPr>
          <w:rFonts w:ascii="宋体" w:hAnsi="宋体" w:cs="宋体" w:eastAsia="宋体" w:hint="default"/>
          <w:position w:val="-90"/>
          <w:sz w:val="20"/>
          <w:szCs w:val="20"/>
        </w:rPr>
      </w:r>
    </w:p>
    <w:p>
      <w:pPr>
        <w:pStyle w:val="BodyText"/>
        <w:spacing w:line="242" w:lineRule="exact" w:before="127"/>
        <w:ind w:left="665" w:right="0"/>
        <w:jc w:val="left"/>
      </w:pPr>
      <w:r>
        <w:rPr>
          <w:spacing w:val="-5"/>
        </w:rPr>
        <w:t>数据来源：《</w:t>
      </w:r>
      <w:r>
        <w:rPr>
          <w:rFonts w:ascii="Times New Roman" w:hAnsi="Times New Roman" w:cs="Times New Roman" w:eastAsia="Times New Roman" w:hint="default"/>
          <w:spacing w:val="-5"/>
        </w:rPr>
        <w:t>2016</w:t>
      </w:r>
      <w:r>
        <w:rPr>
          <w:spacing w:val="-5"/>
        </w:rPr>
        <w:t>年通信运营业统计公报》、《</w:t>
      </w:r>
      <w:r>
        <w:rPr>
          <w:rFonts w:ascii="Times New Roman" w:hAnsi="Times New Roman" w:cs="Times New Roman" w:eastAsia="Times New Roman" w:hint="default"/>
          <w:spacing w:val="-5"/>
        </w:rPr>
        <w:t>2015</w:t>
      </w:r>
      <w:r>
        <w:rPr>
          <w:spacing w:val="-5"/>
        </w:rPr>
        <w:t>年通信运营业统计公报》、《</w:t>
      </w:r>
      <w:r>
        <w:rPr>
          <w:rFonts w:ascii="Times New Roman" w:hAnsi="Times New Roman" w:cs="Times New Roman" w:eastAsia="Times New Roman" w:hint="default"/>
          <w:spacing w:val="-5"/>
        </w:rPr>
        <w:t>2014</w:t>
      </w:r>
      <w:r>
        <w:rPr>
          <w:spacing w:val="-5"/>
        </w:rPr>
        <w:t>年通信运营业统计公报》、</w:t>
      </w:r>
    </w:p>
    <w:p>
      <w:pPr>
        <w:pStyle w:val="BodyText"/>
        <w:spacing w:line="242" w:lineRule="exact"/>
        <w:ind w:right="6141"/>
        <w:jc w:val="left"/>
      </w:pPr>
      <w:r>
        <w:rPr/>
        <w:t>《</w:t>
      </w:r>
      <w:r>
        <w:rPr>
          <w:rFonts w:ascii="Times New Roman" w:hAnsi="Times New Roman" w:cs="Times New Roman" w:eastAsia="Times New Roman" w:hint="default"/>
        </w:rPr>
        <w:t>2013</w:t>
      </w:r>
      <w:r>
        <w:rPr/>
        <w:t>年全国电信业统计公报》</w:t>
      </w:r>
    </w:p>
    <w:p>
      <w:pPr>
        <w:pStyle w:val="BodyText"/>
        <w:spacing w:line="370" w:lineRule="atLeast" w:before="19"/>
        <w:ind w:left="665" w:right="201"/>
        <w:jc w:val="left"/>
      </w:pPr>
      <w:r>
        <w:rPr/>
        <w:t>（</w:t>
      </w:r>
      <w:r>
        <w:rPr>
          <w:rFonts w:ascii="Times New Roman" w:hAnsi="Times New Roman" w:cs="Times New Roman" w:eastAsia="Times New Roman" w:hint="default"/>
        </w:rPr>
        <w:t>2</w:t>
      </w:r>
      <w:r>
        <w:rPr/>
        <w:t>）智能手机市场高速增长 在国内移动互联网跳跃式发展的大背景下，我国智能手机市场保持高速增长，实现了空前的繁荣景象，并给我</w:t>
      </w:r>
    </w:p>
    <w:p>
      <w:pPr>
        <w:pStyle w:val="BodyText"/>
        <w:spacing w:line="236" w:lineRule="exact" w:before="18"/>
        <w:ind w:right="201"/>
        <w:jc w:val="left"/>
      </w:pPr>
      <w:r>
        <w:rPr/>
        <w:t>国手机产业带来了难得的发展机遇。由于近几年智能手机的持续快速增长，在整个手机出货量中占比已经超过了非</w:t>
      </w:r>
      <w:r>
        <w:rPr>
          <w:spacing w:val="-79"/>
        </w:rPr>
        <w:t> </w:t>
      </w:r>
      <w:r>
        <w:rPr>
          <w:spacing w:val="-79"/>
        </w:rPr>
      </w:r>
      <w:r>
        <w:rPr/>
        <w:t>智能手机，并且仍将保持较快增长。智能手机带来的维修、保障、回收、增值服务等售后服务的单位价值更高。</w:t>
      </w:r>
    </w:p>
    <w:p>
      <w:pPr>
        <w:pStyle w:val="BodyText"/>
        <w:spacing w:line="232" w:lineRule="exact" w:before="156"/>
        <w:ind w:right="200" w:firstLine="359"/>
        <w:jc w:val="both"/>
      </w:pPr>
      <w:r>
        <w:rPr>
          <w:spacing w:val="-1"/>
        </w:rPr>
        <w:t>由于价格降低、</w:t>
      </w:r>
      <w:r>
        <w:rPr>
          <w:rFonts w:ascii="Times New Roman" w:hAnsi="Times New Roman" w:cs="Times New Roman" w:eastAsia="Times New Roman" w:hint="default"/>
          <w:spacing w:val="-1"/>
        </w:rPr>
        <w:t>3G</w:t>
      </w:r>
      <w:r>
        <w:rPr>
          <w:spacing w:val="-1"/>
        </w:rPr>
        <w:t>网络普及</w:t>
      </w:r>
      <w:r>
        <w:rPr>
          <w:rFonts w:ascii="Times New Roman" w:hAnsi="Times New Roman" w:cs="Times New Roman" w:eastAsia="Times New Roman" w:hint="default"/>
          <w:spacing w:val="-1"/>
        </w:rPr>
        <w:t>4G</w:t>
      </w:r>
      <w:r>
        <w:rPr>
          <w:spacing w:val="-1"/>
        </w:rPr>
        <w:t>牌照发放等因素，智能手机销量逐年高速上涨。以</w:t>
      </w:r>
      <w:r>
        <w:rPr>
          <w:rFonts w:ascii="Times New Roman" w:hAnsi="Times New Roman" w:cs="Times New Roman" w:eastAsia="Times New Roman" w:hint="default"/>
          <w:spacing w:val="-1"/>
        </w:rPr>
        <w:t>IDC</w:t>
      </w:r>
      <w:r>
        <w:rPr>
          <w:spacing w:val="-1"/>
        </w:rPr>
        <w:t>的统计数据，</w:t>
      </w:r>
      <w:r>
        <w:rPr>
          <w:rFonts w:ascii="Times New Roman" w:hAnsi="Times New Roman" w:cs="Times New Roman" w:eastAsia="Times New Roman" w:hint="default"/>
          <w:spacing w:val="-1"/>
        </w:rPr>
        <w:t>2012</w:t>
      </w:r>
      <w:r>
        <w:rPr>
          <w:spacing w:val="-1"/>
        </w:rPr>
        <w:t>年，我</w:t>
      </w:r>
      <w:r>
        <w:rPr>
          <w:spacing w:val="-3"/>
        </w:rPr>
        <w:t> </w:t>
      </w:r>
      <w:r>
        <w:rPr/>
        <w:t>国智能手机出货量为</w:t>
      </w:r>
      <w:r>
        <w:rPr>
          <w:rFonts w:ascii="Times New Roman" w:hAnsi="Times New Roman" w:cs="Times New Roman" w:eastAsia="Times New Roman" w:hint="default"/>
        </w:rPr>
        <w:t>2.12</w:t>
      </w:r>
      <w:r>
        <w:rPr/>
        <w:t>亿部，</w:t>
      </w:r>
      <w:r>
        <w:rPr>
          <w:rFonts w:ascii="Times New Roman" w:hAnsi="Times New Roman" w:cs="Times New Roman" w:eastAsia="Times New Roman" w:hint="default"/>
        </w:rPr>
        <w:t>2016</w:t>
      </w:r>
      <w:r>
        <w:rPr/>
        <w:t>年增加至</w:t>
      </w:r>
      <w:r>
        <w:rPr>
          <w:rFonts w:ascii="Times New Roman" w:hAnsi="Times New Roman" w:cs="Times New Roman" w:eastAsia="Times New Roman" w:hint="default"/>
        </w:rPr>
        <w:t>4.67</w:t>
      </w:r>
      <w:r>
        <w:rPr/>
        <w:t>亿部，增长率超过</w:t>
      </w:r>
      <w:r>
        <w:rPr>
          <w:rFonts w:ascii="Times New Roman" w:hAnsi="Times New Roman" w:cs="Times New Roman" w:eastAsia="Times New Roman" w:hint="default"/>
        </w:rPr>
        <w:t>120.28%</w:t>
      </w:r>
      <w:r>
        <w:rPr/>
        <w:t>。</w:t>
      </w:r>
      <w:r>
        <w:rPr>
          <w:rFonts w:ascii="Times New Roman" w:hAnsi="Times New Roman" w:cs="Times New Roman" w:eastAsia="Times New Roman" w:hint="default"/>
        </w:rPr>
        <w:t>2016</w:t>
      </w:r>
      <w:r>
        <w:rPr/>
        <w:t>年，我国智能手机全年销量达到 </w:t>
      </w:r>
      <w:r>
        <w:rPr>
          <w:rFonts w:ascii="Times New Roman" w:hAnsi="Times New Roman" w:cs="Times New Roman" w:eastAsia="Times New Roman" w:hint="default"/>
        </w:rPr>
        <w:t>4.67</w:t>
      </w:r>
      <w:r>
        <w:rPr/>
        <w:t>亿台，占全球智能手机出货量的</w:t>
      </w:r>
      <w:r>
        <w:rPr>
          <w:rFonts w:ascii="Times New Roman" w:hAnsi="Times New Roman" w:cs="Times New Roman" w:eastAsia="Times New Roman" w:hint="default"/>
        </w:rPr>
        <w:t>30%</w:t>
      </w:r>
      <w:r>
        <w:rPr/>
        <w:t>左右。</w:t>
      </w:r>
    </w:p>
    <w:p>
      <w:pPr>
        <w:pStyle w:val="BodyText"/>
        <w:spacing w:line="240" w:lineRule="auto" w:before="134"/>
        <w:ind w:left="3253" w:right="201"/>
        <w:jc w:val="left"/>
      </w:pPr>
      <w:r>
        <w:rPr>
          <w:rFonts w:ascii="Times New Roman" w:hAnsi="Times New Roman" w:cs="Times New Roman" w:eastAsia="Times New Roman" w:hint="default"/>
        </w:rPr>
        <w:t>2009-2016</w:t>
      </w:r>
      <w:r>
        <w:rPr/>
        <w:t>全国智能手机出货量（亿台）</w:t>
      </w:r>
    </w:p>
    <w:p>
      <w:pPr>
        <w:spacing w:after="0" w:line="240" w:lineRule="auto"/>
        <w:jc w:val="left"/>
        <w:sectPr>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line="3571" w:lineRule="exact"/>
        <w:ind w:left="794"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103145" cy="226771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5103145" cy="2267712"/>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4"/>
        <w:rPr>
          <w:rFonts w:ascii="宋体" w:hAnsi="宋体" w:cs="宋体" w:eastAsia="宋体" w:hint="default"/>
          <w:sz w:val="6"/>
          <w:szCs w:val="6"/>
        </w:rPr>
      </w:pPr>
    </w:p>
    <w:p>
      <w:pPr>
        <w:pStyle w:val="BodyText"/>
        <w:spacing w:line="240" w:lineRule="auto" w:before="44"/>
        <w:ind w:left="665" w:right="6141"/>
        <w:jc w:val="left"/>
      </w:pPr>
      <w:r>
        <w:rPr/>
        <w:t>来源：</w:t>
      </w:r>
      <w:r>
        <w:rPr>
          <w:rFonts w:ascii="Times New Roman" w:hAnsi="Times New Roman" w:cs="Times New Roman" w:eastAsia="Times New Roman" w:hint="default"/>
        </w:rPr>
        <w:t>IDC</w:t>
      </w:r>
      <w:r>
        <w:rPr/>
        <w:t>统计</w:t>
      </w:r>
    </w:p>
    <w:p>
      <w:pPr>
        <w:pStyle w:val="BodyText"/>
        <w:spacing w:line="242" w:lineRule="exact" w:before="139"/>
        <w:ind w:left="665" w:right="0"/>
        <w:jc w:val="left"/>
      </w:pP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年间，我国智能手机保有量规模自</w:t>
      </w:r>
      <w:r>
        <w:rPr>
          <w:rFonts w:ascii="Times New Roman" w:hAnsi="Times New Roman" w:cs="Times New Roman" w:eastAsia="Times New Roman" w:hint="default"/>
        </w:rPr>
        <w:t>5.8</w:t>
      </w:r>
      <w:r>
        <w:rPr/>
        <w:t>亿台增长至</w:t>
      </w:r>
      <w:r>
        <w:rPr>
          <w:rFonts w:ascii="Times New Roman" w:hAnsi="Times New Roman" w:cs="Times New Roman" w:eastAsia="Times New Roman" w:hint="default"/>
        </w:rPr>
        <w:t>9.5</w:t>
      </w:r>
      <w:r>
        <w:rPr/>
        <w:t>亿台，增长率为</w:t>
      </w:r>
      <w:r>
        <w:rPr>
          <w:rFonts w:ascii="Times New Roman" w:hAnsi="Times New Roman" w:cs="Times New Roman" w:eastAsia="Times New Roman" w:hint="default"/>
        </w:rPr>
        <w:t>63.79%</w:t>
      </w:r>
      <w:r>
        <w:rPr/>
        <w:t>，预期整体市场容量到</w:t>
      </w:r>
    </w:p>
    <w:p>
      <w:pPr>
        <w:pStyle w:val="BodyText"/>
        <w:spacing w:line="242" w:lineRule="exact"/>
        <w:ind w:right="6141"/>
        <w:jc w:val="left"/>
      </w:pPr>
      <w:r>
        <w:rPr>
          <w:rFonts w:ascii="Times New Roman" w:hAnsi="Times New Roman" w:cs="Times New Roman" w:eastAsia="Times New Roman" w:hint="default"/>
        </w:rPr>
        <w:t>2018</w:t>
      </w:r>
      <w:r>
        <w:rPr/>
        <w:t>年将达到</w:t>
      </w:r>
      <w:r>
        <w:rPr>
          <w:rFonts w:ascii="Times New Roman" w:hAnsi="Times New Roman" w:cs="Times New Roman" w:eastAsia="Times New Roman" w:hint="default"/>
        </w:rPr>
        <w:t>11.8</w:t>
      </w:r>
      <w:r>
        <w:rPr/>
        <w:t>亿台。</w:t>
      </w:r>
    </w:p>
    <w:p>
      <w:pPr>
        <w:pStyle w:val="BodyText"/>
        <w:spacing w:line="240" w:lineRule="auto" w:before="139"/>
        <w:ind w:left="3433" w:right="201"/>
        <w:jc w:val="left"/>
      </w:pPr>
      <w:r>
        <w:rPr>
          <w:rFonts w:ascii="Times New Roman" w:hAnsi="Times New Roman" w:cs="Times New Roman" w:eastAsia="Times New Roman" w:hint="default"/>
        </w:rPr>
        <w:t>2011-2018</w:t>
      </w:r>
      <w:r>
        <w:rPr/>
        <w:t>全国智能手机保有量（亿台）</w:t>
      </w:r>
    </w:p>
    <w:p>
      <w:pPr>
        <w:spacing w:line="240" w:lineRule="auto" w:before="12"/>
        <w:rPr>
          <w:rFonts w:ascii="宋体" w:hAnsi="宋体" w:cs="宋体" w:eastAsia="宋体" w:hint="default"/>
          <w:sz w:val="12"/>
          <w:szCs w:val="12"/>
        </w:rPr>
      </w:pPr>
    </w:p>
    <w:p>
      <w:pPr>
        <w:spacing w:line="4329" w:lineRule="exact"/>
        <w:ind w:left="1207"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78984"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78984" cy="2749296"/>
                    </a:xfrm>
                    <a:prstGeom prst="rect">
                      <a:avLst/>
                    </a:prstGeom>
                  </pic:spPr>
                </pic:pic>
              </a:graphicData>
            </a:graphic>
          </wp:inline>
        </w:drawing>
      </w:r>
      <w:r>
        <w:rPr>
          <w:rFonts w:ascii="宋体" w:hAnsi="宋体" w:cs="宋体" w:eastAsia="宋体" w:hint="default"/>
          <w:position w:val="-86"/>
          <w:sz w:val="20"/>
          <w:szCs w:val="20"/>
        </w:rPr>
      </w:r>
    </w:p>
    <w:p>
      <w:pPr>
        <w:pStyle w:val="BodyText"/>
        <w:spacing w:line="240" w:lineRule="auto" w:before="127"/>
        <w:ind w:left="665" w:right="6141"/>
        <w:jc w:val="left"/>
      </w:pPr>
      <w:r>
        <w:rPr/>
        <w:t>数据来源：中国产业信息网</w:t>
      </w:r>
    </w:p>
    <w:p>
      <w:pPr>
        <w:pStyle w:val="BodyText"/>
        <w:spacing w:line="370" w:lineRule="atLeast" w:before="33"/>
        <w:ind w:left="665" w:right="201"/>
        <w:jc w:val="left"/>
      </w:pPr>
      <w:r>
        <w:rPr/>
        <w:t>（</w:t>
      </w:r>
      <w:r>
        <w:rPr>
          <w:rFonts w:ascii="Times New Roman" w:hAnsi="Times New Roman" w:cs="Times New Roman" w:eastAsia="Times New Roman" w:hint="default"/>
        </w:rPr>
        <w:t>3</w:t>
      </w:r>
      <w:r>
        <w:rPr/>
        <w:t>）用户的手机依赖性增强 用户对手机的依赖程度越来越高，手机已成为人们生活中不可或缺的必需品。随着移动通信技术的发展和移动</w:t>
      </w:r>
    </w:p>
    <w:p>
      <w:pPr>
        <w:pStyle w:val="BodyText"/>
        <w:spacing w:line="230" w:lineRule="auto" w:before="5"/>
        <w:ind w:right="103"/>
        <w:jc w:val="left"/>
      </w:pPr>
      <w:r>
        <w:rPr/>
        <w:t>互联网的普及，手机的功能日益强大，早已从最初以打电话、发信息为主的可移动的电话发展为几乎无所不能的智</w:t>
      </w:r>
      <w:r>
        <w:rPr>
          <w:spacing w:val="-79"/>
        </w:rPr>
        <w:t> </w:t>
      </w:r>
      <w:r>
        <w:rPr>
          <w:spacing w:val="-79"/>
        </w:rPr>
      </w:r>
      <w:r>
        <w:rPr>
          <w:spacing w:val="-5"/>
          <w:w w:val="99"/>
        </w:rPr>
        <w:t>能终端，丰富多样的</w:t>
      </w:r>
      <w:r>
        <w:rPr>
          <w:rFonts w:ascii="Times New Roman" w:hAnsi="Times New Roman" w:cs="Times New Roman" w:eastAsia="Times New Roman" w:hint="default"/>
          <w:spacing w:val="-5"/>
          <w:w w:val="99"/>
        </w:rPr>
        <w:t>APP</w:t>
      </w:r>
      <w:r>
        <w:rPr>
          <w:spacing w:val="-5"/>
          <w:w w:val="99"/>
        </w:rPr>
        <w:t>应用使手机进入人们生活的各个领域。</w:t>
      </w:r>
      <w:r>
        <w:rPr>
          <w:rFonts w:ascii="Times New Roman" w:hAnsi="Times New Roman" w:cs="Times New Roman" w:eastAsia="Times New Roman" w:hint="default"/>
          <w:spacing w:val="-5"/>
          <w:w w:val="99"/>
        </w:rPr>
        <w:t>2013</w:t>
      </w:r>
      <w:r>
        <w:rPr>
          <w:spacing w:val="-5"/>
          <w:w w:val="99"/>
        </w:rPr>
        <w:t>年，用手机上网的人群在网民占比由上年的</w:t>
      </w:r>
      <w:r>
        <w:rPr>
          <w:rFonts w:ascii="Times New Roman" w:hAnsi="Times New Roman" w:cs="Times New Roman" w:eastAsia="Times New Roman" w:hint="default"/>
          <w:spacing w:val="-5"/>
          <w:w w:val="99"/>
        </w:rPr>
        <w:t>74.5%</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4"/>
          <w:w w:val="99"/>
        </w:rPr>
      </w:r>
      <w:r>
        <w:rPr>
          <w:spacing w:val="-1"/>
        </w:rPr>
        <w:t>提升至</w:t>
      </w:r>
      <w:r>
        <w:rPr>
          <w:rFonts w:ascii="Times New Roman" w:hAnsi="Times New Roman" w:cs="Times New Roman" w:eastAsia="Times New Roman" w:hint="default"/>
          <w:spacing w:val="-1"/>
        </w:rPr>
        <w:t>81%</w:t>
      </w:r>
      <w:r>
        <w:rPr>
          <w:spacing w:val="-1"/>
        </w:rPr>
        <w:t>，使用手机即时通信、手机搜索、手机视频、手机网络游戏以及手机在线支付等功能用户数量增长迅速；</w:t>
      </w:r>
      <w:r>
        <w:rPr/>
        <w:t> </w:t>
      </w:r>
      <w:r>
        <w:rPr>
          <w:spacing w:val="-2"/>
        </w:rPr>
        <w:t>全年移动互联网流量达到</w:t>
      </w:r>
      <w:r>
        <w:rPr>
          <w:rFonts w:ascii="Times New Roman" w:hAnsi="Times New Roman" w:cs="Times New Roman" w:eastAsia="Times New Roman" w:hint="default"/>
          <w:spacing w:val="-2"/>
        </w:rPr>
        <w:t>132,138.1</w:t>
      </w:r>
      <w:r>
        <w:rPr>
          <w:spacing w:val="-2"/>
        </w:rPr>
        <w:t>万</w:t>
      </w:r>
      <w:r>
        <w:rPr>
          <w:rFonts w:ascii="Times New Roman" w:hAnsi="Times New Roman" w:cs="Times New Roman" w:eastAsia="Times New Roman" w:hint="default"/>
          <w:spacing w:val="-2"/>
        </w:rPr>
        <w:t>GB</w:t>
      </w:r>
      <w:r>
        <w:rPr>
          <w:spacing w:val="-2"/>
        </w:rPr>
        <w:t>，同比增长</w:t>
      </w:r>
      <w:r>
        <w:rPr>
          <w:rFonts w:ascii="Times New Roman" w:hAnsi="Times New Roman" w:cs="Times New Roman" w:eastAsia="Times New Roman" w:hint="default"/>
          <w:spacing w:val="-2"/>
        </w:rPr>
        <w:t>71.3%</w:t>
      </w:r>
      <w:r>
        <w:rPr>
          <w:spacing w:val="-2"/>
        </w:rPr>
        <w:t>，月户均移动互联网接入流量达到</w:t>
      </w:r>
      <w:r>
        <w:rPr>
          <w:rFonts w:ascii="Times New Roman" w:hAnsi="Times New Roman" w:cs="Times New Roman" w:eastAsia="Times New Roman" w:hint="default"/>
          <w:spacing w:val="-2"/>
        </w:rPr>
        <w:t>139.4M</w:t>
      </w:r>
      <w:r>
        <w:rPr>
          <w:spacing w:val="-2"/>
        </w:rPr>
        <w:t>，同比增长</w:t>
      </w:r>
      <w:r>
        <w:rPr>
          <w:rFonts w:ascii="Times New Roman" w:hAnsi="Times New Roman" w:cs="Times New Roman" w:eastAsia="Times New Roman" w:hint="default"/>
          <w:spacing w:val="-2"/>
        </w:rPr>
        <w:t>42%</w:t>
      </w:r>
      <w:r>
        <w:rPr>
          <w:spacing w:val="-2"/>
        </w:rPr>
        <w:t>。</w:t>
      </w:r>
    </w:p>
    <w:p>
      <w:pPr>
        <w:spacing w:line="240" w:lineRule="auto" w:before="9"/>
        <w:rPr>
          <w:rFonts w:ascii="宋体" w:hAnsi="宋体" w:cs="宋体" w:eastAsia="宋体" w:hint="default"/>
          <w:sz w:val="12"/>
          <w:szCs w:val="12"/>
        </w:rPr>
      </w:pPr>
    </w:p>
    <w:p>
      <w:pPr>
        <w:pStyle w:val="BodyText"/>
        <w:spacing w:line="232" w:lineRule="exact"/>
        <w:ind w:right="201" w:firstLine="359"/>
        <w:jc w:val="left"/>
      </w:pPr>
      <w:r>
        <w:rPr>
          <w:spacing w:val="-2"/>
        </w:rPr>
        <w:t>今后，随着移动通信技术、</w:t>
      </w:r>
      <w:r>
        <w:rPr>
          <w:rFonts w:ascii="Times New Roman" w:hAnsi="Times New Roman" w:cs="Times New Roman" w:eastAsia="Times New Roman" w:hint="default"/>
          <w:spacing w:val="-2"/>
        </w:rPr>
        <w:t>Wi-Fi</w:t>
      </w:r>
      <w:r>
        <w:rPr>
          <w:spacing w:val="-2"/>
        </w:rPr>
        <w:t>等技术的不断成熟，我国移动互联网市场迅速壮大，由此将进一步带动智能移</w:t>
      </w:r>
      <w:r>
        <w:rPr/>
        <w:t> 动终端的普及与发展，我国手机产业将保持持续高速增长。</w:t>
      </w:r>
    </w:p>
    <w:p>
      <w:pPr>
        <w:spacing w:after="0" w:line="232" w:lineRule="exact"/>
        <w:jc w:val="left"/>
        <w:sectPr>
          <w:headerReference w:type="default" r:id="rId19"/>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665" w:right="201"/>
        <w:jc w:val="left"/>
      </w:pPr>
      <w:r>
        <w:rPr>
          <w:rFonts w:ascii="Times New Roman" w:hAnsi="Times New Roman" w:cs="Times New Roman" w:eastAsia="Times New Roman" w:hint="default"/>
        </w:rPr>
        <w:t>3</w:t>
      </w:r>
      <w:r>
        <w:rPr/>
        <w:t>、我国手机售后服务行业市场规模</w:t>
      </w:r>
    </w:p>
    <w:p>
      <w:pPr>
        <w:spacing w:line="240" w:lineRule="auto" w:before="7"/>
        <w:rPr>
          <w:rFonts w:ascii="宋体" w:hAnsi="宋体" w:cs="宋体" w:eastAsia="宋体" w:hint="default"/>
          <w:sz w:val="12"/>
          <w:szCs w:val="12"/>
        </w:rPr>
      </w:pPr>
    </w:p>
    <w:p>
      <w:pPr>
        <w:pStyle w:val="BodyText"/>
        <w:spacing w:line="232" w:lineRule="exact"/>
        <w:ind w:right="195" w:firstLine="359"/>
        <w:jc w:val="left"/>
      </w:pPr>
      <w:r>
        <w:rPr>
          <w:spacing w:val="-1"/>
        </w:rPr>
        <w:t>近年来，我国手机售后服务行业一直保持高速发展。赛迪顾问的研究显示，</w:t>
      </w:r>
      <w:r>
        <w:rPr>
          <w:rFonts w:ascii="Times New Roman" w:hAnsi="Times New Roman" w:cs="Times New Roman" w:eastAsia="Times New Roman" w:hint="default"/>
          <w:spacing w:val="-1"/>
        </w:rPr>
        <w:t>2008-2012</w:t>
      </w:r>
      <w:r>
        <w:rPr>
          <w:spacing w:val="-1"/>
        </w:rPr>
        <w:t>年中国手机售后服务行业</w:t>
      </w:r>
      <w:r>
        <w:rPr/>
        <w:t> 保持高速发展，市场规模由</w:t>
      </w:r>
      <w:r>
        <w:rPr>
          <w:rFonts w:ascii="Times New Roman" w:hAnsi="Times New Roman" w:cs="Times New Roman" w:eastAsia="Times New Roman" w:hint="default"/>
        </w:rPr>
        <w:t>2008</w:t>
      </w:r>
      <w:r>
        <w:rPr/>
        <w:t>年的</w:t>
      </w:r>
      <w:r>
        <w:rPr>
          <w:rFonts w:ascii="Times New Roman" w:hAnsi="Times New Roman" w:cs="Times New Roman" w:eastAsia="Times New Roman" w:hint="default"/>
        </w:rPr>
        <w:t>47.30</w:t>
      </w:r>
      <w:r>
        <w:rPr/>
        <w:t>亿元增长到</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118.20</w:t>
      </w:r>
      <w:r>
        <w:rPr/>
        <w:t>亿元，年均复合增长率达</w:t>
      </w:r>
      <w:r>
        <w:rPr>
          <w:rFonts w:ascii="Times New Roman" w:hAnsi="Times New Roman" w:cs="Times New Roman" w:eastAsia="Times New Roman" w:hint="default"/>
        </w:rPr>
        <w:t>25.73%</w:t>
      </w:r>
      <w:r>
        <w:rPr/>
        <w:t>。</w:t>
      </w:r>
    </w:p>
    <w:p>
      <w:pPr>
        <w:pStyle w:val="BodyText"/>
        <w:spacing w:line="230" w:lineRule="auto" w:before="140"/>
        <w:ind w:right="172" w:firstLine="359"/>
        <w:jc w:val="both"/>
      </w:pPr>
      <w:r>
        <w:rPr/>
        <w:t>根据赛迪顾问的</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2014</w:t>
      </w:r>
      <w:r>
        <w:rPr/>
        <w:t>年中国手机售后服务市场的统计数据以及</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年预计我国智能手机保有 量的增长率计算，</w:t>
      </w:r>
      <w:r>
        <w:rPr>
          <w:rFonts w:ascii="Times New Roman" w:hAnsi="Times New Roman" w:cs="Times New Roman" w:eastAsia="Times New Roman" w:hint="default"/>
        </w:rPr>
        <w:t>2018</w:t>
      </w:r>
      <w:r>
        <w:rPr/>
        <w:t>年我国手机售后服务行业的市场规模约为</w:t>
      </w:r>
      <w:r>
        <w:rPr>
          <w:rFonts w:ascii="Times New Roman" w:hAnsi="Times New Roman" w:cs="Times New Roman" w:eastAsia="Times New Roman" w:hint="default"/>
        </w:rPr>
        <w:t>282.7</w:t>
      </w:r>
      <w:r>
        <w:rPr/>
        <w:t>亿元。在移动通信和智能终端技术的引领下， 手机售后市场在快速发展的同时，也将逐步转型，传统售后服务将逐渐标准化、精细化，增值类服务市场空间持续</w:t>
      </w:r>
      <w:r>
        <w:rPr>
          <w:spacing w:val="-79"/>
        </w:rPr>
        <w:t> </w:t>
      </w:r>
      <w:r>
        <w:rPr>
          <w:spacing w:val="-79"/>
        </w:rPr>
      </w:r>
      <w:r>
        <w:rPr/>
        <w:t>成长，为提升用户体验、加强产品竞争力提供了更多潜在机会和发展空间。</w:t>
      </w:r>
    </w:p>
    <w:p>
      <w:pPr>
        <w:pStyle w:val="BodyText"/>
        <w:spacing w:line="240" w:lineRule="auto" w:before="156"/>
        <w:ind w:left="2837" w:right="201"/>
        <w:jc w:val="left"/>
      </w:pPr>
      <w:r>
        <w:rPr/>
        <w:pict>
          <v:shape style="position:absolute;margin-left:144.350006pt;margin-top:28.731733pt;width:360.5pt;height:216.5pt;mso-position-horizontal-relative:page;mso-position-vertical-relative:paragraph;z-index:-829696" type="#_x0000_t75" stroked="false">
            <v:imagedata r:id="rId22" o:title=""/>
          </v:shape>
        </w:pict>
      </w:r>
      <w:r>
        <w:rPr>
          <w:rFonts w:ascii="Times New Roman" w:hAnsi="Times New Roman" w:cs="Times New Roman" w:eastAsia="Times New Roman" w:hint="default"/>
        </w:rPr>
        <w:t>2008-2018E</w:t>
      </w:r>
      <w:r>
        <w:rPr/>
        <w:t>年中国手机售后服务市场规模（亿元）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spacing w:line="390" w:lineRule="atLeast"/>
        <w:ind w:left="665" w:right="201"/>
        <w:jc w:val="left"/>
      </w:pPr>
      <w:r>
        <w:rPr/>
        <w:t>数据来源：赛迪顾问 从业务结构来看，手机售后服务业务结构持续调整，传统的保修期内、保修期外的维修服务仍占据了较大的市</w:t>
      </w:r>
    </w:p>
    <w:p>
      <w:pPr>
        <w:pStyle w:val="BodyText"/>
        <w:spacing w:line="232" w:lineRule="auto" w:before="3"/>
        <w:ind w:right="200"/>
        <w:jc w:val="both"/>
      </w:pPr>
      <w:r>
        <w:rPr>
          <w:spacing w:val="-2"/>
        </w:rPr>
        <w:t>场份额，但新兴业务模式不断优化并迅速成长。以</w:t>
      </w:r>
      <w:r>
        <w:rPr>
          <w:rFonts w:ascii="Times New Roman" w:hAnsi="Times New Roman" w:cs="Times New Roman" w:eastAsia="Times New Roman" w:hint="default"/>
          <w:spacing w:val="-2"/>
        </w:rPr>
        <w:t>3G/4G</w:t>
      </w:r>
      <w:r>
        <w:rPr>
          <w:spacing w:val="-2"/>
        </w:rPr>
        <w:t>为代表的移动通信技术、智能终端技术以及</w:t>
      </w:r>
      <w:r>
        <w:rPr>
          <w:rFonts w:ascii="Times New Roman" w:hAnsi="Times New Roman" w:cs="Times New Roman" w:eastAsia="Times New Roman" w:hint="default"/>
          <w:spacing w:val="-2"/>
        </w:rPr>
        <w:t>APP</w:t>
      </w:r>
      <w:r>
        <w:rPr>
          <w:spacing w:val="-2"/>
        </w:rPr>
        <w:t>应用的发展</w:t>
      </w:r>
      <w:r>
        <w:rPr>
          <w:spacing w:val="-70"/>
        </w:rPr>
        <w:t> </w:t>
      </w:r>
      <w:r>
        <w:rPr/>
        <w:t>不断激发消费者对于手机增值服务的广泛诉求，增值类服务内容及模式在探索中不断优化；同时，手机厂商和专业</w:t>
      </w:r>
      <w:r>
        <w:rPr>
          <w:spacing w:val="-78"/>
        </w:rPr>
        <w:t> </w:t>
      </w:r>
      <w:r>
        <w:rPr>
          <w:spacing w:val="-78"/>
        </w:rPr>
      </w:r>
      <w:r>
        <w:rPr/>
        <w:t>服务商不断探索如何丰富增值类业务及其推广模式，手机保障、二手机回收也呈现出蓬勃发展的趋势。</w:t>
      </w:r>
    </w:p>
    <w:p>
      <w:pPr>
        <w:pStyle w:val="BodyText"/>
        <w:spacing w:line="237" w:lineRule="auto" w:before="156"/>
        <w:ind w:right="206" w:firstLine="359"/>
        <w:jc w:val="both"/>
      </w:pPr>
      <w:r>
        <w:rPr/>
        <w:t>专业的第三方手机售后服务商市场份额日益增长。随着市场手机保有量不断增加，移动电话普及率持续提高， 市场对手机售后服务需求不断增长。售后服务更多地外包给专业的第三方售后服务提供商，专业的第三方手机售后</w:t>
      </w:r>
      <w:r>
        <w:rPr>
          <w:spacing w:val="-79"/>
        </w:rPr>
        <w:t> </w:t>
      </w:r>
      <w:r>
        <w:rPr>
          <w:spacing w:val="-79"/>
        </w:rPr>
      </w:r>
      <w:r>
        <w:rPr/>
        <w:t>服务商市场份额日益增长。</w:t>
      </w:r>
    </w:p>
    <w:p>
      <w:pPr>
        <w:pStyle w:val="BodyText"/>
        <w:spacing w:line="232" w:lineRule="auto" w:before="160"/>
        <w:ind w:right="0" w:firstLine="359"/>
        <w:jc w:val="left"/>
      </w:pPr>
      <w:r>
        <w:rPr/>
        <w:t>新的业务模式不断涌现。在国家产业政策的大力支持下，随着</w:t>
      </w:r>
      <w:r>
        <w:rPr>
          <w:rFonts w:ascii="Times New Roman" w:hAnsi="Times New Roman" w:cs="Times New Roman" w:eastAsia="Times New Roman" w:hint="default"/>
        </w:rPr>
        <w:t>O2O</w:t>
      </w:r>
      <w:r>
        <w:rPr/>
        <w:t>电商、跨境电商、垂直电商和移动电商等模 </w:t>
      </w:r>
      <w:r>
        <w:rPr>
          <w:spacing w:val="-2"/>
        </w:rPr>
        <w:t>式的发展，我国电子商务逐步渗透至各行各业。电商模式的进入，将使我国手机售后服务行业发生里程碑式的变化，</w:t>
      </w:r>
      <w:r>
        <w:rPr>
          <w:spacing w:val="-63"/>
        </w:rPr>
        <w:t> </w:t>
      </w:r>
      <w:r>
        <w:rPr>
          <w:spacing w:val="-63"/>
        </w:rPr>
      </w:r>
      <w:r>
        <w:rPr/>
        <w:t>也将激发出巨大的市场空间。</w:t>
      </w:r>
    </w:p>
    <w:p>
      <w:pPr>
        <w:pStyle w:val="BodyText"/>
        <w:spacing w:line="370" w:lineRule="atLeast" w:before="33"/>
        <w:ind w:left="665" w:right="201"/>
        <w:jc w:val="left"/>
      </w:pPr>
      <w:r>
        <w:rPr>
          <w:rFonts w:ascii="Times New Roman" w:hAnsi="Times New Roman" w:cs="Times New Roman" w:eastAsia="Times New Roman" w:hint="default"/>
        </w:rPr>
        <w:t>4</w:t>
      </w:r>
      <w:r>
        <w:rPr/>
        <w:t>、我国手机售后服务行业的市场空间 手机售后服务行业是一个新兴产业。目前售后服务市场仍然以维修服务为主，手机保障、二手机回收、增值服</w:t>
      </w:r>
    </w:p>
    <w:p>
      <w:pPr>
        <w:pStyle w:val="BodyText"/>
        <w:spacing w:line="236" w:lineRule="exact" w:before="18"/>
        <w:ind w:right="206"/>
        <w:jc w:val="both"/>
      </w:pPr>
      <w:r>
        <w:rPr/>
        <w:t>务业务等其他手机服务的比例还比较低，并且消费者对手机售后服务行业的认知度还不高。随着市场需求的增加、</w:t>
      </w:r>
      <w:r>
        <w:rPr>
          <w:spacing w:val="-79"/>
        </w:rPr>
        <w:t> </w:t>
      </w:r>
      <w:r>
        <w:rPr>
          <w:spacing w:val="-79"/>
        </w:rPr>
      </w:r>
      <w:r>
        <w:rPr/>
        <w:t>行业服务质量的提升以及行业标准的完善，整个手机售后服务行业具有广阔的发展前景。</w:t>
      </w:r>
    </w:p>
    <w:p>
      <w:pPr>
        <w:pStyle w:val="BodyText"/>
        <w:spacing w:line="232" w:lineRule="exact" w:before="156"/>
        <w:ind w:right="0" w:firstLine="359"/>
        <w:jc w:val="left"/>
      </w:pPr>
      <w:r>
        <w:rPr>
          <w:spacing w:val="-4"/>
        </w:rPr>
        <w:t>在手机维修方面，根据</w:t>
      </w:r>
      <w:r>
        <w:rPr>
          <w:rFonts w:ascii="Times New Roman" w:hAnsi="Times New Roman" w:cs="Times New Roman" w:eastAsia="Times New Roman" w:hint="default"/>
          <w:spacing w:val="-4"/>
        </w:rPr>
        <w:t>IDC</w:t>
      </w:r>
      <w:r>
        <w:rPr>
          <w:spacing w:val="-4"/>
        </w:rPr>
        <w:t>预测，</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2017</w:t>
      </w:r>
      <w:r>
        <w:rPr>
          <w:spacing w:val="-4"/>
        </w:rPr>
        <w:t>年我国智能手机保有量的年均复合增长率将达到</w:t>
      </w:r>
      <w:r>
        <w:rPr>
          <w:rFonts w:ascii="Times New Roman" w:hAnsi="Times New Roman" w:cs="Times New Roman" w:eastAsia="Times New Roman" w:hint="default"/>
          <w:spacing w:val="-4"/>
        </w:rPr>
        <w:t>16%</w:t>
      </w:r>
      <w:r>
        <w:rPr>
          <w:spacing w:val="-4"/>
        </w:rPr>
        <w:t>。据此估算，</w:t>
      </w:r>
      <w:r>
        <w:rPr/>
        <w:t> </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2017</w:t>
      </w:r>
      <w:r>
        <w:rPr/>
        <w:t>年我国智能手机维修市场的增长率也将达到</w:t>
      </w:r>
      <w:r>
        <w:rPr>
          <w:rFonts w:ascii="Times New Roman" w:hAnsi="Times New Roman" w:cs="Times New Roman" w:eastAsia="Times New Roman" w:hint="default"/>
        </w:rPr>
        <w:t>16%</w:t>
      </w:r>
      <w:r>
        <w:rPr/>
        <w:t>。此外，智能手机带来的增值业务在未来还将具有很</w:t>
      </w:r>
      <w:r>
        <w:rPr>
          <w:spacing w:val="-54"/>
        </w:rPr>
        <w:t> </w:t>
      </w:r>
      <w:r>
        <w:rPr>
          <w:spacing w:val="-54"/>
        </w:rPr>
      </w:r>
      <w:r>
        <w:rPr/>
        <w:t>大的发展空间。</w:t>
      </w:r>
    </w:p>
    <w:p>
      <w:pPr>
        <w:spacing w:after="0" w:line="232" w:lineRule="exact"/>
        <w:jc w:val="left"/>
        <w:sectPr>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2" w:lineRule="exact" w:before="69"/>
        <w:ind w:right="146" w:firstLine="359"/>
        <w:jc w:val="both"/>
      </w:pPr>
      <w:r>
        <w:rPr/>
        <w:t>在手机保障方面，我国手机保障市场正处于培育期，潜力较大。安永咨询分析，目前中国购买延保服务的比例 仅</w:t>
      </w:r>
      <w:r>
        <w:rPr>
          <w:rFonts w:ascii="Times New Roman" w:hAnsi="Times New Roman" w:cs="Times New Roman" w:eastAsia="Times New Roman" w:hint="default"/>
        </w:rPr>
        <w:t>6%</w:t>
      </w:r>
      <w:r>
        <w:rPr/>
        <w:t>，远低于全球平均水平，市场潜力较大。</w:t>
      </w:r>
    </w:p>
    <w:p>
      <w:pPr>
        <w:pStyle w:val="BodyText"/>
        <w:spacing w:line="230" w:lineRule="auto" w:before="140"/>
        <w:ind w:right="112" w:firstLine="359"/>
        <w:jc w:val="both"/>
      </w:pPr>
      <w:r>
        <w:rPr/>
        <w:t>在回收二手机方面，</w:t>
      </w:r>
      <w:r>
        <w:rPr>
          <w:rFonts w:ascii="Times New Roman" w:hAnsi="Times New Roman" w:cs="Times New Roman" w:eastAsia="Times New Roman" w:hint="default"/>
        </w:rPr>
        <w:t>2014</w:t>
      </w:r>
      <w:r>
        <w:rPr/>
        <w:t>年中国智能手机市场销量达到</w:t>
      </w:r>
      <w:r>
        <w:rPr>
          <w:rFonts w:ascii="Times New Roman" w:hAnsi="Times New Roman" w:cs="Times New Roman" w:eastAsia="Times New Roman" w:hint="default"/>
        </w:rPr>
        <w:t>4.2</w:t>
      </w:r>
      <w:r>
        <w:rPr/>
        <w:t>亿台，其中绝大多数顾客是手机升级而非初次购买， 每年都会产生大量的闲置二手机。随着手机功能技术的快速升级和消费者手机使用习惯的发展，中国消费者更新智</w:t>
      </w:r>
      <w:r>
        <w:rPr>
          <w:spacing w:val="-79"/>
        </w:rPr>
        <w:t> </w:t>
      </w:r>
      <w:r>
        <w:rPr>
          <w:spacing w:val="-79"/>
        </w:rPr>
      </w:r>
      <w:r>
        <w:rPr/>
        <w:t>能机的周期在缩短，更换新机将产生更大数量的闲置手机。目前，全球二手机回收率约为</w:t>
      </w:r>
      <w:r>
        <w:rPr>
          <w:rFonts w:ascii="Times New Roman" w:hAnsi="Times New Roman" w:cs="Times New Roman" w:eastAsia="Times New Roman" w:hint="default"/>
        </w:rPr>
        <w:t>3%-5%</w:t>
      </w:r>
      <w:r>
        <w:rPr/>
        <w:t>，美国约为</w:t>
      </w:r>
      <w:r>
        <w:rPr>
          <w:rFonts w:ascii="Times New Roman" w:hAnsi="Times New Roman" w:cs="Times New Roman" w:eastAsia="Times New Roman" w:hint="default"/>
        </w:rPr>
        <w:t>10%</w:t>
      </w:r>
      <w:r>
        <w:rPr/>
        <w:t>，</w:t>
      </w:r>
      <w:r>
        <w:rPr>
          <w:spacing w:val="-55"/>
        </w:rPr>
        <w:t> </w:t>
      </w:r>
      <w:r>
        <w:rPr/>
        <w:t>而中国该比率仅为</w:t>
      </w:r>
      <w:r>
        <w:rPr>
          <w:rFonts w:ascii="Times New Roman" w:hAnsi="Times New Roman" w:cs="Times New Roman" w:eastAsia="Times New Roman" w:hint="default"/>
        </w:rPr>
        <w:t>1%</w:t>
      </w:r>
      <w:r>
        <w:rPr/>
        <w:t>，中国二手机市场有巨大的发展空间。</w:t>
      </w:r>
    </w:p>
    <w:p>
      <w:pPr>
        <w:pStyle w:val="BodyText"/>
        <w:spacing w:line="392" w:lineRule="exact" w:before="38"/>
        <w:ind w:left="665" w:right="141"/>
        <w:jc w:val="left"/>
      </w:pPr>
      <w:r>
        <w:rPr/>
        <w:t>（三）行业的主要竞争格局 目前，手机售后服务行业的参与者主要有终端手机厂商、电信运营商、专业服务提供商、个体服务提供商以及</w:t>
      </w:r>
    </w:p>
    <w:p>
      <w:pPr>
        <w:pStyle w:val="BodyText"/>
        <w:spacing w:line="180" w:lineRule="exact"/>
        <w:ind w:right="141"/>
        <w:jc w:val="left"/>
      </w:pPr>
      <w:r>
        <w:rPr/>
        <w:t>广大消费者。手机售后服务产业结构图如下：</w:t>
      </w:r>
    </w:p>
    <w:p>
      <w:pPr>
        <w:pStyle w:val="BodyText"/>
        <w:spacing w:line="240" w:lineRule="auto" w:before="153"/>
        <w:ind w:left="3912" w:right="141"/>
        <w:jc w:val="left"/>
      </w:pPr>
      <w:r>
        <w:rPr/>
        <w:t>手机售后服务产业结构</w:t>
      </w:r>
    </w:p>
    <w:p>
      <w:pPr>
        <w:spacing w:line="240" w:lineRule="auto" w:before="10"/>
        <w:rPr>
          <w:rFonts w:ascii="宋体" w:hAnsi="宋体" w:cs="宋体" w:eastAsia="宋体" w:hint="default"/>
          <w:sz w:val="13"/>
          <w:szCs w:val="13"/>
        </w:rPr>
      </w:pPr>
    </w:p>
    <w:p>
      <w:pPr>
        <w:spacing w:line="5070" w:lineRule="exact"/>
        <w:ind w:left="1114"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694264" cy="321945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3" cstate="print"/>
                    <a:stretch>
                      <a:fillRect/>
                    </a:stretch>
                  </pic:blipFill>
                  <pic:spPr>
                    <a:xfrm>
                      <a:off x="0" y="0"/>
                      <a:ext cx="4694264" cy="3219450"/>
                    </a:xfrm>
                    <a:prstGeom prst="rect">
                      <a:avLst/>
                    </a:prstGeom>
                  </pic:spPr>
                </pic:pic>
              </a:graphicData>
            </a:graphic>
          </wp:inline>
        </w:drawing>
      </w:r>
      <w:r>
        <w:rPr>
          <w:rFonts w:ascii="宋体" w:hAnsi="宋体" w:cs="宋体" w:eastAsia="宋体" w:hint="default"/>
          <w:position w:val="-100"/>
          <w:sz w:val="20"/>
          <w:szCs w:val="20"/>
        </w:rPr>
      </w:r>
    </w:p>
    <w:p>
      <w:pPr>
        <w:pStyle w:val="BodyText"/>
        <w:spacing w:line="232" w:lineRule="exact" w:before="155"/>
        <w:ind w:right="144" w:firstLine="359"/>
        <w:jc w:val="both"/>
      </w:pPr>
      <w:r>
        <w:rPr/>
        <w:t>从中国手机售后服务产业结构来看，第一、终端手机厂商仍占据售后服务产业的主要地位。终端手机厂商负责 部分厂商直销、代理销售及定制手机的维修服务，将大部分手机维修业务外包给专业服务提供商。</w:t>
      </w:r>
    </w:p>
    <w:p>
      <w:pPr>
        <w:pStyle w:val="BodyText"/>
        <w:spacing w:line="237" w:lineRule="auto" w:before="134"/>
        <w:ind w:right="146" w:firstLine="359"/>
        <w:jc w:val="both"/>
      </w:pPr>
      <w:r>
        <w:rPr/>
        <w:t>第二、专业服务提供商发展空间广阔。专业手机售后服务商在服务网络、专业、技术、人才和服务质量等方面 有较强优势，并且可以同时接受多个品牌的授权，能在更大范围内满足用户需求，能够为消费者提供专业、便捷和</w:t>
      </w:r>
      <w:r>
        <w:rPr>
          <w:spacing w:val="-79"/>
        </w:rPr>
        <w:t> </w:t>
      </w:r>
      <w:r>
        <w:rPr>
          <w:spacing w:val="-79"/>
        </w:rPr>
      </w:r>
      <w:r>
        <w:rPr/>
        <w:t>个性化的售后服务。并可在自有平台的基础上开展各类型的手机服务业务，包括手机维修、手机保障、二手机回收</w:t>
      </w:r>
      <w:r>
        <w:rPr>
          <w:spacing w:val="-79"/>
        </w:rPr>
        <w:t> </w:t>
      </w:r>
      <w:r>
        <w:rPr>
          <w:spacing w:val="-79"/>
        </w:rPr>
      </w:r>
      <w:r>
        <w:rPr/>
        <w:t>等。公司属于此类专业服务商。</w:t>
      </w:r>
    </w:p>
    <w:p>
      <w:pPr>
        <w:pStyle w:val="BodyText"/>
        <w:spacing w:line="240" w:lineRule="auto" w:before="154"/>
        <w:ind w:right="144" w:firstLine="359"/>
        <w:jc w:val="both"/>
      </w:pPr>
      <w:r>
        <w:rPr/>
        <w:t>第三、电信运营商售后服务需求扩大。随着定制手机规模增大及电信增值业务种类增多，与电信运营商相关的 服务需求将增多，电信运营商对手机的售后服务仍以终端手机厂商和专业服务提供商为主。</w:t>
      </w:r>
    </w:p>
    <w:p>
      <w:pPr>
        <w:spacing w:line="240" w:lineRule="auto" w:before="8"/>
        <w:rPr>
          <w:rFonts w:ascii="宋体" w:hAnsi="宋体" w:cs="宋体" w:eastAsia="宋体" w:hint="default"/>
          <w:sz w:val="13"/>
          <w:szCs w:val="13"/>
        </w:rPr>
      </w:pPr>
    </w:p>
    <w:p>
      <w:pPr>
        <w:pStyle w:val="BodyText"/>
        <w:spacing w:line="232" w:lineRule="exact"/>
        <w:ind w:right="146" w:firstLine="359"/>
        <w:jc w:val="both"/>
      </w:pPr>
      <w:r>
        <w:rPr/>
        <w:t>第四、个体服务提供商是指以个体经营为主，一般为未获得品牌授权的维修门店或是维修作坊。由于我国手机 售后服务行业发展时间较短，作坊式的服务网点依旧大量存在，占据一定的市场份额。这些个体服务提供商一般规</w:t>
      </w:r>
      <w:r>
        <w:rPr>
          <w:spacing w:val="-79"/>
        </w:rPr>
        <w:t> </w:t>
      </w:r>
      <w:r>
        <w:rPr>
          <w:spacing w:val="-79"/>
        </w:rPr>
      </w:r>
      <w:r>
        <w:rPr/>
        <w:t>模较小，并且技术水平和服务质量也参差不齐。</w:t>
      </w:r>
    </w:p>
    <w:p>
      <w:pPr>
        <w:pStyle w:val="BodyText"/>
        <w:spacing w:line="232" w:lineRule="exact" w:before="159"/>
        <w:ind w:right="144" w:firstLine="359"/>
        <w:jc w:val="both"/>
      </w:pPr>
      <w:r>
        <w:rPr/>
        <w:t>近年来，手机品牌和消费者需求的不断多样化，手机厂商间的竞争不断加剧，手机厂商如果选择自行建立售后 服务网络，需要长期的资金投入，组建专业、优秀的连锁经营管理团队，建立高效、完善的信息化体系，创立标准</w:t>
      </w:r>
    </w:p>
    <w:p>
      <w:pPr>
        <w:spacing w:after="0" w:line="232" w:lineRule="exact"/>
        <w:jc w:val="both"/>
        <w:sectPr>
          <w:pgSz w:w="11910" w:h="16840"/>
          <w:pgMar w:header="228" w:footer="0" w:top="1100" w:bottom="180" w:left="16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2" w:lineRule="exact" w:before="69"/>
        <w:ind w:right="666"/>
        <w:jc w:val="both"/>
      </w:pPr>
      <w:r>
        <w:rPr/>
        <w:t>化、专业化、精细化的管理模式，这将大幅增加厂商经营成本及管理难度。因此手机厂商将更愿意把手机售后服务</w:t>
      </w:r>
      <w:r>
        <w:rPr>
          <w:spacing w:val="-79"/>
        </w:rPr>
        <w:t> </w:t>
      </w:r>
      <w:r>
        <w:rPr>
          <w:spacing w:val="-79"/>
        </w:rPr>
      </w:r>
      <w:r>
        <w:rPr/>
        <w:t>外包给专业手机售后服务提供商。在终端手机厂商的授权下，手机售后服务提供商发展迅速，已经成为市场中最主</w:t>
      </w:r>
      <w:r>
        <w:rPr>
          <w:spacing w:val="-79"/>
        </w:rPr>
        <w:t> </w:t>
      </w:r>
      <w:r>
        <w:rPr>
          <w:spacing w:val="-79"/>
        </w:rPr>
      </w:r>
      <w:r>
        <w:rPr/>
        <w:t>要的售后服务提供者。</w:t>
      </w:r>
    </w:p>
    <w:p>
      <w:pPr>
        <w:pStyle w:val="BodyText"/>
        <w:spacing w:line="237" w:lineRule="auto" w:before="134"/>
        <w:ind w:right="554" w:firstLine="287"/>
        <w:jc w:val="left"/>
      </w:pPr>
      <w:r>
        <w:rPr/>
        <w:t>总体来看，当前国内提供手机售后服务的企业数量众多，大部分企业规模较小，缺乏跨区域或全国性运营能力。 市场上具有一定规模的专业售后服务提供商包括天音科技、直信创邺、立兴电子等，这类企业拥有了独立的售后服</w:t>
      </w:r>
      <w:r>
        <w:rPr>
          <w:spacing w:val="-79"/>
        </w:rPr>
        <w:t> </w:t>
      </w:r>
      <w:r>
        <w:rPr>
          <w:spacing w:val="-79"/>
        </w:rPr>
      </w:r>
      <w:r>
        <w:rPr/>
        <w:t>务网络体系，具有一定的市场竞争力。</w:t>
      </w:r>
    </w:p>
    <w:p>
      <w:pPr>
        <w:spacing w:line="240" w:lineRule="auto" w:before="2"/>
        <w:rPr>
          <w:rFonts w:ascii="宋体" w:hAnsi="宋体" w:cs="宋体" w:eastAsia="宋体" w:hint="default"/>
          <w:sz w:val="16"/>
          <w:szCs w:val="16"/>
        </w:rPr>
      </w:pPr>
    </w:p>
    <w:p>
      <w:pPr>
        <w:pStyle w:val="Heading2"/>
        <w:spacing w:line="240" w:lineRule="auto"/>
        <w:ind w:right="0"/>
        <w:jc w:val="both"/>
        <w:rPr>
          <w:b w:val="0"/>
          <w:bCs w:val="0"/>
        </w:rPr>
      </w:pPr>
      <w:r>
        <w:rPr/>
        <w:t>二、主要资产重大变化情况</w:t>
      </w:r>
      <w:r>
        <w:rPr>
          <w:b w:val="0"/>
          <w:bCs w:val="0"/>
        </w:rPr>
      </w:r>
    </w:p>
    <w:p>
      <w:pPr>
        <w:pStyle w:val="Heading3"/>
        <w:spacing w:line="240" w:lineRule="auto" w:before="210"/>
        <w:ind w:left="305"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4"/>
        <w:rPr>
          <w:rFonts w:ascii="Microsoft JhengHei" w:hAnsi="Microsoft JhengHei" w:cs="Microsoft JhengHei" w:eastAsia="Microsoft JhengHei" w:hint="default"/>
          <w:b/>
          <w:bCs/>
          <w:sz w:val="17"/>
          <w:szCs w:val="17"/>
        </w:rPr>
      </w:pPr>
    </w:p>
    <w:tbl>
      <w:tblPr>
        <w:tblW w:w="0" w:type="auto"/>
        <w:jc w:val="left"/>
        <w:tblInd w:w="312" w:type="dxa"/>
        <w:tblLayout w:type="fixed"/>
        <w:tblCellMar>
          <w:top w:w="0" w:type="dxa"/>
          <w:left w:w="0" w:type="dxa"/>
          <w:bottom w:w="0" w:type="dxa"/>
          <w:right w:w="0" w:type="dxa"/>
        </w:tblCellMar>
        <w:tblLook w:val="01E0"/>
      </w:tblPr>
      <w:tblGrid>
        <w:gridCol w:w="3039"/>
        <w:gridCol w:w="6520"/>
      </w:tblGrid>
      <w:tr>
        <w:trPr>
          <w:trHeight w:val="224"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26"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tcBorders>
              <w:top w:val="single" w:sz="4" w:space="0" w:color="000000"/>
              <w:left w:val="single" w:sz="9" w:space="0" w:color="D2D2D2"/>
              <w:bottom w:val="single" w:sz="4" w:space="0" w:color="000000"/>
              <w:right w:val="single" w:sz="4" w:space="0" w:color="000000"/>
            </w:tcBorders>
          </w:tcPr>
          <w:p>
            <w:pPr/>
          </w:p>
        </w:tc>
      </w:tr>
      <w:tr>
        <w:trPr>
          <w:trHeight w:val="32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9" w:space="0" w:color="D2D2D2"/>
              <w:bottom w:val="single" w:sz="4" w:space="0" w:color="000000"/>
              <w:right w:val="single" w:sz="4" w:space="0" w:color="000000"/>
            </w:tcBorders>
          </w:tcPr>
          <w:p>
            <w:pPr/>
          </w:p>
        </w:tc>
      </w:tr>
      <w:tr>
        <w:trPr>
          <w:trHeight w:val="32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9" w:space="0" w:color="D2D2D2"/>
              <w:bottom w:val="single" w:sz="4" w:space="0" w:color="000000"/>
              <w:right w:val="single" w:sz="4" w:space="0" w:color="000000"/>
            </w:tcBorders>
          </w:tcPr>
          <w:p>
            <w:pPr/>
          </w:p>
        </w:tc>
      </w:tr>
      <w:tr>
        <w:trPr>
          <w:trHeight w:val="32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000000"/>
              <w:left w:val="single" w:sz="9" w:space="0" w:color="D2D2D2"/>
              <w:bottom w:val="single" w:sz="4" w:space="0" w:color="000000"/>
              <w:right w:val="single" w:sz="4" w:space="0" w:color="000000"/>
            </w:tcBorders>
          </w:tcPr>
          <w:p>
            <w:pPr/>
          </w:p>
        </w:tc>
      </w:tr>
      <w:tr>
        <w:trPr>
          <w:trHeight w:val="557"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1" w:right="13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较上期减少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，主要因为公司赎回了银行结构性存款。</w:t>
            </w:r>
          </w:p>
        </w:tc>
      </w:tr>
      <w:tr>
        <w:trPr>
          <w:trHeight w:val="324"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较上期增长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1264.68%</w:t>
            </w:r>
            <w:r>
              <w:rPr>
                <w:rFonts w:ascii="宋体" w:hAnsi="宋体" w:cs="宋体" w:eastAsia="宋体" w:hint="default"/>
                <w:sz w:val="18"/>
                <w:szCs w:val="18"/>
              </w:rPr>
              <w:t>，主要系公司赎回了银行理财产品及结构性存款。</w:t>
            </w:r>
          </w:p>
        </w:tc>
      </w:tr>
    </w:tbl>
    <w:p>
      <w:pPr>
        <w:spacing w:line="240" w:lineRule="auto" w:before="4"/>
        <w:rPr>
          <w:rFonts w:ascii="Microsoft JhengHei" w:hAnsi="Microsoft JhengHei" w:cs="Microsoft JhengHei" w:eastAsia="Microsoft JhengHei" w:hint="default"/>
          <w:b/>
          <w:bCs/>
          <w:sz w:val="13"/>
          <w:szCs w:val="13"/>
        </w:rPr>
      </w:pPr>
    </w:p>
    <w:p>
      <w:pPr>
        <w:spacing w:line="335" w:lineRule="exact" w:before="0"/>
        <w:ind w:left="305"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、主要境外资产情况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0"/>
        <w:jc w:val="both"/>
        <w:rPr>
          <w:b w:val="0"/>
          <w:bCs w:val="0"/>
        </w:rPr>
      </w:pPr>
      <w:r>
        <w:rPr/>
        <w:t>三、核心竞争力分析</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78" w:lineRule="auto"/>
        <w:ind w:right="6601"/>
        <w:jc w:val="left"/>
      </w:pPr>
      <w:r>
        <w:rPr/>
        <w:t>公司是否需要遵守特殊行业的披露要求 否</w:t>
      </w:r>
    </w:p>
    <w:p>
      <w:pPr>
        <w:pStyle w:val="BodyText"/>
        <w:spacing w:line="240" w:lineRule="auto" w:before="21"/>
        <w:ind w:right="663"/>
        <w:jc w:val="both"/>
      </w:pPr>
      <w:r>
        <w:rPr/>
        <w:t>公司主要业务类型包括手机售后服务（包括保内维修服务、保外维修服务和手机增值服务等）、商品销售业务、电</w:t>
      </w:r>
      <w:r>
        <w:rPr>
          <w:spacing w:val="-77"/>
        </w:rPr>
        <w:t> </w:t>
      </w:r>
      <w:r>
        <w:rPr>
          <w:spacing w:val="-77"/>
        </w:rPr>
      </w:r>
      <w:r>
        <w:rPr/>
        <w:t>子商务业务等，不同业务模式下的市场供求和竞争状况各有不同，具体如下：</w:t>
      </w:r>
    </w:p>
    <w:p>
      <w:pPr>
        <w:pStyle w:val="BodyText"/>
        <w:spacing w:line="240" w:lineRule="auto" w:before="153"/>
        <w:ind w:right="0"/>
        <w:jc w:val="both"/>
      </w:pPr>
      <w:r>
        <w:rPr>
          <w:rFonts w:ascii="Times New Roman" w:hAnsi="Times New Roman" w:cs="Times New Roman" w:eastAsia="Times New Roman" w:hint="default"/>
        </w:rPr>
        <w:t>1</w:t>
      </w:r>
      <w:r>
        <w:rPr/>
        <w:t>、覆盖全国的服务网络</w:t>
      </w:r>
    </w:p>
    <w:p>
      <w:pPr>
        <w:pStyle w:val="BodyText"/>
        <w:spacing w:line="225" w:lineRule="auto" w:before="152"/>
        <w:ind w:right="661"/>
        <w:jc w:val="both"/>
      </w:pPr>
      <w:r>
        <w:rPr/>
        <w:t>公司具有全国最大的手机售后服务实体门店售后服务网络。截至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日，百华悦邦手机售后服务连锁门店</w:t>
      </w:r>
      <w:r>
        <w:rPr>
          <w:spacing w:val="-80"/>
        </w:rPr>
        <w:t> </w:t>
      </w:r>
      <w:r>
        <w:rPr>
          <w:spacing w:val="-2"/>
        </w:rPr>
        <w:t>数量达</w:t>
      </w:r>
      <w:r>
        <w:rPr>
          <w:rFonts w:ascii="Times New Roman" w:hAnsi="Times New Roman" w:cs="Times New Roman" w:eastAsia="Times New Roman" w:hint="default"/>
          <w:spacing w:val="-2"/>
        </w:rPr>
        <w:t>139</w:t>
      </w:r>
      <w:r>
        <w:rPr>
          <w:spacing w:val="-2"/>
        </w:rPr>
        <w:t>家，其中直营店</w:t>
      </w:r>
      <w:r>
        <w:rPr>
          <w:rFonts w:ascii="Times New Roman" w:hAnsi="Times New Roman" w:cs="Times New Roman" w:eastAsia="Times New Roman" w:hint="default"/>
          <w:spacing w:val="-2"/>
        </w:rPr>
        <w:t>125</w:t>
      </w:r>
      <w:r>
        <w:rPr>
          <w:spacing w:val="-2"/>
        </w:rPr>
        <w:t>家，合作店</w:t>
      </w:r>
      <w:r>
        <w:rPr>
          <w:rFonts w:ascii="Times New Roman" w:hAnsi="Times New Roman" w:cs="Times New Roman" w:eastAsia="Times New Roman" w:hint="default"/>
          <w:spacing w:val="-2"/>
        </w:rPr>
        <w:t>14</w:t>
      </w:r>
      <w:r>
        <w:rPr>
          <w:spacing w:val="-2"/>
        </w:rPr>
        <w:t>家。公司苹果授权售后服务门店数量为</w:t>
      </w:r>
      <w:r>
        <w:rPr>
          <w:rFonts w:ascii="Times New Roman" w:hAnsi="Times New Roman" w:cs="Times New Roman" w:eastAsia="Times New Roman" w:hint="default"/>
          <w:spacing w:val="-2"/>
        </w:rPr>
        <w:t>137</w:t>
      </w:r>
      <w:r>
        <w:rPr>
          <w:spacing w:val="-2"/>
        </w:rPr>
        <w:t>家（含合作门店），居全国第</w:t>
      </w:r>
      <w:r>
        <w:rPr>
          <w:spacing w:val="-63"/>
        </w:rPr>
        <w:t> </w:t>
      </w:r>
      <w:r>
        <w:rPr>
          <w:spacing w:val="-63"/>
        </w:rPr>
      </w:r>
      <w:r>
        <w:rPr/>
        <w:t>一位。</w:t>
      </w:r>
    </w:p>
    <w:p>
      <w:pPr>
        <w:spacing w:line="240" w:lineRule="auto" w:before="9"/>
        <w:rPr>
          <w:rFonts w:ascii="宋体" w:hAnsi="宋体" w:cs="宋体" w:eastAsia="宋体" w:hint="default"/>
          <w:sz w:val="13"/>
          <w:szCs w:val="13"/>
        </w:rPr>
      </w:pPr>
    </w:p>
    <w:p>
      <w:pPr>
        <w:pStyle w:val="BodyText"/>
        <w:spacing w:line="232" w:lineRule="exact"/>
        <w:ind w:right="663"/>
        <w:jc w:val="both"/>
      </w:pPr>
      <w:r>
        <w:rPr>
          <w:spacing w:val="-2"/>
        </w:rPr>
        <w:t>公司连锁门店布局广阔，覆盖了全国</w:t>
      </w:r>
      <w:r>
        <w:rPr>
          <w:rFonts w:ascii="Times New Roman" w:hAnsi="Times New Roman" w:cs="Times New Roman" w:eastAsia="Times New Roman" w:hint="default"/>
          <w:spacing w:val="-2"/>
        </w:rPr>
        <w:t>22</w:t>
      </w:r>
      <w:r>
        <w:rPr>
          <w:spacing w:val="-2"/>
        </w:rPr>
        <w:t>个省级地区、</w:t>
      </w:r>
      <w:r>
        <w:rPr>
          <w:rFonts w:ascii="Times New Roman" w:hAnsi="Times New Roman" w:cs="Times New Roman" w:eastAsia="Times New Roman" w:hint="default"/>
          <w:spacing w:val="-2"/>
        </w:rPr>
        <w:t>100</w:t>
      </w:r>
      <w:r>
        <w:rPr>
          <w:spacing w:val="-2"/>
        </w:rPr>
        <w:t>多个地市。其中，在北京、上海、广州、深圳、天津等国内</w:t>
      </w:r>
      <w:r>
        <w:rPr>
          <w:spacing w:val="-65"/>
        </w:rPr>
        <w:t> </w:t>
      </w:r>
      <w:r>
        <w:rPr>
          <w:spacing w:val="-65"/>
        </w:rPr>
      </w:r>
      <w:r>
        <w:rPr/>
        <w:t>一级城市中的公司共有门店数量</w:t>
      </w:r>
      <w:r>
        <w:rPr>
          <w:rFonts w:ascii="Times New Roman" w:hAnsi="Times New Roman" w:cs="Times New Roman" w:eastAsia="Times New Roman" w:hint="default"/>
        </w:rPr>
        <w:t>24</w:t>
      </w:r>
      <w:r>
        <w:rPr/>
        <w:t>家，占苹果授权服务商门店的</w:t>
      </w:r>
      <w:r>
        <w:rPr>
          <w:rFonts w:ascii="Times New Roman" w:hAnsi="Times New Roman" w:cs="Times New Roman" w:eastAsia="Times New Roman" w:hint="default"/>
        </w:rPr>
        <w:t>30%</w:t>
      </w:r>
      <w:r>
        <w:rPr/>
        <w:t>左右；在</w:t>
      </w:r>
      <w:r>
        <w:rPr>
          <w:rFonts w:ascii="Times New Roman" w:hAnsi="Times New Roman" w:cs="Times New Roman" w:eastAsia="Times New Roman" w:hint="default"/>
        </w:rPr>
        <w:t>23</w:t>
      </w:r>
      <w:r>
        <w:rPr/>
        <w:t>个重点城市中公司为苹果公司独家</w:t>
      </w:r>
      <w:r>
        <w:rPr>
          <w:spacing w:val="-55"/>
        </w:rPr>
        <w:t> </w:t>
      </w:r>
      <w:r>
        <w:rPr>
          <w:spacing w:val="-55"/>
        </w:rPr>
      </w:r>
      <w:r>
        <w:rPr/>
        <w:t>授权服务商；在其余</w:t>
      </w:r>
      <w:r>
        <w:rPr>
          <w:rFonts w:ascii="Times New Roman" w:hAnsi="Times New Roman" w:cs="Times New Roman" w:eastAsia="Times New Roman" w:hint="default"/>
        </w:rPr>
        <w:t>29</w:t>
      </w:r>
      <w:r>
        <w:rPr/>
        <w:t>个城市门店数量占比达到或超过</w:t>
      </w:r>
      <w:r>
        <w:rPr>
          <w:rFonts w:ascii="Times New Roman" w:hAnsi="Times New Roman" w:cs="Times New Roman" w:eastAsia="Times New Roman" w:hint="default"/>
        </w:rPr>
        <w:t>50%</w:t>
      </w:r>
      <w:r>
        <w:rPr/>
        <w:t>，具有明显的规模优势和区位优势。</w:t>
      </w:r>
    </w:p>
    <w:p>
      <w:pPr>
        <w:pStyle w:val="BodyText"/>
        <w:spacing w:line="232" w:lineRule="exact" w:before="159"/>
        <w:ind w:right="666"/>
        <w:jc w:val="both"/>
      </w:pPr>
      <w:r>
        <w:rPr/>
        <w:t>公司建立了连锁门店的标准化管理制度和完善的信息系统，并使用公司的规定范围内的商标、服务标记、商号、经</w:t>
      </w:r>
      <w:r>
        <w:rPr>
          <w:spacing w:val="-79"/>
        </w:rPr>
        <w:t> </w:t>
      </w:r>
      <w:r>
        <w:rPr>
          <w:spacing w:val="-79"/>
        </w:rPr>
      </w:r>
      <w:r>
        <w:rPr/>
        <w:t>营技术，在</w:t>
      </w:r>
      <w:r>
        <w:rPr>
          <w:rFonts w:ascii="Times New Roman" w:hAnsi="Times New Roman" w:cs="Times New Roman" w:eastAsia="Times New Roman" w:hint="default"/>
        </w:rPr>
        <w:t>“</w:t>
      </w:r>
      <w:r>
        <w:rPr/>
        <w:t>百邦</w:t>
      </w:r>
      <w:r>
        <w:rPr>
          <w:rFonts w:ascii="Times New Roman" w:hAnsi="Times New Roman" w:cs="Times New Roman" w:eastAsia="Times New Roman" w:hint="default"/>
        </w:rPr>
        <w:t>”</w:t>
      </w:r>
      <w:r>
        <w:rPr/>
        <w:t>统一形象下开展业务；公司总部设立精益部门，负责业务流程优化，同时，公司聘请国际知名咨</w:t>
      </w:r>
      <w:r>
        <w:rPr>
          <w:spacing w:val="-63"/>
        </w:rPr>
        <w:t> </w:t>
      </w:r>
      <w:r>
        <w:rPr>
          <w:spacing w:val="-63"/>
        </w:rPr>
      </w:r>
      <w:r>
        <w:rPr/>
        <w:t>询公司，持续实施效率改善事项、提高人员效率。通过针对连锁经营门店的标准化、精细化管理，公司能够为客户</w:t>
      </w:r>
    </w:p>
    <w:p>
      <w:pPr>
        <w:spacing w:after="0" w:line="232" w:lineRule="exact"/>
        <w:jc w:val="both"/>
        <w:sectPr>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right="0"/>
        <w:jc w:val="both"/>
      </w:pPr>
      <w:r>
        <w:rPr/>
        <w:t>提供专业、优质的服务。</w:t>
      </w:r>
    </w:p>
    <w:p>
      <w:pPr>
        <w:spacing w:line="240" w:lineRule="auto" w:before="8"/>
        <w:rPr>
          <w:rFonts w:ascii="宋体" w:hAnsi="宋体" w:cs="宋体" w:eastAsia="宋体" w:hint="default"/>
          <w:sz w:val="13"/>
          <w:szCs w:val="13"/>
        </w:rPr>
      </w:pPr>
    </w:p>
    <w:p>
      <w:pPr>
        <w:pStyle w:val="BodyText"/>
        <w:spacing w:line="232" w:lineRule="exact"/>
        <w:ind w:right="204"/>
        <w:jc w:val="both"/>
      </w:pPr>
      <w:r>
        <w:rPr/>
        <w:t>同时，通过覆盖全国的服务网络，公司还能够为顾客提供商品销售及增值服务业务，为消费者提供了优质的产品和</w:t>
      </w:r>
      <w:r>
        <w:rPr>
          <w:spacing w:val="-78"/>
        </w:rPr>
        <w:t> </w:t>
      </w:r>
      <w:r>
        <w:rPr>
          <w:spacing w:val="-78"/>
        </w:rPr>
      </w:r>
      <w:r>
        <w:rPr/>
        <w:t>全方位的服务体验，并带动公司手机售后外其他业务收入的增长。</w:t>
      </w:r>
    </w:p>
    <w:p>
      <w:pPr>
        <w:pStyle w:val="BodyText"/>
        <w:spacing w:line="240" w:lineRule="auto" w:before="132"/>
        <w:ind w:right="0"/>
        <w:jc w:val="both"/>
      </w:pPr>
      <w:r>
        <w:rPr>
          <w:rFonts w:ascii="Times New Roman" w:hAnsi="Times New Roman" w:cs="Times New Roman" w:eastAsia="Times New Roman" w:hint="default"/>
        </w:rPr>
        <w:t>2</w:t>
      </w:r>
      <w:r>
        <w:rPr/>
        <w:t>、领先的信息管理能力</w:t>
      </w:r>
    </w:p>
    <w:p>
      <w:pPr>
        <w:pStyle w:val="BodyText"/>
        <w:spacing w:line="228" w:lineRule="auto" w:before="152"/>
        <w:ind w:right="198"/>
        <w:jc w:val="both"/>
      </w:pPr>
      <w:r>
        <w:rPr/>
        <w:t>连锁经营模式和电子商务模式对公司的信息管理能力有较高的要求，公司始终注重在信息化建设方面的投入，运用</w:t>
      </w:r>
      <w:r>
        <w:rPr>
          <w:spacing w:val="-79"/>
        </w:rPr>
        <w:t> </w:t>
      </w:r>
      <w:r>
        <w:rPr>
          <w:spacing w:val="-79"/>
        </w:rPr>
      </w:r>
      <w:r>
        <w:rPr/>
        <w:t>信息化手段来加强对各门店的垂直管理。公司主要采用</w:t>
      </w:r>
      <w:r>
        <w:rPr>
          <w:rFonts w:ascii="Times New Roman" w:hAnsi="Times New Roman" w:cs="Times New Roman" w:eastAsia="Times New Roman" w:hint="default"/>
        </w:rPr>
        <w:t>BOMS</w:t>
      </w:r>
      <w:r>
        <w:rPr/>
        <w:t>门店管理系统和</w:t>
      </w:r>
      <w:r>
        <w:rPr>
          <w:rFonts w:ascii="Times New Roman" w:hAnsi="Times New Roman" w:cs="Times New Roman" w:eastAsia="Times New Roman" w:hint="default"/>
        </w:rPr>
        <w:t>SAP</w:t>
      </w:r>
      <w:r>
        <w:rPr/>
        <w:t>财务管理系统对公司业务和财务</w:t>
      </w:r>
      <w:r>
        <w:rPr>
          <w:spacing w:val="-23"/>
        </w:rPr>
        <w:t> </w:t>
      </w:r>
      <w:r>
        <w:rPr>
          <w:spacing w:val="-23"/>
        </w:rPr>
      </w:r>
      <w:r>
        <w:rPr/>
        <w:t>实施信息化管理。其中，</w:t>
      </w:r>
      <w:r>
        <w:rPr>
          <w:rFonts w:ascii="Times New Roman" w:hAnsi="Times New Roman" w:cs="Times New Roman" w:eastAsia="Times New Roman" w:hint="default"/>
        </w:rPr>
        <w:t>BOMS</w:t>
      </w:r>
      <w:r>
        <w:rPr/>
        <w:t>门店管理系统为公司聘请</w:t>
      </w:r>
      <w:r>
        <w:rPr>
          <w:rFonts w:ascii="Times New Roman" w:hAnsi="Times New Roman" w:cs="Times New Roman" w:eastAsia="Times New Roman" w:hint="default"/>
        </w:rPr>
        <w:t>IBM</w:t>
      </w:r>
      <w:r>
        <w:rPr/>
        <w:t>公司进行开发，用作规范业务办理、物料管理等业务</w:t>
      </w:r>
      <w:r>
        <w:rPr>
          <w:spacing w:val="-34"/>
        </w:rPr>
        <w:t> </w:t>
      </w:r>
      <w:r>
        <w:rPr>
          <w:spacing w:val="-34"/>
        </w:rPr>
      </w:r>
      <w:r>
        <w:rPr>
          <w:spacing w:val="-2"/>
        </w:rPr>
        <w:t>流程，该系统的</w:t>
      </w:r>
      <w:r>
        <w:rPr>
          <w:rFonts w:ascii="Times New Roman" w:hAnsi="Times New Roman" w:cs="Times New Roman" w:eastAsia="Times New Roman" w:hint="default"/>
          <w:spacing w:val="-2"/>
        </w:rPr>
        <w:t>API</w:t>
      </w:r>
      <w:r>
        <w:rPr>
          <w:spacing w:val="-2"/>
        </w:rPr>
        <w:t>接口能够实现与苹果公司的全球售后服务系统实时自动同步对接；</w:t>
      </w:r>
      <w:r>
        <w:rPr>
          <w:rFonts w:ascii="Times New Roman" w:hAnsi="Times New Roman" w:cs="Times New Roman" w:eastAsia="Times New Roman" w:hint="default"/>
          <w:spacing w:val="-2"/>
        </w:rPr>
        <w:t>SAP</w:t>
      </w:r>
      <w:r>
        <w:rPr>
          <w:rFonts w:ascii="Times New Roman" w:hAnsi="Times New Roman" w:cs="Times New Roman" w:eastAsia="Times New Roman" w:hint="default"/>
        </w:rPr>
        <w:t> ERP</w:t>
      </w:r>
      <w:r>
        <w:rPr/>
        <w:t>系统为公司聘请安永</w:t>
      </w:r>
      <w:r>
        <w:rPr>
          <w:spacing w:val="-86"/>
        </w:rPr>
        <w:t> </w:t>
      </w:r>
      <w:r>
        <w:rPr/>
        <w:t>公司设计实施。两个核心信息管理系统的实施，为公司的业务长期发展打下了坚实的基础。</w:t>
      </w:r>
    </w:p>
    <w:p>
      <w:pPr>
        <w:spacing w:line="240" w:lineRule="auto" w:before="9"/>
        <w:rPr>
          <w:rFonts w:ascii="宋体" w:hAnsi="宋体" w:cs="宋体" w:eastAsia="宋体" w:hint="default"/>
          <w:sz w:val="13"/>
          <w:szCs w:val="13"/>
        </w:rPr>
      </w:pPr>
    </w:p>
    <w:p>
      <w:pPr>
        <w:pStyle w:val="BodyText"/>
        <w:spacing w:line="232" w:lineRule="exact"/>
        <w:ind w:right="200"/>
        <w:jc w:val="both"/>
      </w:pPr>
      <w:r>
        <w:rPr>
          <w:rFonts w:ascii="Times New Roman" w:hAnsi="Times New Roman" w:cs="Times New Roman" w:eastAsia="Times New Roman" w:hint="default"/>
          <w:spacing w:val="-2"/>
        </w:rPr>
        <w:t>2014</w:t>
      </w:r>
      <w:r>
        <w:rPr>
          <w:spacing w:val="-2"/>
        </w:rPr>
        <w:t>年，为支持闪电蜂业务的发展，公司聘请安永公司实施了电子商务</w:t>
      </w:r>
      <w:r>
        <w:rPr>
          <w:rFonts w:ascii="Times New Roman" w:hAnsi="Times New Roman" w:cs="Times New Roman" w:eastAsia="Times New Roman" w:hint="default"/>
          <w:spacing w:val="-2"/>
        </w:rPr>
        <w:t>EC</w:t>
      </w:r>
      <w:r>
        <w:rPr>
          <w:spacing w:val="-2"/>
        </w:rPr>
        <w:t>平台。该系统全面支持闪电蜂</w:t>
      </w:r>
      <w:r>
        <w:rPr>
          <w:rFonts w:ascii="Times New Roman" w:hAnsi="Times New Roman" w:cs="Times New Roman" w:eastAsia="Times New Roman" w:hint="default"/>
          <w:spacing w:val="-2"/>
        </w:rPr>
        <w:t>PC</w:t>
      </w:r>
      <w:r>
        <w:rPr>
          <w:spacing w:val="-2"/>
        </w:rPr>
        <w:t>端、微信</w:t>
      </w:r>
      <w:r>
        <w:rPr>
          <w:spacing w:val="-63"/>
        </w:rPr>
        <w:t> </w:t>
      </w:r>
      <w:r>
        <w:rPr>
          <w:spacing w:val="-63"/>
        </w:rPr>
      </w:r>
      <w:r>
        <w:rPr/>
        <w:t>商业务运营，并且与公司现有系统实现了无缝对接，也预留了未来与电信运营商、零售商等合作伙伴的对接接口。</w:t>
      </w:r>
    </w:p>
    <w:p>
      <w:pPr>
        <w:pStyle w:val="BodyText"/>
        <w:spacing w:line="232" w:lineRule="exact" w:before="159"/>
        <w:ind w:right="203"/>
        <w:jc w:val="both"/>
      </w:pPr>
      <w:r>
        <w:rPr>
          <w:spacing w:val="-2"/>
        </w:rPr>
        <w:t>在核心系统的基础上，公司将持续扩大信息化建设的广度和深度，公司规划了在线学习平台（</w:t>
      </w:r>
      <w:r>
        <w:rPr>
          <w:rFonts w:ascii="Times New Roman" w:hAnsi="Times New Roman" w:cs="Times New Roman" w:eastAsia="Times New Roman" w:hint="default"/>
          <w:spacing w:val="-2"/>
        </w:rPr>
        <w:t>e-Learning</w:t>
      </w:r>
      <w:r>
        <w:rPr>
          <w:spacing w:val="-2"/>
        </w:rPr>
        <w:t>）、客户关</w:t>
      </w:r>
      <w:r>
        <w:rPr>
          <w:spacing w:val="-39"/>
        </w:rPr>
        <w:t> </w:t>
      </w:r>
      <w:r>
        <w:rPr>
          <w:spacing w:val="-39"/>
        </w:rPr>
      </w:r>
      <w:r>
        <w:rPr/>
        <w:t>系管理（</w:t>
      </w:r>
      <w:r>
        <w:rPr>
          <w:rFonts w:ascii="Times New Roman" w:hAnsi="Times New Roman" w:cs="Times New Roman" w:eastAsia="Times New Roman" w:hint="default"/>
        </w:rPr>
        <w:t>CRM</w:t>
      </w:r>
      <w:r>
        <w:rPr/>
        <w:t>）、知识管理（</w:t>
      </w:r>
      <w:r>
        <w:rPr>
          <w:rFonts w:ascii="Times New Roman" w:hAnsi="Times New Roman" w:cs="Times New Roman" w:eastAsia="Times New Roman" w:hint="default"/>
        </w:rPr>
        <w:t>KM</w:t>
      </w:r>
      <w:r>
        <w:rPr/>
        <w:t>）、电子商务平台、商务智能（</w:t>
      </w:r>
      <w:r>
        <w:rPr>
          <w:rFonts w:ascii="Times New Roman" w:hAnsi="Times New Roman" w:cs="Times New Roman" w:eastAsia="Times New Roman" w:hint="default"/>
        </w:rPr>
        <w:t>BI</w:t>
      </w:r>
      <w:r>
        <w:rPr/>
        <w:t>）以及移动终端应用等一系列系统的建设。公</w:t>
      </w:r>
      <w:r>
        <w:rPr>
          <w:spacing w:val="-56"/>
        </w:rPr>
        <w:t> </w:t>
      </w:r>
      <w:r>
        <w:rPr>
          <w:spacing w:val="-56"/>
        </w:rPr>
      </w:r>
      <w:r>
        <w:rPr/>
        <w:t>司领先的信息管理能力以及相应系统的持续更新、建设，将成为公司业务发展和增长的重要驱动力，并最终成为公</w:t>
      </w:r>
      <w:r>
        <w:rPr>
          <w:spacing w:val="-79"/>
        </w:rPr>
        <w:t> </w:t>
      </w:r>
      <w:r>
        <w:rPr>
          <w:spacing w:val="-79"/>
        </w:rPr>
      </w:r>
      <w:r>
        <w:rPr/>
        <w:t>司的核心竞争力之一。</w:t>
      </w:r>
    </w:p>
    <w:p>
      <w:pPr>
        <w:pStyle w:val="BodyText"/>
        <w:spacing w:line="240" w:lineRule="auto" w:before="134"/>
        <w:ind w:right="0"/>
        <w:jc w:val="both"/>
      </w:pPr>
      <w:r>
        <w:rPr>
          <w:rFonts w:ascii="Times New Roman" w:hAnsi="Times New Roman" w:cs="Times New Roman" w:eastAsia="Times New Roman" w:hint="default"/>
        </w:rPr>
        <w:t>3</w:t>
      </w:r>
      <w:r>
        <w:rPr/>
        <w:t>、多元的服务及销售渠道</w:t>
      </w:r>
    </w:p>
    <w:p>
      <w:pPr>
        <w:pStyle w:val="BodyText"/>
        <w:spacing w:line="232" w:lineRule="auto" w:before="146"/>
        <w:ind w:right="204"/>
        <w:jc w:val="both"/>
      </w:pPr>
      <w:r>
        <w:rPr/>
        <w:t>公司采取线上线下相结合的经营模式。线下渠道上，公司拥有充足的连锁门店，同时，经过手机售后服务行业多年</w:t>
      </w:r>
      <w:r>
        <w:rPr>
          <w:spacing w:val="-79"/>
        </w:rPr>
        <w:t> </w:t>
      </w:r>
      <w:r>
        <w:rPr>
          <w:spacing w:val="-79"/>
        </w:rPr>
      </w:r>
      <w:r>
        <w:rPr/>
        <w:t>的积累，与众多移动运营商、手机零售商、经销商建立了合作关系，对商品销售、二手机回收及销售等业务的拓展</w:t>
      </w:r>
      <w:r>
        <w:rPr>
          <w:spacing w:val="-79"/>
        </w:rPr>
        <w:t> </w:t>
      </w:r>
      <w:r>
        <w:rPr>
          <w:spacing w:val="-79"/>
        </w:rPr>
      </w:r>
      <w:r>
        <w:rPr/>
        <w:t>有着深厚的基础；线上渠道上，公司推出闪电蜂品牌，定位于</w:t>
      </w:r>
      <w:r>
        <w:rPr>
          <w:rFonts w:ascii="Times New Roman" w:hAnsi="Times New Roman" w:cs="Times New Roman" w:eastAsia="Times New Roman" w:hint="default"/>
        </w:rPr>
        <w:t>“</w:t>
      </w:r>
      <w:r>
        <w:rPr/>
        <w:t>手机创新服务专家</w:t>
      </w:r>
      <w:r>
        <w:rPr>
          <w:rFonts w:ascii="Times New Roman" w:hAnsi="Times New Roman" w:cs="Times New Roman" w:eastAsia="Times New Roman" w:hint="default"/>
        </w:rPr>
        <w:t>”</w:t>
      </w:r>
      <w:r>
        <w:rPr/>
        <w:t>，通过闪电蜂电商平台以电子商</w:t>
      </w:r>
      <w:r>
        <w:rPr>
          <w:spacing w:val="-61"/>
        </w:rPr>
        <w:t> </w:t>
      </w:r>
      <w:r>
        <w:rPr>
          <w:spacing w:val="-61"/>
        </w:rPr>
      </w:r>
      <w:r>
        <w:rPr/>
        <w:t>务模式进一步开拓手机售后服务、商品销售、二手机回收等业务。</w:t>
      </w:r>
    </w:p>
    <w:p>
      <w:pPr>
        <w:pStyle w:val="BodyText"/>
        <w:spacing w:line="237" w:lineRule="auto" w:before="156"/>
        <w:ind w:right="0"/>
        <w:jc w:val="left"/>
      </w:pPr>
      <w:r>
        <w:rPr/>
        <w:t>公司拥深耕行业多年，拥有广泛的渠道资源，并独创性地采用了传统的连锁门店经营、经销商合作和创新的电子商</w:t>
      </w:r>
      <w:r>
        <w:rPr>
          <w:spacing w:val="-79"/>
        </w:rPr>
        <w:t> </w:t>
      </w:r>
      <w:r>
        <w:rPr>
          <w:spacing w:val="-79"/>
        </w:rPr>
      </w:r>
      <w:r>
        <w:rPr>
          <w:spacing w:val="-2"/>
        </w:rPr>
        <w:t>务经营模式。线上线下相互结合，进一步增强了渠道建设能力，并实现优势互补，提高公司的竞争能力，实现持续、</w:t>
      </w:r>
      <w:r>
        <w:rPr>
          <w:spacing w:val="-63"/>
        </w:rPr>
        <w:t> </w:t>
      </w:r>
      <w:r>
        <w:rPr>
          <w:spacing w:val="-63"/>
        </w:rPr>
      </w:r>
      <w:r>
        <w:rPr/>
        <w:t>快速的发展。</w:t>
      </w:r>
    </w:p>
    <w:p>
      <w:pPr>
        <w:pStyle w:val="BodyText"/>
        <w:spacing w:line="240" w:lineRule="auto" w:before="153"/>
        <w:ind w:right="0"/>
        <w:jc w:val="both"/>
      </w:pPr>
      <w:r>
        <w:rPr>
          <w:rFonts w:ascii="Times New Roman" w:hAnsi="Times New Roman" w:cs="Times New Roman" w:eastAsia="Times New Roman" w:hint="default"/>
        </w:rPr>
        <w:t>4</w:t>
      </w:r>
      <w:r>
        <w:rPr/>
        <w:t>、可靠有保障的服务品质</w:t>
      </w:r>
    </w:p>
    <w:p>
      <w:pPr>
        <w:pStyle w:val="BodyText"/>
        <w:spacing w:line="237" w:lineRule="auto" w:before="141"/>
        <w:ind w:right="205"/>
        <w:jc w:val="both"/>
      </w:pPr>
      <w:r>
        <w:rPr/>
        <w:t>长期以来，手机售后服务行业缺乏统一的服务质量标准，行业整体服务质量参差不齐，手机用户难以获得高质量的</w:t>
      </w:r>
      <w:r>
        <w:rPr>
          <w:spacing w:val="-79"/>
        </w:rPr>
        <w:t> </w:t>
      </w:r>
      <w:r>
        <w:rPr>
          <w:spacing w:val="-79"/>
        </w:rPr>
      </w:r>
      <w:r>
        <w:rPr/>
        <w:t>手机售后服务，手机生产厂商也难以找到符合标准的合作商。针对手机用户和手机生产厂商双方面的需求，公司自</w:t>
      </w:r>
      <w:r>
        <w:rPr>
          <w:spacing w:val="-79"/>
        </w:rPr>
        <w:t> </w:t>
      </w:r>
      <w:r>
        <w:rPr>
          <w:spacing w:val="-79"/>
        </w:rPr>
      </w:r>
      <w:r>
        <w:rPr/>
        <w:t>成立以来将服务质量作为公司业务运营的核心，合规部门和质量部门为公司各业务设计了标准化的运营流程并严格</w:t>
      </w:r>
      <w:r>
        <w:rPr>
          <w:spacing w:val="-78"/>
        </w:rPr>
        <w:t> </w:t>
      </w:r>
      <w:r>
        <w:rPr>
          <w:spacing w:val="-78"/>
        </w:rPr>
      </w:r>
      <w:r>
        <w:rPr/>
        <w:t>执行。</w:t>
      </w:r>
    </w:p>
    <w:p>
      <w:pPr>
        <w:spacing w:line="240" w:lineRule="auto" w:before="8"/>
        <w:rPr>
          <w:rFonts w:ascii="宋体" w:hAnsi="宋体" w:cs="宋体" w:eastAsia="宋体" w:hint="default"/>
          <w:sz w:val="13"/>
          <w:szCs w:val="13"/>
        </w:rPr>
      </w:pPr>
    </w:p>
    <w:p>
      <w:pPr>
        <w:pStyle w:val="BodyText"/>
        <w:spacing w:line="232" w:lineRule="exact"/>
        <w:ind w:right="206"/>
        <w:jc w:val="both"/>
      </w:pPr>
      <w:r>
        <w:rPr/>
        <w:t>公司自始至终坚持高质量的服务标准使得公司自设立以来快速发展，并与世界一流的手机厂商建立了长期互信合作</w:t>
      </w:r>
      <w:r>
        <w:rPr>
          <w:spacing w:val="-79"/>
        </w:rPr>
        <w:t> </w:t>
      </w:r>
      <w:r>
        <w:rPr>
          <w:spacing w:val="-79"/>
        </w:rPr>
      </w:r>
      <w:r>
        <w:rPr/>
        <w:t>关系，也取得了手机用户广泛的好评。</w:t>
      </w:r>
    </w:p>
    <w:p>
      <w:pPr>
        <w:spacing w:line="240" w:lineRule="auto" w:before="8"/>
        <w:rPr>
          <w:rFonts w:ascii="宋体" w:hAnsi="宋体" w:cs="宋体" w:eastAsia="宋体" w:hint="default"/>
          <w:sz w:val="14"/>
          <w:szCs w:val="14"/>
        </w:rPr>
      </w:pPr>
    </w:p>
    <w:p>
      <w:pPr>
        <w:pStyle w:val="Heading1"/>
        <w:spacing w:line="240" w:lineRule="auto"/>
        <w:ind w:right="2689"/>
        <w:jc w:val="center"/>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46"/>
          <w:szCs w:val="46"/>
        </w:rPr>
      </w:pPr>
    </w:p>
    <w:p>
      <w:pPr>
        <w:pStyle w:val="Heading2"/>
        <w:spacing w:line="240" w:lineRule="auto"/>
        <w:ind w:right="0"/>
        <w:jc w:val="both"/>
        <w:rPr>
          <w:b w:val="0"/>
          <w:bCs w:val="0"/>
        </w:rPr>
      </w:pPr>
      <w:r>
        <w:rPr/>
        <w:t>一、概述</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0"/>
        <w:jc w:val="both"/>
      </w:pPr>
      <w:r>
        <w:rPr/>
        <w:t>（一）主要经营情况</w:t>
      </w:r>
    </w:p>
    <w:p>
      <w:pPr>
        <w:pStyle w:val="BodyText"/>
        <w:spacing w:line="232" w:lineRule="exact" w:before="144"/>
        <w:ind w:right="204" w:firstLine="359"/>
        <w:jc w:val="both"/>
      </w:pPr>
      <w:r>
        <w:rPr>
          <w:rFonts w:ascii="Times New Roman" w:hAnsi="Times New Roman" w:cs="Times New Roman" w:eastAsia="Times New Roman" w:hint="default"/>
        </w:rPr>
        <w:t>2017</w:t>
      </w:r>
      <w:r>
        <w:rPr/>
        <w:t>年，对于公司是极其重要的一年，一方面公司正式通过证监会审核，准备登陆资本市场，另一方面公司应 对业务压力，完成了本年度业绩目标。</w:t>
      </w:r>
      <w:r>
        <w:rPr>
          <w:rFonts w:ascii="Times New Roman" w:hAnsi="Times New Roman" w:cs="Times New Roman" w:eastAsia="Times New Roman" w:hint="default"/>
        </w:rPr>
        <w:t>2017</w:t>
      </w:r>
      <w:r>
        <w:rPr/>
        <w:t>年公司在苹果产品售后服务的政策有所变化，在董事会的正确决策和公</w:t>
      </w:r>
      <w:r>
        <w:rPr>
          <w:spacing w:val="-78"/>
        </w:rPr>
        <w:t> </w:t>
      </w:r>
      <w:r>
        <w:rPr>
          <w:spacing w:val="-78"/>
        </w:rPr>
      </w:r>
      <w:r>
        <w:rPr/>
        <w:t>司经营管理层的统一领导下，公司全体员工紧密围绕董事会确定的年度经营目标展开各项经营活动。公司通过研发</w:t>
      </w:r>
    </w:p>
    <w:p>
      <w:pPr>
        <w:spacing w:after="0" w:line="232" w:lineRule="exact"/>
        <w:jc w:val="both"/>
        <w:sectPr>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2" w:lineRule="exact" w:before="69"/>
        <w:ind w:right="201"/>
        <w:jc w:val="left"/>
      </w:pPr>
      <w:r>
        <w:rPr/>
        <w:t>和精益等流程优化项目，提高服务质量，基于苹果顾客的特点，销售具有更高价值的商品，进一步拓宽二手机销售</w:t>
      </w:r>
      <w:r>
        <w:rPr>
          <w:spacing w:val="-79"/>
        </w:rPr>
        <w:t> </w:t>
      </w:r>
      <w:r>
        <w:rPr>
          <w:spacing w:val="-79"/>
        </w:rPr>
      </w:r>
      <w:r>
        <w:rPr/>
        <w:t>渠道，但由于苹果售后保内维修政策的变化，导致公司</w:t>
      </w:r>
      <w:r>
        <w:rPr>
          <w:rFonts w:ascii="Times New Roman" w:hAnsi="Times New Roman" w:cs="Times New Roman" w:eastAsia="Times New Roman" w:hint="default"/>
        </w:rPr>
        <w:t>2017</w:t>
      </w:r>
      <w:r>
        <w:rPr/>
        <w:t>年度经营利润有所下降。</w:t>
      </w:r>
    </w:p>
    <w:p>
      <w:pPr>
        <w:pStyle w:val="BodyText"/>
        <w:spacing w:line="230" w:lineRule="auto" w:before="104"/>
        <w:ind w:right="200" w:firstLine="359"/>
        <w:jc w:val="both"/>
      </w:pPr>
      <w:r>
        <w:rPr>
          <w:spacing w:val="-4"/>
        </w:rPr>
        <w:t>公司在报告期整体实现营业收入</w:t>
      </w:r>
      <w:r>
        <w:rPr>
          <w:rFonts w:ascii="Times New Roman" w:hAnsi="Times New Roman" w:cs="Times New Roman" w:eastAsia="Times New Roman" w:hint="default"/>
          <w:spacing w:val="-4"/>
        </w:rPr>
        <w:t>67,512.35</w:t>
      </w:r>
      <w:r>
        <w:rPr>
          <w:spacing w:val="-4"/>
        </w:rPr>
        <w:t>万元，比上年同期增长</w:t>
      </w:r>
      <w:r>
        <w:rPr>
          <w:rFonts w:ascii="Times New Roman" w:hAnsi="Times New Roman" w:cs="Times New Roman" w:eastAsia="Times New Roman" w:hint="default"/>
          <w:spacing w:val="-4"/>
        </w:rPr>
        <w:t>4.17%</w:t>
      </w:r>
      <w:r>
        <w:rPr>
          <w:spacing w:val="-4"/>
        </w:rPr>
        <w:t>；归属于母公司所有者的净利润为</w:t>
      </w:r>
      <w:r>
        <w:rPr>
          <w:rFonts w:ascii="Times New Roman" w:hAnsi="Times New Roman" w:cs="Times New Roman" w:eastAsia="Times New Roman" w:hint="default"/>
          <w:spacing w:val="-4"/>
        </w:rPr>
        <w:t>3,963.52</w:t>
      </w:r>
      <w:r>
        <w:rPr>
          <w:rFonts w:ascii="Times New Roman" w:hAnsi="Times New Roman" w:cs="Times New Roman" w:eastAsia="Times New Roman" w:hint="default"/>
        </w:rPr>
        <w:t> </w:t>
      </w:r>
      <w:r>
        <w:rPr>
          <w:spacing w:val="-1"/>
        </w:rPr>
        <w:t>万元，比上年同期下降</w:t>
      </w:r>
      <w:r>
        <w:rPr>
          <w:rFonts w:ascii="Times New Roman" w:hAnsi="Times New Roman" w:cs="Times New Roman" w:eastAsia="Times New Roman" w:hint="default"/>
          <w:spacing w:val="-1"/>
        </w:rPr>
        <w:t>16.12%</w:t>
      </w:r>
      <w:r>
        <w:rPr>
          <w:spacing w:val="-1"/>
        </w:rPr>
        <w:t>。基本每股收益</w:t>
      </w:r>
      <w:r>
        <w:rPr>
          <w:rFonts w:ascii="Times New Roman" w:hAnsi="Times New Roman" w:cs="Times New Roman" w:eastAsia="Times New Roman" w:hint="default"/>
          <w:spacing w:val="-1"/>
        </w:rPr>
        <w:t>0.97</w:t>
      </w:r>
      <w:r>
        <w:rPr>
          <w:spacing w:val="-1"/>
        </w:rPr>
        <w:t>元</w:t>
      </w:r>
      <w:r>
        <w:rPr>
          <w:rFonts w:ascii="Times New Roman" w:hAnsi="Times New Roman" w:cs="Times New Roman" w:eastAsia="Times New Roman" w:hint="default"/>
          <w:spacing w:val="-1"/>
        </w:rPr>
        <w:t>/</w:t>
      </w:r>
      <w:r>
        <w:rPr>
          <w:spacing w:val="-1"/>
        </w:rPr>
        <w:t>股，较上年下降</w:t>
      </w:r>
      <w:r>
        <w:rPr>
          <w:rFonts w:ascii="Times New Roman" w:hAnsi="Times New Roman" w:cs="Times New Roman" w:eastAsia="Times New Roman" w:hint="default"/>
          <w:spacing w:val="-1"/>
        </w:rPr>
        <w:t>16.28%</w:t>
      </w:r>
      <w:r>
        <w:rPr>
          <w:spacing w:val="-1"/>
        </w:rPr>
        <w:t>。主要由于公司在报告期内苹果维修政</w:t>
      </w:r>
      <w:r>
        <w:rPr>
          <w:spacing w:val="-58"/>
        </w:rPr>
        <w:t> </w:t>
      </w:r>
      <w:r>
        <w:rPr>
          <w:spacing w:val="-58"/>
        </w:rPr>
      </w:r>
      <w:r>
        <w:rPr/>
        <w:t>策发生变动，苹果保内收入有所下降，同时保外收入上升，另一方面二手机业务收入大幅上升，导致营业收入增加</w:t>
      </w:r>
      <w:r>
        <w:rPr>
          <w:spacing w:val="-79"/>
        </w:rPr>
        <w:t> </w:t>
      </w:r>
      <w:r>
        <w:rPr>
          <w:spacing w:val="-79"/>
        </w:rPr>
      </w:r>
      <w:r>
        <w:rPr/>
        <w:t>而利润下降。</w:t>
      </w:r>
    </w:p>
    <w:p>
      <w:pPr>
        <w:pStyle w:val="BodyText"/>
        <w:spacing w:line="240" w:lineRule="auto" w:before="118"/>
        <w:ind w:right="0"/>
        <w:jc w:val="both"/>
      </w:pPr>
      <w:r>
        <w:rPr/>
        <w:t>（二）经营情况讨论与分析的主要内容</w:t>
      </w:r>
    </w:p>
    <w:p>
      <w:pPr>
        <w:pStyle w:val="BodyText"/>
        <w:spacing w:line="240" w:lineRule="auto" w:before="119"/>
        <w:ind w:left="665" w:right="6141"/>
        <w:jc w:val="left"/>
      </w:pPr>
      <w:r>
        <w:rPr>
          <w:rFonts w:ascii="Times New Roman" w:hAnsi="Times New Roman" w:cs="Times New Roman" w:eastAsia="Times New Roman" w:hint="default"/>
        </w:rPr>
        <w:t>1</w:t>
      </w:r>
      <w:r>
        <w:rPr/>
        <w:t>、市场经营业务转变</w:t>
      </w:r>
    </w:p>
    <w:p>
      <w:pPr>
        <w:pStyle w:val="BodyText"/>
        <w:spacing w:line="228" w:lineRule="auto" w:before="114"/>
        <w:ind w:right="0" w:firstLine="359"/>
        <w:jc w:val="left"/>
      </w:pPr>
      <w:r>
        <w:rPr>
          <w:rFonts w:ascii="Times New Roman" w:hAnsi="Times New Roman" w:cs="Times New Roman" w:eastAsia="Times New Roman" w:hint="default"/>
        </w:rPr>
        <w:t>2017</w:t>
      </w:r>
      <w:r>
        <w:rPr/>
        <w:t>年公司改变了一些门店布局，将更多的门店入驻大型商圈的核心商场，增加了更多的客流，同时，基于对 苹果消费者的洞察，增加了在门店零售大疆无人机、</w:t>
      </w:r>
      <w:r>
        <w:rPr>
          <w:rFonts w:ascii="Times New Roman" w:hAnsi="Times New Roman" w:cs="Times New Roman" w:eastAsia="Times New Roman" w:hint="default"/>
        </w:rPr>
        <w:t>blueair</w:t>
      </w:r>
      <w:r>
        <w:rPr/>
        <w:t>空气净化器、布丁机器人、微鲸电视等具有较高价值的</w:t>
      </w:r>
      <w:r>
        <w:rPr>
          <w:spacing w:val="-46"/>
        </w:rPr>
        <w:t> </w:t>
      </w:r>
      <w:r>
        <w:rPr>
          <w:spacing w:val="-46"/>
        </w:rPr>
      </w:r>
      <w:r>
        <w:rPr>
          <w:spacing w:val="-2"/>
        </w:rPr>
        <w:t>产品，增加了公司的销售收入；公司也针对现有的手机壳膜类周边产品，增加了更多的种类以及多层次的价格选择，</w:t>
      </w:r>
      <w:r>
        <w:rPr>
          <w:spacing w:val="-63"/>
        </w:rPr>
        <w:t> </w:t>
      </w:r>
      <w:r>
        <w:rPr>
          <w:spacing w:val="-63"/>
        </w:rPr>
      </w:r>
      <w:r>
        <w:rPr/>
        <w:t>新研发的</w:t>
      </w:r>
      <w:r>
        <w:rPr>
          <w:rFonts w:ascii="Times New Roman" w:hAnsi="Times New Roman" w:cs="Times New Roman" w:eastAsia="Times New Roman" w:hint="default"/>
        </w:rPr>
        <w:t>moment</w:t>
      </w:r>
      <w:r>
        <w:rPr/>
        <w:t>系列产品也投入市场，并获得了不错的市场反响。此外，公司更多挖掘、拓展新市场、新客户，降 低客户集中度。</w:t>
      </w:r>
    </w:p>
    <w:p>
      <w:pPr>
        <w:pStyle w:val="BodyText"/>
        <w:spacing w:line="350" w:lineRule="atLeast" w:before="17"/>
        <w:ind w:left="665" w:right="201"/>
        <w:jc w:val="left"/>
      </w:pPr>
      <w:r>
        <w:rPr>
          <w:rFonts w:ascii="Times New Roman" w:hAnsi="Times New Roman" w:cs="Times New Roman" w:eastAsia="Times New Roman" w:hint="default"/>
        </w:rPr>
        <w:t>2</w:t>
      </w:r>
      <w:r>
        <w:rPr/>
        <w:t>、业务拓展 公司自</w:t>
      </w:r>
      <w:r>
        <w:rPr>
          <w:rFonts w:ascii="Times New Roman" w:hAnsi="Times New Roman" w:cs="Times New Roman" w:eastAsia="Times New Roman" w:hint="default"/>
        </w:rPr>
        <w:t>2015</w:t>
      </w:r>
      <w:r>
        <w:rPr/>
        <w:t>年成立闪电蜂平台，主要用于经营二手机相关业务，</w:t>
      </w:r>
      <w:r>
        <w:rPr>
          <w:rFonts w:ascii="Times New Roman" w:hAnsi="Times New Roman" w:cs="Times New Roman" w:eastAsia="Times New Roman" w:hint="default"/>
        </w:rPr>
        <w:t>2017</w:t>
      </w:r>
      <w:r>
        <w:rPr/>
        <w:t>年，公司在传统二手机回收、销售业务的</w:t>
      </w:r>
    </w:p>
    <w:p>
      <w:pPr>
        <w:pStyle w:val="BodyText"/>
        <w:spacing w:line="232" w:lineRule="exact" w:before="10"/>
        <w:ind w:right="204"/>
        <w:jc w:val="both"/>
      </w:pPr>
      <w:r>
        <w:rPr/>
        <w:t>基础上，通过电子商务平台连接线上和线下手机服务各业务主体，以</w:t>
      </w:r>
      <w:r>
        <w:rPr>
          <w:rFonts w:ascii="Times New Roman" w:hAnsi="Times New Roman" w:cs="Times New Roman" w:eastAsia="Times New Roman" w:hint="default"/>
        </w:rPr>
        <w:t>O2O</w:t>
      </w:r>
      <w:r>
        <w:rPr/>
        <w:t>的模式开展手机保障、二手机回收及销售</w:t>
      </w:r>
      <w:r>
        <w:rPr>
          <w:spacing w:val="-70"/>
        </w:rPr>
        <w:t> </w:t>
      </w:r>
      <w:r>
        <w:rPr>
          <w:spacing w:val="-70"/>
        </w:rPr>
      </w:r>
      <w:r>
        <w:rPr/>
        <w:t>手机维修和认证二手机等业务，并进一步提升维修业务与其他业务之间的协同效应，增加交叉销售机会，实现从以</w:t>
      </w:r>
      <w:r>
        <w:rPr>
          <w:spacing w:val="-79"/>
        </w:rPr>
        <w:t> </w:t>
      </w:r>
      <w:r>
        <w:rPr>
          <w:spacing w:val="-79"/>
        </w:rPr>
      </w:r>
      <w:r>
        <w:rPr/>
        <w:t>传统维修业务为主，向为顾客提供手机使用全周期综合服务的战略升级与转型。通过电商平台进行横向资源整合，</w:t>
      </w:r>
      <w:r>
        <w:rPr>
          <w:spacing w:val="-79"/>
        </w:rPr>
        <w:t> </w:t>
      </w:r>
      <w:r>
        <w:rPr>
          <w:spacing w:val="-79"/>
        </w:rPr>
      </w:r>
      <w:r>
        <w:rPr/>
        <w:t>充分利用多渠道资源，深度满足客户的各类需求，</w:t>
      </w:r>
      <w:r>
        <w:rPr>
          <w:rFonts w:ascii="Times New Roman" w:hAnsi="Times New Roman" w:cs="Times New Roman" w:eastAsia="Times New Roman" w:hint="default"/>
        </w:rPr>
        <w:t>2017</w:t>
      </w:r>
      <w:r>
        <w:rPr/>
        <w:t>年二手机销售收入有所增加并成为京东的合作伙伴。</w:t>
      </w:r>
    </w:p>
    <w:p>
      <w:pPr>
        <w:pStyle w:val="BodyText"/>
        <w:spacing w:line="352" w:lineRule="exact" w:before="27"/>
        <w:ind w:left="665" w:right="201"/>
        <w:jc w:val="left"/>
      </w:pPr>
      <w:r>
        <w:rPr>
          <w:rFonts w:ascii="Times New Roman" w:hAnsi="Times New Roman" w:cs="Times New Roman" w:eastAsia="Times New Roman" w:hint="default"/>
        </w:rPr>
        <w:t>3</w:t>
      </w:r>
      <w:r>
        <w:rPr/>
        <w:t>、管理方面提升 公司在持续改善内部管理控制，一方面公司在</w:t>
      </w:r>
      <w:r>
        <w:rPr>
          <w:rFonts w:ascii="Times New Roman" w:hAnsi="Times New Roman" w:cs="Times New Roman" w:eastAsia="Times New Roman" w:hint="default"/>
        </w:rPr>
        <w:t>2016</w:t>
      </w:r>
      <w:r>
        <w:rPr/>
        <w:t>年聘请了国际知名的咨询公司对公司业务进行梳理并提供了</w:t>
      </w:r>
    </w:p>
    <w:p>
      <w:pPr>
        <w:pStyle w:val="BodyText"/>
        <w:spacing w:line="188" w:lineRule="exact"/>
        <w:ind w:right="0"/>
        <w:jc w:val="both"/>
      </w:pPr>
      <w:r>
        <w:rPr/>
        <w:t>改善方案，公司一直在针对目前现有管理方面的缺陷进行相应的完善，并对现有制度进行了修订和补充，提高管理</w:t>
      </w:r>
    </w:p>
    <w:p>
      <w:pPr>
        <w:pStyle w:val="BodyText"/>
        <w:spacing w:line="232" w:lineRule="exact" w:before="24"/>
        <w:ind w:right="205"/>
        <w:jc w:val="both"/>
      </w:pPr>
      <w:r>
        <w:rPr/>
        <w:t>效率；另一方面公司根据实际经营管理情况增设了部分新流程，新制度，同时加大了监督力度，有效提升了公司的</w:t>
      </w:r>
      <w:r>
        <w:rPr>
          <w:spacing w:val="-79"/>
        </w:rPr>
        <w:t> </w:t>
      </w:r>
      <w:r>
        <w:rPr>
          <w:spacing w:val="-79"/>
        </w:rPr>
      </w:r>
      <w:r>
        <w:rPr/>
        <w:t>内部管理水平。公司按照</w:t>
      </w:r>
      <w:r>
        <w:rPr>
          <w:rFonts w:ascii="Times New Roman" w:hAnsi="Times New Roman" w:cs="Times New Roman" w:eastAsia="Times New Roman" w:hint="default"/>
        </w:rPr>
        <w:t>PDCA</w:t>
      </w:r>
      <w:r>
        <w:rPr/>
        <w:t>管理循环原理持续推行，大幅提高了生产和经营工作效率，有效促进了内部规范化</w:t>
      </w:r>
      <w:r>
        <w:rPr>
          <w:spacing w:val="-26"/>
        </w:rPr>
        <w:t> </w:t>
      </w:r>
      <w:r>
        <w:rPr>
          <w:spacing w:val="-26"/>
        </w:rPr>
      </w:r>
      <w:r>
        <w:rPr/>
        <w:t>管理。</w:t>
      </w:r>
    </w:p>
    <w:p>
      <w:pPr>
        <w:pStyle w:val="BodyText"/>
        <w:spacing w:line="240" w:lineRule="auto" w:before="96"/>
        <w:ind w:left="665" w:right="6141"/>
        <w:jc w:val="left"/>
      </w:pPr>
      <w:r>
        <w:rPr>
          <w:rFonts w:ascii="Times New Roman" w:hAnsi="Times New Roman" w:cs="Times New Roman" w:eastAsia="Times New Roman" w:hint="default"/>
        </w:rPr>
        <w:t>4</w:t>
      </w:r>
      <w:r>
        <w:rPr/>
        <w:t>、人员培训及考核</w:t>
      </w:r>
    </w:p>
    <w:p>
      <w:pPr>
        <w:pStyle w:val="BodyText"/>
        <w:spacing w:line="232" w:lineRule="exact" w:before="130"/>
        <w:ind w:right="204" w:firstLine="359"/>
        <w:jc w:val="both"/>
      </w:pPr>
      <w:r>
        <w:rPr/>
        <w:t>在人员培训和考核方面，</w:t>
      </w:r>
      <w:r>
        <w:rPr>
          <w:spacing w:val="-72"/>
        </w:rPr>
        <w:t> </w:t>
      </w:r>
      <w:r>
        <w:rPr/>
        <w:t>公司在国际知名咨询公司的下持续开展精益运营提升、流程优化项目，在提高服务效</w:t>
      </w:r>
      <w:r>
        <w:rPr/>
        <w:t> 率的同时精简了部分冗余人员。同时加大了对员工的绩效考核和奖励，使员工个人服务效率有所提升，在门店数量</w:t>
      </w:r>
      <w:r>
        <w:rPr>
          <w:spacing w:val="-79"/>
        </w:rPr>
        <w:t> </w:t>
      </w:r>
      <w:r>
        <w:rPr>
          <w:spacing w:val="-79"/>
        </w:rPr>
      </w:r>
      <w:r>
        <w:rPr/>
        <w:t>变动不大的情况下，使年服务人次有所增长。</w:t>
      </w:r>
    </w:p>
    <w:p>
      <w:pPr>
        <w:spacing w:line="240" w:lineRule="auto" w:before="7"/>
        <w:rPr>
          <w:rFonts w:ascii="宋体" w:hAnsi="宋体" w:cs="宋体" w:eastAsia="宋体" w:hint="default"/>
          <w:sz w:val="14"/>
          <w:szCs w:val="14"/>
        </w:rPr>
      </w:pPr>
    </w:p>
    <w:p>
      <w:pPr>
        <w:pStyle w:val="Heading2"/>
        <w:spacing w:line="240" w:lineRule="auto"/>
        <w:ind w:right="0"/>
        <w:jc w:val="both"/>
        <w:rPr>
          <w:b w:val="0"/>
          <w:bCs w:val="0"/>
        </w:rPr>
      </w:pPr>
      <w:r>
        <w:rPr/>
        <w:t>二、主营业务分析</w:t>
      </w:r>
      <w:r>
        <w:rPr>
          <w:b w:val="0"/>
          <w:bCs w:val="0"/>
        </w:rPr>
      </w:r>
    </w:p>
    <w:p>
      <w:pPr>
        <w:pStyle w:val="Heading3"/>
        <w:spacing w:line="240" w:lineRule="auto" w:before="212"/>
        <w:ind w:left="305"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0"/>
        <w:jc w:val="both"/>
      </w:pPr>
      <w:r>
        <w:rPr/>
        <w:t>是否与经营情况讨论与分析中的概述披露相同</w:t>
      </w:r>
    </w:p>
    <w:p>
      <w:pPr>
        <w:pStyle w:val="BodyText"/>
        <w:spacing w:line="264" w:lineRule="auto" w:before="36"/>
        <w:ind w:right="49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2"/>
        <w:rPr>
          <w:rFonts w:ascii="宋体" w:hAnsi="宋体" w:cs="宋体" w:eastAsia="宋体" w:hint="default"/>
          <w:sz w:val="15"/>
          <w:szCs w:val="15"/>
        </w:rPr>
      </w:pPr>
    </w:p>
    <w:p>
      <w:pPr>
        <w:pStyle w:val="Heading3"/>
        <w:spacing w:line="240" w:lineRule="auto"/>
        <w:ind w:left="305"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7"/>
        <w:rPr>
          <w:rFonts w:ascii="Microsoft JhengHei" w:hAnsi="Microsoft JhengHei" w:cs="Microsoft JhengHei" w:eastAsia="Microsoft JhengHei" w:hint="default"/>
          <w:b/>
          <w:bCs/>
          <w:sz w:val="11"/>
          <w:szCs w:val="11"/>
        </w:rPr>
      </w:pPr>
    </w:p>
    <w:p>
      <w:pPr>
        <w:spacing w:before="0"/>
        <w:ind w:left="305"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）营业收入构成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0"/>
        <w:jc w:val="both"/>
      </w:pPr>
      <w:r>
        <w:rPr/>
        <w:t>公司是否需要遵守光伏产业链相关业的披露要求</w:t>
      </w:r>
    </w:p>
    <w:p>
      <w:pPr>
        <w:spacing w:after="0" w:line="240" w:lineRule="auto"/>
        <w:jc w:val="both"/>
        <w:sectPr>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228" w:footer="0" w:top="1100" w:bottom="180" w:left="1680" w:right="220"/>
        </w:sectPr>
      </w:pPr>
    </w:p>
    <w:p>
      <w:pPr>
        <w:pStyle w:val="BodyText"/>
        <w:spacing w:line="278" w:lineRule="auto" w:before="44"/>
        <w:ind w:right="-20"/>
        <w:jc w:val="left"/>
      </w:pPr>
      <w:r>
        <w:rPr/>
        <w:t>否 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单位：元</w:t>
      </w:r>
    </w:p>
    <w:p>
      <w:pPr>
        <w:spacing w:after="0" w:line="240" w:lineRule="auto"/>
        <w:jc w:val="left"/>
        <w:sectPr>
          <w:type w:val="continuous"/>
          <w:pgSz w:w="11910" w:h="16840"/>
          <w:pgMar w:top="1060" w:bottom="1160" w:left="1680" w:right="220"/>
          <w:cols w:num="2" w:equalWidth="0">
            <w:col w:w="1746" w:space="6550"/>
            <w:col w:w="1714"/>
          </w:cols>
        </w:sectPr>
      </w:pPr>
    </w:p>
    <w:p>
      <w:pPr>
        <w:spacing w:line="240" w:lineRule="auto" w:before="3"/>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596"/>
        <w:gridCol w:w="1594"/>
        <w:gridCol w:w="1594"/>
        <w:gridCol w:w="1596"/>
        <w:gridCol w:w="1591"/>
        <w:gridCol w:w="1597"/>
      </w:tblGrid>
      <w:tr>
        <w:trPr>
          <w:trHeight w:val="17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4"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spacing w:val="-1"/>
                <w:sz w:val="18"/>
              </w:rPr>
              <w:t>675,123,540.03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pacing w:val="-1"/>
                <w:sz w:val="18"/>
              </w:rPr>
              <w:t>648,067,280.60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4.17%</w:t>
            </w:r>
          </w:p>
        </w:tc>
      </w:tr>
      <w:tr>
        <w:trPr>
          <w:trHeight w:val="31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pacing w:val="-9"/>
                <w:sz w:val="18"/>
                <w:szCs w:val="18"/>
              </w:rPr>
              <w:t>居民服务、修理及其</w:t>
            </w:r>
            <w:r>
              <w:rPr>
                <w:rFonts w:ascii="宋体" w:hAnsi="宋体" w:cs="宋体" w:eastAsia="宋体" w:hint="default"/>
                <w:sz w:val="18"/>
                <w:szCs w:val="18"/>
              </w:rPr>
              <w:t> 他服务业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673,353,366.98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645,995,536.96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1,770,173.05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2,071,743.64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0.32%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-14.56%</w:t>
            </w:r>
          </w:p>
        </w:tc>
      </w:tr>
      <w:tr>
        <w:trPr>
          <w:trHeight w:val="32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430,936,642.21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63.83%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513,388,257.93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z w:val="18"/>
              </w:rPr>
              <w:t>79.22%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-16.06%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137,356,018.74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20.35%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21,830,837.60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529.18%</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pacing w:val="-9"/>
                <w:sz w:val="18"/>
                <w:szCs w:val="18"/>
              </w:rPr>
              <w:t>商品销售、增值服务</w:t>
            </w:r>
            <w:r>
              <w:rPr>
                <w:rFonts w:ascii="宋体" w:hAnsi="宋体" w:cs="宋体" w:eastAsia="宋体" w:hint="default"/>
                <w:sz w:val="18"/>
                <w:szCs w:val="18"/>
              </w:rPr>
              <w:t> 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105,060,706.03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110,776,441.43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20"/>
              <w:jc w:val="left"/>
              <w:rPr>
                <w:rFonts w:ascii="宋体" w:hAnsi="宋体" w:cs="宋体" w:eastAsia="宋体" w:hint="default"/>
                <w:sz w:val="18"/>
                <w:szCs w:val="18"/>
              </w:rPr>
            </w:pPr>
            <w:r>
              <w:rPr>
                <w:rFonts w:ascii="宋体" w:hAnsi="宋体" w:cs="宋体" w:eastAsia="宋体" w:hint="default"/>
                <w:sz w:val="18"/>
                <w:szCs w:val="18"/>
              </w:rPr>
              <w:t>合作门店管理费收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1,436,401.28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1,789,251.96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-19.72%</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门店转租收入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333,771.77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282,491.68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0.04%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18.15%</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675,123,540.03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648,067,280.60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4.17%</w:t>
            </w:r>
          </w:p>
        </w:tc>
      </w:tr>
    </w:tbl>
    <w:p>
      <w:pPr>
        <w:spacing w:line="240" w:lineRule="auto" w:before="8"/>
        <w:rPr>
          <w:rFonts w:ascii="宋体" w:hAnsi="宋体" w:cs="宋体" w:eastAsia="宋体" w:hint="default"/>
          <w:sz w:val="17"/>
          <w:szCs w:val="17"/>
        </w:rPr>
      </w:pPr>
    </w:p>
    <w:p>
      <w:pPr>
        <w:pStyle w:val="Heading3"/>
        <w:spacing w:line="335" w:lineRule="exact"/>
        <w:ind w:left="305" w:right="675"/>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after="0" w:line="240" w:lineRule="auto"/>
        <w:rPr>
          <w:rFonts w:ascii="Microsoft JhengHei" w:hAnsi="Microsoft JhengHei" w:cs="Microsoft JhengHei" w:eastAsia="Microsoft JhengHei" w:hint="default"/>
          <w:sz w:val="13"/>
          <w:szCs w:val="13"/>
        </w:rPr>
        <w:sectPr>
          <w:type w:val="continuous"/>
          <w:pgSz w:w="11910" w:h="16840"/>
          <w:pgMar w:top="1060" w:bottom="1160" w:left="1680" w:right="220"/>
        </w:sectPr>
      </w:pPr>
    </w:p>
    <w:p>
      <w:pPr>
        <w:pStyle w:val="BodyText"/>
        <w:spacing w:line="271"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1680" w:right="220"/>
          <w:cols w:num="2" w:equalWidth="0">
            <w:col w:w="3366" w:space="4930"/>
            <w:col w:w="1714"/>
          </w:cols>
        </w:sectPr>
      </w:pP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16" w:right="50"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408" w:right="51"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72"/>
              <w:jc w:val="left"/>
              <w:rPr>
                <w:rFonts w:ascii="宋体" w:hAnsi="宋体" w:cs="宋体" w:eastAsia="宋体" w:hint="default"/>
                <w:sz w:val="18"/>
                <w:szCs w:val="18"/>
              </w:rPr>
            </w:pPr>
            <w:r>
              <w:rPr>
                <w:rFonts w:ascii="宋体" w:hAnsi="宋体" w:cs="宋体" w:eastAsia="宋体" w:hint="default"/>
                <w:sz w:val="18"/>
                <w:szCs w:val="18"/>
              </w:rPr>
              <w:t>居民服务、修理 及其他服务业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673,353,366.98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457,465,891.23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28.63%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-12.88%</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1,770,173.05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242,878.80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86.28%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-3.17%</w:t>
            </w:r>
          </w:p>
        </w:tc>
      </w:tr>
      <w:tr>
        <w:trPr>
          <w:trHeight w:val="32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430,936,642.21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284,525,017.10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2.99%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-12.21%</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137,356,018.74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95,075,964.62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529.18%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451.32%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9.78%</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72"/>
              <w:jc w:val="left"/>
              <w:rPr>
                <w:rFonts w:ascii="宋体" w:hAnsi="宋体" w:cs="宋体" w:eastAsia="宋体" w:hint="default"/>
                <w:sz w:val="18"/>
                <w:szCs w:val="18"/>
              </w:rPr>
            </w:pPr>
            <w:r>
              <w:rPr>
                <w:rFonts w:ascii="宋体" w:hAnsi="宋体" w:cs="宋体" w:eastAsia="宋体" w:hint="default"/>
                <w:sz w:val="18"/>
                <w:szCs w:val="18"/>
              </w:rPr>
              <w:t>商品销售、增值 服务及其他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105,060,706.03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77,864,909.51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-18.01%</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72"/>
              <w:jc w:val="left"/>
              <w:rPr>
                <w:rFonts w:ascii="宋体" w:hAnsi="宋体" w:cs="宋体" w:eastAsia="宋体" w:hint="default"/>
                <w:sz w:val="18"/>
                <w:szCs w:val="18"/>
              </w:rPr>
            </w:pPr>
            <w:r>
              <w:rPr>
                <w:rFonts w:ascii="宋体" w:hAnsi="宋体" w:cs="宋体" w:eastAsia="宋体" w:hint="default"/>
                <w:sz w:val="18"/>
                <w:szCs w:val="18"/>
              </w:rPr>
              <w:t>合作门店管理费 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1,436,401.28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68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门店转租收入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333,771.77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242,878.80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4.61%</w:t>
            </w:r>
          </w:p>
        </w:tc>
      </w:tr>
      <w:tr>
        <w:trPr>
          <w:trHeight w:val="32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675,123,540.03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457,708,770.03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28.62%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-12.88%</w:t>
            </w:r>
          </w:p>
        </w:tc>
      </w:tr>
    </w:tbl>
    <w:p>
      <w:pPr>
        <w:pStyle w:val="BodyText"/>
        <w:spacing w:line="240" w:lineRule="auto" w:before="8"/>
        <w:ind w:right="675"/>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24"/>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7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16"/>
          <w:szCs w:val="16"/>
        </w:rPr>
      </w:pPr>
    </w:p>
    <w:p>
      <w:pPr>
        <w:pStyle w:val="Heading3"/>
        <w:spacing w:line="240" w:lineRule="auto"/>
        <w:ind w:left="305" w:right="675"/>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75"/>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BodyText"/>
        <w:spacing w:line="240" w:lineRule="auto" w:before="44"/>
        <w:ind w:right="675"/>
        <w:jc w:val="left"/>
      </w:pPr>
      <w:r>
        <w:rPr/>
        <w:t>产品分类</w:t>
      </w:r>
    </w:p>
    <w:p>
      <w:pPr>
        <w:pStyle w:val="BodyText"/>
        <w:spacing w:line="240" w:lineRule="auto" w:before="38"/>
        <w:ind w:left="0" w:right="683"/>
        <w:jc w:val="right"/>
      </w:pPr>
      <w:r>
        <w:rPr/>
        <w:t>单位：元</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32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3" w:right="72"/>
              <w:jc w:val="left"/>
              <w:rPr>
                <w:rFonts w:ascii="宋体" w:hAnsi="宋体" w:cs="宋体" w:eastAsia="宋体" w:hint="default"/>
                <w:sz w:val="18"/>
                <w:szCs w:val="18"/>
              </w:rPr>
            </w:pPr>
            <w:r>
              <w:rPr>
                <w:rFonts w:ascii="宋体" w:hAnsi="宋体" w:cs="宋体" w:eastAsia="宋体" w:hint="default"/>
                <w:sz w:val="18"/>
                <w:szCs w:val="18"/>
              </w:rPr>
              <w:t>居民服务、修理 及其他服务业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284,525,017.10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276,255,442.73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72"/>
              <w:jc w:val="left"/>
              <w:rPr>
                <w:rFonts w:ascii="宋体" w:hAnsi="宋体" w:cs="宋体" w:eastAsia="宋体" w:hint="default"/>
                <w:sz w:val="18"/>
                <w:szCs w:val="18"/>
              </w:rPr>
            </w:pPr>
            <w:r>
              <w:rPr>
                <w:rFonts w:ascii="宋体" w:hAnsi="宋体" w:cs="宋体" w:eastAsia="宋体" w:hint="default"/>
                <w:sz w:val="18"/>
                <w:szCs w:val="18"/>
              </w:rPr>
              <w:t>居民服务、修理 及其他服务业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95,075,964.62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17,245,040.37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451.32%</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72"/>
              <w:jc w:val="left"/>
              <w:rPr>
                <w:rFonts w:ascii="宋体" w:hAnsi="宋体" w:cs="宋体" w:eastAsia="宋体" w:hint="default"/>
                <w:sz w:val="18"/>
                <w:szCs w:val="18"/>
              </w:rPr>
            </w:pPr>
            <w:r>
              <w:rPr>
                <w:rFonts w:ascii="宋体" w:hAnsi="宋体" w:cs="宋体" w:eastAsia="宋体" w:hint="default"/>
                <w:sz w:val="18"/>
                <w:szCs w:val="18"/>
              </w:rPr>
              <w:t>居民服务、修理 及其他服务业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74"/>
              <w:jc w:val="left"/>
              <w:rPr>
                <w:rFonts w:ascii="宋体" w:hAnsi="宋体" w:cs="宋体" w:eastAsia="宋体" w:hint="default"/>
                <w:sz w:val="18"/>
                <w:szCs w:val="18"/>
              </w:rPr>
            </w:pPr>
            <w:r>
              <w:rPr>
                <w:rFonts w:ascii="宋体" w:hAnsi="宋体" w:cs="宋体" w:eastAsia="宋体" w:hint="default"/>
                <w:sz w:val="18"/>
                <w:szCs w:val="18"/>
              </w:rPr>
              <w:t>商品销售、增值 服务及其他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77,864,909.51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62,155,626.03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25.27%</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74"/>
              <w:jc w:val="left"/>
              <w:rPr>
                <w:rFonts w:ascii="宋体" w:hAnsi="宋体" w:cs="宋体" w:eastAsia="宋体" w:hint="default"/>
                <w:sz w:val="18"/>
                <w:szCs w:val="18"/>
              </w:rPr>
            </w:pPr>
            <w:r>
              <w:rPr>
                <w:rFonts w:ascii="宋体" w:hAnsi="宋体" w:cs="宋体" w:eastAsia="宋体" w:hint="default"/>
                <w:sz w:val="18"/>
                <w:szCs w:val="18"/>
              </w:rPr>
              <w:t>合作门店管理费 收入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门店转租收入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242,878.80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218,590.91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3"/>
                <w:sz w:val="18"/>
              </w:rPr>
              <w:t>11.11%</w:t>
            </w:r>
          </w:p>
        </w:tc>
      </w:tr>
    </w:tbl>
    <w:p>
      <w:pPr>
        <w:pStyle w:val="BodyText"/>
        <w:spacing w:line="240" w:lineRule="auto" w:before="8"/>
        <w:ind w:left="0" w:right="683"/>
        <w:jc w:val="right"/>
      </w:pPr>
      <w:r>
        <w:rPr/>
        <w:t>单位：元</w:t>
      </w:r>
    </w:p>
    <w:p>
      <w:pPr>
        <w:spacing w:line="240" w:lineRule="auto" w:before="11"/>
        <w:rPr>
          <w:rFonts w:ascii="宋体" w:hAnsi="宋体" w:cs="宋体" w:eastAsia="宋体" w:hint="default"/>
          <w:sz w:val="19"/>
          <w:szCs w:val="19"/>
        </w:rPr>
      </w:pPr>
    </w:p>
    <w:p>
      <w:pPr>
        <w:pStyle w:val="Heading3"/>
        <w:spacing w:line="335" w:lineRule="exact"/>
        <w:ind w:left="305" w:right="67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25"/>
        <w:ind w:right="67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年度，本公司注销杭州百华悦邦电子技术有限公司和天津百华悦邦科技有限公司。</w:t>
      </w:r>
    </w:p>
    <w:p>
      <w:pPr>
        <w:spacing w:line="240" w:lineRule="auto" w:before="8"/>
        <w:rPr>
          <w:rFonts w:ascii="宋体" w:hAnsi="宋体" w:cs="宋体" w:eastAsia="宋体" w:hint="default"/>
          <w:sz w:val="16"/>
          <w:szCs w:val="16"/>
        </w:rPr>
      </w:pPr>
    </w:p>
    <w:p>
      <w:pPr>
        <w:pStyle w:val="Heading3"/>
        <w:spacing w:line="240" w:lineRule="auto"/>
        <w:ind w:left="305" w:right="67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228" w:footer="0" w:top="1100" w:bottom="180" w:left="168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335" w:lineRule="exact"/>
        <w:ind w:left="305" w:right="661"/>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t>公司主要销售客户情况</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4246"/>
        <w:gridCol w:w="5325"/>
      </w:tblGrid>
      <w:tr>
        <w:trPr>
          <w:trHeight w:val="322"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198,042,821.88</w:t>
            </w:r>
          </w:p>
        </w:tc>
      </w:tr>
      <w:tr>
        <w:trPr>
          <w:trHeight w:val="324"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29.33%</w:t>
            </w:r>
          </w:p>
        </w:tc>
      </w:tr>
      <w:tr>
        <w:trPr>
          <w:trHeight w:val="557"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7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
        <w:ind w:right="661"/>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5"/>
        <w:rPr>
          <w:rFonts w:ascii="宋体" w:hAnsi="宋体" w:cs="宋体" w:eastAsia="宋体" w:hint="default"/>
          <w:sz w:val="4"/>
          <w:szCs w:val="4"/>
        </w:rPr>
      </w:pPr>
    </w:p>
    <w:tbl>
      <w:tblPr>
        <w:tblW w:w="0" w:type="auto"/>
        <w:jc w:val="left"/>
        <w:tblInd w:w="312" w:type="dxa"/>
        <w:tblLayout w:type="fixed"/>
        <w:tblCellMar>
          <w:top w:w="0" w:type="dxa"/>
          <w:left w:w="0" w:type="dxa"/>
          <w:bottom w:w="0" w:type="dxa"/>
          <w:right w:w="0" w:type="dxa"/>
        </w:tblCellMar>
        <w:tblLook w:val="01E0"/>
      </w:tblPr>
      <w:tblGrid>
        <w:gridCol w:w="779"/>
        <w:gridCol w:w="3314"/>
        <w:gridCol w:w="2321"/>
        <w:gridCol w:w="3145"/>
      </w:tblGrid>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151,180,677.81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22.39%</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14,610,837.91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2.16%</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12,517,888.03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1.85%</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11,089,838.23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1.64%</w:t>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8,643,579.90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1.28%</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198,042,821.88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29.33%</w:t>
            </w:r>
          </w:p>
        </w:tc>
      </w:tr>
    </w:tbl>
    <w:p>
      <w:pPr>
        <w:pStyle w:val="BodyText"/>
        <w:spacing w:line="240" w:lineRule="auto" w:before="8"/>
        <w:ind w:right="661"/>
        <w:jc w:val="left"/>
      </w:pPr>
      <w:r>
        <w:rPr/>
        <w:t>主要客户其他情况说明</w:t>
      </w:r>
    </w:p>
    <w:p>
      <w:pPr>
        <w:pStyle w:val="BodyText"/>
        <w:spacing w:line="264" w:lineRule="auto" w:before="38"/>
        <w:ind w:right="8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0"/>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4246"/>
        <w:gridCol w:w="5325"/>
      </w:tblGrid>
      <w:tr>
        <w:trPr>
          <w:trHeight w:val="324"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274,613,716.19</w:t>
            </w:r>
          </w:p>
        </w:tc>
      </w:tr>
      <w:tr>
        <w:trPr>
          <w:trHeight w:val="32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69.41%</w:t>
            </w:r>
          </w:p>
        </w:tc>
      </w:tr>
      <w:tr>
        <w:trPr>
          <w:trHeight w:val="558"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5"/>
              <w:ind w:left="23" w:right="7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
        <w:ind w:right="661"/>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4"/>
          <w:szCs w:val="4"/>
        </w:rPr>
      </w:pPr>
    </w:p>
    <w:tbl>
      <w:tblPr>
        <w:tblW w:w="0" w:type="auto"/>
        <w:jc w:val="left"/>
        <w:tblInd w:w="312" w:type="dxa"/>
        <w:tblLayout w:type="fixed"/>
        <w:tblCellMar>
          <w:top w:w="0" w:type="dxa"/>
          <w:left w:w="0" w:type="dxa"/>
          <w:bottom w:w="0" w:type="dxa"/>
          <w:right w:w="0" w:type="dxa"/>
        </w:tblCellMar>
        <w:tblLook w:val="01E0"/>
      </w:tblPr>
      <w:tblGrid>
        <w:gridCol w:w="912"/>
        <w:gridCol w:w="3181"/>
        <w:gridCol w:w="2321"/>
        <w:gridCol w:w="3145"/>
      </w:tblGrid>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242,180,803.68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61.22%</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11,234,143.44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2.84%</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9,482,943.20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2.40%</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5,884,645.07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1.49%</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5,831,180.80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1.47%</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7"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274,613,716.19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69.41%</w:t>
            </w:r>
          </w:p>
        </w:tc>
      </w:tr>
    </w:tbl>
    <w:p>
      <w:pPr>
        <w:pStyle w:val="BodyText"/>
        <w:spacing w:line="240" w:lineRule="auto" w:before="8"/>
        <w:ind w:right="661"/>
        <w:jc w:val="left"/>
      </w:pPr>
      <w:r>
        <w:rPr/>
        <w:t>主要供应商其他情况说明</w:t>
      </w:r>
    </w:p>
    <w:p>
      <w:pPr>
        <w:pStyle w:val="BodyText"/>
        <w:spacing w:line="240" w:lineRule="auto" w:before="35"/>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44"/>
        <w:ind w:left="0" w:right="663"/>
        <w:jc w:val="right"/>
      </w:pPr>
      <w:r>
        <w:rPr/>
        <w:t>单位：元</w:t>
      </w:r>
    </w:p>
    <w:p>
      <w:pPr>
        <w:spacing w:line="240" w:lineRule="auto" w:before="3"/>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559" w:right="0"/>
              <w:jc w:val="left"/>
              <w:rPr>
                <w:rFonts w:ascii="Times New Roman" w:hAnsi="Times New Roman" w:cs="Times New Roman" w:eastAsia="Times New Roman" w:hint="default"/>
                <w:sz w:val="18"/>
                <w:szCs w:val="18"/>
              </w:rPr>
            </w:pPr>
            <w:r>
              <w:rPr>
                <w:rFonts w:ascii="Times New Roman"/>
                <w:sz w:val="18"/>
              </w:rPr>
              <w:t>59,052,428.09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71" w:right="0"/>
              <w:jc w:val="left"/>
              <w:rPr>
                <w:rFonts w:ascii="Times New Roman" w:hAnsi="Times New Roman" w:cs="Times New Roman" w:eastAsia="Times New Roman" w:hint="default"/>
                <w:sz w:val="18"/>
                <w:szCs w:val="18"/>
              </w:rPr>
            </w:pPr>
            <w:r>
              <w:rPr>
                <w:rFonts w:ascii="Times New Roman"/>
                <w:sz w:val="18"/>
              </w:rPr>
              <w:t>53,438,533.77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73" w:right="0"/>
              <w:jc w:val="left"/>
              <w:rPr>
                <w:rFonts w:ascii="Times New Roman" w:hAnsi="Times New Roman" w:cs="Times New Roman" w:eastAsia="Times New Roman" w:hint="default"/>
                <w:sz w:val="18"/>
                <w:szCs w:val="18"/>
              </w:rPr>
            </w:pPr>
            <w:r>
              <w:rPr>
                <w:rFonts w:ascii="Times New Roman"/>
                <w:sz w:val="18"/>
              </w:rPr>
              <w:t>10.51%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3" w:space="0" w:color="D2D2D2"/>
              <w:right w:val="single" w:sz="4" w:space="0" w:color="000000"/>
            </w:tcBorders>
          </w:tcPr>
          <w:p>
            <w:pPr>
              <w:pStyle w:val="TableParagraph"/>
              <w:spacing w:line="240" w:lineRule="auto" w:before="144"/>
              <w:ind w:left="467" w:right="0"/>
              <w:jc w:val="left"/>
              <w:rPr>
                <w:rFonts w:ascii="Times New Roman" w:hAnsi="Times New Roman" w:cs="Times New Roman" w:eastAsia="Times New Roman" w:hint="default"/>
                <w:sz w:val="18"/>
                <w:szCs w:val="18"/>
              </w:rPr>
            </w:pPr>
            <w:r>
              <w:rPr>
                <w:rFonts w:ascii="Times New Roman"/>
                <w:sz w:val="18"/>
              </w:rPr>
              <w:t>100,618,526.62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44"/>
              <w:ind w:left="480" w:right="0"/>
              <w:jc w:val="left"/>
              <w:rPr>
                <w:rFonts w:ascii="Times New Roman" w:hAnsi="Times New Roman" w:cs="Times New Roman" w:eastAsia="Times New Roman" w:hint="default"/>
                <w:sz w:val="18"/>
                <w:szCs w:val="18"/>
              </w:rPr>
            </w:pPr>
            <w:r>
              <w:rPr>
                <w:rFonts w:ascii="Times New Roman"/>
                <w:sz w:val="18"/>
              </w:rPr>
              <w:t>153,040,960.60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44"/>
              <w:ind w:left="813" w:right="0"/>
              <w:jc w:val="left"/>
              <w:rPr>
                <w:rFonts w:ascii="Times New Roman" w:hAnsi="Times New Roman" w:cs="Times New Roman" w:eastAsia="Times New Roman" w:hint="default"/>
                <w:sz w:val="18"/>
                <w:szCs w:val="18"/>
              </w:rPr>
            </w:pPr>
            <w:r>
              <w:rPr>
                <w:rFonts w:ascii="Times New Roman"/>
                <w:sz w:val="18"/>
              </w:rPr>
              <w:t>-34.25%</w:t>
            </w:r>
          </w:p>
        </w:tc>
        <w:tc>
          <w:tcPr>
            <w:tcW w:w="2919" w:type="dxa"/>
            <w:vMerge w:val="restart"/>
            <w:tcBorders>
              <w:top w:val="single" w:sz="4" w:space="0" w:color="000000"/>
              <w:left w:val="single" w:sz="4" w:space="0" w:color="000000"/>
              <w:right w:val="single" w:sz="4" w:space="0" w:color="000000"/>
            </w:tcBorders>
          </w:tcPr>
          <w:p>
            <w:pPr>
              <w:pStyle w:val="TableParagraph"/>
              <w:spacing w:line="236" w:lineRule="exact" w:before="2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年出于战略考虑，公司聘请了一</w:t>
            </w:r>
            <w:r>
              <w:rPr>
                <w:rFonts w:ascii="宋体" w:hAnsi="宋体" w:cs="宋体" w:eastAsia="宋体" w:hint="default"/>
                <w:sz w:val="18"/>
                <w:szCs w:val="18"/>
              </w:rPr>
              <w:t> 些知名咨询公司对公司战略及业务</w:t>
            </w:r>
          </w:p>
        </w:tc>
      </w:tr>
      <w:tr>
        <w:trPr>
          <w:trHeight w:val="418"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3"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5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进行相关咨询，</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年未发生类似大</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额咨询服务费用。</w:t>
            </w:r>
          </w:p>
        </w:tc>
      </w:tr>
      <w:tr>
        <w:trPr>
          <w:trHeight w:val="79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2,592,702.47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2,053,957.42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26.23%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年公司的现金收款锐减，营业款</w:t>
            </w:r>
            <w:r>
              <w:rPr>
                <w:rFonts w:ascii="宋体" w:hAnsi="宋体" w:cs="宋体" w:eastAsia="宋体" w:hint="default"/>
                <w:sz w:val="18"/>
                <w:szCs w:val="18"/>
              </w:rPr>
              <w:t> 更多的采用微信和支付宝，</w:t>
            </w:r>
            <w:r>
              <w:rPr>
                <w:rFonts w:ascii="宋体" w:hAnsi="宋体" w:cs="宋体" w:eastAsia="宋体" w:hint="default"/>
                <w:spacing w:val="1"/>
                <w:sz w:val="18"/>
                <w:szCs w:val="18"/>
              </w:rPr>
              <w:t> </w:t>
            </w:r>
            <w:r>
              <w:rPr>
                <w:rFonts w:ascii="宋体" w:hAnsi="宋体" w:cs="宋体" w:eastAsia="宋体" w:hint="default"/>
                <w:sz w:val="18"/>
                <w:szCs w:val="18"/>
              </w:rPr>
              <w:t>因此导</w:t>
            </w:r>
            <w:r>
              <w:rPr>
                <w:rFonts w:ascii="宋体" w:hAnsi="宋体" w:cs="宋体" w:eastAsia="宋体" w:hint="default"/>
                <w:sz w:val="18"/>
                <w:szCs w:val="18"/>
              </w:rPr>
              <w:t> 致手续费增加。</w:t>
            </w:r>
          </w:p>
        </w:tc>
      </w:tr>
      <w:tr>
        <w:trPr>
          <w:trHeight w:val="298"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335" w:lineRule="exact"/>
        <w:ind w:left="305" w:right="66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42"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本年度公司主要利用公司内部的</w:t>
      </w:r>
      <w:r>
        <w:rPr>
          <w:rFonts w:ascii="Times New Roman" w:hAnsi="Times New Roman" w:cs="Times New Roman" w:eastAsia="Times New Roman" w:hint="default"/>
        </w:rPr>
        <w:t>IT</w:t>
      </w:r>
      <w:r>
        <w:rPr/>
        <w:t>人员结合第三方的</w:t>
      </w:r>
      <w:r>
        <w:rPr>
          <w:rFonts w:ascii="Times New Roman" w:hAnsi="Times New Roman" w:cs="Times New Roman" w:eastAsia="Times New Roman" w:hint="default"/>
        </w:rPr>
        <w:t>IT</w:t>
      </w:r>
      <w:r>
        <w:rPr/>
        <w:t>团队共同开发了碎屏保派单</w:t>
      </w:r>
      <w:r>
        <w:rPr>
          <w:rFonts w:ascii="Times New Roman" w:hAnsi="Times New Roman" w:cs="Times New Roman" w:eastAsia="Times New Roman" w:hint="default"/>
        </w:rPr>
        <w:t>WOMS</w:t>
      </w:r>
      <w:r>
        <w:rPr/>
        <w:t>系统，截止到本年度末，</w:t>
      </w:r>
      <w:r>
        <w:rPr>
          <w:spacing w:val="-80"/>
        </w:rPr>
        <w:t> </w:t>
      </w:r>
      <w:r>
        <w:rPr/>
        <w:t>碎屏保派单系统已经完成并转入无形资产进行摊销，此系统的建成为承接各类碎屏保等保险类出险的上门服务提供</w:t>
      </w:r>
      <w:r>
        <w:rPr>
          <w:spacing w:val="-79"/>
        </w:rPr>
        <w:t> </w:t>
      </w:r>
      <w:r>
        <w:rPr>
          <w:spacing w:val="-79"/>
        </w:rPr>
      </w:r>
      <w:r>
        <w:rPr/>
        <w:t>了平台和派单保障。</w:t>
      </w:r>
    </w:p>
    <w:p>
      <w:pPr>
        <w:pStyle w:val="BodyText"/>
        <w:spacing w:line="240" w:lineRule="auto" w:before="34"/>
        <w:ind w:right="661"/>
        <w:jc w:val="left"/>
      </w:pPr>
      <w:r>
        <w:rPr/>
        <w:t>近三年公司研发投入金额及占营业收入的比例</w:t>
      </w:r>
    </w:p>
    <w:p>
      <w:pPr>
        <w:spacing w:line="240" w:lineRule="auto" w:before="5"/>
        <w:rPr>
          <w:rFonts w:ascii="宋体" w:hAnsi="宋体" w:cs="宋体" w:eastAsia="宋体" w:hint="default"/>
          <w:sz w:val="5"/>
          <w:szCs w:val="5"/>
        </w:rPr>
      </w:pPr>
    </w:p>
    <w:tbl>
      <w:tblPr>
        <w:tblW w:w="0" w:type="auto"/>
        <w:jc w:val="left"/>
        <w:tblInd w:w="312" w:type="dxa"/>
        <w:tblLayout w:type="fixed"/>
        <w:tblCellMar>
          <w:top w:w="0" w:type="dxa"/>
          <w:left w:w="0" w:type="dxa"/>
          <w:bottom w:w="0" w:type="dxa"/>
          <w:right w:w="0" w:type="dxa"/>
        </w:tblCellMar>
        <w:tblLook w:val="01E0"/>
      </w:tblPr>
      <w:tblGrid>
        <w:gridCol w:w="2369"/>
        <w:gridCol w:w="2403"/>
        <w:gridCol w:w="2393"/>
        <w:gridCol w:w="2393"/>
      </w:tblGrid>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8,537,358.87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11,259,332.25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3,180,471.46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6,169,751.31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11"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1"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
        <w:ind w:right="661"/>
        <w:jc w:val="left"/>
      </w:pPr>
      <w:r>
        <w:rPr/>
        <w:t>研发投入总额占营业收入的比重较上年发生显著变化的原因</w:t>
      </w:r>
    </w:p>
    <w:p>
      <w:pPr>
        <w:pStyle w:val="BodyText"/>
        <w:spacing w:line="244" w:lineRule="auto" w:before="38"/>
        <w:ind w:right="6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本年度研发投入总额为</w:t>
      </w:r>
      <w:r>
        <w:rPr>
          <w:rFonts w:ascii="Times New Roman" w:hAnsi="Times New Roman" w:cs="Times New Roman" w:eastAsia="Times New Roman" w:hint="default"/>
        </w:rPr>
        <w:t>8,537,358.87</w:t>
      </w:r>
      <w:r>
        <w:rPr/>
        <w:t>元，占营业收入的比重为</w:t>
      </w:r>
      <w:r>
        <w:rPr>
          <w:rFonts w:ascii="Times New Roman" w:hAnsi="Times New Roman" w:cs="Times New Roman" w:eastAsia="Times New Roman" w:hint="default"/>
        </w:rPr>
        <w:t>1.26%</w:t>
      </w:r>
      <w:r>
        <w:rPr/>
        <w:t>，较上年同期上升的原因主要系</w:t>
      </w:r>
      <w:r>
        <w:rPr>
          <w:rFonts w:ascii="Times New Roman" w:hAnsi="Times New Roman" w:cs="Times New Roman" w:eastAsia="Times New Roman" w:hint="default"/>
        </w:rPr>
        <w:t>2016</w:t>
      </w:r>
      <w:r>
        <w:rPr/>
        <w:t>年度是由第</w:t>
      </w:r>
      <w:r>
        <w:rPr>
          <w:spacing w:val="-55"/>
        </w:rPr>
        <w:t> </w:t>
      </w:r>
      <w:r>
        <w:rPr>
          <w:spacing w:val="-55"/>
        </w:rPr>
      </w:r>
      <w:r>
        <w:rPr/>
        <w:t>三方供应商开发的产品外观及实用型设计项目和</w:t>
      </w:r>
      <w:r>
        <w:rPr>
          <w:rFonts w:ascii="Times New Roman" w:hAnsi="Times New Roman" w:cs="Times New Roman" w:eastAsia="Times New Roman" w:hint="default"/>
        </w:rPr>
        <w:t>CRM</w:t>
      </w:r>
      <w:r>
        <w:rPr/>
        <w:t>系统建设项目，</w:t>
      </w:r>
      <w:r>
        <w:rPr>
          <w:spacing w:val="70"/>
        </w:rPr>
        <w:t> </w:t>
      </w:r>
      <w:r>
        <w:rPr/>
        <w:t>本年度没有此类支出，而是由公司</w:t>
      </w:r>
      <w:r>
        <w:rPr>
          <w:rFonts w:ascii="Times New Roman" w:hAnsi="Times New Roman" w:cs="Times New Roman" w:eastAsia="Times New Roman" w:hint="default"/>
        </w:rPr>
        <w:t>IT</w:t>
      </w:r>
      <w:r>
        <w:rPr/>
        <w:t>部人员</w:t>
      </w:r>
    </w:p>
    <w:p>
      <w:pPr>
        <w:pStyle w:val="BodyText"/>
        <w:spacing w:line="225" w:lineRule="auto"/>
        <w:ind w:right="661"/>
        <w:jc w:val="left"/>
      </w:pPr>
      <w:r>
        <w:rPr/>
        <w:t>和第三方</w:t>
      </w:r>
      <w:r>
        <w:rPr>
          <w:rFonts w:ascii="Times New Roman" w:hAnsi="Times New Roman" w:cs="Times New Roman" w:eastAsia="Times New Roman" w:hint="default"/>
        </w:rPr>
        <w:t>IT</w:t>
      </w:r>
      <w:r>
        <w:rPr/>
        <w:t>团队共同开发的</w:t>
      </w:r>
      <w:r>
        <w:rPr>
          <w:rFonts w:ascii="Times New Roman" w:hAnsi="Times New Roman" w:cs="Times New Roman" w:eastAsia="Times New Roman" w:hint="default"/>
        </w:rPr>
        <w:t>WOMS</w:t>
      </w:r>
      <w:r>
        <w:rPr/>
        <w:t>碎屏保派单系统等。 研发投入资本化率下降主要系</w:t>
      </w:r>
      <w:r>
        <w:rPr>
          <w:rFonts w:ascii="Times New Roman" w:hAnsi="Times New Roman" w:cs="Times New Roman" w:eastAsia="Times New Roman" w:hint="default"/>
        </w:rPr>
        <w:t>2016</w:t>
      </w:r>
      <w:r>
        <w:rPr/>
        <w:t>年度外观及实用型设计项目取得了外观专利，全额进行了资本化确认，而本年度</w:t>
      </w:r>
      <w:r>
        <w:rPr>
          <w:spacing w:val="-81"/>
        </w:rPr>
        <w:t> </w:t>
      </w:r>
      <w:r>
        <w:rPr>
          <w:spacing w:val="-81"/>
        </w:rPr>
      </w:r>
      <w:r>
        <w:rPr/>
        <w:t>内部</w:t>
      </w:r>
      <w:r>
        <w:rPr>
          <w:rFonts w:ascii="Times New Roman" w:hAnsi="Times New Roman" w:cs="Times New Roman" w:eastAsia="Times New Roman" w:hint="default"/>
        </w:rPr>
        <w:t>IT</w:t>
      </w:r>
      <w:r>
        <w:rPr/>
        <w:t>开发的项目一部分成本不符合资本化的条件进行了当期费用化处理。</w:t>
      </w:r>
    </w:p>
    <w:p>
      <w:pPr>
        <w:pStyle w:val="BodyText"/>
        <w:spacing w:line="240" w:lineRule="auto" w:before="24"/>
        <w:ind w:right="661"/>
        <w:jc w:val="left"/>
      </w:pPr>
      <w:r>
        <w:rPr/>
        <w:t>研发投入资本化率大幅变动的原因及其合理性说明</w:t>
      </w:r>
    </w:p>
    <w:p>
      <w:pPr>
        <w:pStyle w:val="BodyText"/>
        <w:spacing w:line="266" w:lineRule="auto" w:before="38"/>
        <w:ind w:right="24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本年度资本化研发支出占研发投资入比例下降的原因与研发投入资本化率下降的原因一致。</w:t>
      </w:r>
    </w:p>
    <w:p>
      <w:pPr>
        <w:spacing w:line="240" w:lineRule="auto" w:before="11"/>
        <w:rPr>
          <w:rFonts w:ascii="宋体" w:hAnsi="宋体" w:cs="宋体" w:eastAsia="宋体" w:hint="default"/>
          <w:sz w:val="15"/>
          <w:szCs w:val="15"/>
        </w:rPr>
      </w:pPr>
    </w:p>
    <w:p>
      <w:pPr>
        <w:pStyle w:val="Heading3"/>
        <w:spacing w:line="240" w:lineRule="auto"/>
        <w:ind w:left="305" w:right="66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left="0" w:right="663"/>
        <w:jc w:val="right"/>
      </w:pPr>
      <w:r>
        <w:rPr/>
        <w:t>单位：元</w:t>
      </w:r>
    </w:p>
    <w:p>
      <w:pPr>
        <w:spacing w:line="240" w:lineRule="auto" w:before="5"/>
        <w:rPr>
          <w:rFonts w:ascii="宋体" w:hAnsi="宋体" w:cs="宋体" w:eastAsia="宋体" w:hint="default"/>
          <w:sz w:val="5"/>
          <w:szCs w:val="5"/>
        </w:rPr>
      </w:pPr>
    </w:p>
    <w:tbl>
      <w:tblPr>
        <w:tblW w:w="0" w:type="auto"/>
        <w:jc w:val="left"/>
        <w:tblInd w:w="312" w:type="dxa"/>
        <w:tblLayout w:type="fixed"/>
        <w:tblCellMar>
          <w:top w:w="0" w:type="dxa"/>
          <w:left w:w="0" w:type="dxa"/>
          <w:bottom w:w="0" w:type="dxa"/>
          <w:right w:w="0" w:type="dxa"/>
        </w:tblCellMar>
        <w:tblLook w:val="01E0"/>
      </w:tblPr>
      <w:tblGrid>
        <w:gridCol w:w="2369"/>
        <w:gridCol w:w="2403"/>
        <w:gridCol w:w="2393"/>
        <w:gridCol w:w="2393"/>
      </w:tblGrid>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797,359,874.64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753,825,222.40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5.78%</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751,412,090.70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675,741,907.21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11.20%</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45,947,783.94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78,083,315.19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-41.16%</w:t>
            </w:r>
          </w:p>
        </w:tc>
      </w:tr>
    </w:tbl>
    <w:p>
      <w:pPr>
        <w:spacing w:after="0" w:line="240" w:lineRule="auto"/>
        <w:jc w:val="right"/>
        <w:rPr>
          <w:rFonts w:ascii="Times New Roman" w:hAnsi="Times New Roman" w:cs="Times New Roman" w:eastAsia="Times New Roman" w:hint="default"/>
          <w:sz w:val="18"/>
          <w:szCs w:val="18"/>
        </w:rPr>
        <w:sectPr>
          <w:headerReference w:type="default" r:id="rId24"/>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2381"/>
        <w:gridCol w:w="2403"/>
        <w:gridCol w:w="2393"/>
        <w:gridCol w:w="2393"/>
      </w:tblGrid>
      <w:tr>
        <w:trPr>
          <w:trHeight w:val="32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458,466,531.76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370,359,393.20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23.79%</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383,513,063.11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478,959,988.62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-19.93%</w:t>
            </w: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74,953,468.65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-108,600,595.42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-169.02%</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32,585,200.00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24,438,900.00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33.33%</w:t>
            </w: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3"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-32,585,200.00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-24,438,900.00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33.33%</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88,311,065.62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-54,944,656.93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260.73%</w:t>
            </w:r>
          </w:p>
        </w:tc>
      </w:tr>
    </w:tbl>
    <w:p>
      <w:pPr>
        <w:pStyle w:val="BodyText"/>
        <w:spacing w:line="240" w:lineRule="auto" w:before="8"/>
        <w:ind w:right="661"/>
        <w:jc w:val="left"/>
      </w:pPr>
      <w:r>
        <w:rPr/>
        <w:t>相关数据同比发生重大变动的主要影响因素说明</w:t>
      </w:r>
    </w:p>
    <w:p>
      <w:pPr>
        <w:pStyle w:val="BodyText"/>
        <w:spacing w:line="242" w:lineRule="auto" w:before="35"/>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经营活动产生的现金流量净额的减少主要因为苹果保内维修收入减少，投资活动产生的现金流量净额增加的原因是 </w:t>
      </w:r>
      <w:r>
        <w:rPr>
          <w:rFonts w:ascii="Times New Roman" w:hAnsi="Times New Roman" w:cs="Times New Roman" w:eastAsia="Times New Roman" w:hint="default"/>
        </w:rPr>
        <w:t>2016 </w:t>
      </w:r>
      <w:r>
        <w:rPr/>
        <w:t>年年末，公司做了银行结构性存款及银行理财产品，而</w:t>
      </w:r>
      <w:r>
        <w:rPr>
          <w:spacing w:val="-46"/>
        </w:rPr>
        <w:t> </w:t>
      </w:r>
      <w:r>
        <w:rPr>
          <w:rFonts w:ascii="Times New Roman" w:hAnsi="Times New Roman" w:cs="Times New Roman" w:eastAsia="Times New Roman" w:hint="default"/>
        </w:rPr>
        <w:t>2017 </w:t>
      </w:r>
      <w:r>
        <w:rPr/>
        <w:t>年末时，已经全部赎回了银行结构性存款及理财 产品。现金及现金等价物净增加额的增加原因和投资活动产生的现金流量净额增加一致。</w:t>
      </w:r>
    </w:p>
    <w:p>
      <w:pPr>
        <w:pStyle w:val="BodyText"/>
        <w:spacing w:line="240" w:lineRule="auto" w:before="36"/>
        <w:ind w:right="661"/>
        <w:jc w:val="left"/>
      </w:pPr>
      <w:r>
        <w:rPr/>
        <w:t>报告期内公司经营活动产生的现金净流量与本年度净利润存在重大差异的原因说明</w:t>
      </w:r>
    </w:p>
    <w:p>
      <w:pPr>
        <w:pStyle w:val="BodyText"/>
        <w:spacing w:line="240" w:lineRule="auto" w:before="38"/>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三、非主营业务情况</w:t>
      </w:r>
      <w:r>
        <w:rPr>
          <w:b w:val="0"/>
          <w:bCs w:val="0"/>
        </w:rPr>
      </w:r>
    </w:p>
    <w:p>
      <w:pPr>
        <w:spacing w:line="240" w:lineRule="auto" w:before="8"/>
        <w:rPr>
          <w:rFonts w:ascii="Microsoft JhengHei" w:hAnsi="Microsoft JhengHei" w:cs="Microsoft JhengHei" w:eastAsia="Microsoft JhengHei" w:hint="default"/>
          <w:b/>
          <w:bCs/>
          <w:sz w:val="13"/>
          <w:szCs w:val="13"/>
        </w:rPr>
      </w:pPr>
    </w:p>
    <w:p>
      <w:pPr>
        <w:pStyle w:val="BodyText"/>
        <w:spacing w:line="240" w:lineRule="auto" w:before="44"/>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4"/>
        <w:ind w:left="0" w:right="663"/>
        <w:jc w:val="right"/>
      </w:pPr>
      <w:r>
        <w:rPr/>
        <w:t>单位：元</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524"/>
        <w:gridCol w:w="1916"/>
        <w:gridCol w:w="1623"/>
        <w:gridCol w:w="2168"/>
        <w:gridCol w:w="2340"/>
      </w:tblGrid>
      <w:tr>
        <w:trPr>
          <w:trHeight w:val="32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4"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2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2,022,390.08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3.74%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投资短期银行理财产品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0"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3,976.97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0.01%</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22"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3,888,903.67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w:t>
            </w:r>
          </w:p>
        </w:tc>
        <w:tc>
          <w:tcPr>
            <w:tcW w:w="2168" w:type="dxa"/>
            <w:vMerge w:val="restart"/>
            <w:tcBorders>
              <w:top w:val="single" w:sz="4" w:space="0" w:color="000000"/>
              <w:left w:val="single" w:sz="4" w:space="0" w:color="000000"/>
              <w:right w:val="single" w:sz="4" w:space="0" w:color="000000"/>
            </w:tcBorders>
          </w:tcPr>
          <w:p>
            <w:pPr>
              <w:pStyle w:val="TableParagraph"/>
              <w:spacing w:line="232" w:lineRule="exact" w:before="32"/>
              <w:ind w:left="24" w:right="22"/>
              <w:jc w:val="left"/>
              <w:rPr>
                <w:rFonts w:ascii="宋体" w:hAnsi="宋体" w:cs="宋体" w:eastAsia="宋体" w:hint="default"/>
                <w:sz w:val="18"/>
                <w:szCs w:val="18"/>
              </w:rPr>
            </w:pPr>
            <w:r>
              <w:rPr>
                <w:rFonts w:ascii="宋体" w:hAnsi="宋体" w:cs="宋体" w:eastAsia="宋体" w:hint="default"/>
                <w:spacing w:val="-5"/>
                <w:sz w:val="18"/>
                <w:szCs w:val="18"/>
              </w:rPr>
              <w:t>来源于产业扶持金、罚没利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得及其他收入</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34"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2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1,318,515.38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2.44%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门店关店的损失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 失</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12,783.71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17"/>
          <w:szCs w:val="17"/>
        </w:rPr>
      </w:pPr>
    </w:p>
    <w:p>
      <w:pPr>
        <w:pStyle w:val="Heading2"/>
        <w:spacing w:line="367" w:lineRule="exact"/>
        <w:ind w:right="661"/>
        <w:jc w:val="left"/>
        <w:rPr>
          <w:b w:val="0"/>
          <w:bCs w:val="0"/>
        </w:rPr>
      </w:pPr>
      <w:r>
        <w:rPr/>
        <w:t>四、资产及负债状况</w:t>
      </w:r>
      <w:r>
        <w:rPr>
          <w:b w:val="0"/>
          <w:bCs w:val="0"/>
        </w:rPr>
      </w:r>
    </w:p>
    <w:p>
      <w:pPr>
        <w:pStyle w:val="Heading3"/>
        <w:spacing w:line="240" w:lineRule="auto" w:before="210"/>
        <w:ind w:left="305" w:right="661"/>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44"/>
        <w:ind w:left="0" w:right="663"/>
        <w:jc w:val="right"/>
      </w:pPr>
      <w:r>
        <w:rPr/>
        <w:t>单位：元</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356"/>
        <w:gridCol w:w="1177"/>
        <w:gridCol w:w="1051"/>
        <w:gridCol w:w="1208"/>
        <w:gridCol w:w="1051"/>
        <w:gridCol w:w="809"/>
        <w:gridCol w:w="2919"/>
      </w:tblGrid>
      <w:tr>
        <w:trPr>
          <w:trHeight w:val="30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5"/>
              <w:ind w:left="436" w:right="6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5"/>
              <w:ind w:left="436" w:right="62"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26" w:lineRule="exact"/>
              <w:ind w:left="4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26" w:lineRule="exact"/>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44"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90"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7" w:type="dxa"/>
            <w:vMerge w:val="restart"/>
            <w:tcBorders>
              <w:top w:val="single" w:sz="47" w:space="0" w:color="D2D2D2"/>
              <w:left w:val="single" w:sz="13" w:space="0" w:color="D2D2D2"/>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94,775,987.61</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44"/>
              <w:ind w:left="477" w:right="0"/>
              <w:jc w:val="left"/>
              <w:rPr>
                <w:rFonts w:ascii="Times New Roman" w:hAnsi="Times New Roman" w:cs="Times New Roman" w:eastAsia="Times New Roman" w:hint="default"/>
                <w:sz w:val="18"/>
                <w:szCs w:val="18"/>
              </w:rPr>
            </w:pPr>
            <w:r>
              <w:rPr>
                <w:rFonts w:ascii="Times New Roman"/>
                <w:sz w:val="18"/>
              </w:rPr>
              <w:t>34.53%</w:t>
            </w:r>
          </w:p>
        </w:tc>
        <w:tc>
          <w:tcPr>
            <w:tcW w:w="1208" w:type="dxa"/>
            <w:vMerge w:val="restart"/>
            <w:tcBorders>
              <w:top w:val="single" w:sz="47" w:space="0" w:color="D2D2D2"/>
              <w:left w:val="single" w:sz="4" w:space="0" w:color="000000"/>
              <w:right w:val="single" w:sz="4" w:space="0" w:color="000000"/>
            </w:tcBorders>
          </w:tcPr>
          <w:p>
            <w:pPr>
              <w:pStyle w:val="TableParagraph"/>
              <w:spacing w:line="240" w:lineRule="auto" w:before="90"/>
              <w:ind w:left="230" w:right="0"/>
              <w:jc w:val="left"/>
              <w:rPr>
                <w:rFonts w:ascii="Times New Roman" w:hAnsi="Times New Roman" w:cs="Times New Roman" w:eastAsia="Times New Roman" w:hint="default"/>
                <w:sz w:val="18"/>
                <w:szCs w:val="18"/>
              </w:rPr>
            </w:pPr>
            <w:r>
              <w:rPr>
                <w:rFonts w:ascii="Times New Roman"/>
                <w:sz w:val="18"/>
              </w:rPr>
              <w:t>6,944,921.99</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44"/>
              <w:ind w:left="566" w:right="0"/>
              <w:jc w:val="left"/>
              <w:rPr>
                <w:rFonts w:ascii="Times New Roman" w:hAnsi="Times New Roman" w:cs="Times New Roman" w:eastAsia="Times New Roman" w:hint="default"/>
                <w:sz w:val="18"/>
                <w:szCs w:val="18"/>
              </w:rPr>
            </w:pPr>
            <w:r>
              <w:rPr>
                <w:rFonts w:ascii="Times New Roman"/>
                <w:sz w:val="18"/>
              </w:rPr>
              <w:t>2.47%</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44"/>
              <w:ind w:left="220" w:right="0"/>
              <w:jc w:val="left"/>
              <w:rPr>
                <w:rFonts w:ascii="Times New Roman" w:hAnsi="Times New Roman" w:cs="Times New Roman" w:eastAsia="Times New Roman" w:hint="default"/>
                <w:sz w:val="18"/>
                <w:szCs w:val="18"/>
              </w:rPr>
            </w:pPr>
            <w:r>
              <w:rPr>
                <w:rFonts w:ascii="Times New Roman"/>
                <w:sz w:val="18"/>
              </w:rPr>
              <w:t>32.06%</w:t>
            </w:r>
          </w:p>
        </w:tc>
        <w:tc>
          <w:tcPr>
            <w:tcW w:w="2919" w:type="dxa"/>
            <w:vMerge w:val="restart"/>
            <w:tcBorders>
              <w:top w:val="single" w:sz="4" w:space="0" w:color="000000"/>
              <w:left w:val="single" w:sz="4" w:space="0" w:color="000000"/>
              <w:right w:val="single" w:sz="4" w:space="0" w:color="000000"/>
            </w:tcBorders>
          </w:tcPr>
          <w:p>
            <w:pPr>
              <w:pStyle w:val="TableParagraph"/>
              <w:spacing w:line="236" w:lineRule="exact" w:before="2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年末，公司购买的银行理财及结</w:t>
            </w:r>
            <w:r>
              <w:rPr>
                <w:rFonts w:ascii="宋体" w:hAnsi="宋体" w:cs="宋体" w:eastAsia="宋体" w:hint="default"/>
                <w:sz w:val="18"/>
                <w:szCs w:val="18"/>
              </w:rPr>
              <w:t> </w:t>
            </w:r>
            <w:r>
              <w:rPr>
                <w:rFonts w:ascii="宋体" w:hAnsi="宋体" w:cs="宋体" w:eastAsia="宋体" w:hint="default"/>
                <w:spacing w:val="-2"/>
                <w:sz w:val="18"/>
                <w:szCs w:val="18"/>
              </w:rPr>
              <w:t>构性存款到期返还至公司账户，导致</w:t>
            </w:r>
          </w:p>
        </w:tc>
      </w:tr>
      <w:tr>
        <w:trPr>
          <w:trHeight w:val="418"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7" w:type="dxa"/>
            <w:vMerge/>
            <w:tcBorders>
              <w:left w:val="single" w:sz="13" w:space="0" w:color="D2D2D2"/>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货币资金大幅增加。</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42,966,401.24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15.65%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center"/>
              <w:rPr>
                <w:rFonts w:ascii="Times New Roman" w:hAnsi="Times New Roman" w:cs="Times New Roman" w:eastAsia="Times New Roman" w:hint="default"/>
                <w:sz w:val="18"/>
                <w:szCs w:val="18"/>
              </w:rPr>
            </w:pPr>
            <w:r>
              <w:rPr>
                <w:rFonts w:ascii="Times New Roman"/>
                <w:sz w:val="18"/>
              </w:rPr>
              <w:t>64,059,895.62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22.74%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-7.09%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12,206,280.17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center"/>
              <w:rPr>
                <w:rFonts w:ascii="Times New Roman" w:hAnsi="Times New Roman" w:cs="Times New Roman" w:eastAsia="Times New Roman" w:hint="default"/>
                <w:sz w:val="18"/>
                <w:szCs w:val="18"/>
              </w:rPr>
            </w:pPr>
            <w:r>
              <w:rPr>
                <w:rFonts w:ascii="Times New Roman"/>
                <w:sz w:val="18"/>
              </w:rPr>
              <w:t>6,891,117.40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2.00%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6,678,862.52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center"/>
              <w:rPr>
                <w:rFonts w:ascii="Times New Roman" w:hAnsi="Times New Roman" w:cs="Times New Roman" w:eastAsia="Times New Roman" w:hint="default"/>
                <w:sz w:val="18"/>
                <w:szCs w:val="18"/>
              </w:rPr>
            </w:pPr>
            <w:r>
              <w:rPr>
                <w:rFonts w:ascii="Times New Roman"/>
                <w:sz w:val="18"/>
              </w:rPr>
              <w:t>6,892,983.53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26,716,708.33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7" w:right="0"/>
              <w:jc w:val="center"/>
              <w:rPr>
                <w:rFonts w:ascii="Times New Roman" w:hAnsi="Times New Roman" w:cs="Times New Roman" w:eastAsia="Times New Roman" w:hint="default"/>
                <w:sz w:val="18"/>
                <w:szCs w:val="18"/>
              </w:rPr>
            </w:pPr>
            <w:r>
              <w:rPr>
                <w:rFonts w:ascii="Times New Roman"/>
                <w:sz w:val="18"/>
              </w:rPr>
              <w:t>63,175,062.01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22.43%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-12.70%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年购买的银行理财到期赎回。</w:t>
            </w:r>
          </w:p>
        </w:tc>
      </w:tr>
      <w:tr>
        <w:trPr>
          <w:trHeight w:val="10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期损益的金融资 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7" w:right="0"/>
              <w:jc w:val="center"/>
              <w:rPr>
                <w:rFonts w:ascii="Times New Roman" w:hAnsi="Times New Roman" w:cs="Times New Roman" w:eastAsia="Times New Roman" w:hint="default"/>
                <w:sz w:val="18"/>
                <w:szCs w:val="18"/>
              </w:rPr>
            </w:pPr>
            <w:r>
              <w:rPr>
                <w:rFonts w:ascii="Times New Roman"/>
                <w:sz w:val="18"/>
              </w:rPr>
              <w:t>50,000,000.00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z w:val="18"/>
              </w:rPr>
              <w:t>17.75%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z w:val="18"/>
              </w:rPr>
              <w:t>-17.75%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年末，公司购买的结构性存款到</w:t>
            </w:r>
            <w:r>
              <w:rPr>
                <w:rFonts w:ascii="宋体" w:hAnsi="宋体" w:cs="宋体" w:eastAsia="宋体" w:hint="default"/>
                <w:sz w:val="18"/>
                <w:szCs w:val="18"/>
              </w:rPr>
              <w:t> </w:t>
            </w:r>
            <w:r>
              <w:rPr>
                <w:rFonts w:ascii="宋体" w:hAnsi="宋体" w:cs="宋体" w:eastAsia="宋体" w:hint="default"/>
                <w:spacing w:val="-2"/>
                <w:sz w:val="18"/>
                <w:szCs w:val="18"/>
              </w:rPr>
              <w:t>期赎回，导致以公允价值计量且其变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动计入当期损益的金融资产大幅减 少。</w:t>
            </w:r>
          </w:p>
        </w:tc>
      </w:tr>
    </w:tbl>
    <w:p>
      <w:pPr>
        <w:spacing w:line="240" w:lineRule="auto" w:before="7"/>
        <w:rPr>
          <w:rFonts w:ascii="宋体" w:hAnsi="宋体" w:cs="宋体" w:eastAsia="宋体" w:hint="default"/>
          <w:sz w:val="17"/>
          <w:szCs w:val="17"/>
        </w:rPr>
      </w:pPr>
    </w:p>
    <w:p>
      <w:pPr>
        <w:pStyle w:val="Heading3"/>
        <w:spacing w:line="335" w:lineRule="exact"/>
        <w:ind w:left="305" w:right="661"/>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44"/>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4"/>
        <w:ind w:left="0" w:right="663"/>
        <w:jc w:val="right"/>
      </w:pPr>
      <w:r>
        <w:rPr/>
        <w:t>单位：元</w:t>
      </w:r>
    </w:p>
    <w:p>
      <w:pPr>
        <w:spacing w:line="240" w:lineRule="auto" w:before="5"/>
        <w:rPr>
          <w:rFonts w:ascii="宋体" w:hAnsi="宋体" w:cs="宋体" w:eastAsia="宋体" w:hint="default"/>
          <w:sz w:val="5"/>
          <w:szCs w:val="5"/>
        </w:rPr>
      </w:pPr>
    </w:p>
    <w:tbl>
      <w:tblPr>
        <w:tblW w:w="0" w:type="auto"/>
        <w:jc w:val="left"/>
        <w:tblInd w:w="312" w:type="dxa"/>
        <w:tblLayout w:type="fixed"/>
        <w:tblCellMar>
          <w:top w:w="0" w:type="dxa"/>
          <w:left w:w="0" w:type="dxa"/>
          <w:bottom w:w="0" w:type="dxa"/>
          <w:right w:w="0" w:type="dxa"/>
        </w:tblCellMar>
        <w:tblLook w:val="01E0"/>
      </w:tblPr>
      <w:tblGrid>
        <w:gridCol w:w="1474"/>
        <w:gridCol w:w="1161"/>
        <w:gridCol w:w="1149"/>
        <w:gridCol w:w="1154"/>
        <w:gridCol w:w="1148"/>
        <w:gridCol w:w="1161"/>
        <w:gridCol w:w="1154"/>
        <w:gridCol w:w="1152"/>
      </w:tblGrid>
      <w:tr>
        <w:trPr>
          <w:trHeight w:val="122" w:hRule="exact"/>
        </w:trPr>
        <w:tc>
          <w:tcPr>
            <w:tcW w:w="1474" w:type="dxa"/>
            <w:vMerge w:val="restart"/>
            <w:tcBorders>
              <w:top w:val="single" w:sz="4" w:space="0" w:color="000000"/>
              <w:left w:val="single" w:sz="4" w:space="0" w:color="000000"/>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30" w:right="3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r>
      <w:tr>
        <w:trPr>
          <w:trHeight w:val="118" w:hRule="exact"/>
        </w:trPr>
        <w:tc>
          <w:tcPr>
            <w:tcW w:w="1474" w:type="dxa"/>
            <w:vMerge/>
            <w:tcBorders>
              <w:left w:val="single" w:sz="4" w:space="0" w:color="000000"/>
              <w:bottom w:val="nil" w:sz="6" w:space="0" w:color="auto"/>
              <w:right w:val="single" w:sz="4" w:space="0" w:color="000000"/>
            </w:tcBorders>
            <w:shd w:val="clear" w:color="auto" w:fill="D2D2D2"/>
          </w:tcPr>
          <w:p>
            <w:pPr/>
          </w:p>
        </w:tc>
        <w:tc>
          <w:tcPr>
            <w:tcW w:w="1161"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before="31"/>
              <w:ind w:left="205" w:right="3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before="31"/>
              <w:ind w:left="482" w:right="25"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14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9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10" w:hRule="exact"/>
        </w:trPr>
        <w:tc>
          <w:tcPr>
            <w:tcW w:w="14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9"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2" w:hRule="exact"/>
        </w:trPr>
        <w:tc>
          <w:tcPr>
            <w:tcW w:w="955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258"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12"/>
              <w:ind w:left="1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50,000,000.00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888,369.86</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40,000,000.00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90,888,369.86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61" w:type="dxa"/>
            <w:tcBorders>
              <w:top w:val="single" w:sz="4" w:space="0" w:color="000000"/>
              <w:left w:val="single" w:sz="12" w:space="0" w:color="D2D2D2"/>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1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44,277,562.00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1,134,020.22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2"/>
              <w:jc w:val="right"/>
              <w:rPr>
                <w:rFonts w:ascii="Times New Roman" w:hAnsi="Times New Roman" w:cs="Times New Roman" w:eastAsia="Times New Roman" w:hint="default"/>
                <w:sz w:val="18"/>
                <w:szCs w:val="18"/>
              </w:rPr>
            </w:pPr>
            <w:r>
              <w:rPr>
                <w:rFonts w:ascii="Times New Roman"/>
                <w:spacing w:val="-1"/>
                <w:sz w:val="18"/>
              </w:rPr>
              <w:t>321,924,880.2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367,336,462.4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96" w:hRule="exact"/>
        </w:trPr>
        <w:tc>
          <w:tcPr>
            <w:tcW w:w="14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12" w:space="0" w:color="D2D2D2"/>
              <w:right w:val="single" w:sz="4" w:space="0" w:color="000000"/>
            </w:tcBorders>
          </w:tcPr>
          <w:p>
            <w:pPr>
              <w:pStyle w:val="TableParagraph"/>
              <w:spacing w:line="240" w:lineRule="auto" w:before="136"/>
              <w:ind w:left="77" w:right="0"/>
              <w:jc w:val="left"/>
              <w:rPr>
                <w:rFonts w:ascii="Times New Roman" w:hAnsi="Times New Roman" w:cs="Times New Roman" w:eastAsia="Times New Roman" w:hint="default"/>
                <w:sz w:val="18"/>
                <w:szCs w:val="18"/>
              </w:rPr>
            </w:pPr>
            <w:r>
              <w:rPr>
                <w:rFonts w:ascii="Times New Roman"/>
                <w:sz w:val="18"/>
              </w:rPr>
              <w:t>94,277,562.00</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136"/>
              <w:ind w:left="169" w:right="0"/>
              <w:jc w:val="left"/>
              <w:rPr>
                <w:rFonts w:ascii="Times New Roman" w:hAnsi="Times New Roman" w:cs="Times New Roman" w:eastAsia="Times New Roman" w:hint="default"/>
                <w:sz w:val="18"/>
                <w:szCs w:val="18"/>
              </w:rPr>
            </w:pPr>
            <w:r>
              <w:rPr>
                <w:rFonts w:ascii="Times New Roman"/>
                <w:sz w:val="18"/>
              </w:rPr>
              <w:t>2,022,390.08</w:t>
            </w:r>
          </w:p>
        </w:tc>
        <w:tc>
          <w:tcPr>
            <w:tcW w:w="1154" w:type="dxa"/>
            <w:vMerge w:val="restart"/>
            <w:tcBorders>
              <w:top w:val="single" w:sz="4" w:space="0" w:color="000000"/>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
        </w:tc>
        <w:tc>
          <w:tcPr>
            <w:tcW w:w="1161" w:type="dxa"/>
            <w:vMerge w:val="restart"/>
            <w:tcBorders>
              <w:top w:val="single" w:sz="4" w:space="0" w:color="000000"/>
              <w:left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361,924,880.2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154"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458,224,832.2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14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61" w:type="dxa"/>
            <w:vMerge/>
            <w:tcBorders>
              <w:left w:val="single" w:sz="12" w:space="0" w:color="D2D2D2"/>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161"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1" w:type="dxa"/>
            <w:tcBorders>
              <w:top w:val="single" w:sz="4" w:space="0" w:color="000000"/>
              <w:left w:val="single" w:sz="12" w:space="0" w:color="D2D2D2"/>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61" w:type="dxa"/>
            <w:tcBorders>
              <w:top w:val="single" w:sz="4" w:space="0" w:color="000000"/>
              <w:left w:val="single" w:sz="12" w:space="0" w:color="D2D2D2"/>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1" w:type="dxa"/>
            <w:tcBorders>
              <w:top w:val="single" w:sz="4" w:space="0" w:color="000000"/>
              <w:left w:val="single" w:sz="12" w:space="0" w:color="D2D2D2"/>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474"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6"/>
              <w:jc w:val="right"/>
              <w:rPr>
                <w:rFonts w:ascii="Times New Roman" w:hAnsi="Times New Roman" w:cs="Times New Roman" w:eastAsia="Times New Roman" w:hint="default"/>
                <w:sz w:val="18"/>
                <w:szCs w:val="18"/>
              </w:rPr>
            </w:pPr>
            <w:r>
              <w:rPr>
                <w:rFonts w:ascii="Times New Roman"/>
                <w:spacing w:val="-1"/>
                <w:sz w:val="18"/>
              </w:rPr>
              <w:t>94,277,562.00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2,022,390.08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361,924,880.2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458,224,832.2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8"/>
        <w:ind w:right="661"/>
        <w:jc w:val="left"/>
      </w:pPr>
      <w:r>
        <w:rPr/>
        <w:t>报告期内公司主要资产计量属性是否发生重大变化</w:t>
      </w:r>
    </w:p>
    <w:p>
      <w:pPr>
        <w:pStyle w:val="BodyText"/>
        <w:spacing w:line="240" w:lineRule="auto" w:before="35"/>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335" w:lineRule="exact"/>
        <w:ind w:left="305" w:right="661"/>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Microsoft JhengHei" w:hAnsi="Microsoft JhengHei" w:cs="Microsoft JhengHei" w:eastAsia="Microsoft JhengHei" w:hint="default"/>
          <w:b/>
          <w:bCs/>
          <w:sz w:val="16"/>
          <w:szCs w:val="16"/>
        </w:rPr>
      </w:pPr>
    </w:p>
    <w:p>
      <w:pPr>
        <w:pStyle w:val="BodyText"/>
        <w:spacing w:line="240" w:lineRule="auto"/>
        <w:ind w:right="661"/>
        <w:jc w:val="left"/>
      </w:pPr>
      <w:r>
        <w:rPr/>
        <w:t>不适用</w:t>
      </w:r>
    </w:p>
    <w:p>
      <w:pPr>
        <w:spacing w:line="240" w:lineRule="auto" w:before="1"/>
        <w:rPr>
          <w:rFonts w:ascii="宋体" w:hAnsi="宋体" w:cs="宋体" w:eastAsia="宋体" w:hint="default"/>
          <w:sz w:val="16"/>
          <w:szCs w:val="16"/>
        </w:rPr>
      </w:pPr>
    </w:p>
    <w:p>
      <w:pPr>
        <w:pStyle w:val="Heading2"/>
        <w:spacing w:line="240" w:lineRule="auto"/>
        <w:ind w:right="661"/>
        <w:jc w:val="left"/>
        <w:rPr>
          <w:b w:val="0"/>
          <w:bCs w:val="0"/>
        </w:rPr>
      </w:pPr>
      <w:r>
        <w:rPr/>
        <w:t>五、投资状况分析</w:t>
      </w:r>
      <w:r>
        <w:rPr>
          <w:b w:val="0"/>
          <w:bCs w:val="0"/>
        </w:rPr>
      </w:r>
    </w:p>
    <w:p>
      <w:pPr>
        <w:pStyle w:val="Heading3"/>
        <w:spacing w:line="240" w:lineRule="auto" w:before="210"/>
        <w:ind w:left="305" w:right="661"/>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44"/>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4"/>
        <w:ind w:left="0" w:right="663"/>
        <w:jc w:val="right"/>
      </w:pPr>
      <w:r>
        <w:rPr/>
        <w:t>单位：元</w:t>
      </w:r>
    </w:p>
    <w:p>
      <w:pPr>
        <w:spacing w:line="240" w:lineRule="auto" w:before="6"/>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387"/>
        <w:gridCol w:w="896"/>
        <w:gridCol w:w="1090"/>
        <w:gridCol w:w="1179"/>
        <w:gridCol w:w="1193"/>
        <w:gridCol w:w="958"/>
        <w:gridCol w:w="956"/>
        <w:gridCol w:w="955"/>
        <w:gridCol w:w="958"/>
      </w:tblGrid>
      <w:tr>
        <w:trPr>
          <w:trHeight w:val="790"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48"/>
              <w:ind w:left="263" w:right="80"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48"/>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43"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48"/>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48"/>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48"/>
              <w:ind w:left="382" w:right="22"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50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888,369.86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5" w:right="0"/>
              <w:jc w:val="center"/>
              <w:rPr>
                <w:rFonts w:ascii="Times New Roman" w:hAnsi="Times New Roman" w:cs="Times New Roman" w:eastAsia="Times New Roman" w:hint="default"/>
                <w:sz w:val="18"/>
                <w:szCs w:val="18"/>
              </w:rPr>
            </w:pPr>
            <w:r>
              <w:rPr>
                <w:rFonts w:ascii="Times New Roman"/>
                <w:sz w:val="18"/>
              </w:rPr>
              <w:t>40,000,000.00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90,888,369.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7" w:right="0"/>
              <w:jc w:val="center"/>
              <w:rPr>
                <w:rFonts w:ascii="Times New Roman" w:hAnsi="Times New Roman" w:cs="Times New Roman" w:eastAsia="Times New Roman" w:hint="default"/>
                <w:sz w:val="18"/>
                <w:szCs w:val="18"/>
              </w:rPr>
            </w:pPr>
            <w:r>
              <w:rPr>
                <w:rFonts w:ascii="Times New Roman"/>
                <w:sz w:val="18"/>
              </w:rPr>
              <w:t>888,369.86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04"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888,369.86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5" w:right="0"/>
              <w:jc w:val="center"/>
              <w:rPr>
                <w:rFonts w:ascii="Times New Roman" w:hAnsi="Times New Roman" w:cs="Times New Roman" w:eastAsia="Times New Roman" w:hint="default"/>
                <w:sz w:val="18"/>
                <w:szCs w:val="18"/>
              </w:rPr>
            </w:pPr>
            <w:r>
              <w:rPr>
                <w:rFonts w:ascii="Times New Roman"/>
                <w:sz w:val="18"/>
              </w:rPr>
              <w:t>40,000,000.00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90,888,369.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7" w:right="0"/>
              <w:jc w:val="center"/>
              <w:rPr>
                <w:rFonts w:ascii="Times New Roman" w:hAnsi="Times New Roman" w:cs="Times New Roman" w:eastAsia="Times New Roman" w:hint="default"/>
                <w:sz w:val="18"/>
                <w:szCs w:val="18"/>
              </w:rPr>
            </w:pPr>
            <w:r>
              <w:rPr>
                <w:rFonts w:ascii="Times New Roman"/>
                <w:sz w:val="18"/>
              </w:rPr>
              <w:t>888,369.86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335" w:lineRule="exact"/>
        <w:ind w:left="305" w:right="66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六、重大资产和股权出售</w:t>
      </w:r>
      <w:r>
        <w:rPr>
          <w:b w:val="0"/>
          <w:bCs w:val="0"/>
        </w:rPr>
      </w:r>
    </w:p>
    <w:p>
      <w:pPr>
        <w:pStyle w:val="Heading3"/>
        <w:spacing w:line="240" w:lineRule="auto" w:before="210"/>
        <w:ind w:left="305" w:right="66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367" w:lineRule="exact"/>
        <w:ind w:right="661"/>
        <w:jc w:val="left"/>
        <w:rPr>
          <w:b w:val="0"/>
          <w:bCs w:val="0"/>
        </w:rPr>
      </w:pPr>
      <w:r>
        <w:rPr/>
        <w:t>七、主要控股参股公司分析</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after="0" w:line="240" w:lineRule="auto"/>
        <w:rPr>
          <w:rFonts w:ascii="Microsoft JhengHei" w:hAnsi="Microsoft JhengHei" w:cs="Microsoft JhengHei" w:eastAsia="Microsoft JhengHei" w:hint="default"/>
          <w:sz w:val="13"/>
          <w:szCs w:val="13"/>
        </w:rPr>
        <w:sectPr>
          <w:pgSz w:w="11910" w:h="16840"/>
          <w:pgMar w:header="228" w:footer="0" w:top="1100" w:bottom="180" w:left="1680" w:right="24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4"/>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单位：元</w:t>
      </w:r>
    </w:p>
    <w:p>
      <w:pPr>
        <w:spacing w:after="0" w:line="240" w:lineRule="auto"/>
        <w:jc w:val="left"/>
        <w:sectPr>
          <w:type w:val="continuous"/>
          <w:pgSz w:w="11910" w:h="16840"/>
          <w:pgMar w:top="1060" w:bottom="1160" w:left="1680" w:right="240"/>
          <w:cols w:num="2" w:equalWidth="0">
            <w:col w:w="5003" w:space="3293"/>
            <w:col w:w="1694"/>
          </w:cols>
        </w:sectPr>
      </w:pP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32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9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119"/>
              <w:jc w:val="both"/>
              <w:rPr>
                <w:rFonts w:ascii="宋体" w:hAnsi="宋体" w:cs="宋体" w:eastAsia="宋体" w:hint="default"/>
                <w:sz w:val="18"/>
                <w:szCs w:val="18"/>
              </w:rPr>
            </w:pPr>
            <w:r>
              <w:rPr>
                <w:rFonts w:ascii="宋体" w:hAnsi="宋体" w:cs="宋体" w:eastAsia="宋体" w:hint="default"/>
                <w:sz w:val="18"/>
                <w:szCs w:val="18"/>
              </w:rPr>
              <w:t>上海百华悦 邦电子科技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1" w:right="110"/>
              <w:jc w:val="both"/>
              <w:rPr>
                <w:rFonts w:ascii="宋体" w:hAnsi="宋体" w:cs="宋体" w:eastAsia="宋体" w:hint="default"/>
                <w:sz w:val="18"/>
                <w:szCs w:val="18"/>
              </w:rPr>
            </w:pPr>
            <w:r>
              <w:rPr>
                <w:rFonts w:ascii="宋体" w:hAnsi="宋体" w:cs="宋体" w:eastAsia="宋体" w:hint="default"/>
                <w:sz w:val="18"/>
                <w:szCs w:val="18"/>
              </w:rPr>
              <w:t>手机售后服 务及相关增 值业务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106,366,375.</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55,706,104.6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839,626,783.</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27,093,860.3</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21,577,380.6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r>
      <w:tr>
        <w:trPr>
          <w:trHeight w:val="79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19"/>
              <w:jc w:val="both"/>
              <w:rPr>
                <w:rFonts w:ascii="宋体" w:hAnsi="宋体" w:cs="宋体" w:eastAsia="宋体" w:hint="default"/>
                <w:sz w:val="18"/>
                <w:szCs w:val="18"/>
              </w:rPr>
            </w:pPr>
            <w:r>
              <w:rPr>
                <w:rFonts w:ascii="宋体" w:hAnsi="宋体" w:cs="宋体" w:eastAsia="宋体" w:hint="default"/>
                <w:sz w:val="18"/>
                <w:szCs w:val="18"/>
              </w:rPr>
              <w:t>上海闪电蜂 电子商务有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21" w:right="110"/>
              <w:jc w:val="left"/>
              <w:rPr>
                <w:rFonts w:ascii="宋体" w:hAnsi="宋体" w:cs="宋体" w:eastAsia="宋体" w:hint="default"/>
                <w:sz w:val="18"/>
                <w:szCs w:val="18"/>
              </w:rPr>
            </w:pPr>
            <w:r>
              <w:rPr>
                <w:rFonts w:ascii="宋体" w:hAnsi="宋体" w:cs="宋体" w:eastAsia="宋体" w:hint="default"/>
                <w:sz w:val="18"/>
                <w:szCs w:val="18"/>
              </w:rPr>
              <w:t>电子商务业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42,776,100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57,083,117.9</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32,841,821.3</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144,680,790.</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32,268,107.5</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24,383,556.2</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8"/>
        <w:ind w:right="661"/>
        <w:jc w:val="left"/>
      </w:pPr>
      <w:r>
        <w:rPr/>
        <w:t>报告期内取得和处置子公司的情况</w:t>
      </w:r>
    </w:p>
    <w:p>
      <w:pPr>
        <w:pStyle w:val="BodyText"/>
        <w:spacing w:line="264" w:lineRule="auto" w:before="38"/>
        <w:ind w:right="75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230" w:lineRule="exact" w:before="48"/>
        <w:ind w:right="661"/>
        <w:jc w:val="left"/>
      </w:pPr>
      <w:r>
        <w:rPr/>
        <w:t>上海百华悦邦电子科技有限公司主要从事苹果产品售后服务业务。上海闪电蜂电子商务有限公司主要从事向消费者 提供二手机回收及销售、认证二手机、商品销售和手机保障等手机服务。</w:t>
      </w:r>
    </w:p>
    <w:p>
      <w:pPr>
        <w:spacing w:line="240" w:lineRule="auto" w:before="9"/>
        <w:rPr>
          <w:rFonts w:ascii="宋体" w:hAnsi="宋体" w:cs="宋体" w:eastAsia="宋体" w:hint="default"/>
          <w:sz w:val="14"/>
          <w:szCs w:val="14"/>
        </w:rPr>
      </w:pPr>
    </w:p>
    <w:p>
      <w:pPr>
        <w:pStyle w:val="Heading2"/>
        <w:spacing w:line="240" w:lineRule="auto"/>
        <w:ind w:right="661"/>
        <w:jc w:val="left"/>
        <w:rPr>
          <w:b w:val="0"/>
          <w:bCs w:val="0"/>
        </w:rPr>
      </w:pPr>
      <w:r>
        <w:rPr/>
        <w:t>八、公司控制的结构化主体情况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7"/>
        <w:ind w:right="661"/>
        <w:jc w:val="left"/>
      </w:pPr>
      <w:r>
        <w:rPr>
          <w:rFonts w:ascii="Times New Roman" w:hAnsi="Times New Roman" w:cs="Times New Roman" w:eastAsia="Times New Roman" w:hint="default"/>
        </w:rPr>
        <w:t>2017</w:t>
      </w:r>
      <w:r>
        <w:rPr/>
        <w:t>年度，本公司注销下属全资子公司杭州百华悦邦电子技术有限公司和天津百华悦邦科技有限公司。</w:t>
      </w:r>
    </w:p>
    <w:p>
      <w:pPr>
        <w:spacing w:line="240" w:lineRule="auto" w:before="4"/>
        <w:rPr>
          <w:rFonts w:ascii="宋体" w:hAnsi="宋体" w:cs="宋体" w:eastAsia="宋体" w:hint="default"/>
          <w:sz w:val="15"/>
          <w:szCs w:val="15"/>
        </w:rPr>
      </w:pPr>
    </w:p>
    <w:p>
      <w:pPr>
        <w:pStyle w:val="Heading2"/>
        <w:spacing w:line="240" w:lineRule="auto"/>
        <w:ind w:right="661"/>
        <w:jc w:val="left"/>
        <w:rPr>
          <w:b w:val="0"/>
          <w:bCs w:val="0"/>
        </w:rPr>
      </w:pPr>
      <w:r>
        <w:rPr/>
        <w:t>九、公司未来发展的展望</w:t>
      </w:r>
      <w:r>
        <w:rPr>
          <w:b w:val="0"/>
          <w:bCs w:val="0"/>
        </w:rPr>
      </w:r>
    </w:p>
    <w:p>
      <w:pPr>
        <w:spacing w:line="240" w:lineRule="auto" w:before="9"/>
        <w:rPr>
          <w:rFonts w:ascii="Microsoft JhengHei" w:hAnsi="Microsoft JhengHei" w:cs="Microsoft JhengHei" w:eastAsia="Microsoft JhengHei" w:hint="default"/>
          <w:b/>
          <w:bCs/>
          <w:sz w:val="17"/>
          <w:szCs w:val="17"/>
        </w:rPr>
      </w:pPr>
    </w:p>
    <w:p>
      <w:pPr>
        <w:pStyle w:val="BodyText"/>
        <w:spacing w:line="232" w:lineRule="exact"/>
        <w:ind w:right="650" w:firstLine="419"/>
        <w:jc w:val="left"/>
      </w:pPr>
      <w:r>
        <w:rPr>
          <w:spacing w:val="-1"/>
        </w:rPr>
        <w:t>公司的未来发展规划是在当前国家经济形式和市场环境条件下，对可预见的未来做出的发展计划和安排。公司</w:t>
      </w:r>
      <w:r>
        <w:rPr/>
        <w:t> 不排除根据经济形势、政策环境等因素的变化和公司实际经营状况对本发展目标进行修正、调整和完善的可能性。</w:t>
      </w:r>
    </w:p>
    <w:p>
      <w:pPr>
        <w:pStyle w:val="BodyText"/>
        <w:spacing w:line="212" w:lineRule="exact"/>
        <w:ind w:left="725" w:right="661"/>
        <w:jc w:val="left"/>
      </w:pPr>
      <w:r>
        <w:rPr/>
        <w:t>（一）行业格局和趋势</w:t>
      </w:r>
    </w:p>
    <w:p>
      <w:pPr>
        <w:pStyle w:val="BodyText"/>
        <w:spacing w:line="232" w:lineRule="exact" w:before="24"/>
        <w:ind w:left="725" w:right="649"/>
        <w:jc w:val="left"/>
      </w:pPr>
      <w:r>
        <w:rPr>
          <w:rFonts w:ascii="Times New Roman" w:hAnsi="Times New Roman" w:cs="Times New Roman" w:eastAsia="Times New Roman" w:hint="default"/>
        </w:rPr>
        <w:t>1</w:t>
      </w:r>
      <w:r>
        <w:rPr/>
        <w:t>、手机售后服务行业发展历程 </w:t>
      </w:r>
      <w:r>
        <w:rPr>
          <w:spacing w:val="-1"/>
        </w:rPr>
        <w:t>在我国手机产业发展早期，手机售后服务主要由各生产厂商独立实施。最初，手机厂商在大型城市建立中心维</w:t>
      </w:r>
    </w:p>
    <w:p>
      <w:pPr>
        <w:pStyle w:val="BodyText"/>
        <w:spacing w:line="232" w:lineRule="exact" w:before="1"/>
        <w:ind w:right="661"/>
        <w:jc w:val="left"/>
      </w:pPr>
      <w:r>
        <w:rPr/>
        <w:t>修服务站点，在此基础上向下发展授权服务站，授权服务站收取故障手机，由中心维修服务站负责修理，该模式维</w:t>
      </w:r>
      <w:r>
        <w:rPr>
          <w:spacing w:val="-78"/>
        </w:rPr>
        <w:t> </w:t>
      </w:r>
      <w:r>
        <w:rPr>
          <w:spacing w:val="-78"/>
        </w:rPr>
      </w:r>
      <w:r>
        <w:rPr/>
        <w:t>修速度慢，只能基本满足手机用户对于售后服务的需求；此后，手机厂商推出了快速维修服务，在一级市场建立一</w:t>
      </w:r>
    </w:p>
    <w:p>
      <w:pPr>
        <w:pStyle w:val="BodyText"/>
        <w:spacing w:line="232" w:lineRule="exact" w:before="3"/>
        <w:ind w:left="725" w:right="649" w:hanging="420"/>
        <w:jc w:val="left"/>
      </w:pPr>
      <w:r>
        <w:rPr/>
        <w:t>套快速反应的维修队伍，可以较快地为手机用户提供售后服务，但增加了手机厂商运营成本。 </w:t>
      </w:r>
      <w:r>
        <w:rPr>
          <w:spacing w:val="-1"/>
        </w:rPr>
        <w:t>随着手机行业竞争加剧，特别是越来越多国内手机厂商的出现，整个手机行业的利润水平逐渐下降。手机售后</w:t>
      </w:r>
    </w:p>
    <w:p>
      <w:pPr>
        <w:pStyle w:val="BodyText"/>
        <w:spacing w:line="212" w:lineRule="exact"/>
        <w:ind w:right="554"/>
        <w:jc w:val="left"/>
      </w:pPr>
      <w:r>
        <w:rPr/>
        <w:t>服务的质量将影响手机用户对手机品牌的美誉度，而建设大范围的售后服务网络不仅需要大量、持续的资金投入，</w:t>
      </w:r>
    </w:p>
    <w:p>
      <w:pPr>
        <w:pStyle w:val="BodyText"/>
        <w:spacing w:line="232" w:lineRule="exact" w:before="24"/>
        <w:ind w:right="661"/>
        <w:jc w:val="left"/>
      </w:pPr>
      <w:r>
        <w:rPr/>
        <w:t>还需要经营者具备优秀的连锁经营管理能力，手机厂商为形成规模经济，逐渐将手机售后服务外包，专业的手机售</w:t>
      </w:r>
      <w:r>
        <w:rPr>
          <w:spacing w:val="-77"/>
        </w:rPr>
        <w:t> </w:t>
      </w:r>
      <w:r>
        <w:rPr>
          <w:spacing w:val="-77"/>
        </w:rPr>
      </w:r>
      <w:r>
        <w:rPr/>
        <w:t>后服务提供商逐渐在手机售后服务市场扮演越来越重要的角色。</w:t>
      </w:r>
    </w:p>
    <w:p>
      <w:pPr>
        <w:pStyle w:val="BodyText"/>
        <w:spacing w:line="232" w:lineRule="exact" w:before="1"/>
        <w:ind w:right="650" w:firstLine="419"/>
        <w:jc w:val="left"/>
      </w:pPr>
      <w:r>
        <w:rPr>
          <w:spacing w:val="-1"/>
        </w:rPr>
        <w:t>近年来，我国手机售后服务的内涵发生了重大的变化。除最初的手机维修业务，手机售后服务形式还衍生出手</w:t>
      </w:r>
      <w:r>
        <w:rPr/>
        <w:t> 机保障服务、二手机回收及销售业务、认证二手机销售业务、手机增值服务等内容。</w:t>
      </w:r>
    </w:p>
    <w:p>
      <w:pPr>
        <w:pStyle w:val="BodyText"/>
        <w:spacing w:line="232" w:lineRule="exact" w:before="3"/>
        <w:ind w:left="725" w:right="659"/>
        <w:jc w:val="left"/>
      </w:pPr>
      <w:r>
        <w:rPr>
          <w:rFonts w:ascii="Times New Roman" w:hAnsi="Times New Roman" w:cs="Times New Roman" w:eastAsia="Times New Roman" w:hint="default"/>
        </w:rPr>
        <w:t>2</w:t>
      </w:r>
      <w:r>
        <w:rPr/>
        <w:t>、我国手机售后服务行业市场规模 近年来，我国手机售后服务行业一直保持高速发展。赛迪顾问的研究显示，</w:t>
      </w:r>
      <w:r>
        <w:rPr>
          <w:rFonts w:ascii="Times New Roman" w:hAnsi="Times New Roman" w:cs="Times New Roman" w:eastAsia="Times New Roman" w:hint="default"/>
        </w:rPr>
        <w:t>2008-2012</w:t>
      </w:r>
      <w:r>
        <w:rPr/>
        <w:t>年中国手机售后服务行</w:t>
      </w:r>
    </w:p>
    <w:p>
      <w:pPr>
        <w:pStyle w:val="BodyText"/>
        <w:spacing w:line="232" w:lineRule="exact" w:before="1"/>
        <w:ind w:left="725" w:right="661" w:hanging="420"/>
        <w:jc w:val="left"/>
      </w:pPr>
      <w:r>
        <w:rPr/>
        <w:t>业保持高速发展，市场规模由</w:t>
      </w:r>
      <w:r>
        <w:rPr>
          <w:rFonts w:ascii="Times New Roman" w:hAnsi="Times New Roman" w:cs="Times New Roman" w:eastAsia="Times New Roman" w:hint="default"/>
        </w:rPr>
        <w:t>2008</w:t>
      </w:r>
      <w:r>
        <w:rPr/>
        <w:t>年的</w:t>
      </w:r>
      <w:r>
        <w:rPr>
          <w:rFonts w:ascii="Times New Roman" w:hAnsi="Times New Roman" w:cs="Times New Roman" w:eastAsia="Times New Roman" w:hint="default"/>
        </w:rPr>
        <w:t>47.30</w:t>
      </w:r>
      <w:r>
        <w:rPr/>
        <w:t>亿元增长到</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118.20</w:t>
      </w:r>
      <w:r>
        <w:rPr/>
        <w:t>亿元，年均复合增长率达</w:t>
      </w:r>
      <w:r>
        <w:rPr>
          <w:rFonts w:ascii="Times New Roman" w:hAnsi="Times New Roman" w:cs="Times New Roman" w:eastAsia="Times New Roman" w:hint="default"/>
        </w:rPr>
        <w:t>25.73%</w:t>
      </w:r>
      <w:r>
        <w:rPr/>
        <w:t>。 </w:t>
      </w:r>
      <w:r>
        <w:rPr>
          <w:spacing w:val="2"/>
        </w:rPr>
        <w:t>根据赛迪顾问的</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2014</w:t>
      </w:r>
      <w:r>
        <w:rPr>
          <w:spacing w:val="2"/>
        </w:rPr>
        <w:t>年中国手机售后服务市场的统计数据以及</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2018</w:t>
      </w:r>
      <w:r>
        <w:rPr>
          <w:spacing w:val="2"/>
        </w:rPr>
        <w:t>年预计我国智能手机保</w:t>
      </w:r>
    </w:p>
    <w:p>
      <w:pPr>
        <w:pStyle w:val="BodyText"/>
        <w:spacing w:line="232" w:lineRule="exact" w:before="3"/>
        <w:ind w:right="554"/>
        <w:jc w:val="left"/>
      </w:pPr>
      <w:r>
        <w:rPr>
          <w:spacing w:val="-3"/>
        </w:rPr>
        <w:t>有量的增长率计算，</w:t>
      </w:r>
      <w:r>
        <w:rPr>
          <w:rFonts w:ascii="Times New Roman" w:hAnsi="Times New Roman" w:cs="Times New Roman" w:eastAsia="Times New Roman" w:hint="default"/>
          <w:spacing w:val="-3"/>
        </w:rPr>
        <w:t>2018</w:t>
      </w:r>
      <w:r>
        <w:rPr>
          <w:spacing w:val="-3"/>
        </w:rPr>
        <w:t>年我国手机售后服务行业的市场规模约为</w:t>
      </w:r>
      <w:r>
        <w:rPr>
          <w:rFonts w:ascii="Times New Roman" w:hAnsi="Times New Roman" w:cs="Times New Roman" w:eastAsia="Times New Roman" w:hint="default"/>
          <w:spacing w:val="-3"/>
        </w:rPr>
        <w:t>282.7</w:t>
      </w:r>
      <w:r>
        <w:rPr>
          <w:spacing w:val="-3"/>
        </w:rPr>
        <w:t>亿元。在移动通信和智能终端技术的引领下，</w:t>
      </w:r>
      <w:r>
        <w:rPr>
          <w:spacing w:val="-46"/>
        </w:rPr>
        <w:t> </w:t>
      </w:r>
      <w:r>
        <w:rPr>
          <w:spacing w:val="-46"/>
        </w:rPr>
      </w:r>
      <w:r>
        <w:rPr/>
        <w:t>手机售后市场在快速发展的同时，也将逐步转型，传统售后服务将逐渐标准化、精细化，增值类服务市场空间持续</w:t>
      </w:r>
      <w:r>
        <w:rPr>
          <w:spacing w:val="-79"/>
        </w:rPr>
        <w:t> </w:t>
      </w:r>
      <w:r>
        <w:rPr>
          <w:spacing w:val="-79"/>
        </w:rPr>
      </w:r>
      <w:r>
        <w:rPr/>
        <w:t>成长，为提升用户体验、加强产品竞争力提供了更多潜在机会和发展空间。</w:t>
      </w:r>
    </w:p>
    <w:p>
      <w:pPr>
        <w:pStyle w:val="BodyText"/>
        <w:spacing w:line="225" w:lineRule="exact"/>
        <w:ind w:left="725" w:right="661"/>
        <w:jc w:val="left"/>
      </w:pPr>
      <w:r>
        <w:rPr>
          <w:rFonts w:ascii="Times New Roman" w:hAnsi="Times New Roman" w:cs="Times New Roman" w:eastAsia="Times New Roman" w:hint="default"/>
        </w:rPr>
        <w:t>3</w:t>
      </w:r>
      <w:r>
        <w:rPr/>
        <w:t>、行业的主要竞争格局</w:t>
      </w:r>
    </w:p>
    <w:p>
      <w:pPr>
        <w:spacing w:after="0" w:line="225" w:lineRule="exact"/>
        <w:jc w:val="left"/>
        <w:sectPr>
          <w:type w:val="continuous"/>
          <w:pgSz w:w="11910" w:h="16840"/>
          <w:pgMar w:top="1060" w:bottom="1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2" w:lineRule="exact" w:before="69"/>
        <w:ind w:right="204" w:firstLine="419"/>
        <w:jc w:val="both"/>
      </w:pPr>
      <w:r>
        <w:rPr>
          <w:spacing w:val="-2"/>
        </w:rPr>
        <w:t>目前，手机售后服务行业的参与者主要有终端手机厂商、电信运营商、专业服务提供商、个体服务提供商以及</w:t>
      </w:r>
      <w:r>
        <w:rPr/>
        <w:t> 广大消费者。</w:t>
      </w:r>
    </w:p>
    <w:p>
      <w:pPr>
        <w:pStyle w:val="BodyText"/>
        <w:spacing w:line="232" w:lineRule="exact" w:before="1"/>
        <w:ind w:right="202" w:firstLine="419"/>
        <w:jc w:val="both"/>
      </w:pPr>
      <w:r>
        <w:rPr>
          <w:spacing w:val="-1"/>
        </w:rPr>
        <w:t>从中国手机售后服务产业结构来看，第一、终端手机厂商仍占据售后服务产业的主要地位。终端手机厂商负责</w:t>
      </w:r>
      <w:r>
        <w:rPr/>
        <w:t> 部分厂商直销、代理销售及定制手机的维修服务，将大部分手机维修业务外包给专业服务提供商。</w:t>
      </w:r>
    </w:p>
    <w:p>
      <w:pPr>
        <w:pStyle w:val="BodyText"/>
        <w:spacing w:line="232" w:lineRule="exact" w:before="3"/>
        <w:ind w:right="204" w:firstLine="419"/>
        <w:jc w:val="both"/>
      </w:pPr>
      <w:r>
        <w:rPr>
          <w:spacing w:val="-1"/>
        </w:rPr>
        <w:t>第二、专业服务提供商发展空间广阔。专业手机售后服务商在服务网络、专业、技术、人才和服务质量等方面</w:t>
      </w:r>
      <w:r>
        <w:rPr/>
        <w:t> 有较强优势，并且可以同时接受多个品牌的授权，能在更大范围内满足用户需求，能够为消费者提供专业、便捷和</w:t>
      </w:r>
      <w:r>
        <w:rPr>
          <w:spacing w:val="-79"/>
        </w:rPr>
        <w:t> </w:t>
      </w:r>
      <w:r>
        <w:rPr>
          <w:spacing w:val="-79"/>
        </w:rPr>
      </w:r>
      <w:r>
        <w:rPr/>
        <w:t>个性化的售后服务。并可在自有平台的基础上开展各类型的手机服务业务，包括手机维修、手机保障、二手机回收</w:t>
      </w:r>
    </w:p>
    <w:p>
      <w:pPr>
        <w:pStyle w:val="BodyText"/>
        <w:spacing w:line="232" w:lineRule="exact" w:before="3"/>
        <w:ind w:left="725" w:right="189" w:hanging="420"/>
        <w:jc w:val="left"/>
      </w:pPr>
      <w:r>
        <w:rPr/>
        <w:t>等。发行人属于此类专业服务商。 </w:t>
      </w:r>
      <w:r>
        <w:rPr>
          <w:spacing w:val="-1"/>
        </w:rPr>
        <w:t>第三、电信运营商售后服务需求扩大。随着定制手机规模增大及电信增值业务种类增多，与电信运营商相关的</w:t>
      </w:r>
    </w:p>
    <w:p>
      <w:pPr>
        <w:pStyle w:val="BodyText"/>
        <w:spacing w:line="211" w:lineRule="exact"/>
        <w:ind w:right="0"/>
        <w:jc w:val="both"/>
      </w:pPr>
      <w:r>
        <w:rPr/>
        <w:t>服务需求将增多，电信运营商对手机的售后服务仍以终端手机厂商和专业服务提供商为主。</w:t>
      </w:r>
    </w:p>
    <w:p>
      <w:pPr>
        <w:pStyle w:val="BodyText"/>
        <w:spacing w:line="237" w:lineRule="auto" w:before="1"/>
        <w:ind w:right="202" w:firstLine="419"/>
        <w:jc w:val="both"/>
      </w:pPr>
      <w:r>
        <w:rPr>
          <w:spacing w:val="-1"/>
        </w:rPr>
        <w:t>第四、个体服务提供商是指以个体经营为主，一般为未获得品牌授权的维修门店或是维修作坊。由于我国手机</w:t>
      </w:r>
      <w:r>
        <w:rPr/>
        <w:t> 售后服务行业发展时间较短，作坊式的服务网点依旧大量存在，占据一定的市场份额。这些个体服务提供商一般规</w:t>
      </w:r>
      <w:r>
        <w:rPr>
          <w:spacing w:val="-79"/>
        </w:rPr>
        <w:t> </w:t>
      </w:r>
      <w:r>
        <w:rPr>
          <w:spacing w:val="-79"/>
        </w:rPr>
      </w:r>
      <w:r>
        <w:rPr/>
        <w:t>模较小，并且技术水平和服务质量也参差不齐。</w:t>
      </w:r>
    </w:p>
    <w:p>
      <w:pPr>
        <w:pStyle w:val="BodyText"/>
        <w:spacing w:line="237" w:lineRule="auto"/>
        <w:ind w:right="202" w:firstLine="419"/>
        <w:jc w:val="both"/>
      </w:pPr>
      <w:r>
        <w:rPr>
          <w:spacing w:val="-1"/>
        </w:rPr>
        <w:t>近年来，手机品牌和消费者需求的不断多样化，手机厂商间的竞争不断加剧，手机厂商如果选择自行建立售后</w:t>
      </w:r>
      <w:r>
        <w:rPr/>
        <w:t> 服务网络，需要长期的资金投入，组建专业、优秀的连锁经营管理团队，建立高效、完善的信息化体系，创立标准</w:t>
      </w:r>
      <w:r>
        <w:rPr>
          <w:spacing w:val="-79"/>
        </w:rPr>
        <w:t> </w:t>
      </w:r>
      <w:r>
        <w:rPr>
          <w:spacing w:val="-79"/>
        </w:rPr>
      </w:r>
      <w:r>
        <w:rPr/>
        <w:t>化、专业化、精细化的管理模式，这将大幅增加厂商经营成本及管理难度。因此手机厂商将更愿意把手机售后服务</w:t>
      </w:r>
      <w:r>
        <w:rPr>
          <w:spacing w:val="-79"/>
        </w:rPr>
        <w:t> </w:t>
      </w:r>
      <w:r>
        <w:rPr>
          <w:spacing w:val="-79"/>
        </w:rPr>
      </w:r>
      <w:r>
        <w:rPr/>
        <w:t>外包给专业手机售后服务提供商。在终端手机厂商的授权下，手机售后服务提供商发展迅速，已经成为市场中最主</w:t>
      </w:r>
      <w:r>
        <w:rPr>
          <w:spacing w:val="-79"/>
        </w:rPr>
        <w:t> </w:t>
      </w:r>
      <w:r>
        <w:rPr>
          <w:spacing w:val="-79"/>
        </w:rPr>
      </w:r>
      <w:r>
        <w:rPr/>
        <w:t>要的售后服务提供者。</w:t>
      </w:r>
    </w:p>
    <w:p>
      <w:pPr>
        <w:pStyle w:val="BodyText"/>
        <w:spacing w:line="237" w:lineRule="auto"/>
        <w:ind w:right="109" w:firstLine="419"/>
        <w:jc w:val="left"/>
      </w:pPr>
      <w:r>
        <w:rPr>
          <w:spacing w:val="-3"/>
        </w:rPr>
        <w:t>总体来看，当前国内提供手机售后服务的企业数量众多，大部分企业规模较小，缺乏跨区域或全国性运营能力。</w:t>
      </w:r>
      <w:r>
        <w:rPr/>
        <w:t> 市场上具有一定规模的专业售后服务提供商包括百华悦邦、天音科技、直信创邺、立兴电子等，这类企业拥有了独</w:t>
      </w:r>
      <w:r>
        <w:rPr>
          <w:spacing w:val="-77"/>
        </w:rPr>
        <w:t> </w:t>
      </w:r>
      <w:r>
        <w:rPr>
          <w:spacing w:val="-77"/>
        </w:rPr>
      </w:r>
      <w:r>
        <w:rPr/>
        <w:t>立的售后服务网络体系，具有一定的市场竞争力。</w:t>
      </w:r>
    </w:p>
    <w:p>
      <w:pPr>
        <w:pStyle w:val="BodyText"/>
        <w:spacing w:line="233" w:lineRule="exact"/>
        <w:ind w:left="725" w:right="6141"/>
        <w:jc w:val="left"/>
      </w:pPr>
      <w:r>
        <w:rPr/>
        <w:t>（二）公司发展战略</w:t>
      </w:r>
    </w:p>
    <w:p>
      <w:pPr>
        <w:pStyle w:val="BodyText"/>
        <w:spacing w:line="232" w:lineRule="exact" w:before="24"/>
        <w:ind w:left="725" w:right="192"/>
        <w:jc w:val="left"/>
      </w:pPr>
      <w:r>
        <w:rPr>
          <w:rFonts w:ascii="Times New Roman" w:hAnsi="Times New Roman" w:cs="Times New Roman" w:eastAsia="Times New Roman" w:hint="default"/>
        </w:rPr>
        <w:t>1</w:t>
      </w:r>
      <w:r>
        <w:rPr/>
        <w:t>、覆盖全国的服务网络 </w:t>
      </w:r>
      <w:r>
        <w:rPr>
          <w:spacing w:val="-1"/>
        </w:rPr>
        <w:t>公司具有全国最大的手机售后服务实体门店售后服务网络。截至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月底，百华悦邦手机售后服务连锁门</w:t>
      </w:r>
    </w:p>
    <w:p>
      <w:pPr>
        <w:pStyle w:val="BodyText"/>
        <w:spacing w:line="232" w:lineRule="exact" w:before="1"/>
        <w:ind w:left="725" w:right="108" w:hanging="420"/>
        <w:jc w:val="left"/>
      </w:pPr>
      <w:r>
        <w:rPr>
          <w:spacing w:val="-3"/>
        </w:rPr>
        <w:t>店数量达</w:t>
      </w:r>
      <w:r>
        <w:rPr>
          <w:rFonts w:ascii="Times New Roman" w:hAnsi="Times New Roman" w:cs="Times New Roman" w:eastAsia="Times New Roman" w:hint="default"/>
          <w:spacing w:val="-3"/>
        </w:rPr>
        <w:t>130</w:t>
      </w:r>
      <w:r>
        <w:rPr>
          <w:spacing w:val="-3"/>
        </w:rPr>
        <w:t>余家，公司苹果授权售后服务门店数量为</w:t>
      </w:r>
      <w:r>
        <w:rPr>
          <w:rFonts w:ascii="Times New Roman" w:hAnsi="Times New Roman" w:cs="Times New Roman" w:eastAsia="Times New Roman" w:hint="default"/>
          <w:spacing w:val="-3"/>
        </w:rPr>
        <w:t>120</w:t>
      </w:r>
      <w:r>
        <w:rPr>
          <w:spacing w:val="-3"/>
        </w:rPr>
        <w:t>家（不含合作门店），居全国前列。</w:t>
      </w:r>
      <w:r>
        <w:rPr>
          <w:spacing w:val="-51"/>
        </w:rPr>
        <w:t> </w:t>
      </w:r>
      <w:r>
        <w:rPr>
          <w:spacing w:val="-51"/>
        </w:rPr>
      </w:r>
      <w:r>
        <w:rPr>
          <w:spacing w:val="-3"/>
        </w:rPr>
        <w:t>公司建立了连锁门店的标准化管理制度和完善的信息系统，并使用公司的规定范围内的商标、服务标记、商号、</w:t>
      </w:r>
    </w:p>
    <w:p>
      <w:pPr>
        <w:pStyle w:val="BodyText"/>
        <w:spacing w:line="232" w:lineRule="exact" w:before="3"/>
        <w:ind w:right="205"/>
        <w:jc w:val="both"/>
      </w:pPr>
      <w:r>
        <w:rPr/>
        <w:t>经营技术，在</w:t>
      </w:r>
      <w:r>
        <w:rPr>
          <w:rFonts w:ascii="Times New Roman" w:hAnsi="Times New Roman" w:cs="Times New Roman" w:eastAsia="Times New Roman" w:hint="default"/>
        </w:rPr>
        <w:t>“</w:t>
      </w:r>
      <w:r>
        <w:rPr/>
        <w:t>百邦</w:t>
      </w:r>
      <w:r>
        <w:rPr>
          <w:rFonts w:ascii="Times New Roman" w:hAnsi="Times New Roman" w:cs="Times New Roman" w:eastAsia="Times New Roman" w:hint="default"/>
        </w:rPr>
        <w:t>”</w:t>
      </w:r>
      <w:r>
        <w:rPr/>
        <w:t>统一形象下开展业务；公司总部设立精益部门，负责业务流程优化，同时，公司聘请国际知名</w:t>
      </w:r>
      <w:r>
        <w:rPr>
          <w:spacing w:val="-63"/>
        </w:rPr>
        <w:t> </w:t>
      </w:r>
      <w:r>
        <w:rPr>
          <w:spacing w:val="-63"/>
        </w:rPr>
      </w:r>
      <w:r>
        <w:rPr/>
        <w:t>咨询公司，持续实施效率改善事项、提高人员效率。通过针对连锁经营门店的标准化、精细化管理，公司能够为客</w:t>
      </w:r>
      <w:r>
        <w:rPr>
          <w:spacing w:val="-79"/>
        </w:rPr>
        <w:t> </w:t>
      </w:r>
      <w:r>
        <w:rPr>
          <w:spacing w:val="-79"/>
        </w:rPr>
      </w:r>
      <w:r>
        <w:rPr/>
        <w:t>户提供专业、优质的服务。</w:t>
      </w:r>
    </w:p>
    <w:p>
      <w:pPr>
        <w:pStyle w:val="BodyText"/>
        <w:spacing w:line="212" w:lineRule="exact"/>
        <w:ind w:left="725" w:right="0"/>
        <w:jc w:val="left"/>
      </w:pPr>
      <w:r>
        <w:rPr/>
        <w:t>同时，通过覆盖全国的服务网络，公司还能够为顾客提供商品销售及增值服务业务，为消费者提供了优质的产</w:t>
      </w:r>
    </w:p>
    <w:p>
      <w:pPr>
        <w:pStyle w:val="BodyText"/>
        <w:spacing w:line="234" w:lineRule="exact"/>
        <w:ind w:right="0"/>
        <w:jc w:val="both"/>
      </w:pPr>
      <w:r>
        <w:rPr/>
        <w:t>品和全方位的服务体验，并带动公司手机售后外其他业务收入的增长。</w:t>
      </w:r>
    </w:p>
    <w:p>
      <w:pPr>
        <w:pStyle w:val="BodyText"/>
        <w:spacing w:line="232" w:lineRule="exact" w:before="23"/>
        <w:ind w:left="725" w:right="141"/>
        <w:jc w:val="left"/>
      </w:pPr>
      <w:r>
        <w:rPr>
          <w:rFonts w:ascii="Times New Roman" w:hAnsi="Times New Roman" w:cs="Times New Roman" w:eastAsia="Times New Roman" w:hint="default"/>
        </w:rPr>
        <w:t>2</w:t>
      </w:r>
      <w:r>
        <w:rPr/>
        <w:t>、领先的信息管理能力 连锁经营模式和电子商务模式对公司的信息管理能力有较高的要求，公司始终注重在信息化建设方面的投入，</w:t>
      </w:r>
    </w:p>
    <w:p>
      <w:pPr>
        <w:pStyle w:val="BodyText"/>
        <w:spacing w:line="218" w:lineRule="exact"/>
        <w:ind w:right="0"/>
        <w:jc w:val="both"/>
      </w:pPr>
      <w:r>
        <w:rPr/>
        <w:t>运用信息化手段来加强对各门店的垂直管理。公司主要采用</w:t>
      </w:r>
      <w:r>
        <w:rPr>
          <w:rFonts w:ascii="Times New Roman" w:hAnsi="Times New Roman" w:cs="Times New Roman" w:eastAsia="Times New Roman" w:hint="default"/>
        </w:rPr>
        <w:t>BOMS</w:t>
      </w:r>
      <w:r>
        <w:rPr/>
        <w:t>门店管理系统和</w:t>
      </w:r>
      <w:r>
        <w:rPr>
          <w:rFonts w:ascii="Times New Roman" w:hAnsi="Times New Roman" w:cs="Times New Roman" w:eastAsia="Times New Roman" w:hint="default"/>
        </w:rPr>
        <w:t>SAP</w:t>
      </w:r>
      <w:r>
        <w:rPr/>
        <w:t>财务管理系统对公司业务和</w:t>
      </w:r>
    </w:p>
    <w:p>
      <w:pPr>
        <w:pStyle w:val="BodyText"/>
        <w:spacing w:line="232" w:lineRule="exact" w:before="17"/>
        <w:ind w:right="200"/>
        <w:jc w:val="both"/>
      </w:pPr>
      <w:r>
        <w:rPr/>
        <w:t>财务实施信息化管理。其中，</w:t>
      </w:r>
      <w:r>
        <w:rPr>
          <w:rFonts w:ascii="Times New Roman" w:hAnsi="Times New Roman" w:cs="Times New Roman" w:eastAsia="Times New Roman" w:hint="default"/>
        </w:rPr>
        <w:t>BOMS</w:t>
      </w:r>
      <w:r>
        <w:rPr/>
        <w:t>门店管理系统为公司聘请</w:t>
      </w:r>
      <w:r>
        <w:rPr>
          <w:rFonts w:ascii="Times New Roman" w:hAnsi="Times New Roman" w:cs="Times New Roman" w:eastAsia="Times New Roman" w:hint="default"/>
        </w:rPr>
        <w:t>IBM</w:t>
      </w:r>
      <w:r>
        <w:rPr/>
        <w:t>公司进行开发，用作规范业务办理、物料管理等</w:t>
      </w:r>
      <w:r>
        <w:rPr>
          <w:spacing w:val="-30"/>
        </w:rPr>
        <w:t> </w:t>
      </w:r>
      <w:r>
        <w:rPr>
          <w:spacing w:val="-30"/>
        </w:rPr>
      </w:r>
      <w:r>
        <w:rPr>
          <w:spacing w:val="-2"/>
        </w:rPr>
        <w:t>业务流程，该系统的</w:t>
      </w:r>
      <w:r>
        <w:rPr>
          <w:rFonts w:ascii="Times New Roman" w:hAnsi="Times New Roman" w:cs="Times New Roman" w:eastAsia="Times New Roman" w:hint="default"/>
          <w:spacing w:val="-2"/>
        </w:rPr>
        <w:t>API</w:t>
      </w:r>
      <w:r>
        <w:rPr>
          <w:spacing w:val="-2"/>
        </w:rPr>
        <w:t>接口能够实现与苹果公司的全球售后服务系统实时自动同步对接；</w:t>
      </w:r>
      <w:r>
        <w:rPr>
          <w:rFonts w:ascii="Times New Roman" w:hAnsi="Times New Roman" w:cs="Times New Roman" w:eastAsia="Times New Roman" w:hint="default"/>
          <w:spacing w:val="-2"/>
        </w:rPr>
        <w:t>SAP</w:t>
      </w:r>
      <w:r>
        <w:rPr>
          <w:rFonts w:ascii="Times New Roman" w:hAnsi="Times New Roman" w:cs="Times New Roman" w:eastAsia="Times New Roman" w:hint="default"/>
        </w:rPr>
        <w:t> ERP</w:t>
      </w:r>
      <w:r>
        <w:rPr/>
        <w:t>系统为公司聘请</w:t>
      </w:r>
      <w:r>
        <w:rPr>
          <w:spacing w:val="-84"/>
        </w:rPr>
        <w:t> </w:t>
      </w:r>
      <w:r>
        <w:rPr/>
        <w:t>安永公司设计实施。两个核心信息管理系统的实施，为公司的业务长期发展打下了坚实的基础。</w:t>
      </w:r>
    </w:p>
    <w:p>
      <w:pPr>
        <w:pStyle w:val="BodyText"/>
        <w:spacing w:line="218" w:lineRule="exact"/>
        <w:ind w:left="725" w:right="0"/>
        <w:jc w:val="left"/>
      </w:pPr>
      <w:r>
        <w:rPr>
          <w:rFonts w:ascii="Times New Roman" w:hAnsi="Times New Roman" w:cs="Times New Roman" w:eastAsia="Times New Roman" w:hint="default"/>
        </w:rPr>
        <w:t>2014</w:t>
      </w:r>
      <w:r>
        <w:rPr/>
        <w:t>年，为支持闪电蜂业务的发展，公司聘请安永公司实施了电子商务</w:t>
      </w:r>
      <w:r>
        <w:rPr>
          <w:rFonts w:ascii="Times New Roman" w:hAnsi="Times New Roman" w:cs="Times New Roman" w:eastAsia="Times New Roman" w:hint="default"/>
        </w:rPr>
        <w:t>EC</w:t>
      </w:r>
      <w:r>
        <w:rPr/>
        <w:t>平台。该系统全面支持闪电蜂</w:t>
      </w:r>
      <w:r>
        <w:rPr>
          <w:rFonts w:ascii="Times New Roman" w:hAnsi="Times New Roman" w:cs="Times New Roman" w:eastAsia="Times New Roman" w:hint="default"/>
        </w:rPr>
        <w:t>PC</w:t>
      </w:r>
      <w:r>
        <w:rPr/>
        <w:t>端、</w:t>
      </w:r>
    </w:p>
    <w:p>
      <w:pPr>
        <w:pStyle w:val="BodyText"/>
        <w:spacing w:line="232" w:lineRule="exact" w:before="17"/>
        <w:ind w:right="206"/>
        <w:jc w:val="both"/>
      </w:pPr>
      <w:r>
        <w:rPr/>
        <w:t>微信商业务运营，并且与公司现有系统实现了无缝对接，也预留了未来与电信运营商、零售商等合作伙伴的对接接</w:t>
      </w:r>
      <w:r>
        <w:rPr>
          <w:spacing w:val="-79"/>
        </w:rPr>
        <w:t> </w:t>
      </w:r>
      <w:r>
        <w:rPr>
          <w:spacing w:val="-79"/>
        </w:rPr>
      </w:r>
      <w:r>
        <w:rPr/>
        <w:t>口。</w:t>
      </w:r>
    </w:p>
    <w:p>
      <w:pPr>
        <w:pStyle w:val="BodyText"/>
        <w:spacing w:line="218" w:lineRule="exact"/>
        <w:ind w:right="0" w:firstLine="419"/>
        <w:jc w:val="both"/>
      </w:pPr>
      <w:r>
        <w:rPr/>
        <w:t>在核心系统的基础上</w:t>
      </w:r>
      <w:r>
        <w:rPr>
          <w:spacing w:val="-8"/>
        </w:rPr>
        <w:t>，</w:t>
      </w:r>
      <w:r>
        <w:rPr/>
        <w:t>公司</w:t>
      </w:r>
      <w:r>
        <w:rPr>
          <w:spacing w:val="3"/>
        </w:rPr>
        <w:t>将</w:t>
      </w:r>
      <w:r>
        <w:rPr/>
        <w:t>持续扩大信息化建设的广度和深度</w:t>
      </w:r>
      <w:r>
        <w:rPr>
          <w:spacing w:val="-8"/>
        </w:rPr>
        <w:t>，</w:t>
      </w:r>
      <w:r>
        <w:rPr/>
        <w:t>公司规划了在线学习</w:t>
      </w:r>
      <w:r>
        <w:rPr>
          <w:spacing w:val="2"/>
        </w:rPr>
        <w:t>平</w:t>
      </w:r>
      <w:r>
        <w:rPr>
          <w:spacing w:val="-8"/>
        </w:rPr>
        <w:t>台</w:t>
      </w:r>
      <w:r>
        <w:rPr>
          <w:spacing w:val="1"/>
        </w:rPr>
        <w:t>（</w:t>
      </w:r>
      <w:r>
        <w:rPr>
          <w:rFonts w:ascii="Times New Roman" w:hAnsi="Times New Roman" w:cs="Times New Roman" w:eastAsia="Times New Roman" w:hint="default"/>
          <w:spacing w:val="-1"/>
        </w:rPr>
        <w:t>e</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L</w:t>
      </w:r>
      <w:r>
        <w:rPr>
          <w:rFonts w:ascii="Times New Roman" w:hAnsi="Times New Roman" w:cs="Times New Roman" w:eastAsia="Times New Roman" w:hint="default"/>
          <w:spacing w:val="-1"/>
        </w:rPr>
        <w:t>ea</w:t>
      </w:r>
      <w:r>
        <w:rPr>
          <w:rFonts w:ascii="Times New Roman" w:hAnsi="Times New Roman" w:cs="Times New Roman" w:eastAsia="Times New Roman" w:hint="default"/>
        </w:rPr>
        <w:t>r</w:t>
      </w:r>
      <w:r>
        <w:rPr>
          <w:rFonts w:ascii="Times New Roman" w:hAnsi="Times New Roman" w:cs="Times New Roman" w:eastAsia="Times New Roman" w:hint="default"/>
          <w:spacing w:val="1"/>
        </w:rPr>
        <w:t>n</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1"/>
        </w:rPr>
        <w:t>g</w:t>
      </w:r>
      <w:r>
        <w:rPr>
          <w:spacing w:val="-92"/>
        </w:rPr>
        <w:t>）</w:t>
      </w:r>
      <w:r>
        <w:rPr>
          <w:spacing w:val="-8"/>
        </w:rPr>
        <w:t>、</w:t>
      </w:r>
      <w:r>
        <w:rPr/>
        <w:t>客</w:t>
      </w:r>
    </w:p>
    <w:p>
      <w:pPr>
        <w:pStyle w:val="BodyText"/>
        <w:spacing w:line="230" w:lineRule="auto" w:before="1"/>
        <w:ind w:right="206"/>
        <w:jc w:val="both"/>
      </w:pPr>
      <w:r>
        <w:rPr>
          <w:spacing w:val="-3"/>
          <w:w w:val="99"/>
        </w:rPr>
        <w:t>户关系管理（</w:t>
      </w:r>
      <w:r>
        <w:rPr>
          <w:rFonts w:ascii="Times New Roman" w:hAnsi="Times New Roman" w:cs="Times New Roman" w:eastAsia="Times New Roman" w:hint="default"/>
          <w:spacing w:val="-3"/>
          <w:w w:val="99"/>
        </w:rPr>
        <w:t>CRM</w:t>
      </w:r>
      <w:r>
        <w:rPr>
          <w:spacing w:val="-3"/>
          <w:w w:val="99"/>
        </w:rPr>
        <w:t>）、知识管理（</w:t>
      </w:r>
      <w:r>
        <w:rPr>
          <w:rFonts w:ascii="Times New Roman" w:hAnsi="Times New Roman" w:cs="Times New Roman" w:eastAsia="Times New Roman" w:hint="default"/>
          <w:spacing w:val="-3"/>
          <w:w w:val="99"/>
        </w:rPr>
        <w:t>KM</w:t>
      </w:r>
      <w:r>
        <w:rPr>
          <w:spacing w:val="-3"/>
          <w:w w:val="99"/>
        </w:rPr>
        <w:t>）、电子商务平台、商务智能（</w:t>
      </w:r>
      <w:r>
        <w:rPr>
          <w:rFonts w:ascii="Times New Roman" w:hAnsi="Times New Roman" w:cs="Times New Roman" w:eastAsia="Times New Roman" w:hint="default"/>
          <w:spacing w:val="-3"/>
          <w:w w:val="99"/>
        </w:rPr>
        <w:t>BI</w:t>
      </w:r>
      <w:r>
        <w:rPr>
          <w:spacing w:val="-3"/>
          <w:w w:val="99"/>
        </w:rPr>
        <w:t>）以及移动终端应用等一系列系统的建设。</w:t>
      </w:r>
      <w:r>
        <w:rPr>
          <w:spacing w:val="-78"/>
          <w:w w:val="99"/>
        </w:rPr>
        <w:t> </w:t>
      </w:r>
      <w:r>
        <w:rPr>
          <w:spacing w:val="-78"/>
          <w:w w:val="99"/>
        </w:rPr>
      </w:r>
      <w:r>
        <w:rPr/>
        <w:t>公司领先的信息管理能力以及相应系统的持续更新、建设，将成为公司业务发展和增长的重要驱动力，并最终成为</w:t>
      </w:r>
      <w:r>
        <w:rPr>
          <w:spacing w:val="-79"/>
        </w:rPr>
        <w:t> </w:t>
      </w:r>
      <w:r>
        <w:rPr>
          <w:spacing w:val="-79"/>
        </w:rPr>
      </w:r>
      <w:r>
        <w:rPr/>
        <w:t>公司的核心竞争力之一。</w:t>
      </w:r>
    </w:p>
    <w:p>
      <w:pPr>
        <w:pStyle w:val="BodyText"/>
        <w:spacing w:line="236" w:lineRule="exact" w:before="19"/>
        <w:ind w:left="725" w:right="189"/>
        <w:jc w:val="left"/>
      </w:pPr>
      <w:r>
        <w:rPr>
          <w:rFonts w:ascii="Times New Roman" w:hAnsi="Times New Roman" w:cs="Times New Roman" w:eastAsia="Times New Roman" w:hint="default"/>
        </w:rPr>
        <w:t>3</w:t>
      </w:r>
      <w:r>
        <w:rPr/>
        <w:t>、多元的服务及销售渠道 </w:t>
      </w:r>
      <w:r>
        <w:rPr>
          <w:spacing w:val="-1"/>
        </w:rPr>
        <w:t>公司采取线上线下相结合的经营模式。线下渠道上，公司拥有充足的连锁门店，同时，经过手机售后服务行业</w:t>
      </w:r>
    </w:p>
    <w:p>
      <w:pPr>
        <w:pStyle w:val="BodyText"/>
        <w:spacing w:line="210" w:lineRule="exact"/>
        <w:ind w:right="0"/>
        <w:jc w:val="both"/>
      </w:pPr>
      <w:r>
        <w:rPr/>
        <w:t>多年的积累，与众多移动运营商、手机零售商、经销商建立了合作关系，对商品销售、二手机回收及销售等业务的</w:t>
      </w:r>
    </w:p>
    <w:p>
      <w:pPr>
        <w:pStyle w:val="BodyText"/>
        <w:spacing w:line="232" w:lineRule="exact" w:before="23"/>
        <w:ind w:right="203"/>
        <w:jc w:val="both"/>
      </w:pPr>
      <w:r>
        <w:rPr/>
        <w:t>拓展有着深厚的基础；线上渠道上，公司推出闪电蜂品牌，定位于</w:t>
      </w:r>
      <w:r>
        <w:rPr>
          <w:rFonts w:ascii="Times New Roman" w:hAnsi="Times New Roman" w:cs="Times New Roman" w:eastAsia="Times New Roman" w:hint="default"/>
        </w:rPr>
        <w:t>“</w:t>
      </w:r>
      <w:r>
        <w:rPr/>
        <w:t>手机创新服务专家</w:t>
      </w:r>
      <w:r>
        <w:rPr>
          <w:rFonts w:ascii="Times New Roman" w:hAnsi="Times New Roman" w:cs="Times New Roman" w:eastAsia="Times New Roman" w:hint="default"/>
        </w:rPr>
        <w:t>”</w:t>
      </w:r>
      <w:r>
        <w:rPr/>
        <w:t>，通过闪电蜂电商平台以电</w:t>
      </w:r>
      <w:r>
        <w:rPr>
          <w:spacing w:val="-60"/>
        </w:rPr>
        <w:t> </w:t>
      </w:r>
      <w:r>
        <w:rPr>
          <w:spacing w:val="-60"/>
        </w:rPr>
      </w:r>
      <w:r>
        <w:rPr/>
        <w:t>子商务模式进一步开拓手机售后服务、商品销售、二手机回收等业务。</w:t>
      </w:r>
    </w:p>
    <w:p>
      <w:pPr>
        <w:pStyle w:val="BodyText"/>
        <w:spacing w:line="232" w:lineRule="exact" w:before="3"/>
        <w:ind w:right="202" w:firstLine="419"/>
        <w:jc w:val="both"/>
      </w:pPr>
      <w:r>
        <w:rPr>
          <w:spacing w:val="-1"/>
        </w:rPr>
        <w:t>公司拥深耕行业多年，拥有广泛的渠道资源，并独创性地采用了传统的连锁门店经营、经销商合作和创新的电</w:t>
      </w:r>
      <w:r>
        <w:rPr/>
        <w:t> 子商务经营模式。线上线下相互结合，进一步增强了渠道建设能力，并实现优势互补，提高公司的竞争能力，实现</w:t>
      </w:r>
      <w:r>
        <w:rPr>
          <w:spacing w:val="-79"/>
        </w:rPr>
        <w:t> </w:t>
      </w:r>
      <w:r>
        <w:rPr>
          <w:spacing w:val="-79"/>
        </w:rPr>
      </w:r>
      <w:r>
        <w:rPr/>
        <w:t>持续、快速的发展。</w:t>
      </w:r>
    </w:p>
    <w:p>
      <w:pPr>
        <w:spacing w:after="0" w:line="232" w:lineRule="exact"/>
        <w:jc w:val="both"/>
        <w:sectPr>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2" w:lineRule="exact" w:before="69"/>
        <w:ind w:left="725" w:right="189"/>
        <w:jc w:val="left"/>
      </w:pPr>
      <w:r>
        <w:rPr>
          <w:rFonts w:ascii="Times New Roman" w:hAnsi="Times New Roman" w:cs="Times New Roman" w:eastAsia="Times New Roman" w:hint="default"/>
        </w:rPr>
        <w:t>4</w:t>
      </w:r>
      <w:r>
        <w:rPr/>
        <w:t>、可靠有保障的服务品质 </w:t>
      </w:r>
      <w:r>
        <w:rPr>
          <w:spacing w:val="-1"/>
        </w:rPr>
        <w:t>长期以来，手机售后服务行业缺乏统一的服务质量标准，行业整体服务质量参差不齐，手机用户难以获得高质</w:t>
      </w:r>
    </w:p>
    <w:p>
      <w:pPr>
        <w:pStyle w:val="BodyText"/>
        <w:spacing w:line="232" w:lineRule="exact" w:before="1"/>
        <w:ind w:right="201"/>
        <w:jc w:val="left"/>
      </w:pPr>
      <w:r>
        <w:rPr/>
        <w:t>量的手机售后服务，手机生产厂商也难以找到符合标准的合作商。针对手机用户和手机生产厂商双方面的需求，公</w:t>
      </w:r>
      <w:r>
        <w:rPr>
          <w:spacing w:val="-79"/>
        </w:rPr>
        <w:t> </w:t>
      </w:r>
      <w:r>
        <w:rPr>
          <w:spacing w:val="-79"/>
        </w:rPr>
      </w:r>
      <w:r>
        <w:rPr/>
        <w:t>司自成立以来将服务质量作为公司业务运营的核心，合规部门和质量部门为公司各业务设计了标准化的运营流程并</w:t>
      </w:r>
    </w:p>
    <w:p>
      <w:pPr>
        <w:pStyle w:val="BodyText"/>
        <w:spacing w:line="232" w:lineRule="exact" w:before="3"/>
        <w:ind w:right="201"/>
        <w:jc w:val="left"/>
      </w:pPr>
      <w:r>
        <w:rPr>
          <w:spacing w:val="-2"/>
        </w:rPr>
        <w:t>严格执行。此外，</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日，公司管理体系通过了劳氏质量认证有限公司</w:t>
      </w:r>
      <w:r>
        <w:rPr>
          <w:rFonts w:ascii="Times New Roman" w:hAnsi="Times New Roman" w:cs="Times New Roman" w:eastAsia="Times New Roman" w:hint="default"/>
          <w:spacing w:val="-2"/>
        </w:rPr>
        <w:t>ISO9001:2008</w:t>
      </w:r>
      <w:r>
        <w:rPr>
          <w:spacing w:val="-2"/>
        </w:rPr>
        <w:t>管理体系标准认证（证</w:t>
      </w:r>
      <w:r>
        <w:rPr>
          <w:spacing w:val="-36"/>
        </w:rPr>
        <w:t> </w:t>
      </w:r>
      <w:r>
        <w:rPr>
          <w:spacing w:val="-36"/>
        </w:rPr>
      </w:r>
      <w:r>
        <w:rPr>
          <w:spacing w:val="-12"/>
          <w:w w:val="99"/>
        </w:rPr>
        <w:t>书编号：</w:t>
      </w:r>
      <w:r>
        <w:rPr>
          <w:rFonts w:ascii="Times New Roman" w:hAnsi="Times New Roman" w:cs="Times New Roman" w:eastAsia="Times New Roman" w:hint="default"/>
          <w:spacing w:val="-12"/>
          <w:w w:val="99"/>
        </w:rPr>
        <w:t>QAC6016624</w:t>
      </w:r>
      <w:r>
        <w:rPr>
          <w:spacing w:val="-12"/>
          <w:w w:val="99"/>
        </w:rPr>
        <w:t>）。</w:t>
      </w:r>
      <w:r>
        <w:rPr>
          <w:w w:val="99"/>
        </w:rPr>
      </w:r>
    </w:p>
    <w:p>
      <w:pPr>
        <w:pStyle w:val="BodyText"/>
        <w:spacing w:line="212" w:lineRule="exact"/>
        <w:ind w:left="725" w:right="0"/>
        <w:jc w:val="left"/>
      </w:pPr>
      <w:r>
        <w:rPr/>
        <w:t>公司自始至终坚持高质量的服务标准使得公司自设立以来快速发展，并与世界一流的手机厂商建立了长期互信</w:t>
      </w:r>
    </w:p>
    <w:p>
      <w:pPr>
        <w:pStyle w:val="BodyText"/>
        <w:spacing w:line="234" w:lineRule="exact"/>
        <w:ind w:right="201"/>
        <w:jc w:val="left"/>
      </w:pPr>
      <w:r>
        <w:rPr/>
        <w:t>合作关系，也取得了手机用户广泛的好评。</w:t>
      </w:r>
    </w:p>
    <w:p>
      <w:pPr>
        <w:pStyle w:val="BodyText"/>
        <w:spacing w:line="232" w:lineRule="exact" w:before="23"/>
        <w:ind w:left="725" w:right="201"/>
        <w:jc w:val="left"/>
      </w:pPr>
      <w:r>
        <w:rPr/>
        <w:t>（三）经营计划 </w:t>
      </w:r>
      <w:r>
        <w:rPr>
          <w:spacing w:val="-2"/>
        </w:rPr>
        <w:t>公司专注于手机售后服务产业，坚持以优质的服务为导向、以专业的技术为支撑、以先进的模式为驱动，向消</w:t>
      </w:r>
    </w:p>
    <w:p>
      <w:pPr>
        <w:pStyle w:val="BodyText"/>
        <w:spacing w:line="219" w:lineRule="exact"/>
        <w:ind w:right="0"/>
        <w:jc w:val="left"/>
      </w:pPr>
      <w:r>
        <w:rPr/>
        <w:t>费者提供高效、专业、全面的服务，致力于成为我国</w:t>
      </w:r>
      <w:r>
        <w:rPr>
          <w:rFonts w:ascii="Times New Roman" w:hAnsi="Times New Roman" w:cs="Times New Roman" w:eastAsia="Times New Roman" w:hint="default"/>
        </w:rPr>
        <w:t>3C</w:t>
      </w:r>
      <w:r>
        <w:rPr/>
        <w:t>产品售后服务领域一流的、全国性的、线上线下融合的综合</w:t>
      </w:r>
    </w:p>
    <w:p>
      <w:pPr>
        <w:pStyle w:val="BodyText"/>
        <w:spacing w:line="227" w:lineRule="exact"/>
        <w:ind w:right="201"/>
        <w:jc w:val="left"/>
      </w:pPr>
      <w:r>
        <w:rPr/>
        <w:t>手机服务供应商。为实现经营目标，公司将重点做好以下几点工作规划和安排：</w:t>
      </w:r>
    </w:p>
    <w:p>
      <w:pPr>
        <w:pStyle w:val="BodyText"/>
        <w:spacing w:line="232" w:lineRule="exact" w:before="23"/>
        <w:ind w:left="725" w:right="193"/>
        <w:jc w:val="left"/>
      </w:pPr>
      <w:r>
        <w:rPr>
          <w:rFonts w:ascii="Times New Roman" w:hAnsi="Times New Roman" w:cs="Times New Roman" w:eastAsia="Times New Roman" w:hint="default"/>
        </w:rPr>
        <w:t>1</w:t>
      </w:r>
      <w:r>
        <w:rPr/>
        <w:t>、实体门店经营计划 </w:t>
      </w:r>
      <w:r>
        <w:rPr>
          <w:spacing w:val="-1"/>
        </w:rPr>
        <w:t>公司拥有连锁门店</w:t>
      </w:r>
      <w:r>
        <w:rPr>
          <w:rFonts w:ascii="Times New Roman" w:hAnsi="Times New Roman" w:cs="Times New Roman" w:eastAsia="Times New Roman" w:hint="default"/>
          <w:spacing w:val="-1"/>
        </w:rPr>
        <w:t>130</w:t>
      </w:r>
      <w:r>
        <w:rPr>
          <w:spacing w:val="-1"/>
        </w:rPr>
        <w:t>余家，覆盖在全国</w:t>
      </w:r>
      <w:r>
        <w:rPr>
          <w:rFonts w:ascii="Times New Roman" w:hAnsi="Times New Roman" w:cs="Times New Roman" w:eastAsia="Times New Roman" w:hint="default"/>
          <w:spacing w:val="-1"/>
        </w:rPr>
        <w:t>20</w:t>
      </w:r>
      <w:r>
        <w:rPr>
          <w:spacing w:val="-1"/>
        </w:rPr>
        <w:t>多个省级地区、</w:t>
      </w:r>
      <w:r>
        <w:rPr>
          <w:rFonts w:ascii="Times New Roman" w:hAnsi="Times New Roman" w:cs="Times New Roman" w:eastAsia="Times New Roman" w:hint="default"/>
          <w:spacing w:val="-1"/>
        </w:rPr>
        <w:t>100</w:t>
      </w:r>
      <w:r>
        <w:rPr>
          <w:spacing w:val="-1"/>
        </w:rPr>
        <w:t>多个地市，主要集中在一线、二线城市及沿海发</w:t>
      </w:r>
    </w:p>
    <w:p>
      <w:pPr>
        <w:pStyle w:val="BodyText"/>
        <w:spacing w:line="212" w:lineRule="exact"/>
        <w:ind w:right="0"/>
        <w:jc w:val="left"/>
      </w:pPr>
      <w:r>
        <w:rPr/>
        <w:t>达城市。为了提升公司在手机售后服务行业的市场地位，公司将在保持现有门店规模的基础上，进一步提升公司服</w:t>
      </w:r>
    </w:p>
    <w:p>
      <w:pPr>
        <w:pStyle w:val="BodyText"/>
        <w:spacing w:line="232" w:lineRule="exact" w:before="24"/>
        <w:ind w:left="725" w:right="189" w:hanging="420"/>
        <w:jc w:val="left"/>
      </w:pPr>
      <w:r>
        <w:rPr/>
        <w:t>务品质、增强盈利能力。 </w:t>
      </w:r>
      <w:r>
        <w:rPr>
          <w:spacing w:val="-1"/>
        </w:rPr>
        <w:t>一方面，公司将更加注重与高端手机品牌的合作，借助合作手机品牌市场的增长，实现百华悦邦手机售后服务</w:t>
      </w:r>
    </w:p>
    <w:p>
      <w:pPr>
        <w:pStyle w:val="BodyText"/>
        <w:spacing w:line="210" w:lineRule="exact"/>
        <w:ind w:right="201"/>
        <w:jc w:val="left"/>
      </w:pPr>
      <w:r>
        <w:rPr/>
        <w:t>规模的持续增长；另一方面，公司将强化对门店服务质量和业务合规性的管理，进一步提高门店的投资回报率。</w:t>
      </w:r>
    </w:p>
    <w:p>
      <w:pPr>
        <w:pStyle w:val="BodyText"/>
        <w:spacing w:line="236" w:lineRule="exact" w:before="20"/>
        <w:ind w:left="725" w:right="189"/>
        <w:jc w:val="left"/>
      </w:pPr>
      <w:r>
        <w:rPr>
          <w:rFonts w:ascii="Times New Roman" w:hAnsi="Times New Roman" w:cs="Times New Roman" w:eastAsia="Times New Roman" w:hint="default"/>
        </w:rPr>
        <w:t>2</w:t>
      </w:r>
      <w:r>
        <w:rPr/>
        <w:t>、大力发展闪电蜂电子商务业务 </w:t>
      </w:r>
      <w:r>
        <w:rPr>
          <w:spacing w:val="-1"/>
        </w:rPr>
        <w:t>公司将顺应行业发展的趋势、借助政府政策的支持，大力发展闪电蜂电子商务业务。公司计划通过与电信运营</w:t>
      </w:r>
    </w:p>
    <w:p>
      <w:pPr>
        <w:pStyle w:val="BodyText"/>
        <w:spacing w:line="210" w:lineRule="exact"/>
        <w:ind w:right="0"/>
        <w:jc w:val="left"/>
      </w:pPr>
      <w:r>
        <w:rPr/>
        <w:t>商、手机零售商和其他渠道的合作，使闪电蜂在手机保障、二手机回收及销售、手机维修、认证二手机销售等方面</w:t>
      </w:r>
    </w:p>
    <w:p>
      <w:pPr>
        <w:pStyle w:val="BodyText"/>
        <w:spacing w:line="234" w:lineRule="exact"/>
        <w:ind w:right="201"/>
        <w:jc w:val="left"/>
      </w:pPr>
      <w:r>
        <w:rPr/>
        <w:t>都具有较强的竞争能力和较高的市场份额。</w:t>
      </w:r>
    </w:p>
    <w:p>
      <w:pPr>
        <w:pStyle w:val="BodyText"/>
        <w:spacing w:line="232" w:lineRule="exact" w:before="24"/>
        <w:ind w:left="725" w:right="201"/>
        <w:jc w:val="left"/>
      </w:pPr>
      <w:r>
        <w:rPr>
          <w:rFonts w:ascii="Times New Roman" w:hAnsi="Times New Roman" w:cs="Times New Roman" w:eastAsia="Times New Roman" w:hint="default"/>
        </w:rPr>
        <w:t>3</w:t>
      </w:r>
      <w:r>
        <w:rPr/>
        <w:t>、品牌建设计划 </w:t>
      </w:r>
      <w:r>
        <w:rPr>
          <w:spacing w:val="-1"/>
        </w:rPr>
        <w:t>公司将持续强化业务品牌建设，进一步提升</w:t>
      </w:r>
      <w:r>
        <w:rPr>
          <w:rFonts w:ascii="Times New Roman" w:hAnsi="Times New Roman" w:cs="Times New Roman" w:eastAsia="Times New Roman" w:hint="default"/>
          <w:spacing w:val="-1"/>
        </w:rPr>
        <w:t>“</w:t>
      </w:r>
      <w:r>
        <w:rPr>
          <w:spacing w:val="-1"/>
        </w:rPr>
        <w:t>百邦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闪电蜂</w:t>
      </w:r>
      <w:r>
        <w:rPr>
          <w:rFonts w:ascii="Times New Roman" w:hAnsi="Times New Roman" w:cs="Times New Roman" w:eastAsia="Times New Roman" w:hint="default"/>
          <w:spacing w:val="-1"/>
        </w:rPr>
        <w:t>”</w:t>
      </w:r>
      <w:r>
        <w:rPr>
          <w:spacing w:val="-1"/>
        </w:rPr>
        <w:t>的品牌形象。通过提升连锁门店服务质量，提高</w:t>
      </w:r>
    </w:p>
    <w:p>
      <w:pPr>
        <w:pStyle w:val="BodyText"/>
        <w:spacing w:line="232" w:lineRule="exact" w:before="1"/>
        <w:ind w:right="0"/>
        <w:jc w:val="left"/>
      </w:pPr>
      <w:r>
        <w:rPr>
          <w:spacing w:val="-2"/>
        </w:rPr>
        <w:t>顾客的消费体验，将</w:t>
      </w:r>
      <w:r>
        <w:rPr>
          <w:rFonts w:ascii="Times New Roman" w:hAnsi="Times New Roman" w:cs="Times New Roman" w:eastAsia="Times New Roman" w:hint="default"/>
          <w:spacing w:val="-2"/>
        </w:rPr>
        <w:t>“</w:t>
      </w:r>
      <w:r>
        <w:rPr>
          <w:spacing w:val="-2"/>
        </w:rPr>
        <w:t>百邦</w:t>
      </w:r>
      <w:r>
        <w:rPr>
          <w:rFonts w:ascii="Times New Roman" w:hAnsi="Times New Roman" w:cs="Times New Roman" w:eastAsia="Times New Roman" w:hint="default"/>
          <w:spacing w:val="-2"/>
        </w:rPr>
        <w:t>”</w:t>
      </w:r>
      <w:r>
        <w:rPr>
          <w:spacing w:val="-2"/>
        </w:rPr>
        <w:t>打造成为手机授权售后服务连锁经营第一品牌；通过倾力为消费者提供更加方便、快捷、</w:t>
      </w:r>
      <w:r>
        <w:rPr>
          <w:spacing w:val="-47"/>
        </w:rPr>
        <w:t> </w:t>
      </w:r>
      <w:r>
        <w:rPr>
          <w:spacing w:val="-47"/>
        </w:rPr>
      </w:r>
      <w:r>
        <w:rPr/>
        <w:t>透明、可靠的手机售后创新服务，将</w:t>
      </w:r>
      <w:r>
        <w:rPr>
          <w:rFonts w:ascii="Times New Roman" w:hAnsi="Times New Roman" w:cs="Times New Roman" w:eastAsia="Times New Roman" w:hint="default"/>
        </w:rPr>
        <w:t>“</w:t>
      </w:r>
      <w:r>
        <w:rPr/>
        <w:t>闪电蜂</w:t>
      </w:r>
      <w:r>
        <w:rPr>
          <w:rFonts w:ascii="Times New Roman" w:hAnsi="Times New Roman" w:cs="Times New Roman" w:eastAsia="Times New Roman" w:hint="default"/>
        </w:rPr>
        <w:t>”</w:t>
      </w:r>
      <w:r>
        <w:rPr/>
        <w:t>打造成为电子商务模式手机综合服务第一品牌。</w:t>
      </w:r>
    </w:p>
    <w:p>
      <w:pPr>
        <w:pStyle w:val="BodyText"/>
        <w:spacing w:line="232" w:lineRule="exact" w:before="3"/>
        <w:ind w:left="725" w:right="189"/>
        <w:jc w:val="left"/>
      </w:pPr>
      <w:r>
        <w:rPr>
          <w:rFonts w:ascii="Times New Roman" w:hAnsi="Times New Roman" w:cs="Times New Roman" w:eastAsia="Times New Roman" w:hint="default"/>
        </w:rPr>
        <w:t>4</w:t>
      </w:r>
      <w:r>
        <w:rPr/>
        <w:t>、信息化建设计划 </w:t>
      </w:r>
      <w:r>
        <w:rPr>
          <w:spacing w:val="-1"/>
        </w:rPr>
        <w:t>功能完善、反应高效的信息管理系统对公司业务发展非常重要。公司计划继续加大信息化建设方面的投入，包</w:t>
      </w:r>
    </w:p>
    <w:p>
      <w:pPr>
        <w:pStyle w:val="BodyText"/>
        <w:spacing w:line="232" w:lineRule="exact"/>
        <w:ind w:right="201"/>
        <w:jc w:val="left"/>
      </w:pPr>
      <w:r>
        <w:rPr>
          <w:spacing w:val="-4"/>
          <w:w w:val="99"/>
        </w:rPr>
        <w:t>括：</w:t>
      </w:r>
      <w:r>
        <w:rPr>
          <w:rFonts w:ascii="Times New Roman" w:hAnsi="Times New Roman" w:cs="Times New Roman" w:eastAsia="Times New Roman" w:hint="default"/>
          <w:spacing w:val="-4"/>
          <w:w w:val="99"/>
        </w:rPr>
        <w:t>ERP</w:t>
      </w:r>
      <w:r>
        <w:rPr>
          <w:spacing w:val="-4"/>
          <w:w w:val="99"/>
        </w:rPr>
        <w:t>系统进一步升级、门店管理系统优化等，并建设商业智能系统（</w:t>
      </w:r>
      <w:r>
        <w:rPr>
          <w:rFonts w:ascii="Times New Roman" w:hAnsi="Times New Roman" w:cs="Times New Roman" w:eastAsia="Times New Roman" w:hint="default"/>
          <w:spacing w:val="-4"/>
          <w:w w:val="99"/>
        </w:rPr>
        <w:t>BI</w:t>
      </w:r>
      <w:r>
        <w:rPr>
          <w:spacing w:val="-4"/>
          <w:w w:val="99"/>
        </w:rPr>
        <w:t>）和客户关系管理系统（</w:t>
      </w:r>
      <w:r>
        <w:rPr>
          <w:rFonts w:ascii="Times New Roman" w:hAnsi="Times New Roman" w:cs="Times New Roman" w:eastAsia="Times New Roman" w:hint="default"/>
          <w:spacing w:val="-4"/>
          <w:w w:val="99"/>
        </w:rPr>
        <w:t>CRM</w:t>
      </w:r>
      <w:r>
        <w:rPr>
          <w:spacing w:val="-4"/>
          <w:w w:val="99"/>
        </w:rPr>
        <w:t>），持续的</w:t>
      </w:r>
      <w:r>
        <w:rPr>
          <w:spacing w:val="-61"/>
          <w:w w:val="99"/>
        </w:rPr>
        <w:t> </w:t>
      </w:r>
      <w:r>
        <w:rPr>
          <w:spacing w:val="-61"/>
          <w:w w:val="99"/>
        </w:rPr>
      </w:r>
      <w:r>
        <w:rPr/>
        <w:t>提高公司决策和运营效率，为客户提供更加个性化的服务，提高客户服务满意度。</w:t>
      </w:r>
    </w:p>
    <w:p>
      <w:pPr>
        <w:pStyle w:val="BodyText"/>
        <w:spacing w:line="232" w:lineRule="exact" w:before="3"/>
        <w:ind w:right="204" w:firstLine="419"/>
        <w:jc w:val="both"/>
      </w:pPr>
      <w:r>
        <w:rPr>
          <w:spacing w:val="-1"/>
        </w:rPr>
        <w:t>升级后的信息系统将形成公司以门店管理系统和</w:t>
      </w:r>
      <w:r>
        <w:rPr>
          <w:rFonts w:ascii="Times New Roman" w:hAnsi="Times New Roman" w:cs="Times New Roman" w:eastAsia="Times New Roman" w:hint="default"/>
          <w:spacing w:val="-1"/>
        </w:rPr>
        <w:t>ERP</w:t>
      </w:r>
      <w:r>
        <w:rPr>
          <w:spacing w:val="-1"/>
        </w:rPr>
        <w:t>系统为核心，由战略规划、销售计划、订单管理、供应链</w:t>
      </w:r>
      <w:r>
        <w:rPr/>
        <w:t> 管理计划等一系列职能活动构建的综合系统。能够提供更高性能的信息化平台，增强信息收集和数据处理能力；使</w:t>
      </w:r>
      <w:r>
        <w:rPr>
          <w:spacing w:val="-79"/>
        </w:rPr>
        <w:t> </w:t>
      </w:r>
      <w:r>
        <w:rPr>
          <w:spacing w:val="-79"/>
        </w:rPr>
      </w:r>
      <w:r>
        <w:rPr/>
        <w:t>用更为规范和精细的标准，整体提升公司信息互通和流程协作。为管理层提供更为准确和及时的数据，提高决策的</w:t>
      </w:r>
      <w:r>
        <w:rPr>
          <w:spacing w:val="-79"/>
        </w:rPr>
        <w:t> </w:t>
      </w:r>
      <w:r>
        <w:rPr>
          <w:spacing w:val="-79"/>
        </w:rPr>
      </w:r>
      <w:r>
        <w:rPr/>
        <w:t>精度和连续性。</w:t>
      </w:r>
    </w:p>
    <w:p>
      <w:pPr>
        <w:pStyle w:val="BodyText"/>
        <w:spacing w:line="232" w:lineRule="exact" w:before="3"/>
        <w:ind w:left="725" w:right="201"/>
        <w:jc w:val="left"/>
      </w:pPr>
      <w:r>
        <w:rPr>
          <w:rFonts w:ascii="Times New Roman" w:hAnsi="Times New Roman" w:cs="Times New Roman" w:eastAsia="Times New Roman" w:hint="default"/>
        </w:rPr>
        <w:t>5</w:t>
      </w:r>
      <w:r>
        <w:rPr/>
        <w:t>、人才发展计划 </w:t>
      </w:r>
      <w:r>
        <w:rPr>
          <w:spacing w:val="-2"/>
        </w:rPr>
        <w:t>人才是公司最重要的资源，是公司可持续发展的基础，对手机服务企业而言，更是决定企业成败的关键。公司</w:t>
      </w:r>
    </w:p>
    <w:p>
      <w:pPr>
        <w:pStyle w:val="BodyText"/>
        <w:spacing w:line="232" w:lineRule="exact" w:before="1"/>
        <w:ind w:left="725" w:right="189" w:hanging="420"/>
        <w:jc w:val="left"/>
      </w:pPr>
      <w:r>
        <w:rPr/>
        <w:t>计划从以下方面开展人才计划： </w:t>
      </w:r>
      <w:r>
        <w:rPr>
          <w:spacing w:val="-1"/>
        </w:rPr>
        <w:t>选择合适的人。公司将加强人才遴选工作，今后会更多的通过校园招聘的方式，广泛吸收认可百邦企业价值观</w:t>
      </w:r>
    </w:p>
    <w:p>
      <w:pPr>
        <w:pStyle w:val="BodyText"/>
        <w:spacing w:line="232" w:lineRule="exact" w:before="3"/>
        <w:ind w:left="725" w:right="201" w:hanging="420"/>
        <w:jc w:val="left"/>
      </w:pPr>
      <w:r>
        <w:rPr/>
        <w:t>的员工，并通过多种培训方式，使其了解、融入百邦文化，为公司补充新鲜血液。 </w:t>
      </w:r>
      <w:r>
        <w:rPr>
          <w:spacing w:val="-2"/>
        </w:rPr>
        <w:t>为员工设定明确职业目标。公司将继续完善阶梯式的薪酬体系，提高员工待遇；建立长期发展机制。自员工入</w:t>
      </w:r>
    </w:p>
    <w:p>
      <w:pPr>
        <w:pStyle w:val="BodyText"/>
        <w:spacing w:line="212" w:lineRule="exact"/>
        <w:ind w:right="201"/>
        <w:jc w:val="left"/>
      </w:pPr>
      <w:r>
        <w:rPr/>
        <w:t>职开始，就清晰的告知未来的成长路径，激发员工的积极性和创造力。</w:t>
      </w:r>
    </w:p>
    <w:p>
      <w:pPr>
        <w:pStyle w:val="BodyText"/>
        <w:spacing w:line="234" w:lineRule="exact" w:before="23"/>
        <w:ind w:right="190" w:firstLine="419"/>
        <w:jc w:val="left"/>
      </w:pPr>
      <w:r>
        <w:rPr>
          <w:spacing w:val="-1"/>
        </w:rPr>
        <w:t>建立和完善价值观考核制度。不仅要求员工做事的结果正确，还要求员工按照正确的价值观去做事，为公司培</w:t>
      </w:r>
      <w:r>
        <w:rPr/>
        <w:t> 养品质、业务均优秀的员工。</w:t>
      </w:r>
    </w:p>
    <w:p>
      <w:pPr>
        <w:pStyle w:val="BodyText"/>
        <w:spacing w:line="210" w:lineRule="exact"/>
        <w:ind w:left="725" w:right="0"/>
        <w:jc w:val="left"/>
      </w:pPr>
      <w:r>
        <w:rPr>
          <w:spacing w:val="-3"/>
        </w:rPr>
        <w:t>管理梯队建设。本公司将进一步强化员工培训机制，通过一整套培训计划，包括内部交流课程、外部讲师讲课、</w:t>
      </w:r>
    </w:p>
    <w:p>
      <w:pPr>
        <w:pStyle w:val="BodyText"/>
        <w:spacing w:line="240" w:lineRule="auto"/>
        <w:ind w:right="201"/>
        <w:jc w:val="left"/>
      </w:pPr>
      <w:r>
        <w:rPr/>
        <w:t>行动学习等方式，提升员工的业务技能和综合素质。并通过多种培训人才发展计划为公司储备店长、区域经理等后</w:t>
      </w:r>
      <w:r>
        <w:rPr>
          <w:spacing w:val="-79"/>
        </w:rPr>
        <w:t> </w:t>
      </w:r>
      <w:r>
        <w:rPr>
          <w:spacing w:val="-79"/>
        </w:rPr>
      </w:r>
      <w:r>
        <w:rPr/>
        <w:t>备人才。</w:t>
      </w:r>
    </w:p>
    <w:p>
      <w:pPr>
        <w:pStyle w:val="BodyText"/>
        <w:spacing w:line="232" w:lineRule="exact" w:before="22"/>
        <w:ind w:left="725" w:right="189"/>
        <w:jc w:val="left"/>
      </w:pPr>
      <w:r>
        <w:rPr>
          <w:rFonts w:ascii="Times New Roman" w:hAnsi="Times New Roman" w:cs="Times New Roman" w:eastAsia="Times New Roman" w:hint="default"/>
        </w:rPr>
        <w:t>6</w:t>
      </w:r>
      <w:r>
        <w:rPr/>
        <w:t>、收购兼并计划 </w:t>
      </w:r>
      <w:r>
        <w:rPr>
          <w:spacing w:val="-1"/>
        </w:rPr>
        <w:t>鉴于国内手机售后服务行业目前存在企业规模较小、市场集中度较低、人才资源分散的问题，公司将充分利用</w:t>
      </w:r>
    </w:p>
    <w:p>
      <w:pPr>
        <w:pStyle w:val="BodyText"/>
        <w:spacing w:line="211" w:lineRule="exact"/>
        <w:ind w:right="0"/>
        <w:jc w:val="left"/>
      </w:pPr>
      <w:r>
        <w:rPr/>
        <w:t>市场竞争优势，结合公司发展战略，在时机成熟时，通过收购兼并等资本运作方式，扩张公司的业务规模，实现业</w:t>
      </w:r>
    </w:p>
    <w:p>
      <w:pPr>
        <w:pStyle w:val="BodyText"/>
        <w:spacing w:line="234" w:lineRule="exact"/>
        <w:ind w:right="201"/>
        <w:jc w:val="left"/>
      </w:pPr>
      <w:r>
        <w:rPr/>
        <w:t>务经营与资本运营的有机结合，提升公司竞争实力和抗风险能力。</w:t>
      </w:r>
    </w:p>
    <w:p>
      <w:pPr>
        <w:pStyle w:val="BodyText"/>
        <w:spacing w:line="232" w:lineRule="exact" w:before="23"/>
        <w:ind w:left="725" w:right="108"/>
        <w:jc w:val="left"/>
      </w:pPr>
      <w:r>
        <w:rPr/>
        <w:t>（四）可能面对的风险 </w:t>
      </w:r>
      <w:r>
        <w:rPr>
          <w:spacing w:val="-3"/>
        </w:rPr>
        <w:t>公司在较大规模资金运用和业务较快扩展的背景下，在战略规划、组织设计、机制建立、资源配置、运营管理、</w:t>
      </w:r>
    </w:p>
    <w:p>
      <w:pPr>
        <w:spacing w:after="0" w:line="232" w:lineRule="exact"/>
        <w:jc w:val="left"/>
        <w:sectPr>
          <w:pgSz w:w="11910" w:h="16840"/>
          <w:pgMar w:header="228" w:footer="0" w:top="1100" w:bottom="18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4" w:lineRule="exact" w:before="44"/>
        <w:ind w:right="661"/>
        <w:jc w:val="left"/>
      </w:pPr>
      <w:r>
        <w:rPr/>
        <w:t>资金管理和内部控制等方面，都可能面临更大的挑战。有可能面临的主要困难包括：</w:t>
      </w:r>
    </w:p>
    <w:p>
      <w:pPr>
        <w:pStyle w:val="BodyText"/>
        <w:spacing w:line="240" w:lineRule="exact"/>
        <w:ind w:left="725" w:right="661"/>
        <w:jc w:val="left"/>
      </w:pPr>
      <w:r>
        <w:rPr>
          <w:rFonts w:ascii="Times New Roman" w:hAnsi="Times New Roman" w:cs="Times New Roman" w:eastAsia="Times New Roman" w:hint="default"/>
        </w:rPr>
        <w:t>1</w:t>
      </w:r>
      <w:r>
        <w:rPr/>
        <w:t>、闪电蜂电子商务业务的推广对资金需求量较大，公司可能面临资金不足的困难；</w:t>
      </w:r>
    </w:p>
    <w:p>
      <w:pPr>
        <w:pStyle w:val="BodyText"/>
        <w:spacing w:line="232" w:lineRule="auto"/>
        <w:ind w:left="725" w:right="661"/>
        <w:jc w:val="left"/>
      </w:pPr>
      <w:r>
        <w:rPr>
          <w:rFonts w:ascii="Times New Roman" w:hAnsi="Times New Roman" w:cs="Times New Roman" w:eastAsia="Times New Roman" w:hint="default"/>
        </w:rPr>
        <w:t>2</w:t>
      </w:r>
      <w:r>
        <w:rPr/>
        <w:t>、连锁门店和电子商务同步经营的模式下，公司组织结构日益复杂，公司可能面临管理经验不足的困难。 确保实现发展规划和目标采用的方法和途径 </w:t>
      </w:r>
      <w:r>
        <w:rPr>
          <w:rFonts w:ascii="Times New Roman" w:hAnsi="Times New Roman" w:cs="Times New Roman" w:eastAsia="Times New Roman" w:hint="default"/>
        </w:rPr>
        <w:t>1</w:t>
      </w:r>
      <w:r>
        <w:rPr/>
        <w:t>、在资金方面，本次公开发行股票将为公司实现业务目标提供资金支持，公司将科学合理地组织募集资金投</w:t>
      </w:r>
    </w:p>
    <w:p>
      <w:pPr>
        <w:pStyle w:val="BodyText"/>
        <w:spacing w:line="232" w:lineRule="exact" w:before="9"/>
        <w:ind w:right="661"/>
        <w:jc w:val="left"/>
      </w:pPr>
      <w:r>
        <w:rPr/>
        <w:t>资项目的实施，稳健的推广闪电蜂电子商务业务，尽快实施集约化运营管理中心建设，提升公司整体服务能力；加</w:t>
      </w:r>
      <w:r>
        <w:rPr>
          <w:spacing w:val="-77"/>
        </w:rPr>
        <w:t> </w:t>
      </w:r>
      <w:r>
        <w:rPr>
          <w:spacing w:val="-77"/>
        </w:rPr>
      </w:r>
      <w:r>
        <w:rPr/>
        <w:t>快信息化建设，提高核心竞争力。</w:t>
      </w:r>
    </w:p>
    <w:p>
      <w:pPr>
        <w:pStyle w:val="BodyText"/>
        <w:spacing w:line="232" w:lineRule="exact" w:before="3"/>
        <w:ind w:right="666" w:firstLine="419"/>
        <w:jc w:val="both"/>
      </w:pPr>
      <w:r>
        <w:rPr>
          <w:rFonts w:ascii="Times New Roman" w:hAnsi="Times New Roman" w:cs="Times New Roman" w:eastAsia="Times New Roman" w:hint="default"/>
        </w:rPr>
        <w:t>2</w:t>
      </w:r>
      <w:r>
        <w:rPr/>
        <w:t>、在管理体制上，公司将严格按照上市公司的要求规范运作，建立健全公司的决策机制，完善公司的财务管 理、投资管理等各项制度，完善客户服务体系和质量保障体系，促进公司的平稳高效发展。进一步规范公司的运营</w:t>
      </w:r>
      <w:r>
        <w:rPr>
          <w:spacing w:val="-79"/>
        </w:rPr>
        <w:t> </w:t>
      </w:r>
      <w:r>
        <w:rPr>
          <w:spacing w:val="-79"/>
        </w:rPr>
      </w:r>
      <w:r>
        <w:rPr/>
        <w:t>管理体系，及时进行组织结构和业务流程的调整，确保管理的科学性和有效性。</w:t>
      </w:r>
    </w:p>
    <w:p>
      <w:pPr>
        <w:pStyle w:val="BodyText"/>
        <w:spacing w:line="219" w:lineRule="exact"/>
        <w:ind w:right="661" w:firstLine="419"/>
        <w:jc w:val="left"/>
      </w:pPr>
      <w:r>
        <w:rPr>
          <w:rFonts w:ascii="Times New Roman" w:hAnsi="Times New Roman" w:cs="Times New Roman" w:eastAsia="Times New Roman" w:hint="default"/>
        </w:rPr>
        <w:t>3</w:t>
      </w:r>
      <w:r>
        <w:rPr/>
        <w:t>、在人才方面，公司将进一步完善人才机制和激励机制，加强企业文化建设，充分调动员工的工作热情，激</w:t>
      </w:r>
    </w:p>
    <w:p>
      <w:pPr>
        <w:pStyle w:val="BodyText"/>
        <w:spacing w:line="232" w:lineRule="exact" w:before="17"/>
        <w:ind w:right="661"/>
        <w:jc w:val="left"/>
      </w:pPr>
      <w:r>
        <w:rPr/>
        <w:t>发他们的积极性和创造性，注重现有管理人员综合素质的提高，提高核心管理团队的决策能力和执行能力，不断吸</w:t>
      </w:r>
      <w:r>
        <w:rPr>
          <w:spacing w:val="-79"/>
        </w:rPr>
        <w:t> </w:t>
      </w:r>
      <w:r>
        <w:rPr>
          <w:spacing w:val="-79"/>
        </w:rPr>
      </w:r>
      <w:r>
        <w:rPr/>
        <w:t>收引进优秀人才，为公司可持续发展提供充沛动力。</w:t>
      </w:r>
    </w:p>
    <w:p>
      <w:pPr>
        <w:spacing w:line="240" w:lineRule="auto" w:before="7"/>
        <w:rPr>
          <w:rFonts w:ascii="宋体" w:hAnsi="宋体" w:cs="宋体" w:eastAsia="宋体" w:hint="default"/>
          <w:sz w:val="14"/>
          <w:szCs w:val="14"/>
        </w:rPr>
      </w:pPr>
    </w:p>
    <w:p>
      <w:pPr>
        <w:pStyle w:val="Heading2"/>
        <w:spacing w:line="240" w:lineRule="auto"/>
        <w:ind w:right="661"/>
        <w:jc w:val="left"/>
        <w:rPr>
          <w:b w:val="0"/>
          <w:bCs w:val="0"/>
        </w:rPr>
      </w:pPr>
      <w:r>
        <w:rPr/>
        <w:t>十、接待调研、沟通、采访等活动登记表</w:t>
      </w:r>
      <w:r>
        <w:rPr>
          <w:b w:val="0"/>
          <w:bCs w:val="0"/>
        </w:rPr>
      </w:r>
    </w:p>
    <w:p>
      <w:pPr>
        <w:pStyle w:val="Heading3"/>
        <w:spacing w:line="240" w:lineRule="auto" w:before="210"/>
        <w:ind w:left="305" w:right="661"/>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5"/>
          <w:szCs w:val="15"/>
        </w:rPr>
      </w:pPr>
    </w:p>
    <w:p>
      <w:pPr>
        <w:pStyle w:val="Heading1"/>
        <w:spacing w:line="240" w:lineRule="auto"/>
        <w:ind w:left="3591" w:right="394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4"/>
        <w:rPr>
          <w:rFonts w:ascii="Microsoft JhengHei" w:hAnsi="Microsoft JhengHei" w:cs="Microsoft JhengHei" w:eastAsia="Microsoft JhengHei" w:hint="default"/>
          <w:b/>
          <w:bCs/>
          <w:sz w:val="46"/>
          <w:szCs w:val="46"/>
        </w:rPr>
      </w:pPr>
    </w:p>
    <w:p>
      <w:pPr>
        <w:pStyle w:val="Heading2"/>
        <w:spacing w:line="240" w:lineRule="auto"/>
        <w:ind w:right="661"/>
        <w:jc w:val="left"/>
        <w:rPr>
          <w:b w:val="0"/>
          <w:bCs w:val="0"/>
        </w:rPr>
      </w:pPr>
      <w:r>
        <w:rPr/>
        <w:t>一、公司普通股利润分配及资本公积金转增股本情况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61"/>
        <w:jc w:val="left"/>
      </w:pPr>
      <w:r>
        <w:rPr/>
        <w:t>报告期内普通股利润分配政策，特别是现金分红政策的制定、执行或调整情况</w:t>
      </w:r>
    </w:p>
    <w:p>
      <w:pPr>
        <w:pStyle w:val="BodyText"/>
        <w:spacing w:line="247" w:lineRule="auto" w:before="38"/>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报告期内，公司严格按照《公司章程》相关利润分配政策和审议程序实施利润分配方案，分红标准和分红比例明确 清晰，相关的决策程序和机制完备，相关的议案经董事会、监事会审议过后提交股东大会审议，并由独立董事发表 独立意见，审议通过后在规定时间内进行实施，切实保证了全体股东的利益。</w:t>
      </w:r>
    </w:p>
    <w:p>
      <w:pPr>
        <w:pStyle w:val="BodyText"/>
        <w:spacing w:line="240" w:lineRule="exact" w:before="35"/>
        <w:ind w:right="661"/>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日，公司第</w:t>
      </w:r>
      <w:r>
        <w:rPr>
          <w:spacing w:val="-3"/>
        </w:rPr>
        <w:t>二</w:t>
      </w:r>
      <w:r>
        <w:rPr/>
        <w:t>届董事会第十七次会议审议通过了《关于公司</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年度利</w:t>
      </w:r>
      <w:r>
        <w:rPr>
          <w:spacing w:val="-3"/>
        </w:rPr>
        <w:t>润</w:t>
      </w:r>
      <w:r>
        <w:rPr/>
        <w:t>分配预案的议案</w:t>
      </w:r>
      <w:r>
        <w:rPr>
          <w:spacing w:val="-92"/>
        </w:rPr>
        <w:t>》</w:t>
      </w:r>
      <w:r>
        <w:rPr/>
        <w:t>，以公</w:t>
      </w:r>
    </w:p>
    <w:p>
      <w:pPr>
        <w:pStyle w:val="BodyText"/>
        <w:spacing w:line="240" w:lineRule="exact"/>
        <w:ind w:right="661"/>
        <w:jc w:val="left"/>
      </w:pPr>
      <w:r>
        <w:rPr/>
        <w:t>司总股本</w:t>
      </w:r>
      <w:r>
        <w:rPr>
          <w:spacing w:val="-45"/>
        </w:rPr>
        <w:t> </w:t>
      </w:r>
      <w:r>
        <w:rPr>
          <w:rFonts w:ascii="Times New Roman" w:hAnsi="Times New Roman" w:cs="Times New Roman" w:eastAsia="Times New Roman" w:hint="default"/>
          <w:spacing w:val="1"/>
        </w:rPr>
        <w:t>54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股为基</w:t>
      </w:r>
      <w:r>
        <w:rPr>
          <w:spacing w:val="-3"/>
        </w:rPr>
        <w:t>数</w:t>
      </w:r>
      <w:r>
        <w:rPr/>
        <w:t>，向全体股东每</w:t>
      </w:r>
      <w:r>
        <w:rPr>
          <w:spacing w:val="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股派发</w:t>
      </w:r>
      <w:r>
        <w:rPr>
          <w:spacing w:val="-3"/>
        </w:rPr>
        <w:t>现</w:t>
      </w:r>
      <w:r>
        <w:rPr/>
        <w:t>金红利</w:t>
      </w:r>
      <w:r>
        <w:rPr>
          <w:spacing w:val="-45"/>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元（</w:t>
      </w:r>
      <w:r>
        <w:rPr>
          <w:spacing w:val="1"/>
        </w:rPr>
        <w:t> </w:t>
      </w:r>
      <w:r>
        <w:rPr/>
        <w:t>含税</w:t>
      </w:r>
      <w:r>
        <w:rPr>
          <w:spacing w:val="-92"/>
        </w:rPr>
        <w:t>）</w:t>
      </w:r>
      <w:r>
        <w:rPr/>
        <w:t>。</w:t>
      </w:r>
    </w:p>
    <w:p>
      <w:pPr>
        <w:spacing w:line="240" w:lineRule="auto" w:before="2"/>
        <w:rPr>
          <w:rFonts w:ascii="宋体" w:hAnsi="宋体" w:cs="宋体" w:eastAsia="宋体" w:hint="default"/>
          <w:sz w:val="20"/>
          <w:szCs w:val="20"/>
        </w:rPr>
      </w:pPr>
    </w:p>
    <w:tbl>
      <w:tblPr>
        <w:tblW w:w="0" w:type="auto"/>
        <w:jc w:val="left"/>
        <w:tblInd w:w="312" w:type="dxa"/>
        <w:tblLayout w:type="fixed"/>
        <w:tblCellMar>
          <w:top w:w="0" w:type="dxa"/>
          <w:left w:w="0" w:type="dxa"/>
          <w:bottom w:w="0" w:type="dxa"/>
          <w:right w:w="0" w:type="dxa"/>
        </w:tblCellMar>
        <w:tblLook w:val="01E0"/>
      </w:tblPr>
      <w:tblGrid>
        <w:gridCol w:w="4761"/>
        <w:gridCol w:w="4797"/>
      </w:tblGrid>
      <w:tr>
        <w:trPr>
          <w:trHeight w:val="31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2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1"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8"/>
        <w:ind w:right="661"/>
        <w:jc w:val="left"/>
      </w:pPr>
      <w:r>
        <w:rPr/>
        <w:t>公司报告期利润分配预案及资本公积金转增股本预案与公司章程和分红管理办法等的相关规定一致</w:t>
      </w:r>
    </w:p>
    <w:p>
      <w:pPr>
        <w:spacing w:after="0" w:line="240" w:lineRule="auto"/>
        <w:jc w:val="left"/>
        <w:sectPr>
          <w:pgSz w:w="11910" w:h="16840"/>
          <w:pgMar w:header="228" w:footer="0" w:top="1100" w:bottom="18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71" w:lineRule="auto" w:before="44"/>
        <w:ind w:right="3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6"/>
        <w:rPr>
          <w:rFonts w:ascii="宋体" w:hAnsi="宋体" w:cs="宋体" w:eastAsia="宋体" w:hint="default"/>
          <w:sz w:val="3"/>
          <w:szCs w:val="3"/>
        </w:rPr>
      </w:pPr>
    </w:p>
    <w:tbl>
      <w:tblPr>
        <w:tblW w:w="0" w:type="auto"/>
        <w:jc w:val="left"/>
        <w:tblInd w:w="312" w:type="dxa"/>
        <w:tblLayout w:type="fixed"/>
        <w:tblCellMar>
          <w:top w:w="0" w:type="dxa"/>
          <w:left w:w="0" w:type="dxa"/>
          <w:bottom w:w="0" w:type="dxa"/>
          <w:right w:w="0" w:type="dxa"/>
        </w:tblCellMar>
        <w:tblLook w:val="01E0"/>
      </w:tblPr>
      <w:tblGrid>
        <w:gridCol w:w="3694"/>
        <w:gridCol w:w="5865"/>
      </w:tblGrid>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6.80</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5</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54,308,700</w:t>
            </w:r>
          </w:p>
        </w:tc>
      </w:tr>
      <w:tr>
        <w:trPr>
          <w:trHeight w:val="322"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2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32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55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r>
              <w:rPr>
                <w:rFonts w:ascii="宋体" w:hAnsi="宋体" w:cs="宋体" w:eastAsia="宋体" w:hint="default"/>
                <w:spacing w:val="-15"/>
                <w:sz w:val="18"/>
                <w:szCs w:val="18"/>
              </w:rPr>
              <w:t>，</w:t>
            </w:r>
            <w:r>
              <w:rPr>
                <w:rFonts w:ascii="宋体" w:hAnsi="宋体" w:cs="宋体" w:eastAsia="宋体" w:hint="default"/>
                <w:sz w:val="18"/>
                <w:szCs w:val="18"/>
              </w:rPr>
              <w:t>向</w:t>
            </w:r>
            <w:r>
              <w:rPr>
                <w:rFonts w:ascii="宋体" w:hAnsi="宋体" w:cs="宋体" w:eastAsia="宋体" w:hint="default"/>
                <w:spacing w:val="-3"/>
                <w:sz w:val="18"/>
                <w:szCs w:val="18"/>
              </w:rPr>
              <w:t>全</w:t>
            </w:r>
            <w:r>
              <w:rPr>
                <w:rFonts w:ascii="宋体" w:hAnsi="宋体" w:cs="宋体" w:eastAsia="宋体" w:hint="default"/>
                <w:sz w:val="18"/>
                <w:szCs w:val="18"/>
              </w:rPr>
              <w:t>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送红股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股</w:t>
            </w:r>
            <w:r>
              <w:rPr>
                <w:rFonts w:ascii="宋体" w:hAnsi="宋体" w:cs="宋体" w:eastAsia="宋体" w:hint="default"/>
                <w:sz w:val="18"/>
                <w:szCs w:val="18"/>
              </w:rPr>
              <w:t>（</w:t>
            </w:r>
            <w:r>
              <w:rPr>
                <w:rFonts w:ascii="宋体" w:hAnsi="宋体" w:cs="宋体" w:eastAsia="宋体" w:hint="default"/>
                <w:spacing w:val="-3"/>
                <w:sz w:val="18"/>
                <w:szCs w:val="18"/>
              </w:rPr>
              <w:t>含</w:t>
            </w: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以资本公积向全体股东每</w:t>
            </w:r>
          </w:p>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8"/>
        <w:ind w:right="661"/>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1" w:lineRule="exact" w:before="27"/>
        <w:ind w:left="665" w:right="554"/>
        <w:jc w:val="left"/>
      </w:pPr>
      <w:r>
        <w:rPr/>
        <w:t>经公司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12 </w:t>
      </w:r>
      <w:r>
        <w:rPr/>
        <w:t>日召开的第二届董事会第十七次会议审议通过，公司以目前</w:t>
      </w:r>
      <w:r>
        <w:rPr>
          <w:spacing w:val="-45"/>
        </w:rPr>
        <w:t> </w:t>
      </w:r>
      <w:r>
        <w:rPr>
          <w:rFonts w:ascii="Times New Roman" w:hAnsi="Times New Roman" w:cs="Times New Roman" w:eastAsia="Times New Roman" w:hint="default"/>
        </w:rPr>
        <w:t>54,308,700 </w:t>
      </w:r>
      <w:r>
        <w:rPr/>
        <w:t>股为基数，拟向</w:t>
      </w:r>
    </w:p>
    <w:p>
      <w:pPr>
        <w:pStyle w:val="BodyText"/>
        <w:spacing w:line="232" w:lineRule="exact"/>
        <w:ind w:right="661"/>
        <w:jc w:val="left"/>
      </w:pPr>
      <w:r>
        <w:rPr/>
        <w:t>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w:t>
      </w:r>
      <w:r>
        <w:rPr>
          <w:spacing w:val="-3"/>
        </w:rPr>
        <w:t>红</w:t>
      </w:r>
      <w:r>
        <w:rPr/>
        <w:t>利</w:t>
      </w:r>
      <w:r>
        <w:rPr>
          <w:spacing w:val="-4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元（含税</w:t>
      </w:r>
      <w:r>
        <w:rPr>
          <w:spacing w:val="-92"/>
        </w:rPr>
        <w:t>）</w:t>
      </w:r>
      <w:r>
        <w:rPr/>
        <w:t>，以资本公积向全体股东每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w:t>
      </w:r>
      <w:r>
        <w:rPr>
          <w:spacing w:val="-2"/>
        </w:rPr>
        <w:t>，</w:t>
      </w:r>
      <w:r>
        <w:rPr/>
        <w:t>共计派发现金红利</w:t>
      </w:r>
    </w:p>
    <w:p>
      <w:pPr>
        <w:pStyle w:val="BodyText"/>
        <w:spacing w:line="240" w:lineRule="exact"/>
        <w:ind w:right="661"/>
        <w:jc w:val="left"/>
      </w:pPr>
      <w:r>
        <w:rPr>
          <w:rFonts w:ascii="Times New Roman" w:hAnsi="Times New Roman" w:cs="Times New Roman" w:eastAsia="Times New Roman" w:hint="default"/>
          <w:spacing w:val="1"/>
        </w:rPr>
        <w:t>36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元（含税</w:t>
      </w:r>
      <w:r>
        <w:rPr>
          <w:spacing w:val="-92"/>
        </w:rPr>
        <w:t>）</w:t>
      </w:r>
      <w:r>
        <w:rPr/>
        <w:t>，个</w:t>
      </w:r>
      <w:r>
        <w:rPr>
          <w:spacing w:val="-3"/>
        </w:rPr>
        <w:t>人</w:t>
      </w:r>
      <w:r>
        <w:rPr/>
        <w:t>所得税由公司代扣代缴。此预案尚需提交至</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年年度股</w:t>
      </w:r>
      <w:r>
        <w:rPr>
          <w:spacing w:val="-3"/>
        </w:rPr>
        <w:t>东</w:t>
      </w:r>
      <w:r>
        <w:rPr/>
        <w:t>大会审议。</w:t>
      </w:r>
    </w:p>
    <w:p>
      <w:pPr>
        <w:pStyle w:val="BodyText"/>
        <w:spacing w:line="241" w:lineRule="exact" w:before="27"/>
        <w:ind w:left="665" w:right="554"/>
        <w:jc w:val="left"/>
      </w:pPr>
      <w:r>
        <w:rPr/>
        <w:t>经公司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日召开的</w:t>
      </w:r>
      <w:r>
        <w:rPr>
          <w:spacing w:val="-47"/>
        </w:rPr>
        <w:t> </w:t>
      </w:r>
      <w:r>
        <w:rPr>
          <w:rFonts w:ascii="Times New Roman" w:hAnsi="Times New Roman" w:cs="Times New Roman" w:eastAsia="Times New Roman" w:hint="default"/>
        </w:rPr>
        <w:t>2016 </w:t>
      </w:r>
      <w:r>
        <w:rPr/>
        <w:t>年年度股东大会审议通过，公司以当时</w:t>
      </w:r>
      <w:r>
        <w:rPr>
          <w:spacing w:val="-47"/>
        </w:rPr>
        <w:t> </w:t>
      </w:r>
      <w:r>
        <w:rPr>
          <w:rFonts w:ascii="Times New Roman" w:hAnsi="Times New Roman" w:cs="Times New Roman" w:eastAsia="Times New Roman" w:hint="default"/>
        </w:rPr>
        <w:t>40,731,500</w:t>
      </w:r>
      <w:r>
        <w:rPr>
          <w:rFonts w:ascii="Times New Roman" w:hAnsi="Times New Roman" w:cs="Times New Roman" w:eastAsia="Times New Roman" w:hint="default"/>
          <w:spacing w:val="1"/>
        </w:rPr>
        <w:t> </w:t>
      </w:r>
      <w:r>
        <w:rPr/>
        <w:t>股为基数，向全体股东</w:t>
      </w:r>
    </w:p>
    <w:p>
      <w:pPr>
        <w:pStyle w:val="BodyText"/>
        <w:spacing w:line="241" w:lineRule="exact"/>
        <w:ind w:right="554"/>
        <w:jc w:val="left"/>
      </w:pPr>
      <w:r>
        <w:rPr/>
        <w:t>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w:t>
      </w:r>
      <w:r>
        <w:rPr>
          <w:spacing w:val="-3"/>
        </w:rPr>
        <w:t>红</w:t>
      </w:r>
      <w:r>
        <w:rPr/>
        <w:t>利</w:t>
      </w:r>
      <w:r>
        <w:rPr>
          <w:spacing w:val="-44"/>
        </w:rPr>
        <w:t> </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t>（含税</w:t>
      </w:r>
      <w:r>
        <w:rPr>
          <w:spacing w:val="-92"/>
        </w:rPr>
        <w:t>）</w:t>
      </w:r>
      <w:r>
        <w:rPr/>
        <w:t>，共计派发现金红利</w:t>
      </w:r>
      <w:r>
        <w:rPr>
          <w:spacing w:val="-44"/>
        </w:rPr>
        <w:t> </w:t>
      </w:r>
      <w:r>
        <w:rPr>
          <w:rFonts w:ascii="Times New Roman" w:hAnsi="Times New Roman" w:cs="Times New Roman" w:eastAsia="Times New Roman" w:hint="default"/>
          <w:spacing w:val="1"/>
        </w:rPr>
        <w:t>32</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85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元（含税</w:t>
      </w:r>
      <w:r>
        <w:rPr>
          <w:spacing w:val="-92"/>
        </w:rPr>
        <w:t>）</w:t>
      </w:r>
      <w:r>
        <w:rPr/>
        <w:t>，个</w:t>
      </w:r>
      <w:r>
        <w:rPr>
          <w:spacing w:val="-3"/>
        </w:rPr>
        <w:t>人</w:t>
      </w:r>
      <w:r>
        <w:rPr/>
        <w:t>所得税由公司代扣代缴。</w:t>
      </w:r>
    </w:p>
    <w:p>
      <w:pPr>
        <w:pStyle w:val="BodyText"/>
        <w:spacing w:line="240" w:lineRule="exact" w:before="27"/>
        <w:ind w:left="665" w:right="554"/>
        <w:jc w:val="left"/>
      </w:pPr>
      <w:r>
        <w:rPr/>
        <w:t>经公司</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日召开的</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3"/>
        </w:rPr>
        <w:t>年年度股东大会审议通过，公司以当时</w:t>
      </w:r>
      <w:r>
        <w:rPr>
          <w:spacing w:val="-45"/>
        </w:rPr>
        <w:t> </w:t>
      </w:r>
      <w:r>
        <w:rPr>
          <w:rFonts w:ascii="Times New Roman" w:hAnsi="Times New Roman" w:cs="Times New Roman" w:eastAsia="Times New Roman" w:hint="default"/>
        </w:rPr>
        <w:t>40,731,500</w:t>
      </w:r>
      <w:r>
        <w:rPr>
          <w:rFonts w:ascii="Times New Roman" w:hAnsi="Times New Roman" w:cs="Times New Roman" w:eastAsia="Times New Roman" w:hint="default"/>
          <w:spacing w:val="3"/>
        </w:rPr>
        <w:t> </w:t>
      </w:r>
      <w:r>
        <w:rPr>
          <w:spacing w:val="-5"/>
        </w:rPr>
        <w:t>股为基数，向全体股东</w:t>
      </w:r>
    </w:p>
    <w:p>
      <w:pPr>
        <w:pStyle w:val="BodyText"/>
        <w:spacing w:line="240" w:lineRule="exact"/>
        <w:ind w:right="554"/>
        <w:jc w:val="left"/>
      </w:pPr>
      <w:r>
        <w:rPr/>
        <w:t>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w:t>
      </w:r>
      <w:r>
        <w:rPr>
          <w:spacing w:val="-3"/>
        </w:rPr>
        <w:t>红</w:t>
      </w:r>
      <w:r>
        <w:rPr/>
        <w:t>利</w:t>
      </w:r>
      <w:r>
        <w:rPr>
          <w:spacing w:val="-4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t>（含税</w:t>
      </w:r>
      <w:r>
        <w:rPr>
          <w:spacing w:val="-92"/>
        </w:rPr>
        <w:t>）</w:t>
      </w:r>
      <w:r>
        <w:rPr/>
        <w:t>，共计派发现金红利</w:t>
      </w:r>
      <w:r>
        <w:rPr>
          <w:spacing w:val="-44"/>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元（含税</w:t>
      </w:r>
      <w:r>
        <w:rPr>
          <w:spacing w:val="-92"/>
        </w:rPr>
        <w:t>）</w:t>
      </w:r>
      <w:r>
        <w:rPr/>
        <w:t>，个</w:t>
      </w:r>
      <w:r>
        <w:rPr>
          <w:spacing w:val="-3"/>
        </w:rPr>
        <w:t>人</w:t>
      </w:r>
      <w:r>
        <w:rPr/>
        <w:t>所得税由公司代扣代缴。</w:t>
      </w:r>
    </w:p>
    <w:p>
      <w:pPr>
        <w:spacing w:line="240" w:lineRule="auto" w:before="12"/>
        <w:rPr>
          <w:rFonts w:ascii="宋体" w:hAnsi="宋体" w:cs="宋体" w:eastAsia="宋体" w:hint="default"/>
          <w:sz w:val="19"/>
          <w:szCs w:val="19"/>
        </w:rPr>
      </w:pPr>
    </w:p>
    <w:p>
      <w:pPr>
        <w:pStyle w:val="BodyText"/>
        <w:spacing w:line="240" w:lineRule="auto" w:before="44"/>
        <w:ind w:right="661"/>
        <w:jc w:val="left"/>
      </w:pPr>
      <w:r>
        <w:rPr/>
        <w:t>公司近三年（包括本报告期）普通股现金分红情况表</w:t>
      </w:r>
    </w:p>
    <w:p>
      <w:pPr>
        <w:pStyle w:val="BodyText"/>
        <w:spacing w:line="240" w:lineRule="auto" w:before="38"/>
        <w:ind w:left="0" w:right="663"/>
        <w:jc w:val="right"/>
      </w:pPr>
      <w:r>
        <w:rPr/>
        <w:t>单位：元</w:t>
      </w:r>
    </w:p>
    <w:p>
      <w:pPr>
        <w:spacing w:line="240" w:lineRule="auto" w:before="5"/>
        <w:rPr>
          <w:rFonts w:ascii="宋体" w:hAnsi="宋体" w:cs="宋体" w:eastAsia="宋体" w:hint="default"/>
          <w:sz w:val="5"/>
          <w:szCs w:val="5"/>
        </w:rPr>
      </w:pPr>
    </w:p>
    <w:tbl>
      <w:tblPr>
        <w:tblW w:w="0" w:type="auto"/>
        <w:jc w:val="left"/>
        <w:tblInd w:w="312"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238"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72"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430" w:right="74"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429" w:right="72"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18"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15"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238"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36,929,916.00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39,635,195.46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47,250,173.48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68.96%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24,438,900.00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40,076,727.97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60.98%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
        <w:ind w:right="661"/>
        <w:jc w:val="left"/>
      </w:pPr>
      <w:r>
        <w:rPr/>
        <w:t>公司报告期内盈利且母公司可供普通股股东分配利润为正但未提出普通股现金红利分配预案</w:t>
      </w:r>
    </w:p>
    <w:p>
      <w:pPr>
        <w:pStyle w:val="BodyText"/>
        <w:spacing w:line="240" w:lineRule="auto" w:before="38"/>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15"/>
          <w:szCs w:val="15"/>
        </w:rPr>
      </w:pPr>
    </w:p>
    <w:p>
      <w:pPr>
        <w:pStyle w:val="Heading2"/>
        <w:spacing w:line="240" w:lineRule="auto"/>
        <w:ind w:right="661"/>
        <w:jc w:val="left"/>
        <w:rPr>
          <w:b w:val="0"/>
          <w:bCs w:val="0"/>
        </w:rPr>
      </w:pPr>
      <w:r>
        <w:rPr/>
        <w:t>二、承诺事项履行情况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Heading3"/>
        <w:spacing w:line="180" w:lineRule="auto"/>
        <w:ind w:left="305" w:right="661"/>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w:t>
      </w:r>
      <w:r>
        <w:rPr>
          <w:spacing w:val="31"/>
        </w:rPr>
        <w:t> </w:t>
      </w:r>
      <w:r>
        <w:rPr>
          <w:spacing w:val="31"/>
        </w:rPr>
      </w:r>
      <w:r>
        <w:rPr/>
        <w:t>告期末尚未履行完毕的承诺事项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228" w:footer="0" w:top="1100" w:bottom="180" w:left="168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9"/>
        <w:gridCol w:w="994"/>
        <w:gridCol w:w="1133"/>
        <w:gridCol w:w="2552"/>
        <w:gridCol w:w="852"/>
        <w:gridCol w:w="850"/>
        <w:gridCol w:w="920"/>
      </w:tblGrid>
      <w:tr>
        <w:trPr>
          <w:trHeight w:val="32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57"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3" w:right="74"/>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168" w:hRule="exact"/>
        </w:trPr>
        <w:tc>
          <w:tcPr>
            <w:tcW w:w="226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23" w:lineRule="auto"/>
              <w:ind w:left="16" w:right="187"/>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达 安世纪</w:t>
            </w:r>
            <w:r>
              <w:rPr>
                <w:rFonts w:ascii="Times New Roman" w:hAnsi="Times New Roman" w:cs="Times New Roman" w:eastAsia="Times New Roman" w:hint="default"/>
                <w:sz w:val="18"/>
                <w:szCs w:val="18"/>
              </w:rPr>
              <w:t>;</w:t>
            </w:r>
            <w:r>
              <w:rPr>
                <w:rFonts w:ascii="宋体" w:hAnsi="宋体" w:cs="宋体" w:eastAsia="宋体" w:hint="default"/>
                <w:sz w:val="18"/>
                <w:szCs w:val="18"/>
              </w:rPr>
              <w:t>悦 华众城</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6"/>
              <w:ind w:left="21"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552" w:type="dxa"/>
            <w:vMerge w:val="restart"/>
            <w:tcBorders>
              <w:top w:val="single" w:sz="4" w:space="0" w:color="000000"/>
              <w:left w:val="single" w:sz="4" w:space="0" w:color="000000"/>
              <w:right w:val="single" w:sz="4" w:space="0" w:color="000000"/>
            </w:tcBorders>
          </w:tcPr>
          <w:p>
            <w:pPr>
              <w:pStyle w:val="TableParagraph"/>
              <w:spacing w:line="23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自公司股票在证券交易所上市 </w:t>
            </w:r>
            <w:r>
              <w:rPr>
                <w:rFonts w:ascii="宋体" w:hAnsi="宋体" w:cs="宋体" w:eastAsia="宋体" w:hint="default"/>
                <w:spacing w:val="-2"/>
                <w:sz w:val="18"/>
                <w:szCs w:val="18"/>
              </w:rPr>
              <w:t>交易之日起三十六个月内，不转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让或者委托他人管理其直接或 </w:t>
            </w:r>
            <w:r>
              <w:rPr>
                <w:rFonts w:ascii="宋体" w:hAnsi="宋体" w:cs="宋体" w:eastAsia="宋体" w:hint="default"/>
                <w:spacing w:val="-2"/>
                <w:sz w:val="18"/>
                <w:szCs w:val="18"/>
              </w:rPr>
              <w:t>间接所持有的公司股份，也不由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公司回购其持有的公司股份。除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上述锁定期外，在刘铁峰任公司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董事长、总经理期间每年转让的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股份不超过刘铁峰直接或间接 所持公司股份总数的百分之二 </w:t>
            </w:r>
            <w:r>
              <w:rPr>
                <w:rFonts w:ascii="宋体" w:hAnsi="宋体" w:cs="宋体" w:eastAsia="宋体" w:hint="default"/>
                <w:spacing w:val="-2"/>
                <w:sz w:val="18"/>
                <w:szCs w:val="18"/>
              </w:rPr>
              <w:t>十五；刘铁峰离职后半年内，不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转让其所持有的公司股份。若刘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铁峰在上市之日起六个月内申 </w:t>
            </w:r>
            <w:r>
              <w:rPr>
                <w:rFonts w:ascii="宋体" w:hAnsi="宋体" w:cs="宋体" w:eastAsia="宋体" w:hint="default"/>
                <w:spacing w:val="-2"/>
                <w:sz w:val="18"/>
                <w:szCs w:val="18"/>
              </w:rPr>
              <w:t>报离职，自申报离职之日起十八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个月内不转让其持有的公司股 </w:t>
            </w:r>
            <w:r>
              <w:rPr>
                <w:rFonts w:ascii="宋体" w:hAnsi="宋体" w:cs="宋体" w:eastAsia="宋体" w:hint="default"/>
                <w:spacing w:val="-2"/>
                <w:sz w:val="18"/>
                <w:szCs w:val="18"/>
              </w:rPr>
              <w:t>份；若刘铁峰在上市之日起第七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个月至第十二个月之间申报离 </w:t>
            </w:r>
            <w:r>
              <w:rPr>
                <w:rFonts w:ascii="宋体" w:hAnsi="宋体" w:cs="宋体" w:eastAsia="宋体" w:hint="default"/>
                <w:spacing w:val="-2"/>
                <w:sz w:val="18"/>
                <w:szCs w:val="18"/>
              </w:rPr>
              <w:t>职，自申报离职之日起十二个月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内不转让其持有的公司股份。所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持股票在锁定期满后两年内减 持的，其减持价格不低于发行 </w:t>
            </w:r>
            <w:r>
              <w:rPr>
                <w:rFonts w:ascii="宋体" w:hAnsi="宋体" w:cs="宋体" w:eastAsia="宋体" w:hint="default"/>
                <w:spacing w:val="-2"/>
                <w:sz w:val="18"/>
                <w:szCs w:val="18"/>
              </w:rPr>
              <w:t>价；若公司上市后六个月内公司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股票连续二十个交易日的收盘 </w:t>
            </w:r>
            <w:r>
              <w:rPr>
                <w:rFonts w:ascii="宋体" w:hAnsi="宋体" w:cs="宋体" w:eastAsia="宋体" w:hint="default"/>
                <w:spacing w:val="-2"/>
                <w:sz w:val="18"/>
                <w:szCs w:val="18"/>
              </w:rPr>
              <w:t>价均低于发行价，或者公司上市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后六个月期末股票收盘价低于 </w:t>
            </w:r>
            <w:r>
              <w:rPr>
                <w:rFonts w:ascii="宋体" w:hAnsi="宋体" w:cs="宋体" w:eastAsia="宋体" w:hint="default"/>
                <w:spacing w:val="-2"/>
                <w:sz w:val="18"/>
                <w:szCs w:val="18"/>
              </w:rPr>
              <w:t>发行价，持有公司股票的锁定期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限自动延长六个月。</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6"/>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47" w:hRule="exact"/>
        </w:trPr>
        <w:tc>
          <w:tcPr>
            <w:tcW w:w="22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2"/>
              <w:ind w:left="23" w:right="74"/>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994" w:type="dxa"/>
            <w:vMerge/>
            <w:tcBorders>
              <w:left w:val="single" w:sz="10" w:space="0" w:color="D2D2D2"/>
              <w:right w:val="single" w:sz="4" w:space="0" w:color="000000"/>
            </w:tcBorders>
          </w:tcPr>
          <w:p>
            <w:pPr/>
          </w:p>
        </w:tc>
        <w:tc>
          <w:tcPr>
            <w:tcW w:w="1133" w:type="dxa"/>
            <w:vMerge/>
            <w:tcBorders>
              <w:left w:val="single" w:sz="4" w:space="0" w:color="000000"/>
              <w:right w:val="single" w:sz="4" w:space="0" w:color="000000"/>
            </w:tcBorders>
          </w:tcPr>
          <w:p>
            <w:pPr/>
          </w:p>
        </w:tc>
        <w:tc>
          <w:tcPr>
            <w:tcW w:w="25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446" w:hRule="exact"/>
        </w:trPr>
        <w:tc>
          <w:tcPr>
            <w:tcW w:w="2269"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10" w:space="0" w:color="D2D2D2"/>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4719" w:hRule="exact"/>
        </w:trPr>
        <w:tc>
          <w:tcPr>
            <w:tcW w:w="2269"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4"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自公司股票在证券交易所上市 </w:t>
            </w:r>
            <w:r>
              <w:rPr>
                <w:rFonts w:ascii="宋体" w:hAnsi="宋体" w:cs="宋体" w:eastAsia="宋体" w:hint="default"/>
                <w:spacing w:val="-2"/>
                <w:sz w:val="18"/>
                <w:szCs w:val="18"/>
              </w:rPr>
              <w:t>交易之日起十二个月内，不转让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或者委托他人管理其持有的公 </w:t>
            </w:r>
            <w:r>
              <w:rPr>
                <w:rFonts w:ascii="宋体" w:hAnsi="宋体" w:cs="宋体" w:eastAsia="宋体" w:hint="default"/>
                <w:spacing w:val="-2"/>
                <w:sz w:val="18"/>
                <w:szCs w:val="18"/>
              </w:rPr>
              <w:t>司股份，也不由公司回购其持有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的公司股份。除上述锁定期外， 在其任职期间每年转让的股份 不超过其直接或间接所持公司 </w:t>
            </w:r>
            <w:r>
              <w:rPr>
                <w:rFonts w:ascii="宋体" w:hAnsi="宋体" w:cs="宋体" w:eastAsia="宋体" w:hint="default"/>
                <w:spacing w:val="-2"/>
                <w:sz w:val="18"/>
                <w:szCs w:val="18"/>
              </w:rPr>
              <w:t>股份总数的百分之二十五；离职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后半年内，不转让其所持有的公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司股份。在上市之日起六个月内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申报离职的，自申报离职之日起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十八个月内不转让其持有的公 </w:t>
            </w:r>
            <w:r>
              <w:rPr>
                <w:rFonts w:ascii="宋体" w:hAnsi="宋体" w:cs="宋体" w:eastAsia="宋体" w:hint="default"/>
                <w:spacing w:val="-2"/>
                <w:sz w:val="18"/>
                <w:szCs w:val="18"/>
              </w:rPr>
              <w:t>司股份；在上市之日起第七个月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至第十二个月之间申报离职的， 自申报离职之日起十二个月内 </w:t>
            </w:r>
            <w:r>
              <w:rPr>
                <w:rFonts w:ascii="宋体" w:hAnsi="宋体" w:cs="宋体" w:eastAsia="宋体" w:hint="default"/>
                <w:spacing w:val="-2"/>
                <w:sz w:val="18"/>
                <w:szCs w:val="18"/>
              </w:rPr>
              <w:t>不转让其持有的公司股份。本人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所持的发行人股票在锁定期满 </w:t>
            </w:r>
            <w:r>
              <w:rPr>
                <w:rFonts w:ascii="宋体" w:hAnsi="宋体" w:cs="宋体" w:eastAsia="宋体" w:hint="default"/>
                <w:spacing w:val="-2"/>
                <w:sz w:val="18"/>
                <w:szCs w:val="18"/>
              </w:rPr>
              <w:t>后两年内减持的，其减持价格不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低于发行人首次公开发行股票 </w:t>
            </w:r>
            <w:r>
              <w:rPr>
                <w:rFonts w:ascii="宋体" w:hAnsi="宋体" w:cs="宋体" w:eastAsia="宋体" w:hint="default"/>
                <w:spacing w:val="-2"/>
                <w:sz w:val="18"/>
                <w:szCs w:val="18"/>
              </w:rPr>
              <w:t>时的发行价格；若公司上市后六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4"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234" w:lineRule="exact"/>
        <w:jc w:val="left"/>
        <w:rPr>
          <w:rFonts w:ascii="宋体" w:hAnsi="宋体" w:cs="宋体" w:eastAsia="宋体" w:hint="default"/>
          <w:sz w:val="18"/>
          <w:szCs w:val="18"/>
        </w:rPr>
        <w:sectPr>
          <w:headerReference w:type="default" r:id="rId25"/>
          <w:pgSz w:w="11910" w:h="16840"/>
          <w:pgMar w:header="228" w:footer="0" w:top="1100" w:bottom="160" w:left="168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8"/>
        <w:gridCol w:w="994"/>
        <w:gridCol w:w="1133"/>
        <w:gridCol w:w="2552"/>
        <w:gridCol w:w="852"/>
        <w:gridCol w:w="850"/>
        <w:gridCol w:w="920"/>
      </w:tblGrid>
      <w:tr>
        <w:trPr>
          <w:trHeight w:val="1682"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2"/>
              <w:jc w:val="left"/>
              <w:rPr>
                <w:rFonts w:ascii="宋体" w:hAnsi="宋体" w:cs="宋体" w:eastAsia="宋体" w:hint="default"/>
                <w:sz w:val="18"/>
                <w:szCs w:val="18"/>
              </w:rPr>
            </w:pPr>
            <w:r>
              <w:rPr>
                <w:rFonts w:ascii="宋体" w:hAnsi="宋体" w:cs="宋体" w:eastAsia="宋体" w:hint="default"/>
                <w:sz w:val="18"/>
                <w:szCs w:val="18"/>
              </w:rPr>
              <w:t>个月内如公司股票连续二十个</w:t>
            </w:r>
          </w:p>
          <w:p>
            <w:pPr>
              <w:pStyle w:val="TableParagraph"/>
              <w:spacing w:line="237" w:lineRule="auto"/>
              <w:ind w:left="23" w:right="-2"/>
              <w:jc w:val="left"/>
              <w:rPr>
                <w:rFonts w:ascii="宋体" w:hAnsi="宋体" w:cs="宋体" w:eastAsia="宋体" w:hint="default"/>
                <w:sz w:val="18"/>
                <w:szCs w:val="18"/>
              </w:rPr>
            </w:pPr>
            <w:r>
              <w:rPr>
                <w:rFonts w:ascii="宋体" w:hAnsi="宋体" w:cs="宋体" w:eastAsia="宋体" w:hint="default"/>
                <w:sz w:val="18"/>
                <w:szCs w:val="18"/>
              </w:rPr>
              <w:t>交易日的收盘价均低于发行价， 或者上市后六个月期末收盘价 </w:t>
            </w:r>
            <w:r>
              <w:rPr>
                <w:rFonts w:ascii="宋体" w:hAnsi="宋体" w:cs="宋体" w:eastAsia="宋体" w:hint="default"/>
                <w:spacing w:val="-2"/>
                <w:sz w:val="18"/>
                <w:szCs w:val="18"/>
              </w:rPr>
              <w:t>低于发行价，持有公司股票的锁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定期限自动延长六个月。本人不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因职务变更、离职等原因而放弃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履行上述延长锁定期限的承诺。</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6863"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24" w:right="187"/>
              <w:jc w:val="left"/>
              <w:rPr>
                <w:rFonts w:ascii="宋体" w:hAnsi="宋体" w:cs="宋体" w:eastAsia="宋体" w:hint="default"/>
                <w:sz w:val="18"/>
                <w:szCs w:val="18"/>
              </w:rPr>
            </w:pPr>
            <w:r>
              <w:rPr>
                <w:rFonts w:ascii="宋体" w:hAnsi="宋体" w:cs="宋体" w:eastAsia="宋体" w:hint="default"/>
                <w:sz w:val="18"/>
                <w:szCs w:val="18"/>
              </w:rPr>
              <w:t>李岩</w:t>
            </w:r>
            <w:r>
              <w:rPr>
                <w:rFonts w:ascii="Times New Roman" w:hAnsi="Times New Roman" w:cs="Times New Roman" w:eastAsia="Times New Roman" w:hint="default"/>
                <w:sz w:val="18"/>
                <w:szCs w:val="18"/>
              </w:rPr>
              <w:t>;</w:t>
            </w:r>
            <w:r>
              <w:rPr>
                <w:rFonts w:ascii="宋体" w:hAnsi="宋体" w:cs="宋体" w:eastAsia="宋体" w:hint="default"/>
                <w:sz w:val="18"/>
                <w:szCs w:val="18"/>
              </w:rPr>
              <w:t>刘保 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日起三十六个 月内且自公司股票在证券交易 所上市交易之日起十二个月内， 不转让或者委托他人管理其持 </w:t>
            </w:r>
            <w:r>
              <w:rPr>
                <w:rFonts w:ascii="宋体" w:hAnsi="宋体" w:cs="宋体" w:eastAsia="宋体" w:hint="default"/>
                <w:spacing w:val="-2"/>
                <w:sz w:val="18"/>
                <w:szCs w:val="18"/>
              </w:rPr>
              <w:t>有的公司股份，也不由公司回购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其持有的公司股份。除上述锁定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期外，在其任职期间每年转让的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股份不超过其直接或间接所持 公司股份总数的百分之二十五； </w:t>
            </w:r>
            <w:r>
              <w:rPr>
                <w:rFonts w:ascii="宋体" w:hAnsi="宋体" w:cs="宋体" w:eastAsia="宋体" w:hint="default"/>
                <w:spacing w:val="-2"/>
                <w:sz w:val="18"/>
                <w:szCs w:val="18"/>
              </w:rPr>
              <w:t>离职后半年内，不转让其所持有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的公司股份。在上市之日起六个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月内申报离职的，自申报离职之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日起十八个月内不转让其持有 </w:t>
            </w:r>
            <w:r>
              <w:rPr>
                <w:rFonts w:ascii="宋体" w:hAnsi="宋体" w:cs="宋体" w:eastAsia="宋体" w:hint="default"/>
                <w:spacing w:val="-2"/>
                <w:sz w:val="18"/>
                <w:szCs w:val="18"/>
              </w:rPr>
              <w:t>的公司股份；在上市之日起第七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个月至第十二个月之间申报离 </w:t>
            </w:r>
            <w:r>
              <w:rPr>
                <w:rFonts w:ascii="宋体" w:hAnsi="宋体" w:cs="宋体" w:eastAsia="宋体" w:hint="default"/>
                <w:spacing w:val="-2"/>
                <w:sz w:val="18"/>
                <w:szCs w:val="18"/>
              </w:rPr>
              <w:t>职的，自申报离职之日起十二个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月内不转让其持有的公司股份。 本人所持的发行人股票在锁定 </w:t>
            </w:r>
            <w:r>
              <w:rPr>
                <w:rFonts w:ascii="宋体" w:hAnsi="宋体" w:cs="宋体" w:eastAsia="宋体" w:hint="default"/>
                <w:spacing w:val="-2"/>
                <w:sz w:val="18"/>
                <w:szCs w:val="18"/>
              </w:rPr>
              <w:t>期满后两年内减持的，其减持价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格不低于发行人首次公开发行 </w:t>
            </w:r>
            <w:r>
              <w:rPr>
                <w:rFonts w:ascii="宋体" w:hAnsi="宋体" w:cs="宋体" w:eastAsia="宋体" w:hint="default"/>
                <w:spacing w:val="-2"/>
                <w:sz w:val="18"/>
                <w:szCs w:val="18"/>
              </w:rPr>
              <w:t>股票时的发行价格；若公司上市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后六个月内如公司股票连续二 十个交易日的收盘价均低于发 </w:t>
            </w:r>
            <w:r>
              <w:rPr>
                <w:rFonts w:ascii="宋体" w:hAnsi="宋体" w:cs="宋体" w:eastAsia="宋体" w:hint="default"/>
                <w:spacing w:val="-2"/>
                <w:sz w:val="18"/>
                <w:szCs w:val="18"/>
              </w:rPr>
              <w:t>行价，或者上市后六个月期末收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盘价低于发行价，持有公司股票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的锁定期限自动延长六个月。本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人不因职务变更、离职等原因而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放弃履行上述延长锁定期限的 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3"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24" w:right="187"/>
              <w:jc w:val="left"/>
              <w:rPr>
                <w:rFonts w:ascii="宋体" w:hAnsi="宋体" w:cs="宋体" w:eastAsia="宋体" w:hint="default"/>
                <w:sz w:val="18"/>
                <w:szCs w:val="18"/>
              </w:rPr>
            </w:pPr>
            <w:r>
              <w:rPr>
                <w:rFonts w:ascii="宋体" w:hAnsi="宋体" w:cs="宋体" w:eastAsia="宋体" w:hint="default"/>
                <w:sz w:val="18"/>
                <w:szCs w:val="18"/>
              </w:rPr>
              <w:t>魏亚锋</w:t>
            </w:r>
            <w:r>
              <w:rPr>
                <w:rFonts w:ascii="Times New Roman" w:hAnsi="Times New Roman" w:cs="Times New Roman" w:eastAsia="Times New Roman" w:hint="default"/>
                <w:sz w:val="18"/>
                <w:szCs w:val="18"/>
              </w:rPr>
              <w:t>;</w:t>
            </w:r>
            <w:r>
              <w:rPr>
                <w:rFonts w:ascii="宋体" w:hAnsi="宋体" w:cs="宋体" w:eastAsia="宋体" w:hint="default"/>
                <w:sz w:val="18"/>
                <w:szCs w:val="18"/>
              </w:rPr>
              <w:t>徐 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日起三十六个 月内且自公司股票在证券交易 所上市交易之日起十二个月内， 不转让或者委托他人管理其持 </w:t>
            </w:r>
            <w:r>
              <w:rPr>
                <w:rFonts w:ascii="宋体" w:hAnsi="宋体" w:cs="宋体" w:eastAsia="宋体" w:hint="default"/>
                <w:spacing w:val="-2"/>
                <w:sz w:val="18"/>
                <w:szCs w:val="18"/>
              </w:rPr>
              <w:t>有的公司股份，也不由公司回购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其持有的公司股份。除上述锁定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期外，在其任职期间每年转让的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股份不超过其直接或间接所持 公司股份总数的百分之二十五； </w:t>
            </w:r>
            <w:r>
              <w:rPr>
                <w:rFonts w:ascii="宋体" w:hAnsi="宋体" w:cs="宋体" w:eastAsia="宋体" w:hint="default"/>
                <w:spacing w:val="-2"/>
                <w:sz w:val="18"/>
                <w:szCs w:val="18"/>
              </w:rPr>
              <w:t>离职后半年内，不转让其所持有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的公司股份。在上市之日起六个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月内申报离职的，自申报离职之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日起十八个月内不转让其持有 </w:t>
            </w:r>
            <w:r>
              <w:rPr>
                <w:rFonts w:ascii="宋体" w:hAnsi="宋体" w:cs="宋体" w:eastAsia="宋体" w:hint="default"/>
                <w:spacing w:val="-2"/>
                <w:sz w:val="18"/>
                <w:szCs w:val="18"/>
              </w:rPr>
              <w:t>的公司股份；在上市之日起第七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个月至第十二个月之间申报离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232" w:lineRule="exact"/>
        <w:jc w:val="left"/>
        <w:rPr>
          <w:rFonts w:ascii="宋体" w:hAnsi="宋体" w:cs="宋体" w:eastAsia="宋体" w:hint="default"/>
          <w:sz w:val="18"/>
          <w:szCs w:val="18"/>
        </w:rPr>
        <w:sectPr>
          <w:pgSz w:w="11910" w:h="16840"/>
          <w:pgMar w:header="228" w:footer="0" w:top="1100" w:bottom="160" w:left="168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8"/>
        <w:gridCol w:w="994"/>
        <w:gridCol w:w="1133"/>
        <w:gridCol w:w="2552"/>
        <w:gridCol w:w="852"/>
        <w:gridCol w:w="850"/>
        <w:gridCol w:w="920"/>
      </w:tblGrid>
      <w:tr>
        <w:trPr>
          <w:trHeight w:val="516"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 w:right="-2"/>
              <w:jc w:val="left"/>
              <w:rPr>
                <w:rFonts w:ascii="宋体" w:hAnsi="宋体" w:cs="宋体" w:eastAsia="宋体" w:hint="default"/>
                <w:sz w:val="18"/>
                <w:szCs w:val="18"/>
              </w:rPr>
            </w:pPr>
            <w:r>
              <w:rPr>
                <w:rFonts w:ascii="宋体" w:hAnsi="宋体" w:cs="宋体" w:eastAsia="宋体" w:hint="default"/>
                <w:spacing w:val="-2"/>
                <w:sz w:val="18"/>
                <w:szCs w:val="18"/>
              </w:rPr>
              <w:t>职的，自申报离职之日起十二个</w:t>
            </w:r>
          </w:p>
          <w:p>
            <w:pPr>
              <w:pStyle w:val="TableParagraph"/>
              <w:spacing w:line="233" w:lineRule="exact"/>
              <w:ind w:left="23" w:right="-2"/>
              <w:jc w:val="left"/>
              <w:rPr>
                <w:rFonts w:ascii="宋体" w:hAnsi="宋体" w:cs="宋体" w:eastAsia="宋体" w:hint="default"/>
                <w:sz w:val="18"/>
                <w:szCs w:val="18"/>
              </w:rPr>
            </w:pPr>
            <w:r>
              <w:rPr>
                <w:rFonts w:ascii="宋体" w:hAnsi="宋体" w:cs="宋体" w:eastAsia="宋体" w:hint="default"/>
                <w:sz w:val="18"/>
                <w:szCs w:val="18"/>
              </w:rPr>
              <w:t>月内不转让其持有的公司股份。</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0"/>
              <w:ind w:left="24" w:right="137"/>
              <w:jc w:val="both"/>
              <w:rPr>
                <w:rFonts w:ascii="宋体" w:hAnsi="宋体" w:cs="宋体" w:eastAsia="宋体" w:hint="default"/>
                <w:sz w:val="18"/>
                <w:szCs w:val="18"/>
              </w:rPr>
            </w:pPr>
            <w:r>
              <w:rPr>
                <w:rFonts w:ascii="宋体" w:hAnsi="宋体" w:cs="宋体" w:eastAsia="宋体" w:hint="default"/>
                <w:sz w:val="18"/>
                <w:szCs w:val="18"/>
              </w:rPr>
              <w:t>深圳力合</w:t>
            </w:r>
            <w:r>
              <w:rPr>
                <w:rFonts w:ascii="Times New Roman" w:hAnsi="Times New Roman" w:cs="Times New Roman" w:eastAsia="Times New Roman" w:hint="default"/>
                <w:sz w:val="18"/>
                <w:szCs w:val="18"/>
              </w:rPr>
              <w:t>; </w:t>
            </w:r>
            <w:r>
              <w:rPr>
                <w:rFonts w:ascii="宋体" w:hAnsi="宋体" w:cs="宋体" w:eastAsia="宋体" w:hint="default"/>
                <w:sz w:val="18"/>
                <w:szCs w:val="18"/>
              </w:rPr>
              <w:t>天津力合</w:t>
            </w:r>
            <w:r>
              <w:rPr>
                <w:rFonts w:ascii="Times New Roman" w:hAnsi="Times New Roman" w:cs="Times New Roman" w:eastAsia="Times New Roman" w:hint="default"/>
                <w:sz w:val="18"/>
                <w:szCs w:val="18"/>
              </w:rPr>
              <w:t>; </w:t>
            </w:r>
            <w:r>
              <w:rPr>
                <w:rFonts w:ascii="宋体" w:hAnsi="宋体" w:cs="宋体" w:eastAsia="宋体" w:hint="default"/>
                <w:sz w:val="18"/>
                <w:szCs w:val="18"/>
              </w:rPr>
              <w:t>赵新宇</w:t>
            </w:r>
            <w:r>
              <w:rPr>
                <w:rFonts w:ascii="Times New Roman" w:hAnsi="Times New Roman" w:cs="Times New Roman" w:eastAsia="Times New Roman" w:hint="default"/>
                <w:sz w:val="18"/>
                <w:szCs w:val="18"/>
              </w:rPr>
              <w:t>;</w:t>
            </w:r>
            <w:r>
              <w:rPr>
                <w:rFonts w:ascii="宋体" w:hAnsi="宋体" w:cs="宋体" w:eastAsia="宋体" w:hint="default"/>
                <w:sz w:val="18"/>
                <w:szCs w:val="18"/>
              </w:rPr>
              <w:t>常 都喜</w:t>
            </w:r>
            <w:r>
              <w:rPr>
                <w:rFonts w:ascii="Times New Roman" w:hAnsi="Times New Roman" w:cs="Times New Roman" w:eastAsia="Times New Roman" w:hint="default"/>
                <w:sz w:val="18"/>
                <w:szCs w:val="18"/>
              </w:rPr>
              <w:t>;</w:t>
            </w:r>
            <w:r>
              <w:rPr>
                <w:rFonts w:ascii="宋体" w:hAnsi="宋体" w:cs="宋体" w:eastAsia="宋体" w:hint="default"/>
                <w:sz w:val="18"/>
                <w:szCs w:val="18"/>
              </w:rPr>
              <w:t>高锋</w:t>
            </w:r>
            <w:r>
              <w:rPr>
                <w:rFonts w:ascii="Times New Roman" w:hAnsi="Times New Roman" w:cs="Times New Roman" w:eastAsia="Times New Roman" w:hint="default"/>
                <w:sz w:val="18"/>
                <w:szCs w:val="18"/>
              </w:rPr>
              <w:t>; </w:t>
            </w:r>
            <w:r>
              <w:rPr>
                <w:rFonts w:ascii="宋体" w:hAnsi="宋体" w:cs="宋体" w:eastAsia="宋体" w:hint="default"/>
                <w:sz w:val="18"/>
                <w:szCs w:val="18"/>
              </w:rPr>
              <w:t>孙颖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自公司股票在证券交易所上市 交易之日起十二个月内不转让 或者委托他人管理其持有的公 </w:t>
            </w:r>
            <w:r>
              <w:rPr>
                <w:rFonts w:ascii="宋体" w:hAnsi="宋体" w:cs="宋体" w:eastAsia="宋体" w:hint="default"/>
                <w:spacing w:val="-2"/>
                <w:sz w:val="18"/>
                <w:szCs w:val="18"/>
              </w:rPr>
              <w:t>司股份，也不由公司回购其持有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的公司股份。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32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9"/>
              <w:ind w:left="24"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王彩香</w:t>
            </w:r>
            <w:r>
              <w:rPr>
                <w:rFonts w:ascii="Times New Roman" w:hAnsi="Times New Roman" w:cs="Times New Roman" w:eastAsia="Times New Roman" w:hint="default"/>
                <w:sz w:val="18"/>
                <w:szCs w:val="18"/>
              </w:rPr>
              <w:t>;</w:t>
            </w:r>
            <w:r>
              <w:rPr>
                <w:rFonts w:ascii="宋体" w:hAnsi="宋体" w:cs="宋体" w:eastAsia="宋体" w:hint="default"/>
                <w:sz w:val="18"/>
                <w:szCs w:val="18"/>
              </w:rPr>
              <w:t>陈 媛</w:t>
            </w:r>
            <w:r>
              <w:rPr>
                <w:rFonts w:ascii="Times New Roman" w:hAnsi="Times New Roman" w:cs="Times New Roman" w:eastAsia="Times New Roman" w:hint="default"/>
                <w:sz w:val="18"/>
                <w:szCs w:val="18"/>
              </w:rPr>
              <w:t>;</w:t>
            </w:r>
            <w:r>
              <w:rPr>
                <w:rFonts w:ascii="宋体" w:hAnsi="宋体" w:cs="宋体" w:eastAsia="宋体" w:hint="default"/>
                <w:sz w:val="18"/>
                <w:szCs w:val="18"/>
              </w:rPr>
              <w:t>刘俊格</w:t>
            </w:r>
            <w:r>
              <w:rPr>
                <w:rFonts w:ascii="Times New Roman" w:hAnsi="Times New Roman" w:cs="Times New Roman" w:eastAsia="Times New Roman" w:hint="default"/>
                <w:sz w:val="18"/>
                <w:szCs w:val="18"/>
              </w:rPr>
              <w:t>;</w:t>
            </w:r>
          </w:p>
          <w:p>
            <w:pPr>
              <w:pStyle w:val="TableParagraph"/>
              <w:spacing w:line="217"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陈曦</w:t>
            </w:r>
            <w:r>
              <w:rPr>
                <w:rFonts w:ascii="Times New Roman" w:hAnsi="Times New Roman" w:cs="Times New Roman" w:eastAsia="Times New Roman" w:hint="default"/>
                <w:sz w:val="18"/>
                <w:szCs w:val="18"/>
              </w:rPr>
              <w:t>;</w:t>
            </w:r>
            <w:r>
              <w:rPr>
                <w:rFonts w:ascii="宋体" w:hAnsi="宋体" w:cs="宋体" w:eastAsia="宋体" w:hint="default"/>
                <w:sz w:val="18"/>
                <w:szCs w:val="18"/>
              </w:rPr>
              <w:t>张漪</w:t>
            </w:r>
            <w:r>
              <w:rPr>
                <w:rFonts w:ascii="Times New Roman" w:hAnsi="Times New Roman" w:cs="Times New Roman" w:eastAsia="Times New Roman" w:hint="default"/>
                <w:sz w:val="18"/>
                <w:szCs w:val="18"/>
              </w:rPr>
              <w:t>;</w:t>
            </w:r>
          </w:p>
          <w:p>
            <w:pPr>
              <w:pStyle w:val="TableParagraph"/>
              <w:spacing w:line="234"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吕蔚</w:t>
            </w:r>
            <w:r>
              <w:rPr>
                <w:rFonts w:ascii="Times New Roman" w:hAnsi="Times New Roman" w:cs="Times New Roman" w:eastAsia="Times New Roman" w:hint="default"/>
                <w:sz w:val="18"/>
                <w:szCs w:val="18"/>
              </w:rPr>
              <w:t>;</w:t>
            </w:r>
            <w:r>
              <w:rPr>
                <w:rFonts w:ascii="宋体" w:hAnsi="宋体" w:cs="宋体" w:eastAsia="宋体" w:hint="default"/>
                <w:sz w:val="18"/>
                <w:szCs w:val="18"/>
              </w:rPr>
              <w:t>郭颂</w:t>
            </w:r>
            <w:r>
              <w:rPr>
                <w:rFonts w:ascii="Times New Roman" w:hAnsi="Times New Roman" w:cs="Times New Roman" w:eastAsia="Times New Roman" w:hint="default"/>
                <w:sz w:val="18"/>
                <w:szCs w:val="18"/>
              </w:rPr>
              <w:t>;</w:t>
            </w:r>
          </w:p>
          <w:p>
            <w:pPr>
              <w:pStyle w:val="TableParagraph"/>
              <w:spacing w:line="225" w:lineRule="auto" w:before="5"/>
              <w:ind w:left="24" w:right="137"/>
              <w:jc w:val="both"/>
              <w:rPr>
                <w:rFonts w:ascii="宋体" w:hAnsi="宋体" w:cs="宋体" w:eastAsia="宋体" w:hint="default"/>
                <w:sz w:val="18"/>
                <w:szCs w:val="18"/>
              </w:rPr>
            </w:pPr>
            <w:r>
              <w:rPr>
                <w:rFonts w:ascii="宋体" w:hAnsi="宋体" w:cs="宋体" w:eastAsia="宋体" w:hint="default"/>
                <w:sz w:val="18"/>
                <w:szCs w:val="18"/>
              </w:rPr>
              <w:t>王俊</w:t>
            </w:r>
            <w:r>
              <w:rPr>
                <w:rFonts w:ascii="Times New Roman" w:hAnsi="Times New Roman" w:cs="Times New Roman" w:eastAsia="Times New Roman" w:hint="default"/>
                <w:sz w:val="18"/>
                <w:szCs w:val="18"/>
              </w:rPr>
              <w:t>;</w:t>
            </w:r>
            <w:r>
              <w:rPr>
                <w:rFonts w:ascii="宋体" w:hAnsi="宋体" w:cs="宋体" w:eastAsia="宋体" w:hint="default"/>
                <w:sz w:val="18"/>
                <w:szCs w:val="18"/>
              </w:rPr>
              <w:t>刘平</w:t>
            </w:r>
            <w:r>
              <w:rPr>
                <w:rFonts w:ascii="Times New Roman" w:hAnsi="Times New Roman" w:cs="Times New Roman" w:eastAsia="Times New Roman" w:hint="default"/>
                <w:sz w:val="18"/>
                <w:szCs w:val="18"/>
              </w:rPr>
              <w:t>; </w:t>
            </w:r>
            <w:r>
              <w:rPr>
                <w:rFonts w:ascii="宋体" w:hAnsi="宋体" w:cs="宋体" w:eastAsia="宋体" w:hint="default"/>
                <w:sz w:val="18"/>
                <w:szCs w:val="18"/>
              </w:rPr>
              <w:t>王琳琳</w:t>
            </w:r>
            <w:r>
              <w:rPr>
                <w:rFonts w:ascii="Times New Roman" w:hAnsi="Times New Roman" w:cs="Times New Roman" w:eastAsia="Times New Roman" w:hint="default"/>
                <w:sz w:val="18"/>
                <w:szCs w:val="18"/>
              </w:rPr>
              <w:t>;</w:t>
            </w:r>
            <w:r>
              <w:rPr>
                <w:rFonts w:ascii="宋体" w:hAnsi="宋体" w:cs="宋体" w:eastAsia="宋体" w:hint="default"/>
                <w:sz w:val="18"/>
                <w:szCs w:val="18"/>
              </w:rPr>
              <w:t>刘 援助</w:t>
            </w:r>
            <w:r>
              <w:rPr>
                <w:rFonts w:ascii="Times New Roman" w:hAnsi="Times New Roman" w:cs="Times New Roman" w:eastAsia="Times New Roman" w:hint="default"/>
                <w:sz w:val="18"/>
                <w:szCs w:val="18"/>
              </w:rPr>
              <w:t>;</w:t>
            </w:r>
            <w:r>
              <w:rPr>
                <w:rFonts w:ascii="宋体" w:hAnsi="宋体" w:cs="宋体" w:eastAsia="宋体" w:hint="default"/>
                <w:sz w:val="18"/>
                <w:szCs w:val="18"/>
              </w:rPr>
              <w:t>曹冰</w:t>
            </w:r>
            <w:r>
              <w:rPr>
                <w:rFonts w:ascii="Times New Roman" w:hAnsi="Times New Roman" w:cs="Times New Roman" w:eastAsia="Times New Roman" w:hint="default"/>
                <w:sz w:val="18"/>
                <w:szCs w:val="18"/>
              </w:rPr>
              <w:t>; </w:t>
            </w:r>
            <w:r>
              <w:rPr>
                <w:rFonts w:ascii="宋体" w:hAnsi="宋体" w:cs="宋体" w:eastAsia="宋体" w:hint="default"/>
                <w:sz w:val="18"/>
                <w:szCs w:val="18"/>
              </w:rPr>
              <w:t>张磊</w:t>
            </w:r>
            <w:r>
              <w:rPr>
                <w:rFonts w:ascii="Times New Roman" w:hAnsi="Times New Roman" w:cs="Times New Roman" w:eastAsia="Times New Roman" w:hint="default"/>
                <w:sz w:val="18"/>
                <w:szCs w:val="18"/>
              </w:rPr>
              <w:t>;</w:t>
            </w:r>
            <w:r>
              <w:rPr>
                <w:rFonts w:ascii="宋体" w:hAnsi="宋体" w:cs="宋体" w:eastAsia="宋体" w:hint="default"/>
                <w:sz w:val="18"/>
                <w:szCs w:val="18"/>
              </w:rPr>
              <w:t>孙晓 华</w:t>
            </w:r>
            <w:r>
              <w:rPr>
                <w:rFonts w:ascii="Times New Roman" w:hAnsi="Times New Roman" w:cs="Times New Roman" w:eastAsia="Times New Roman" w:hint="default"/>
                <w:sz w:val="18"/>
                <w:szCs w:val="18"/>
              </w:rPr>
              <w:t>;</w:t>
            </w:r>
            <w:r>
              <w:rPr>
                <w:rFonts w:ascii="宋体" w:hAnsi="宋体" w:cs="宋体" w:eastAsia="宋体" w:hint="default"/>
                <w:sz w:val="18"/>
                <w:szCs w:val="18"/>
              </w:rPr>
              <w:t>周宇龙</w:t>
            </w:r>
            <w:r>
              <w:rPr>
                <w:rFonts w:ascii="Times New Roman" w:hAnsi="Times New Roman" w:cs="Times New Roman" w:eastAsia="Times New Roman" w:hint="default"/>
                <w:sz w:val="18"/>
                <w:szCs w:val="18"/>
              </w:rPr>
              <w:t>; </w:t>
            </w:r>
            <w:r>
              <w:rPr>
                <w:rFonts w:ascii="宋体" w:hAnsi="宋体" w:cs="宋体" w:eastAsia="宋体" w:hint="default"/>
                <w:sz w:val="18"/>
                <w:szCs w:val="18"/>
              </w:rPr>
              <w:t>念海娇</w:t>
            </w:r>
            <w:r>
              <w:rPr>
                <w:rFonts w:ascii="Times New Roman" w:hAnsi="Times New Roman" w:cs="Times New Roman" w:eastAsia="Times New Roman" w:hint="default"/>
                <w:sz w:val="18"/>
                <w:szCs w:val="18"/>
              </w:rPr>
              <w:t>;</w:t>
            </w:r>
            <w:r>
              <w:rPr>
                <w:rFonts w:ascii="宋体" w:hAnsi="宋体" w:cs="宋体" w:eastAsia="宋体" w:hint="default"/>
                <w:sz w:val="18"/>
                <w:szCs w:val="18"/>
              </w:rPr>
              <w:t>封 春霞</w:t>
            </w:r>
            <w:r>
              <w:rPr>
                <w:rFonts w:ascii="Times New Roman" w:hAnsi="Times New Roman" w:cs="Times New Roman" w:eastAsia="Times New Roman" w:hint="default"/>
                <w:sz w:val="18"/>
                <w:szCs w:val="18"/>
              </w:rPr>
              <w:t>;</w:t>
            </w:r>
            <w:r>
              <w:rPr>
                <w:rFonts w:ascii="宋体" w:hAnsi="宋体" w:cs="宋体" w:eastAsia="宋体" w:hint="default"/>
                <w:sz w:val="18"/>
                <w:szCs w:val="18"/>
              </w:rPr>
              <w:t>勘利</w:t>
            </w:r>
            <w:r>
              <w:rPr>
                <w:rFonts w:ascii="Times New Roman" w:hAnsi="Times New Roman" w:cs="Times New Roman" w:eastAsia="Times New Roman" w:hint="default"/>
                <w:sz w:val="18"/>
                <w:szCs w:val="18"/>
              </w:rPr>
              <w:t>; </w:t>
            </w:r>
            <w:r>
              <w:rPr>
                <w:rFonts w:ascii="宋体" w:hAnsi="宋体" w:cs="宋体" w:eastAsia="宋体" w:hint="default"/>
                <w:sz w:val="18"/>
                <w:szCs w:val="18"/>
              </w:rPr>
              <w:t>张瑞风</w:t>
            </w:r>
            <w:r>
              <w:rPr>
                <w:rFonts w:ascii="Times New Roman" w:hAnsi="Times New Roman" w:cs="Times New Roman" w:eastAsia="Times New Roman" w:hint="default"/>
                <w:sz w:val="18"/>
                <w:szCs w:val="18"/>
              </w:rPr>
              <w:t>;</w:t>
            </w:r>
            <w:r>
              <w:rPr>
                <w:rFonts w:ascii="宋体" w:hAnsi="宋体" w:cs="宋体" w:eastAsia="宋体" w:hint="default"/>
                <w:sz w:val="18"/>
                <w:szCs w:val="18"/>
              </w:rPr>
              <w:t>李 宏播</w:t>
            </w:r>
            <w:r>
              <w:rPr>
                <w:rFonts w:ascii="Times New Roman" w:hAnsi="Times New Roman" w:cs="Times New Roman" w:eastAsia="Times New Roman" w:hint="default"/>
                <w:sz w:val="18"/>
                <w:szCs w:val="18"/>
              </w:rPr>
              <w:t>;</w:t>
            </w:r>
            <w:r>
              <w:rPr>
                <w:rFonts w:ascii="宋体" w:hAnsi="宋体" w:cs="宋体" w:eastAsia="宋体" w:hint="default"/>
                <w:sz w:val="18"/>
                <w:szCs w:val="18"/>
              </w:rPr>
              <w:t>刘峥</w:t>
            </w:r>
            <w:r>
              <w:rPr>
                <w:rFonts w:ascii="Times New Roman" w:hAnsi="Times New Roman" w:cs="Times New Roman" w:eastAsia="Times New Roman" w:hint="default"/>
                <w:sz w:val="18"/>
                <w:szCs w:val="18"/>
              </w:rPr>
              <w:t>; </w:t>
            </w:r>
            <w:r>
              <w:rPr>
                <w:rFonts w:ascii="宋体" w:hAnsi="宋体" w:cs="宋体" w:eastAsia="宋体" w:hint="default"/>
                <w:sz w:val="18"/>
                <w:szCs w:val="18"/>
              </w:rPr>
              <w:t>刘霞</w:t>
            </w:r>
            <w:r>
              <w:rPr>
                <w:rFonts w:ascii="Times New Roman" w:hAnsi="Times New Roman" w:cs="Times New Roman" w:eastAsia="Times New Roman" w:hint="default"/>
                <w:sz w:val="18"/>
                <w:szCs w:val="18"/>
              </w:rPr>
              <w:t>;</w:t>
            </w:r>
            <w:r>
              <w:rPr>
                <w:rFonts w:ascii="宋体" w:hAnsi="宋体" w:cs="宋体" w:eastAsia="宋体" w:hint="default"/>
                <w:sz w:val="18"/>
                <w:szCs w:val="18"/>
              </w:rPr>
              <w:t>赵福 洋</w:t>
            </w:r>
            <w:r>
              <w:rPr>
                <w:rFonts w:ascii="Times New Roman" w:hAnsi="Times New Roman" w:cs="Times New Roman" w:eastAsia="Times New Roman" w:hint="default"/>
                <w:sz w:val="18"/>
                <w:szCs w:val="18"/>
              </w:rPr>
              <w:t>;</w:t>
            </w:r>
            <w:r>
              <w:rPr>
                <w:rFonts w:ascii="宋体" w:hAnsi="宋体" w:cs="宋体" w:eastAsia="宋体" w:hint="default"/>
                <w:sz w:val="18"/>
                <w:szCs w:val="18"/>
              </w:rPr>
              <w:t>王静</w:t>
            </w:r>
            <w:r>
              <w:rPr>
                <w:rFonts w:ascii="Times New Roman" w:hAnsi="Times New Roman" w:cs="Times New Roman" w:eastAsia="Times New Roman" w:hint="default"/>
                <w:sz w:val="18"/>
                <w:szCs w:val="18"/>
              </w:rPr>
              <w:t>;</w:t>
            </w:r>
            <w:r>
              <w:rPr>
                <w:rFonts w:ascii="宋体" w:hAnsi="宋体" w:cs="宋体" w:eastAsia="宋体" w:hint="default"/>
                <w:sz w:val="18"/>
                <w:szCs w:val="18"/>
              </w:rPr>
              <w:t>李 明哲</w:t>
            </w:r>
            <w:r>
              <w:rPr>
                <w:rFonts w:ascii="Times New Roman" w:hAnsi="Times New Roman" w:cs="Times New Roman" w:eastAsia="Times New Roman" w:hint="default"/>
                <w:sz w:val="18"/>
                <w:szCs w:val="18"/>
              </w:rPr>
              <w:t>;</w:t>
            </w:r>
            <w:r>
              <w:rPr>
                <w:rFonts w:ascii="宋体" w:hAnsi="宋体" w:cs="宋体" w:eastAsia="宋体" w:hint="default"/>
                <w:sz w:val="18"/>
                <w:szCs w:val="18"/>
              </w:rPr>
              <w:t>高建 余</w:t>
            </w:r>
            <w:r>
              <w:rPr>
                <w:rFonts w:ascii="Times New Roman" w:hAnsi="Times New Roman" w:cs="Times New Roman" w:eastAsia="Times New Roman" w:hint="default"/>
                <w:sz w:val="18"/>
                <w:szCs w:val="18"/>
              </w:rPr>
              <w:t>;</w:t>
            </w:r>
            <w:r>
              <w:rPr>
                <w:rFonts w:ascii="宋体" w:hAnsi="宋体" w:cs="宋体" w:eastAsia="宋体" w:hint="default"/>
                <w:sz w:val="18"/>
                <w:szCs w:val="18"/>
              </w:rPr>
              <w:t>任伟钢</w:t>
            </w:r>
            <w:r>
              <w:rPr>
                <w:rFonts w:ascii="Times New Roman" w:hAnsi="Times New Roman" w:cs="Times New Roman" w:eastAsia="Times New Roman" w:hint="default"/>
                <w:sz w:val="18"/>
                <w:szCs w:val="18"/>
              </w:rPr>
              <w:t>; </w:t>
            </w:r>
            <w:r>
              <w:rPr>
                <w:rFonts w:ascii="宋体" w:hAnsi="宋体" w:cs="宋体" w:eastAsia="宋体" w:hint="default"/>
                <w:sz w:val="18"/>
                <w:szCs w:val="18"/>
              </w:rPr>
              <w:t>张丽</w:t>
            </w:r>
            <w:r>
              <w:rPr>
                <w:rFonts w:ascii="Times New Roman" w:hAnsi="Times New Roman" w:cs="Times New Roman" w:eastAsia="Times New Roman" w:hint="default"/>
                <w:sz w:val="18"/>
                <w:szCs w:val="18"/>
              </w:rPr>
              <w:t>;</w:t>
            </w:r>
            <w:r>
              <w:rPr>
                <w:rFonts w:ascii="宋体" w:hAnsi="宋体" w:cs="宋体" w:eastAsia="宋体" w:hint="default"/>
                <w:sz w:val="18"/>
                <w:szCs w:val="18"/>
              </w:rPr>
              <w:t>许丽 梅</w:t>
            </w:r>
            <w:r>
              <w:rPr>
                <w:rFonts w:ascii="Times New Roman" w:hAnsi="Times New Roman" w:cs="Times New Roman" w:eastAsia="Times New Roman" w:hint="default"/>
                <w:sz w:val="18"/>
                <w:szCs w:val="18"/>
              </w:rPr>
              <w:t>;</w:t>
            </w:r>
            <w:r>
              <w:rPr>
                <w:rFonts w:ascii="宋体" w:hAnsi="宋体" w:cs="宋体" w:eastAsia="宋体" w:hint="default"/>
                <w:sz w:val="18"/>
                <w:szCs w:val="18"/>
              </w:rPr>
              <w:t>张艳军</w:t>
            </w:r>
            <w:r>
              <w:rPr>
                <w:rFonts w:ascii="Times New Roman" w:hAnsi="Times New Roman" w:cs="Times New Roman" w:eastAsia="Times New Roman" w:hint="default"/>
                <w:sz w:val="18"/>
                <w:szCs w:val="18"/>
              </w:rPr>
              <w:t>; </w:t>
            </w:r>
            <w:r>
              <w:rPr>
                <w:rFonts w:ascii="宋体" w:hAnsi="宋体" w:cs="宋体" w:eastAsia="宋体" w:hint="default"/>
                <w:sz w:val="18"/>
                <w:szCs w:val="18"/>
              </w:rPr>
              <w:t>林淑珍</w:t>
            </w:r>
            <w:r>
              <w:rPr>
                <w:rFonts w:ascii="Times New Roman" w:hAnsi="Times New Roman" w:cs="Times New Roman" w:eastAsia="Times New Roman" w:hint="default"/>
                <w:sz w:val="18"/>
                <w:szCs w:val="18"/>
              </w:rPr>
              <w:t>;</w:t>
            </w:r>
            <w:r>
              <w:rPr>
                <w:rFonts w:ascii="宋体" w:hAnsi="宋体" w:cs="宋体" w:eastAsia="宋体" w:hint="default"/>
                <w:sz w:val="18"/>
                <w:szCs w:val="18"/>
              </w:rPr>
              <w:t>马 金林</w:t>
            </w:r>
            <w:r>
              <w:rPr>
                <w:rFonts w:ascii="Times New Roman" w:hAnsi="Times New Roman" w:cs="Times New Roman" w:eastAsia="Times New Roman" w:hint="default"/>
                <w:sz w:val="18"/>
                <w:szCs w:val="18"/>
              </w:rPr>
              <w:t>;</w:t>
            </w:r>
            <w:r>
              <w:rPr>
                <w:rFonts w:ascii="宋体" w:hAnsi="宋体" w:cs="宋体" w:eastAsia="宋体" w:hint="default"/>
                <w:sz w:val="18"/>
                <w:szCs w:val="18"/>
              </w:rPr>
              <w:t>李玉 焕</w:t>
            </w:r>
            <w:r>
              <w:rPr>
                <w:rFonts w:ascii="Times New Roman" w:hAnsi="Times New Roman" w:cs="Times New Roman" w:eastAsia="Times New Roman" w:hint="default"/>
                <w:sz w:val="18"/>
                <w:szCs w:val="18"/>
              </w:rPr>
              <w:t>;</w:t>
            </w:r>
            <w:r>
              <w:rPr>
                <w:rFonts w:ascii="宋体" w:hAnsi="宋体" w:cs="宋体" w:eastAsia="宋体" w:hint="default"/>
                <w:sz w:val="18"/>
                <w:szCs w:val="18"/>
              </w:rPr>
              <w:t>王顺建</w:t>
            </w:r>
            <w:r>
              <w:rPr>
                <w:rFonts w:ascii="Times New Roman" w:hAnsi="Times New Roman" w:cs="Times New Roman" w:eastAsia="Times New Roman" w:hint="default"/>
                <w:sz w:val="18"/>
                <w:szCs w:val="18"/>
              </w:rPr>
              <w:t>; </w:t>
            </w:r>
            <w:r>
              <w:rPr>
                <w:rFonts w:ascii="宋体" w:hAnsi="宋体" w:cs="宋体" w:eastAsia="宋体" w:hint="default"/>
                <w:sz w:val="18"/>
                <w:szCs w:val="18"/>
              </w:rPr>
              <w:t>王硕</w:t>
            </w:r>
            <w:r>
              <w:rPr>
                <w:rFonts w:ascii="Times New Roman" w:hAnsi="Times New Roman" w:cs="Times New Roman" w:eastAsia="Times New Roman" w:hint="default"/>
                <w:sz w:val="18"/>
                <w:szCs w:val="18"/>
              </w:rPr>
              <w:t>;</w:t>
            </w:r>
            <w:r>
              <w:rPr>
                <w:rFonts w:ascii="宋体" w:hAnsi="宋体" w:cs="宋体" w:eastAsia="宋体" w:hint="default"/>
                <w:sz w:val="18"/>
                <w:szCs w:val="18"/>
              </w:rPr>
              <w:t>朱翠 明</w:t>
            </w:r>
            <w:r>
              <w:rPr>
                <w:rFonts w:ascii="Times New Roman" w:hAnsi="Times New Roman" w:cs="Times New Roman" w:eastAsia="Times New Roman" w:hint="default"/>
                <w:sz w:val="18"/>
                <w:szCs w:val="18"/>
              </w:rPr>
              <w:t>;</w:t>
            </w:r>
            <w:r>
              <w:rPr>
                <w:rFonts w:ascii="宋体" w:hAnsi="宋体" w:cs="宋体" w:eastAsia="宋体" w:hint="default"/>
                <w:sz w:val="18"/>
                <w:szCs w:val="18"/>
              </w:rPr>
              <w:t>韩世勇</w:t>
            </w:r>
            <w:r>
              <w:rPr>
                <w:rFonts w:ascii="Times New Roman" w:hAnsi="Times New Roman" w:cs="Times New Roman" w:eastAsia="Times New Roman" w:hint="default"/>
                <w:sz w:val="18"/>
                <w:szCs w:val="18"/>
              </w:rPr>
              <w:t>; </w:t>
            </w:r>
            <w:r>
              <w:rPr>
                <w:rFonts w:ascii="宋体" w:hAnsi="宋体" w:cs="宋体" w:eastAsia="宋体" w:hint="default"/>
                <w:sz w:val="18"/>
                <w:szCs w:val="18"/>
              </w:rPr>
              <w:t>王婧</w:t>
            </w:r>
            <w:r>
              <w:rPr>
                <w:rFonts w:ascii="Times New Roman" w:hAnsi="Times New Roman" w:cs="Times New Roman" w:eastAsia="Times New Roman" w:hint="default"/>
                <w:sz w:val="18"/>
                <w:szCs w:val="18"/>
              </w:rPr>
              <w:t>;</w:t>
            </w:r>
            <w:r>
              <w:rPr>
                <w:rFonts w:ascii="宋体" w:hAnsi="宋体" w:cs="宋体" w:eastAsia="宋体" w:hint="default"/>
                <w:sz w:val="18"/>
                <w:szCs w:val="18"/>
              </w:rPr>
              <w:t>张华 丽</w:t>
            </w:r>
            <w:r>
              <w:rPr>
                <w:rFonts w:ascii="Times New Roman" w:hAnsi="Times New Roman" w:cs="Times New Roman" w:eastAsia="Times New Roman" w:hint="default"/>
                <w:sz w:val="18"/>
                <w:szCs w:val="18"/>
              </w:rPr>
              <w:t>;</w:t>
            </w:r>
            <w:r>
              <w:rPr>
                <w:rFonts w:ascii="宋体" w:hAnsi="宋体" w:cs="宋体" w:eastAsia="宋体" w:hint="default"/>
                <w:sz w:val="18"/>
                <w:szCs w:val="18"/>
              </w:rPr>
              <w:t>钟莉</w:t>
            </w:r>
            <w:r>
              <w:rPr>
                <w:rFonts w:ascii="Times New Roman" w:hAnsi="Times New Roman" w:cs="Times New Roman" w:eastAsia="Times New Roman" w:hint="default"/>
                <w:sz w:val="18"/>
                <w:szCs w:val="18"/>
              </w:rPr>
              <w:t>;</w:t>
            </w:r>
            <w:r>
              <w:rPr>
                <w:rFonts w:ascii="宋体" w:hAnsi="宋体" w:cs="宋体" w:eastAsia="宋体" w:hint="default"/>
                <w:sz w:val="18"/>
                <w:szCs w:val="18"/>
              </w:rPr>
              <w:t>王 红蕾</w:t>
            </w:r>
            <w:r>
              <w:rPr>
                <w:rFonts w:ascii="Times New Roman" w:hAnsi="Times New Roman" w:cs="Times New Roman" w:eastAsia="Times New Roman" w:hint="default"/>
                <w:sz w:val="18"/>
                <w:szCs w:val="18"/>
              </w:rPr>
              <w:t>;</w:t>
            </w:r>
            <w:r>
              <w:rPr>
                <w:rFonts w:ascii="宋体" w:hAnsi="宋体" w:cs="宋体" w:eastAsia="宋体" w:hint="default"/>
                <w:sz w:val="18"/>
                <w:szCs w:val="18"/>
              </w:rPr>
              <w:t>张海 宁</w:t>
            </w:r>
            <w:r>
              <w:rPr>
                <w:rFonts w:ascii="Times New Roman" w:hAnsi="Times New Roman" w:cs="Times New Roman" w:eastAsia="Times New Roman" w:hint="default"/>
                <w:sz w:val="18"/>
                <w:szCs w:val="18"/>
              </w:rPr>
              <w:t>;</w:t>
            </w:r>
            <w:r>
              <w:rPr>
                <w:rFonts w:ascii="宋体" w:hAnsi="宋体" w:cs="宋体" w:eastAsia="宋体" w:hint="default"/>
                <w:sz w:val="18"/>
                <w:szCs w:val="18"/>
              </w:rPr>
              <w:t>张敬环</w:t>
            </w:r>
            <w:r>
              <w:rPr>
                <w:rFonts w:ascii="Times New Roman" w:hAnsi="Times New Roman" w:cs="Times New Roman" w:eastAsia="Times New Roman" w:hint="default"/>
                <w:sz w:val="18"/>
                <w:szCs w:val="18"/>
              </w:rPr>
              <w:t>; </w:t>
            </w:r>
            <w:r>
              <w:rPr>
                <w:rFonts w:ascii="宋体" w:hAnsi="宋体" w:cs="宋体" w:eastAsia="宋体" w:hint="default"/>
                <w:sz w:val="18"/>
                <w:szCs w:val="18"/>
              </w:rPr>
              <w:t>杨浩</w:t>
            </w:r>
            <w:r>
              <w:rPr>
                <w:rFonts w:ascii="Times New Roman" w:hAnsi="Times New Roman" w:cs="Times New Roman" w:eastAsia="Times New Roman" w:hint="default"/>
                <w:sz w:val="18"/>
                <w:szCs w:val="18"/>
              </w:rPr>
              <w:t>;</w:t>
            </w:r>
            <w:r>
              <w:rPr>
                <w:rFonts w:ascii="宋体" w:hAnsi="宋体" w:cs="宋体" w:eastAsia="宋体" w:hint="default"/>
                <w:sz w:val="18"/>
                <w:szCs w:val="18"/>
              </w:rPr>
              <w:t>龚海 萍</w:t>
            </w:r>
            <w:r>
              <w:rPr>
                <w:rFonts w:ascii="Times New Roman" w:hAnsi="Times New Roman" w:cs="Times New Roman" w:eastAsia="Times New Roman" w:hint="default"/>
                <w:sz w:val="18"/>
                <w:szCs w:val="18"/>
              </w:rPr>
              <w:t>;</w:t>
            </w:r>
            <w:r>
              <w:rPr>
                <w:rFonts w:ascii="宋体" w:hAnsi="宋体" w:cs="宋体" w:eastAsia="宋体" w:hint="default"/>
                <w:sz w:val="18"/>
                <w:szCs w:val="18"/>
              </w:rPr>
              <w:t>徐晓洁</w:t>
            </w:r>
            <w:r>
              <w:rPr>
                <w:rFonts w:ascii="Times New Roman" w:hAnsi="Times New Roman" w:cs="Times New Roman" w:eastAsia="Times New Roman" w:hint="default"/>
                <w:sz w:val="18"/>
                <w:szCs w:val="18"/>
              </w:rPr>
              <w:t>; </w:t>
            </w:r>
            <w:r>
              <w:rPr>
                <w:rFonts w:ascii="宋体" w:hAnsi="宋体" w:cs="宋体" w:eastAsia="宋体" w:hint="default"/>
                <w:sz w:val="18"/>
                <w:szCs w:val="18"/>
              </w:rPr>
              <w:t>剧净</w:t>
            </w:r>
            <w:r>
              <w:rPr>
                <w:rFonts w:ascii="Times New Roman" w:hAnsi="Times New Roman" w:cs="Times New Roman" w:eastAsia="Times New Roman" w:hint="default"/>
                <w:sz w:val="18"/>
                <w:szCs w:val="18"/>
              </w:rPr>
              <w:t>;</w:t>
            </w:r>
            <w:r>
              <w:rPr>
                <w:rFonts w:ascii="宋体" w:hAnsi="宋体" w:cs="宋体" w:eastAsia="宋体" w:hint="default"/>
                <w:sz w:val="18"/>
                <w:szCs w:val="18"/>
              </w:rPr>
              <w:t>马海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刘玉娥</w:t>
            </w:r>
            <w:r>
              <w:rPr>
                <w:rFonts w:ascii="Times New Roman" w:hAnsi="Times New Roman" w:cs="Times New Roman" w:eastAsia="Times New Roman" w:hint="default"/>
                <w:sz w:val="18"/>
                <w:szCs w:val="18"/>
              </w:rPr>
              <w:t>; </w:t>
            </w:r>
            <w:r>
              <w:rPr>
                <w:rFonts w:ascii="宋体" w:hAnsi="宋体" w:cs="宋体" w:eastAsia="宋体" w:hint="default"/>
                <w:sz w:val="18"/>
                <w:szCs w:val="18"/>
              </w:rPr>
              <w:t>王静</w:t>
            </w:r>
            <w:r>
              <w:rPr>
                <w:rFonts w:ascii="Times New Roman" w:hAnsi="Times New Roman" w:cs="Times New Roman" w:eastAsia="Times New Roman" w:hint="default"/>
                <w:sz w:val="18"/>
                <w:szCs w:val="18"/>
              </w:rPr>
              <w:t>;</w:t>
            </w:r>
            <w:r>
              <w:rPr>
                <w:rFonts w:ascii="宋体" w:hAnsi="宋体" w:cs="宋体" w:eastAsia="宋体" w:hint="default"/>
                <w:sz w:val="18"/>
                <w:szCs w:val="18"/>
              </w:rPr>
              <w:t>李保 旺</w:t>
            </w:r>
            <w:r>
              <w:rPr>
                <w:rFonts w:ascii="Times New Roman" w:hAnsi="Times New Roman" w:cs="Times New Roman" w:eastAsia="Times New Roman" w:hint="default"/>
                <w:sz w:val="18"/>
                <w:szCs w:val="18"/>
              </w:rPr>
              <w:t>;</w:t>
            </w:r>
            <w:r>
              <w:rPr>
                <w:rFonts w:ascii="宋体" w:hAnsi="宋体" w:cs="宋体" w:eastAsia="宋体" w:hint="default"/>
                <w:sz w:val="18"/>
                <w:szCs w:val="18"/>
              </w:rPr>
              <w:t>战琳琳</w:t>
            </w:r>
            <w:r>
              <w:rPr>
                <w:rFonts w:ascii="Times New Roman" w:hAnsi="Times New Roman" w:cs="Times New Roman" w:eastAsia="Times New Roman" w:hint="default"/>
                <w:sz w:val="18"/>
                <w:szCs w:val="18"/>
              </w:rPr>
              <w:t>; </w:t>
            </w:r>
            <w:r>
              <w:rPr>
                <w:rFonts w:ascii="宋体" w:hAnsi="宋体" w:cs="宋体" w:eastAsia="宋体" w:hint="default"/>
                <w:sz w:val="18"/>
                <w:szCs w:val="18"/>
              </w:rPr>
              <w:t>刘迪</w:t>
            </w:r>
            <w:r>
              <w:rPr>
                <w:rFonts w:ascii="Times New Roman" w:hAnsi="Times New Roman" w:cs="Times New Roman" w:eastAsia="Times New Roman" w:hint="default"/>
                <w:sz w:val="18"/>
                <w:szCs w:val="18"/>
              </w:rPr>
              <w:t>;</w:t>
            </w:r>
            <w:r>
              <w:rPr>
                <w:rFonts w:ascii="宋体" w:hAnsi="宋体" w:cs="宋体" w:eastAsia="宋体" w:hint="default"/>
                <w:sz w:val="18"/>
                <w:szCs w:val="18"/>
              </w:rPr>
              <w:t>倪善 福</w:t>
            </w:r>
            <w:r>
              <w:rPr>
                <w:rFonts w:ascii="Times New Roman" w:hAnsi="Times New Roman" w:cs="Times New Roman" w:eastAsia="Times New Roman" w:hint="default"/>
                <w:sz w:val="18"/>
                <w:szCs w:val="18"/>
              </w:rPr>
              <w:t>;</w:t>
            </w:r>
            <w:r>
              <w:rPr>
                <w:rFonts w:ascii="宋体" w:hAnsi="宋体" w:cs="宋体" w:eastAsia="宋体" w:hint="default"/>
                <w:sz w:val="18"/>
                <w:szCs w:val="18"/>
              </w:rPr>
              <w:t>于如春</w:t>
            </w:r>
            <w:r>
              <w:rPr>
                <w:rFonts w:ascii="Times New Roman" w:hAnsi="Times New Roman" w:cs="Times New Roman" w:eastAsia="Times New Roman" w:hint="default"/>
                <w:sz w:val="18"/>
                <w:szCs w:val="18"/>
              </w:rPr>
              <w:t>; </w:t>
            </w:r>
            <w:r>
              <w:rPr>
                <w:rFonts w:ascii="宋体" w:hAnsi="宋体" w:cs="宋体" w:eastAsia="宋体" w:hint="default"/>
                <w:sz w:val="18"/>
                <w:szCs w:val="18"/>
              </w:rPr>
              <w:t>李宁</w:t>
            </w:r>
            <w:r>
              <w:rPr>
                <w:rFonts w:ascii="Times New Roman" w:hAnsi="Times New Roman" w:cs="Times New Roman" w:eastAsia="Times New Roman" w:hint="default"/>
                <w:sz w:val="18"/>
                <w:szCs w:val="18"/>
              </w:rPr>
              <w:t>;</w:t>
            </w:r>
            <w:r>
              <w:rPr>
                <w:rFonts w:ascii="宋体" w:hAnsi="宋体" w:cs="宋体" w:eastAsia="宋体" w:hint="default"/>
                <w:sz w:val="18"/>
                <w:szCs w:val="18"/>
              </w:rPr>
              <w:t>孙佳 丽</w:t>
            </w:r>
            <w:r>
              <w:rPr>
                <w:rFonts w:ascii="Times New Roman" w:hAnsi="Times New Roman" w:cs="Times New Roman" w:eastAsia="Times New Roman" w:hint="default"/>
                <w:sz w:val="18"/>
                <w:szCs w:val="18"/>
              </w:rPr>
              <w:t>;</w:t>
            </w:r>
            <w:r>
              <w:rPr>
                <w:rFonts w:ascii="宋体" w:hAnsi="宋体" w:cs="宋体" w:eastAsia="宋体" w:hint="default"/>
                <w:sz w:val="18"/>
                <w:szCs w:val="18"/>
              </w:rPr>
              <w:t>秦丽娟</w:t>
            </w:r>
            <w:r>
              <w:rPr>
                <w:rFonts w:ascii="Times New Roman" w:hAnsi="Times New Roman" w:cs="Times New Roman" w:eastAsia="Times New Roman" w:hint="default"/>
                <w:sz w:val="18"/>
                <w:szCs w:val="18"/>
              </w:rPr>
              <w:t>; </w:t>
            </w:r>
            <w:r>
              <w:rPr>
                <w:rFonts w:ascii="宋体" w:hAnsi="宋体" w:cs="宋体" w:eastAsia="宋体" w:hint="default"/>
                <w:sz w:val="18"/>
                <w:szCs w:val="18"/>
              </w:rPr>
              <w:t>张兰欣</w:t>
            </w:r>
            <w:r>
              <w:rPr>
                <w:rFonts w:ascii="Times New Roman" w:hAnsi="Times New Roman" w:cs="Times New Roman" w:eastAsia="Times New Roman" w:hint="default"/>
                <w:sz w:val="18"/>
                <w:szCs w:val="18"/>
              </w:rPr>
              <w:t>;</w:t>
            </w:r>
            <w:r>
              <w:rPr>
                <w:rFonts w:ascii="宋体" w:hAnsi="宋体" w:cs="宋体" w:eastAsia="宋体" w:hint="default"/>
                <w:sz w:val="18"/>
                <w:szCs w:val="18"/>
              </w:rPr>
              <w:t>王 锡</w:t>
            </w:r>
            <w:r>
              <w:rPr>
                <w:rFonts w:ascii="Times New Roman" w:hAnsi="Times New Roman" w:cs="Times New Roman" w:eastAsia="Times New Roman" w:hint="default"/>
                <w:sz w:val="18"/>
                <w:szCs w:val="18"/>
              </w:rPr>
              <w:t>;</w:t>
            </w:r>
            <w:r>
              <w:rPr>
                <w:rFonts w:ascii="宋体" w:hAnsi="宋体" w:cs="宋体" w:eastAsia="宋体" w:hint="default"/>
                <w:sz w:val="18"/>
                <w:szCs w:val="18"/>
              </w:rPr>
              <w:t>苏明</w:t>
            </w:r>
            <w:r>
              <w:rPr>
                <w:rFonts w:ascii="Times New Roman" w:hAnsi="Times New Roman" w:cs="Times New Roman" w:eastAsia="Times New Roman" w:hint="default"/>
                <w:sz w:val="18"/>
                <w:szCs w:val="18"/>
              </w:rPr>
              <w:t>;</w:t>
            </w:r>
            <w:r>
              <w:rPr>
                <w:rFonts w:ascii="宋体" w:hAnsi="宋体" w:cs="宋体" w:eastAsia="宋体" w:hint="default"/>
                <w:sz w:val="18"/>
                <w:szCs w:val="18"/>
              </w:rPr>
              <w:t>范 晓琴</w:t>
            </w:r>
            <w:r>
              <w:rPr>
                <w:rFonts w:ascii="Times New Roman" w:hAnsi="Times New Roman" w:cs="Times New Roman" w:eastAsia="Times New Roman" w:hint="default"/>
                <w:sz w:val="18"/>
                <w:szCs w:val="18"/>
              </w:rPr>
              <w:t>;</w:t>
            </w:r>
            <w:r>
              <w:rPr>
                <w:rFonts w:ascii="宋体" w:hAnsi="宋体" w:cs="宋体" w:eastAsia="宋体" w:hint="default"/>
                <w:sz w:val="18"/>
                <w:szCs w:val="18"/>
              </w:rPr>
              <w:t>张俊 芳</w:t>
            </w:r>
            <w:r>
              <w:rPr>
                <w:rFonts w:ascii="Times New Roman" w:hAnsi="Times New Roman" w:cs="Times New Roman" w:eastAsia="Times New Roman" w:hint="default"/>
                <w:sz w:val="18"/>
                <w:szCs w:val="18"/>
              </w:rPr>
              <w:t>;</w:t>
            </w:r>
            <w:r>
              <w:rPr>
                <w:rFonts w:ascii="宋体" w:hAnsi="宋体" w:cs="宋体" w:eastAsia="宋体" w:hint="default"/>
                <w:sz w:val="18"/>
                <w:szCs w:val="18"/>
              </w:rPr>
              <w:t>何伟明</w:t>
            </w:r>
            <w:r>
              <w:rPr>
                <w:rFonts w:ascii="Times New Roman" w:hAnsi="Times New Roman" w:cs="Times New Roman" w:eastAsia="Times New Roman" w:hint="default"/>
                <w:sz w:val="18"/>
                <w:szCs w:val="18"/>
              </w:rPr>
              <w:t>; </w:t>
            </w:r>
            <w:r>
              <w:rPr>
                <w:rFonts w:ascii="宋体" w:hAnsi="宋体" w:cs="宋体" w:eastAsia="宋体" w:hint="default"/>
                <w:sz w:val="18"/>
                <w:szCs w:val="18"/>
              </w:rPr>
              <w:t>王苹</w:t>
            </w:r>
            <w:r>
              <w:rPr>
                <w:rFonts w:ascii="Times New Roman" w:hAnsi="Times New Roman" w:cs="Times New Roman" w:eastAsia="Times New Roman" w:hint="default"/>
                <w:sz w:val="18"/>
                <w:szCs w:val="18"/>
              </w:rPr>
              <w:t>;</w:t>
            </w:r>
            <w:r>
              <w:rPr>
                <w:rFonts w:ascii="宋体" w:hAnsi="宋体" w:cs="宋体" w:eastAsia="宋体" w:hint="default"/>
                <w:sz w:val="18"/>
                <w:szCs w:val="18"/>
              </w:rPr>
              <w:t>贲慧 敏</w:t>
            </w:r>
            <w:r>
              <w:rPr>
                <w:rFonts w:ascii="Times New Roman" w:hAnsi="Times New Roman" w:cs="Times New Roman" w:eastAsia="Times New Roman" w:hint="default"/>
                <w:sz w:val="18"/>
                <w:szCs w:val="18"/>
              </w:rPr>
              <w:t>;</w:t>
            </w:r>
            <w:r>
              <w:rPr>
                <w:rFonts w:ascii="宋体" w:hAnsi="宋体" w:cs="宋体" w:eastAsia="宋体" w:hint="default"/>
                <w:sz w:val="18"/>
                <w:szCs w:val="18"/>
              </w:rPr>
              <w:t>陆锋</w:t>
            </w:r>
            <w:r>
              <w:rPr>
                <w:rFonts w:ascii="Times New Roman" w:hAnsi="Times New Roman" w:cs="Times New Roman" w:eastAsia="Times New Roman" w:hint="default"/>
                <w:sz w:val="18"/>
                <w:szCs w:val="18"/>
              </w:rPr>
              <w:t>;</w:t>
            </w:r>
            <w:r>
              <w:rPr>
                <w:rFonts w:ascii="宋体" w:hAnsi="宋体" w:cs="宋体" w:eastAsia="宋体" w:hint="default"/>
                <w:sz w:val="18"/>
                <w:szCs w:val="18"/>
              </w:rPr>
              <w:t>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5"/>
              <w:ind w:left="21"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5" w:lineRule="auto"/>
              <w:ind w:left="23"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日起三十六个 月内且自公司股票在证券交易 所上市交易之日起十二个月内 不转让或者委托他人管理其持 </w:t>
            </w:r>
            <w:r>
              <w:rPr>
                <w:rFonts w:ascii="宋体" w:hAnsi="宋体" w:cs="宋体" w:eastAsia="宋体" w:hint="default"/>
                <w:spacing w:val="-2"/>
                <w:sz w:val="18"/>
                <w:szCs w:val="18"/>
              </w:rPr>
              <w:t>有的公司股份，也不由公司回购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其持有的公司股份。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0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5"/>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232" w:lineRule="exact"/>
        <w:jc w:val="left"/>
        <w:rPr>
          <w:rFonts w:ascii="宋体" w:hAnsi="宋体" w:cs="宋体" w:eastAsia="宋体" w:hint="default"/>
          <w:sz w:val="18"/>
          <w:szCs w:val="18"/>
        </w:rPr>
        <w:sectPr>
          <w:pgSz w:w="11910" w:h="16840"/>
          <w:pgMar w:header="228" w:footer="0" w:top="1100" w:bottom="160" w:left="168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8"/>
        <w:gridCol w:w="994"/>
        <w:gridCol w:w="1133"/>
        <w:gridCol w:w="2552"/>
        <w:gridCol w:w="852"/>
        <w:gridCol w:w="850"/>
        <w:gridCol w:w="920"/>
      </w:tblGrid>
      <w:tr>
        <w:trPr>
          <w:trHeight w:val="4251"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both"/>
              <w:rPr>
                <w:rFonts w:ascii="宋体" w:hAnsi="宋体" w:cs="宋体" w:eastAsia="宋体"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王璟</w:t>
            </w:r>
            <w:r>
              <w:rPr>
                <w:rFonts w:ascii="Times New Roman" w:hAnsi="Times New Roman" w:cs="Times New Roman" w:eastAsia="Times New Roman" w:hint="default"/>
                <w:sz w:val="18"/>
                <w:szCs w:val="18"/>
              </w:rPr>
              <w:t>;</w:t>
            </w:r>
            <w:r>
              <w:rPr>
                <w:rFonts w:ascii="宋体" w:hAnsi="宋体" w:cs="宋体" w:eastAsia="宋体" w:hint="default"/>
                <w:sz w:val="18"/>
                <w:szCs w:val="18"/>
              </w:rPr>
              <w:t>吴</w:t>
            </w:r>
          </w:p>
          <w:p>
            <w:pPr>
              <w:pStyle w:val="TableParagraph"/>
              <w:spacing w:line="233"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芳</w:t>
            </w:r>
            <w:r>
              <w:rPr>
                <w:rFonts w:ascii="Times New Roman" w:hAnsi="Times New Roman" w:cs="Times New Roman" w:eastAsia="Times New Roman" w:hint="default"/>
                <w:sz w:val="18"/>
                <w:szCs w:val="18"/>
              </w:rPr>
              <w:t>;</w:t>
            </w:r>
            <w:r>
              <w:rPr>
                <w:rFonts w:ascii="宋体" w:hAnsi="宋体" w:cs="宋体" w:eastAsia="宋体" w:hint="default"/>
                <w:sz w:val="18"/>
                <w:szCs w:val="18"/>
              </w:rPr>
              <w:t>李冬丽</w:t>
            </w:r>
            <w:r>
              <w:rPr>
                <w:rFonts w:ascii="Times New Roman" w:hAnsi="Times New Roman" w:cs="Times New Roman" w:eastAsia="Times New Roman" w:hint="default"/>
                <w:sz w:val="18"/>
                <w:szCs w:val="18"/>
              </w:rPr>
              <w:t>;</w:t>
            </w:r>
          </w:p>
          <w:p>
            <w:pPr>
              <w:pStyle w:val="TableParagraph"/>
              <w:spacing w:line="225" w:lineRule="auto" w:before="4"/>
              <w:ind w:left="24" w:right="137"/>
              <w:jc w:val="both"/>
              <w:rPr>
                <w:rFonts w:ascii="宋体" w:hAnsi="宋体" w:cs="宋体" w:eastAsia="宋体" w:hint="default"/>
                <w:sz w:val="18"/>
                <w:szCs w:val="18"/>
              </w:rPr>
            </w:pPr>
            <w:r>
              <w:rPr>
                <w:rFonts w:ascii="宋体" w:hAnsi="宋体" w:cs="宋体" w:eastAsia="宋体" w:hint="default"/>
                <w:sz w:val="18"/>
                <w:szCs w:val="18"/>
              </w:rPr>
              <w:t>汪艳</w:t>
            </w:r>
            <w:r>
              <w:rPr>
                <w:rFonts w:ascii="Times New Roman" w:hAnsi="Times New Roman" w:cs="Times New Roman" w:eastAsia="Times New Roman" w:hint="default"/>
                <w:sz w:val="18"/>
                <w:szCs w:val="18"/>
              </w:rPr>
              <w:t>;</w:t>
            </w:r>
            <w:r>
              <w:rPr>
                <w:rFonts w:ascii="宋体" w:hAnsi="宋体" w:cs="宋体" w:eastAsia="宋体" w:hint="default"/>
                <w:sz w:val="18"/>
                <w:szCs w:val="18"/>
              </w:rPr>
              <w:t>徐俊</w:t>
            </w:r>
            <w:r>
              <w:rPr>
                <w:rFonts w:ascii="Times New Roman" w:hAnsi="Times New Roman" w:cs="Times New Roman" w:eastAsia="Times New Roman" w:hint="default"/>
                <w:sz w:val="18"/>
                <w:szCs w:val="18"/>
              </w:rPr>
              <w:t>; </w:t>
            </w:r>
            <w:r>
              <w:rPr>
                <w:rFonts w:ascii="宋体" w:hAnsi="宋体" w:cs="宋体" w:eastAsia="宋体" w:hint="default"/>
                <w:sz w:val="18"/>
                <w:szCs w:val="18"/>
              </w:rPr>
              <w:t>侯会灵</w:t>
            </w:r>
            <w:r>
              <w:rPr>
                <w:rFonts w:ascii="Times New Roman" w:hAnsi="Times New Roman" w:cs="Times New Roman" w:eastAsia="Times New Roman" w:hint="default"/>
                <w:sz w:val="18"/>
                <w:szCs w:val="18"/>
              </w:rPr>
              <w:t>;</w:t>
            </w:r>
            <w:r>
              <w:rPr>
                <w:rFonts w:ascii="宋体" w:hAnsi="宋体" w:cs="宋体" w:eastAsia="宋体" w:hint="default"/>
                <w:sz w:val="18"/>
                <w:szCs w:val="18"/>
              </w:rPr>
              <w:t>马 艳</w:t>
            </w:r>
            <w:r>
              <w:rPr>
                <w:rFonts w:ascii="Times New Roman" w:hAnsi="Times New Roman" w:cs="Times New Roman" w:eastAsia="Times New Roman" w:hint="default"/>
                <w:sz w:val="18"/>
                <w:szCs w:val="18"/>
              </w:rPr>
              <w:t>;</w:t>
            </w:r>
            <w:r>
              <w:rPr>
                <w:rFonts w:ascii="宋体" w:hAnsi="宋体" w:cs="宋体" w:eastAsia="宋体" w:hint="default"/>
                <w:sz w:val="18"/>
                <w:szCs w:val="18"/>
              </w:rPr>
              <w:t>葛艳红</w:t>
            </w:r>
            <w:r>
              <w:rPr>
                <w:rFonts w:ascii="Times New Roman" w:hAnsi="Times New Roman" w:cs="Times New Roman" w:eastAsia="Times New Roman" w:hint="default"/>
                <w:sz w:val="18"/>
                <w:szCs w:val="18"/>
              </w:rPr>
              <w:t>; </w:t>
            </w:r>
            <w:r>
              <w:rPr>
                <w:rFonts w:ascii="宋体" w:hAnsi="宋体" w:cs="宋体" w:eastAsia="宋体" w:hint="default"/>
                <w:sz w:val="18"/>
                <w:szCs w:val="18"/>
              </w:rPr>
              <w:t>李静</w:t>
            </w:r>
            <w:r>
              <w:rPr>
                <w:rFonts w:ascii="Times New Roman" w:hAnsi="Times New Roman" w:cs="Times New Roman" w:eastAsia="Times New Roman" w:hint="default"/>
                <w:sz w:val="18"/>
                <w:szCs w:val="18"/>
              </w:rPr>
              <w:t>;</w:t>
            </w:r>
            <w:r>
              <w:rPr>
                <w:rFonts w:ascii="宋体" w:hAnsi="宋体" w:cs="宋体" w:eastAsia="宋体" w:hint="default"/>
                <w:sz w:val="18"/>
                <w:szCs w:val="18"/>
              </w:rPr>
              <w:t>何青 竹</w:t>
            </w:r>
            <w:r>
              <w:rPr>
                <w:rFonts w:ascii="Times New Roman" w:hAnsi="Times New Roman" w:cs="Times New Roman" w:eastAsia="Times New Roman" w:hint="default"/>
                <w:sz w:val="18"/>
                <w:szCs w:val="18"/>
              </w:rPr>
              <w:t>;</w:t>
            </w:r>
            <w:r>
              <w:rPr>
                <w:rFonts w:ascii="宋体" w:hAnsi="宋体" w:cs="宋体" w:eastAsia="宋体" w:hint="default"/>
                <w:sz w:val="18"/>
                <w:szCs w:val="18"/>
              </w:rPr>
              <w:t>韩珍</w:t>
            </w:r>
            <w:r>
              <w:rPr>
                <w:rFonts w:ascii="Times New Roman" w:hAnsi="Times New Roman" w:cs="Times New Roman" w:eastAsia="Times New Roman" w:hint="default"/>
                <w:sz w:val="18"/>
                <w:szCs w:val="18"/>
              </w:rPr>
              <w:t>;</w:t>
            </w:r>
            <w:r>
              <w:rPr>
                <w:rFonts w:ascii="宋体" w:hAnsi="宋体" w:cs="宋体" w:eastAsia="宋体" w:hint="default"/>
                <w:sz w:val="18"/>
                <w:szCs w:val="18"/>
              </w:rPr>
              <w:t>蒋</w:t>
            </w:r>
          </w:p>
          <w:p>
            <w:pPr>
              <w:pStyle w:val="TableParagraph"/>
              <w:spacing w:line="225" w:lineRule="auto" w:before="1"/>
              <w:ind w:left="24"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睿</w:t>
            </w:r>
            <w:r>
              <w:rPr>
                <w:rFonts w:ascii="Times New Roman" w:hAnsi="Times New Roman" w:cs="Times New Roman" w:eastAsia="Times New Roman" w:hint="default"/>
                <w:sz w:val="18"/>
                <w:szCs w:val="18"/>
              </w:rPr>
              <w:t>;</w:t>
            </w:r>
            <w:r>
              <w:rPr>
                <w:rFonts w:ascii="宋体" w:hAnsi="宋体" w:cs="宋体" w:eastAsia="宋体" w:hint="default"/>
                <w:sz w:val="18"/>
                <w:szCs w:val="18"/>
              </w:rPr>
              <w:t>杨娜娜</w:t>
            </w:r>
            <w:r>
              <w:rPr>
                <w:rFonts w:ascii="Times New Roman" w:hAnsi="Times New Roman" w:cs="Times New Roman" w:eastAsia="Times New Roman" w:hint="default"/>
                <w:sz w:val="18"/>
                <w:szCs w:val="18"/>
              </w:rPr>
              <w:t>; </w:t>
            </w:r>
            <w:r>
              <w:rPr>
                <w:rFonts w:ascii="宋体" w:hAnsi="宋体" w:cs="宋体" w:eastAsia="宋体" w:hint="default"/>
                <w:sz w:val="18"/>
                <w:szCs w:val="18"/>
              </w:rPr>
              <w:t>臧兆基</w:t>
            </w:r>
            <w:r>
              <w:rPr>
                <w:rFonts w:ascii="Times New Roman" w:hAnsi="Times New Roman" w:cs="Times New Roman" w:eastAsia="Times New Roman" w:hint="default"/>
                <w:sz w:val="18"/>
                <w:szCs w:val="18"/>
              </w:rPr>
              <w:t>;</w:t>
            </w:r>
            <w:r>
              <w:rPr>
                <w:rFonts w:ascii="宋体" w:hAnsi="宋体" w:cs="宋体" w:eastAsia="宋体" w:hint="default"/>
                <w:sz w:val="18"/>
                <w:szCs w:val="18"/>
              </w:rPr>
              <w:t>王 清</w:t>
            </w:r>
            <w:r>
              <w:rPr>
                <w:rFonts w:ascii="Times New Roman" w:hAnsi="Times New Roman" w:cs="Times New Roman" w:eastAsia="Times New Roman" w:hint="default"/>
                <w:sz w:val="18"/>
                <w:szCs w:val="18"/>
              </w:rPr>
              <w:t>;</w:t>
            </w:r>
            <w:r>
              <w:rPr>
                <w:rFonts w:ascii="宋体" w:hAnsi="宋体" w:cs="宋体" w:eastAsia="宋体" w:hint="default"/>
                <w:sz w:val="18"/>
                <w:szCs w:val="18"/>
              </w:rPr>
              <w:t>张晖</w:t>
            </w:r>
            <w:r>
              <w:rPr>
                <w:rFonts w:ascii="Times New Roman" w:hAnsi="Times New Roman" w:cs="Times New Roman" w:eastAsia="Times New Roman" w:hint="default"/>
                <w:sz w:val="18"/>
                <w:szCs w:val="18"/>
              </w:rPr>
              <w:t>;</w:t>
            </w:r>
            <w:r>
              <w:rPr>
                <w:rFonts w:ascii="宋体" w:hAnsi="宋体" w:cs="宋体" w:eastAsia="宋体" w:hint="default"/>
                <w:sz w:val="18"/>
                <w:szCs w:val="18"/>
              </w:rPr>
              <w:t>东 野圣富</w:t>
            </w:r>
            <w:r>
              <w:rPr>
                <w:rFonts w:ascii="Times New Roman" w:hAnsi="Times New Roman" w:cs="Times New Roman" w:eastAsia="Times New Roman" w:hint="default"/>
                <w:sz w:val="18"/>
                <w:szCs w:val="18"/>
              </w:rPr>
              <w:t>;</w:t>
            </w:r>
            <w:r>
              <w:rPr>
                <w:rFonts w:ascii="宋体" w:hAnsi="宋体" w:cs="宋体" w:eastAsia="宋体" w:hint="default"/>
                <w:sz w:val="18"/>
                <w:szCs w:val="18"/>
              </w:rPr>
              <w:t>陈 鹏辉</w:t>
            </w:r>
            <w:r>
              <w:rPr>
                <w:rFonts w:ascii="Times New Roman" w:hAnsi="Times New Roman" w:cs="Times New Roman" w:eastAsia="Times New Roman" w:hint="default"/>
                <w:sz w:val="18"/>
                <w:szCs w:val="18"/>
              </w:rPr>
              <w:t>;</w:t>
            </w:r>
            <w:r>
              <w:rPr>
                <w:rFonts w:ascii="宋体" w:hAnsi="宋体" w:cs="宋体" w:eastAsia="宋体" w:hint="default"/>
                <w:sz w:val="18"/>
                <w:szCs w:val="18"/>
              </w:rPr>
              <w:t>林文 举</w:t>
            </w:r>
            <w:r>
              <w:rPr>
                <w:rFonts w:ascii="Times New Roman" w:hAnsi="Times New Roman" w:cs="Times New Roman" w:eastAsia="Times New Roman" w:hint="default"/>
                <w:sz w:val="18"/>
                <w:szCs w:val="18"/>
              </w:rPr>
              <w:t>;</w:t>
            </w:r>
            <w:r>
              <w:rPr>
                <w:rFonts w:ascii="宋体" w:hAnsi="宋体" w:cs="宋体" w:eastAsia="宋体" w:hint="default"/>
                <w:sz w:val="18"/>
                <w:szCs w:val="18"/>
              </w:rPr>
              <w:t>陈建伟</w:t>
            </w:r>
            <w:r>
              <w:rPr>
                <w:rFonts w:ascii="Times New Roman" w:hAnsi="Times New Roman" w:cs="Times New Roman" w:eastAsia="Times New Roman" w:hint="default"/>
                <w:sz w:val="18"/>
                <w:szCs w:val="18"/>
              </w:rPr>
              <w:t>; </w:t>
            </w:r>
            <w:r>
              <w:rPr>
                <w:rFonts w:ascii="宋体" w:hAnsi="宋体" w:cs="宋体" w:eastAsia="宋体" w:hint="default"/>
                <w:sz w:val="18"/>
                <w:szCs w:val="18"/>
              </w:rPr>
              <w:t>郭雄飞</w:t>
            </w:r>
            <w:r>
              <w:rPr>
                <w:rFonts w:ascii="Times New Roman" w:hAnsi="Times New Roman" w:cs="Times New Roman" w:eastAsia="Times New Roman" w:hint="default"/>
                <w:sz w:val="18"/>
                <w:szCs w:val="18"/>
              </w:rPr>
              <w:t>;</w:t>
            </w:r>
            <w:r>
              <w:rPr>
                <w:rFonts w:ascii="宋体" w:hAnsi="宋体" w:cs="宋体" w:eastAsia="宋体" w:hint="default"/>
                <w:sz w:val="18"/>
                <w:szCs w:val="18"/>
              </w:rPr>
              <w:t>张 婷</w:t>
            </w:r>
            <w:r>
              <w:rPr>
                <w:rFonts w:ascii="Times New Roman" w:hAnsi="Times New Roman" w:cs="Times New Roman" w:eastAsia="Times New Roman" w:hint="default"/>
                <w:sz w:val="18"/>
                <w:szCs w:val="18"/>
              </w:rPr>
              <w:t>;</w:t>
            </w:r>
            <w:r>
              <w:rPr>
                <w:rFonts w:ascii="宋体" w:hAnsi="宋体" w:cs="宋体" w:eastAsia="宋体" w:hint="default"/>
                <w:sz w:val="18"/>
                <w:szCs w:val="18"/>
              </w:rPr>
              <w:t>曾庆磊</w:t>
            </w:r>
            <w:r>
              <w:rPr>
                <w:rFonts w:ascii="Times New Roman" w:hAnsi="Times New Roman" w:cs="Times New Roman" w:eastAsia="Times New Roman" w:hint="default"/>
                <w:sz w:val="18"/>
                <w:szCs w:val="18"/>
              </w:rPr>
              <w:t>; </w:t>
            </w:r>
            <w:r>
              <w:rPr>
                <w:rFonts w:ascii="宋体" w:hAnsi="宋体" w:cs="宋体" w:eastAsia="宋体" w:hint="default"/>
                <w:sz w:val="18"/>
                <w:szCs w:val="18"/>
              </w:rPr>
              <w:t>翁伟滨</w:t>
            </w:r>
            <w:r>
              <w:rPr>
                <w:rFonts w:ascii="Times New Roman" w:hAnsi="Times New Roman" w:cs="Times New Roman" w:eastAsia="Times New Roman" w:hint="default"/>
                <w:sz w:val="18"/>
                <w:szCs w:val="18"/>
              </w:rPr>
              <w:t>;</w:t>
            </w:r>
            <w:r>
              <w:rPr>
                <w:rFonts w:ascii="宋体" w:hAnsi="宋体" w:cs="宋体" w:eastAsia="宋体" w:hint="default"/>
                <w:sz w:val="18"/>
                <w:szCs w:val="18"/>
              </w:rPr>
              <w:t>周 运南</w:t>
            </w:r>
            <w:r>
              <w:rPr>
                <w:rFonts w:ascii="Times New Roman" w:hAnsi="Times New Roman" w:cs="Times New Roman" w:eastAsia="Times New Roman" w:hint="default"/>
                <w:sz w:val="18"/>
                <w:szCs w:val="18"/>
              </w:rPr>
              <w:t>;</w:t>
            </w:r>
            <w:r>
              <w:rPr>
                <w:rFonts w:ascii="宋体" w:hAnsi="宋体" w:cs="宋体" w:eastAsia="宋体" w:hint="default"/>
                <w:sz w:val="18"/>
                <w:szCs w:val="18"/>
              </w:rPr>
              <w:t>唐健 盛</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59"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9"/>
              <w:ind w:left="24" w:right="189"/>
              <w:jc w:val="left"/>
              <w:rPr>
                <w:rFonts w:ascii="宋体" w:hAnsi="宋体" w:cs="宋体" w:eastAsia="宋体" w:hint="default"/>
                <w:sz w:val="18"/>
                <w:szCs w:val="18"/>
              </w:rPr>
            </w:pPr>
            <w:r>
              <w:rPr>
                <w:rFonts w:ascii="宋体" w:hAnsi="宋体" w:cs="宋体" w:eastAsia="宋体" w:hint="default"/>
                <w:sz w:val="18"/>
                <w:szCs w:val="18"/>
              </w:rPr>
              <w:t>达安世纪</w:t>
            </w:r>
            <w:r>
              <w:rPr>
                <w:rFonts w:ascii="Times New Roman" w:hAnsi="Times New Roman" w:cs="Times New Roman" w:eastAsia="Times New Roman" w:hint="default"/>
                <w:sz w:val="18"/>
                <w:szCs w:val="18"/>
              </w:rPr>
              <w:t>; </w:t>
            </w:r>
            <w:r>
              <w:rPr>
                <w:rFonts w:ascii="宋体" w:hAnsi="宋体" w:cs="宋体" w:eastAsia="宋体" w:hint="default"/>
                <w:sz w:val="18"/>
                <w:szCs w:val="18"/>
              </w:rPr>
              <w:t>悦华众城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9"/>
              <w:ind w:left="21" w:right="20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对于公司首次公开发行股票前 </w:t>
            </w:r>
            <w:r>
              <w:rPr>
                <w:rFonts w:ascii="宋体" w:hAnsi="宋体" w:cs="宋体" w:eastAsia="宋体" w:hint="default"/>
                <w:spacing w:val="-2"/>
                <w:sz w:val="18"/>
                <w:szCs w:val="18"/>
              </w:rPr>
              <w:t>所持的公司股票，在股票锁定期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满后，将通过在二级市场集中竞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价交易、大宗交易等深圳证券交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易所认可的合法方式按照届时 的市场价格或大宗交易确定的 </w:t>
            </w:r>
            <w:r>
              <w:rPr>
                <w:rFonts w:ascii="宋体" w:hAnsi="宋体" w:cs="宋体" w:eastAsia="宋体" w:hint="default"/>
                <w:spacing w:val="-2"/>
                <w:sz w:val="18"/>
                <w:szCs w:val="18"/>
              </w:rPr>
              <w:t>价格进行减持。所持股票在锁定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期满后两年内每年减持不超过 </w:t>
            </w:r>
            <w:r>
              <w:rPr>
                <w:rFonts w:ascii="宋体" w:hAnsi="宋体" w:cs="宋体" w:eastAsia="宋体" w:hint="default"/>
                <w:spacing w:val="-2"/>
                <w:sz w:val="18"/>
                <w:szCs w:val="18"/>
              </w:rPr>
              <w:t>百分之二十。并将提前五个交易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日向发行人提交减持原因、减持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数量、未来减持计划、减持对发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行人治理结构及持续经营影响 </w:t>
            </w:r>
            <w:r>
              <w:rPr>
                <w:rFonts w:ascii="宋体" w:hAnsi="宋体" w:cs="宋体" w:eastAsia="宋体" w:hint="default"/>
                <w:spacing w:val="-2"/>
                <w:sz w:val="18"/>
                <w:szCs w:val="18"/>
              </w:rPr>
              <w:t>的说明，由发行人在减持前三个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交易日予以公告，并将按照《公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司法》、《证券法》、中国证券监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督管理委员会及深圳证券交易 所相关规定办理。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0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9"/>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788"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32"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对于公司首次公开发行股票前 本人直接或间接持有的公司股 </w:t>
            </w:r>
            <w:r>
              <w:rPr>
                <w:rFonts w:ascii="宋体" w:hAnsi="宋体" w:cs="宋体" w:eastAsia="宋体" w:hint="default"/>
                <w:spacing w:val="-2"/>
                <w:sz w:val="18"/>
                <w:szCs w:val="18"/>
              </w:rPr>
              <w:t>票，在股票锁定期满后，将通过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在二级市场集中竞价交易、大宗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交易等深圳证券交易所认可的 合法方式按照届时的市场价格 或大宗交易确定的价格进行减 </w:t>
            </w:r>
            <w:r>
              <w:rPr>
                <w:rFonts w:ascii="宋体" w:hAnsi="宋体" w:cs="宋体" w:eastAsia="宋体" w:hint="default"/>
                <w:spacing w:val="-2"/>
                <w:sz w:val="18"/>
                <w:szCs w:val="18"/>
              </w:rPr>
              <w:t>持。所持股票在锁定期满后两年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内每年减持不超过百分之二十。 并将提前五个交易日向发行人 </w:t>
            </w:r>
            <w:r>
              <w:rPr>
                <w:rFonts w:ascii="宋体" w:hAnsi="宋体" w:cs="宋体" w:eastAsia="宋体" w:hint="default"/>
                <w:spacing w:val="-2"/>
                <w:sz w:val="18"/>
                <w:szCs w:val="18"/>
              </w:rPr>
              <w:t>提交减持原因、减持数量、未来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减持计划、减持对发行人治理结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构及持续经营影响的说明，由发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行人在减持前三个交易日予以 </w:t>
            </w:r>
            <w:r>
              <w:rPr>
                <w:rFonts w:ascii="宋体" w:hAnsi="宋体" w:cs="宋体" w:eastAsia="宋体" w:hint="default"/>
                <w:spacing w:val="-14"/>
                <w:sz w:val="18"/>
                <w:szCs w:val="18"/>
              </w:rPr>
              <w:t>公告，并将按照《公司法》、《证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券法》、中国证券监督管理委员</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232" w:lineRule="exact"/>
        <w:jc w:val="left"/>
        <w:rPr>
          <w:rFonts w:ascii="宋体" w:hAnsi="宋体" w:cs="宋体" w:eastAsia="宋体" w:hint="default"/>
          <w:sz w:val="18"/>
          <w:szCs w:val="18"/>
        </w:rPr>
        <w:sectPr>
          <w:pgSz w:w="11910" w:h="16840"/>
          <w:pgMar w:header="228" w:footer="0" w:top="1100" w:bottom="160" w:left="1680" w:right="240"/>
        </w:sectPr>
      </w:pPr>
    </w:p>
    <w:p>
      <w:pPr>
        <w:spacing w:line="240" w:lineRule="auto" w:before="0"/>
        <w:rPr>
          <w:rFonts w:ascii="Times New Roman" w:hAnsi="Times New Roman" w:cs="Times New Roman" w:eastAsia="Times New Roman" w:hint="default"/>
          <w:sz w:val="20"/>
          <w:szCs w:val="20"/>
        </w:rPr>
      </w:pPr>
      <w:r>
        <w:rPr/>
        <w:pict>
          <v:shape style="position:absolute;margin-left:377.709991pt;margin-top:402.529968pt;width:111.3pt;height:168.3pt;mso-position-horizontal-relative:page;mso-position-vertical-relative:page;z-index:-829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1"/>
                    <w:ind w:left="0" w:right="0"/>
                    <w:jc w:val="left"/>
                  </w:pPr>
                  <w:r>
                    <w:rPr/>
                    <w:t>完成时间等信息，</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8"/>
        <w:gridCol w:w="994"/>
        <w:gridCol w:w="1133"/>
        <w:gridCol w:w="2552"/>
        <w:gridCol w:w="852"/>
        <w:gridCol w:w="850"/>
        <w:gridCol w:w="920"/>
      </w:tblGrid>
      <w:tr>
        <w:trPr>
          <w:trHeight w:val="516"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会及深圳证券交易所相关规定</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办理。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292"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24" w:right="187"/>
              <w:jc w:val="left"/>
              <w:rPr>
                <w:rFonts w:ascii="宋体" w:hAnsi="宋体" w:cs="宋体" w:eastAsia="宋体" w:hint="default"/>
                <w:sz w:val="18"/>
                <w:szCs w:val="18"/>
              </w:rPr>
            </w:pPr>
            <w:r>
              <w:rPr>
                <w:rFonts w:ascii="宋体" w:hAnsi="宋体" w:cs="宋体" w:eastAsia="宋体" w:hint="default"/>
                <w:sz w:val="18"/>
                <w:szCs w:val="18"/>
              </w:rPr>
              <w:t>常都喜</w:t>
            </w:r>
            <w:r>
              <w:rPr>
                <w:rFonts w:ascii="Times New Roman" w:hAnsi="Times New Roman" w:cs="Times New Roman" w:eastAsia="Times New Roman" w:hint="default"/>
                <w:sz w:val="18"/>
                <w:szCs w:val="18"/>
              </w:rPr>
              <w:t>;</w:t>
            </w:r>
            <w:r>
              <w:rPr>
                <w:rFonts w:ascii="宋体" w:hAnsi="宋体" w:cs="宋体" w:eastAsia="宋体" w:hint="default"/>
                <w:sz w:val="18"/>
                <w:szCs w:val="18"/>
              </w:rPr>
              <w:t>陈 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对于公司首次公开发行股票前 本人直接或间接持有的公司股 </w:t>
            </w:r>
            <w:r>
              <w:rPr>
                <w:rFonts w:ascii="宋体" w:hAnsi="宋体" w:cs="宋体" w:eastAsia="宋体" w:hint="default"/>
                <w:spacing w:val="-2"/>
                <w:sz w:val="18"/>
                <w:szCs w:val="18"/>
              </w:rPr>
              <w:t>票，在股票锁定期满后，将通过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在二级市场集中竞价交易、大宗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交易等深圳证券交易所认可的 合法方式按照届时的市场价格 或大宗交易确定的价格进行减 </w:t>
            </w:r>
            <w:r>
              <w:rPr>
                <w:rFonts w:ascii="宋体" w:hAnsi="宋体" w:cs="宋体" w:eastAsia="宋体" w:hint="default"/>
                <w:spacing w:val="-2"/>
                <w:sz w:val="18"/>
                <w:szCs w:val="18"/>
              </w:rPr>
              <w:t>持。所持股票在锁定期满后两年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内每年减持不超过百分之五十， 并将提前五个交易日向发行人 </w:t>
            </w:r>
            <w:r>
              <w:rPr>
                <w:rFonts w:ascii="宋体" w:hAnsi="宋体" w:cs="宋体" w:eastAsia="宋体" w:hint="default"/>
                <w:spacing w:val="-2"/>
                <w:sz w:val="18"/>
                <w:szCs w:val="18"/>
              </w:rPr>
              <w:t>提交减持原因、减持数量、未来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减持计划、减持对发行人治理结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构及持续经营影响的说明，由发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行人在减持前三个交易日予以 </w:t>
            </w:r>
            <w:r>
              <w:rPr>
                <w:rFonts w:ascii="宋体" w:hAnsi="宋体" w:cs="宋体" w:eastAsia="宋体" w:hint="default"/>
                <w:spacing w:val="-14"/>
                <w:sz w:val="18"/>
                <w:szCs w:val="18"/>
              </w:rPr>
              <w:t>公告，并将按照《公司法》、《证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券法》、中国证券监督管理委员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会及深圳证券交易所相关规定 办理。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3"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290"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百华悦邦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32"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2552" w:type="dxa"/>
            <w:tcBorders>
              <w:top w:val="single" w:sz="4" w:space="0" w:color="000000"/>
              <w:left w:val="single" w:sz="4" w:space="0" w:color="000000"/>
              <w:bottom w:val="single" w:sz="4" w:space="0" w:color="000000"/>
              <w:right w:val="single" w:sz="10" w:space="0" w:color="FFFFFF"/>
            </w:tcBorders>
          </w:tcPr>
          <w:p>
            <w:pPr>
              <w:pStyle w:val="TableParagraph"/>
              <w:spacing w:line="235" w:lineRule="auto" w:before="12"/>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）本次公开发行的招股说明 书若有虚假记载、误导性陈述或 者重大遗漏，对判断公司是否符 合法律规定的发行条件构成重 大、实质影响的，发行人及控股 股东将依法回购全部新股，且控 股股东将购回已转让的原限售 股份。证券主管部门或司法机关 认定公司招股说明书存在本款 前述违法违规情形之日起的十 个交易日内，公司将公告回购新 股的回购计划，包括回购股份数 </w:t>
            </w:r>
            <w:r>
              <w:rPr>
                <w:rFonts w:ascii="宋体" w:hAnsi="宋体" w:cs="宋体" w:eastAsia="宋体" w:hint="default"/>
                <w:spacing w:val="-9"/>
                <w:sz w:val="18"/>
                <w:szCs w:val="18"/>
              </w:rPr>
              <w:t>量、价格区间、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股份回购计划需经公司股东大 会批准。公司在股份回购义务触</w:t>
            </w:r>
            <w:r>
              <w:rPr>
                <w:rFonts w:ascii="宋体" w:hAnsi="宋体" w:cs="宋体" w:eastAsia="宋体" w:hint="default"/>
                <w:sz w:val="18"/>
                <w:szCs w:val="18"/>
              </w:rPr>
              <w:t> 发之日起三个月（以下简称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回 购期</w:t>
            </w:r>
            <w:r>
              <w:rPr>
                <w:rFonts w:ascii="Times New Roman" w:hAnsi="Times New Roman" w:cs="Times New Roman" w:eastAsia="Times New Roman" w:hint="default"/>
                <w:sz w:val="18"/>
                <w:szCs w:val="18"/>
              </w:rPr>
              <w:t>”</w:t>
            </w:r>
            <w:r>
              <w:rPr>
                <w:rFonts w:ascii="宋体" w:hAnsi="宋体" w:cs="宋体" w:eastAsia="宋体" w:hint="default"/>
                <w:sz w:val="18"/>
                <w:szCs w:val="18"/>
              </w:rPr>
              <w:t>）内以市场价格完成回购 期间公司如有派息、送股、资本 公积金转增股本、配股等除权除 息事项，回购底价相应进行调 整。如本公司未能履行上述股份 回购义务，则由控股股东达安世 纪、悦华众城履行上述义务。除 非交易对方在回购期内不接受 要约，否则控股股东将购回已转 </w:t>
            </w:r>
            <w:r>
              <w:rPr>
                <w:rFonts w:ascii="宋体" w:hAnsi="宋体" w:cs="宋体" w:eastAsia="宋体" w:hint="default"/>
                <w:spacing w:val="-8"/>
                <w:sz w:val="18"/>
                <w:szCs w:val="18"/>
              </w:rPr>
              <w:t>让的全部股份。（</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）本次公开发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行的招股说明书若有虚假记载、 误导性陈述或者重大遗漏，致使</w:t>
            </w:r>
            <w:r>
              <w:rPr>
                <w:rFonts w:ascii="宋体" w:hAnsi="宋体" w:cs="宋体" w:eastAsia="宋体" w:hint="default"/>
                <w:sz w:val="18"/>
                <w:szCs w:val="18"/>
              </w:rPr>
              <w:t> 投资者在证券交易中遭受损失 的，将依法赔偿投资者损失。具 体的赔偿标准、赔偿主体范围、</w:t>
            </w:r>
          </w:p>
        </w:tc>
        <w:tc>
          <w:tcPr>
            <w:tcW w:w="852" w:type="dxa"/>
            <w:tcBorders>
              <w:top w:val="single" w:sz="4" w:space="0" w:color="000000"/>
              <w:left w:val="single" w:sz="10" w:space="0" w:color="FFFFFF"/>
              <w:bottom w:val="single" w:sz="4" w:space="0" w:color="000000"/>
              <w:right w:val="single" w:sz="4" w:space="0" w:color="000000"/>
            </w:tcBorders>
          </w:tcPr>
          <w:p>
            <w:pPr>
              <w:pStyle w:val="TableParagraph"/>
              <w:spacing w:line="3365"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6"/>
                <w:sz w:val="20"/>
                <w:szCs w:val="20"/>
              </w:rPr>
              <w:pict>
                <v:group style="width:42.15pt;height:168.3pt;mso-position-horizontal-relative:char;mso-position-vertical-relative:line" coordorigin="0,0" coordsize="843,3366">
                  <v:group style="position:absolute;left:0;top:0;width:843;height:3366" coordorigin="0,0" coordsize="843,3366">
                    <v:shape style="position:absolute;left:0;top:0;width:843;height:3366" coordorigin="0,0" coordsize="843,3366" path="m0,3365l842,3365,842,0,0,0,0,3365xe" filled="true" fillcolor="#ffffff" stroked="false">
                      <v:path arrowok="t"/>
                      <v:fill type="solid"/>
                    </v:shape>
                  </v:group>
                </v:group>
              </w:pict>
            </w:r>
            <w:r>
              <w:rPr>
                <w:rFonts w:ascii="Times New Roman" w:hAnsi="Times New Roman" w:cs="Times New Roman" w:eastAsia="Times New Roman" w:hint="default"/>
                <w:position w:val="-66"/>
                <w:sz w:val="20"/>
                <w:szCs w:val="20"/>
              </w:rPr>
            </w:r>
          </w:p>
          <w:p>
            <w:pPr>
              <w:pStyle w:val="TableParagraph"/>
              <w:spacing w:line="241" w:lineRule="exact" w:before="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186" w:lineRule="exact"/>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1"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638"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2"/>
                <w:sz w:val="20"/>
                <w:szCs w:val="20"/>
              </w:rPr>
              <w:pict>
                <v:group style="width:42.15pt;height:181.95pt;mso-position-horizontal-relative:char;mso-position-vertical-relative:line" coordorigin="0,0" coordsize="843,3639">
                  <v:group style="position:absolute;left:0;top:274;width:843;height:3366" coordorigin="0,274" coordsize="843,3366">
                    <v:shape style="position:absolute;left:0;top:274;width:843;height:3366" coordorigin="0,274" coordsize="843,3366" path="m0,3639l842,3639,842,274,0,274,0,3639xe" filled="true" fillcolor="#ffffff" stroked="false">
                      <v:path arrowok="t"/>
                      <v:fill type="solid"/>
                    </v:shape>
                  </v:group>
                  <v:group style="position:absolute;left:24;top:0;width:795;height:274" coordorigin="24,0" coordsize="795,274">
                    <v:shape style="position:absolute;left:24;top:0;width:795;height:274" coordorigin="24,0" coordsize="795,274" path="m24,274l818,274,818,0,24,0,24,274xe" filled="true" fillcolor="#ffffff" stroked="false">
                      <v:path arrowok="t"/>
                      <v:fill type="solid"/>
                    </v:shape>
                  </v:group>
                </v:group>
              </w:pict>
            </w:r>
            <w:r>
              <w:rPr>
                <w:rFonts w:ascii="Times New Roman" w:hAnsi="Times New Roman" w:cs="Times New Roman" w:eastAsia="Times New Roman" w:hint="default"/>
                <w:position w:val="-72"/>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232" w:lineRule="exact"/>
        <w:jc w:val="left"/>
        <w:rPr>
          <w:rFonts w:ascii="宋体" w:hAnsi="宋体" w:cs="宋体" w:eastAsia="宋体" w:hint="default"/>
          <w:sz w:val="18"/>
          <w:szCs w:val="18"/>
        </w:rPr>
        <w:sectPr>
          <w:pgSz w:w="11910" w:h="16840"/>
          <w:pgMar w:header="228" w:footer="0" w:top="1100" w:bottom="160" w:left="1680" w:right="240"/>
        </w:sectPr>
      </w:pPr>
    </w:p>
    <w:p>
      <w:pPr>
        <w:spacing w:line="240" w:lineRule="auto" w:before="0"/>
        <w:rPr>
          <w:rFonts w:ascii="Times New Roman" w:hAnsi="Times New Roman" w:cs="Times New Roman" w:eastAsia="Times New Roman" w:hint="default"/>
          <w:sz w:val="20"/>
          <w:szCs w:val="20"/>
        </w:rPr>
      </w:pPr>
      <w:r>
        <w:rPr/>
        <w:pict>
          <v:shape style="position:absolute;margin-left:422.709991pt;margin-top:199.589981pt;width:66.3pt;height:256.8500pt;mso-position-horizontal-relative:page;mso-position-vertical-relative:page;z-index:-829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pStyle w:val="BodyText"/>
                    <w:spacing w:line="240" w:lineRule="auto"/>
                    <w:ind w:left="0" w:right="0"/>
                    <w:jc w:val="left"/>
                  </w:pPr>
                  <w:r>
                    <w:rPr/>
                    <w:t>送股、</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8"/>
        <w:gridCol w:w="994"/>
        <w:gridCol w:w="1133"/>
        <w:gridCol w:w="2552"/>
        <w:gridCol w:w="852"/>
        <w:gridCol w:w="850"/>
        <w:gridCol w:w="920"/>
      </w:tblGrid>
      <w:tr>
        <w:trPr>
          <w:trHeight w:val="749"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赔偿金额等细节内容待上述情</w:t>
            </w:r>
          </w:p>
          <w:p>
            <w:pPr>
              <w:pStyle w:val="TableParagraph"/>
              <w:spacing w:line="230" w:lineRule="exact" w:before="25"/>
              <w:ind w:left="23"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形实际发生时，依据最终依法确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定的赔偿方案为准。</w:t>
            </w: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830"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25" w:lineRule="auto"/>
              <w:ind w:left="24" w:right="187"/>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达 安世纪</w:t>
            </w:r>
            <w:r>
              <w:rPr>
                <w:rFonts w:ascii="Times New Roman" w:hAnsi="Times New Roman" w:cs="Times New Roman" w:eastAsia="Times New Roman" w:hint="default"/>
                <w:sz w:val="18"/>
                <w:szCs w:val="18"/>
              </w:rPr>
              <w:t>;</w:t>
            </w:r>
            <w:r>
              <w:rPr>
                <w:rFonts w:ascii="宋体" w:hAnsi="宋体" w:cs="宋体" w:eastAsia="宋体" w:hint="default"/>
                <w:sz w:val="18"/>
                <w:szCs w:val="18"/>
              </w:rPr>
              <w:t>悦 华众城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2" w:lineRule="exact"/>
              <w:ind w:left="21" w:right="20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）本次公开发行的招股说明 </w:t>
            </w:r>
            <w:r>
              <w:rPr>
                <w:rFonts w:ascii="宋体" w:hAnsi="宋体" w:cs="宋体" w:eastAsia="宋体" w:hint="default"/>
                <w:spacing w:val="-2"/>
                <w:sz w:val="18"/>
                <w:szCs w:val="18"/>
              </w:rPr>
              <w:t>书若有虚假记载、误导性陈述或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者重大遗漏，对判断公司是否符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合法律法规规定的发行条件构 </w:t>
            </w:r>
            <w:r>
              <w:rPr>
                <w:rFonts w:ascii="宋体" w:hAnsi="宋体" w:cs="宋体" w:eastAsia="宋体" w:hint="default"/>
                <w:spacing w:val="-2"/>
                <w:sz w:val="18"/>
                <w:szCs w:val="18"/>
              </w:rPr>
              <w:t>成重大、实质影响的，发行人及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控股股东将依法回购全部新股， 且控股股东将购回已转让的原 </w:t>
            </w:r>
            <w:r>
              <w:rPr>
                <w:rFonts w:ascii="宋体" w:hAnsi="宋体" w:cs="宋体" w:eastAsia="宋体" w:hint="default"/>
                <w:spacing w:val="-2"/>
                <w:sz w:val="18"/>
                <w:szCs w:val="18"/>
              </w:rPr>
              <w:t>限售股份。证券主管部门或司法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机关认定公司招股说明书存在 本承诺前述违法违规情形之日 </w:t>
            </w:r>
            <w:r>
              <w:rPr>
                <w:rFonts w:ascii="宋体" w:hAnsi="宋体" w:cs="宋体" w:eastAsia="宋体" w:hint="default"/>
                <w:spacing w:val="-2"/>
                <w:sz w:val="18"/>
                <w:szCs w:val="18"/>
              </w:rPr>
              <w:t>起的十个交易日内，公司将公告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回购新股的回购计划，包括回购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股份数量、价格区间、完成时间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等信息，股份回购计划需经公司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股东大会批准。公司在股份回购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义务触发之日起三个月（以下简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回购期</w:t>
            </w:r>
            <w:r>
              <w:rPr>
                <w:rFonts w:ascii="Times New Roman" w:hAnsi="Times New Roman" w:cs="Times New Roman" w:eastAsia="Times New Roman" w:hint="default"/>
                <w:sz w:val="18"/>
                <w:szCs w:val="18"/>
              </w:rPr>
              <w:t>”</w:t>
            </w:r>
            <w:r>
              <w:rPr>
                <w:rFonts w:ascii="宋体" w:hAnsi="宋体" w:cs="宋体" w:eastAsia="宋体" w:hint="default"/>
                <w:sz w:val="18"/>
                <w:szCs w:val="18"/>
              </w:rPr>
              <w:t>）内以市场价格完成 </w:t>
            </w:r>
            <w:r>
              <w:rPr>
                <w:rFonts w:ascii="宋体" w:hAnsi="宋体" w:cs="宋体" w:eastAsia="宋体" w:hint="default"/>
                <w:spacing w:val="-5"/>
                <w:sz w:val="18"/>
                <w:szCs w:val="18"/>
              </w:rPr>
              <w:t>回购；期间公司如有派息、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资本公积金转增股本、配股等除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权除息事项，回购底价相应进行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调整。如本公司未能履行上述股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份回购义务，则由控股股东达安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世纪、悦华众城、实际控制人刘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铁峰履行上述义务。除非交易对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方在回购期内不接受要约，否则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控股股东达安世纪、悦华众城、 实际控制人刘铁峰将购回已转 </w:t>
            </w:r>
            <w:r>
              <w:rPr>
                <w:rFonts w:ascii="宋体" w:hAnsi="宋体" w:cs="宋体" w:eastAsia="宋体" w:hint="default"/>
                <w:spacing w:val="-8"/>
                <w:sz w:val="18"/>
                <w:szCs w:val="18"/>
              </w:rPr>
              <w:t>让的全部股份。（</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）本次公开发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行的招股说明书若有虚假记载、 </w:t>
            </w:r>
            <w:r>
              <w:rPr>
                <w:rFonts w:ascii="宋体" w:hAnsi="宋体" w:cs="宋体" w:eastAsia="宋体" w:hint="default"/>
                <w:spacing w:val="-2"/>
                <w:sz w:val="18"/>
                <w:szCs w:val="18"/>
              </w:rPr>
              <w:t>误导性陈述或者重大遗漏，致使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投资者在证券交易中遭受损失 </w:t>
            </w:r>
            <w:r>
              <w:rPr>
                <w:rFonts w:ascii="宋体" w:hAnsi="宋体" w:cs="宋体" w:eastAsia="宋体" w:hint="default"/>
                <w:spacing w:val="-2"/>
                <w:sz w:val="18"/>
                <w:szCs w:val="18"/>
              </w:rPr>
              <w:t>的，将依法赔偿投资者损失。具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体的赔偿标准、赔偿主体范围、 赔偿金额等细节内容待上述情 </w:t>
            </w:r>
            <w:r>
              <w:rPr>
                <w:rFonts w:ascii="宋体" w:hAnsi="宋体" w:cs="宋体" w:eastAsia="宋体" w:hint="default"/>
                <w:spacing w:val="-2"/>
                <w:sz w:val="18"/>
                <w:szCs w:val="18"/>
              </w:rPr>
              <w:t>形实际发生时，依据最终依法确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定的赔偿方案为准。承诺人将在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中国证监会或司法机关作出发 行人存在上述事实的最终认定 </w:t>
            </w:r>
            <w:r>
              <w:rPr>
                <w:rFonts w:ascii="宋体" w:hAnsi="宋体" w:cs="宋体" w:eastAsia="宋体" w:hint="default"/>
                <w:spacing w:val="-2"/>
                <w:sz w:val="18"/>
                <w:szCs w:val="18"/>
              </w:rPr>
              <w:t>或判决生效后五日内（或作出由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发行人承担赔偿投资者损失责 任的最终处理决定或判决生效 </w:t>
            </w:r>
            <w:r>
              <w:rPr>
                <w:rFonts w:ascii="宋体" w:hAnsi="宋体" w:cs="宋体" w:eastAsia="宋体" w:hint="default"/>
                <w:spacing w:val="-7"/>
                <w:sz w:val="18"/>
                <w:szCs w:val="18"/>
              </w:rPr>
              <w:t>后五日内），依法及时提议召集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召开发行人董事会、股东大会， 并在相关会议中就相关议案投 </w:t>
            </w:r>
            <w:r>
              <w:rPr>
                <w:rFonts w:ascii="宋体" w:hAnsi="宋体" w:cs="宋体" w:eastAsia="宋体" w:hint="default"/>
                <w:spacing w:val="-2"/>
                <w:sz w:val="18"/>
                <w:szCs w:val="18"/>
              </w:rPr>
              <w:t>赞成票，以确保发行人履行完成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股票回购责任（或赔偿责任）。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51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42.15pt;height:256.8500pt;mso-position-horizontal-relative:char;mso-position-vertical-relative:line" coordorigin="0,0" coordsize="843,5137">
                  <v:group style="position:absolute;left:0;top:0;width:843;height:5137" coordorigin="0,0" coordsize="843,5137">
                    <v:shape style="position:absolute;left:0;top:0;width:843;height:5137" coordorigin="0,0" coordsize="843,5137" path="m0,5136l842,5136,842,0,0,0,0,5136xe" filled="true" fillcolor="#ffffff" stroked="false">
                      <v:path arrowok="t"/>
                      <v:fill type="solid"/>
                    </v:shape>
                  </v:group>
                </v:group>
              </w:pict>
            </w:r>
            <w:r>
              <w:rPr>
                <w:rFonts w:ascii="Times New Roman" w:hAnsi="Times New Roman" w:cs="Times New Roman" w:eastAsia="Times New Roman" w:hint="default"/>
                <w:position w:val="-102"/>
                <w:sz w:val="20"/>
                <w:szCs w:val="20"/>
              </w:rPr>
            </w:r>
          </w:p>
          <w:p>
            <w:pPr>
              <w:pStyle w:val="TableParagraph"/>
              <w:spacing w:line="241"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1"/>
                <w:szCs w:val="21"/>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57"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24" w:right="187"/>
              <w:jc w:val="left"/>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刘 保元</w:t>
            </w:r>
            <w:r>
              <w:rPr>
                <w:rFonts w:ascii="Times New Roman" w:hAnsi="Times New Roman" w:cs="Times New Roman" w:eastAsia="Times New Roman" w:hint="default"/>
                <w:sz w:val="18"/>
                <w:szCs w:val="18"/>
              </w:rPr>
              <w:t>;</w:t>
            </w:r>
            <w:r>
              <w:rPr>
                <w:rFonts w:ascii="宋体" w:hAnsi="宋体" w:cs="宋体" w:eastAsia="宋体" w:hint="default"/>
                <w:sz w:val="18"/>
                <w:szCs w:val="18"/>
              </w:rPr>
              <w:t>周海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20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23" w:right="20"/>
              <w:jc w:val="left"/>
              <w:rPr>
                <w:rFonts w:ascii="宋体" w:hAnsi="宋体" w:cs="宋体" w:eastAsia="宋体" w:hint="default"/>
                <w:sz w:val="18"/>
                <w:szCs w:val="18"/>
              </w:rPr>
            </w:pPr>
            <w:r>
              <w:rPr>
                <w:rFonts w:ascii="宋体" w:hAnsi="宋体" w:cs="宋体" w:eastAsia="宋体" w:hint="default"/>
                <w:sz w:val="18"/>
                <w:szCs w:val="18"/>
              </w:rPr>
              <w:t>本次公开发行的招股说明书如 </w:t>
            </w:r>
            <w:r>
              <w:rPr>
                <w:rFonts w:ascii="宋体" w:hAnsi="宋体" w:cs="宋体" w:eastAsia="宋体" w:hint="default"/>
                <w:spacing w:val="-2"/>
                <w:sz w:val="18"/>
                <w:szCs w:val="18"/>
              </w:rPr>
              <w:t>有虚假记载、误导性陈述或者重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232" w:lineRule="exact"/>
        <w:jc w:val="left"/>
        <w:rPr>
          <w:rFonts w:ascii="宋体" w:hAnsi="宋体" w:cs="宋体" w:eastAsia="宋体" w:hint="default"/>
          <w:sz w:val="18"/>
          <w:szCs w:val="18"/>
        </w:rPr>
        <w:sectPr>
          <w:pgSz w:w="11910" w:h="16840"/>
          <w:pgMar w:header="228" w:footer="0" w:top="1100" w:bottom="160" w:left="1680" w:right="240"/>
        </w:sectPr>
      </w:pPr>
    </w:p>
    <w:p>
      <w:pPr>
        <w:spacing w:line="240" w:lineRule="auto" w:before="0"/>
        <w:rPr>
          <w:rFonts w:ascii="Times New Roman" w:hAnsi="Times New Roman" w:cs="Times New Roman" w:eastAsia="Times New Roman" w:hint="default"/>
          <w:sz w:val="20"/>
          <w:szCs w:val="20"/>
        </w:rPr>
      </w:pPr>
      <w:r>
        <w:rPr/>
        <w:pict>
          <v:shape style="position:absolute;margin-left:440.709991pt;margin-top:162.149979pt;width:48.3pt;height:235.5pt;mso-position-horizontal-relative:page;mso-position-vertical-relative:page;z-index:-829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6"/>
                    <w:ind w:left="0" w:right="0"/>
                    <w:jc w:val="left"/>
                  </w:pPr>
                  <w:r>
                    <w:rPr/>
                    <w:t>。</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8"/>
        <w:gridCol w:w="994"/>
        <w:gridCol w:w="1133"/>
        <w:gridCol w:w="2552"/>
        <w:gridCol w:w="852"/>
        <w:gridCol w:w="850"/>
        <w:gridCol w:w="920"/>
      </w:tblGrid>
      <w:tr>
        <w:trPr>
          <w:trHeight w:val="241"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徐</w:t>
            </w:r>
          </w:p>
        </w:tc>
        <w:tc>
          <w:tcPr>
            <w:tcW w:w="1133" w:type="dxa"/>
            <w:vMerge w:val="restart"/>
            <w:tcBorders>
              <w:top w:val="single" w:sz="4" w:space="0" w:color="000000"/>
              <w:left w:val="single" w:sz="4" w:space="0" w:color="000000"/>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大遗漏，对判断发行人是否符合</w:t>
            </w:r>
          </w:p>
        </w:tc>
        <w:tc>
          <w:tcPr>
            <w:tcW w:w="852" w:type="dxa"/>
            <w:vMerge w:val="restart"/>
            <w:tcBorders>
              <w:top w:val="single" w:sz="4" w:space="0" w:color="000000"/>
              <w:left w:val="single" w:sz="4" w:space="0" w:color="000000"/>
              <w:right w:val="single" w:sz="4" w:space="0" w:color="000000"/>
            </w:tcBorders>
          </w:tcPr>
          <w:p>
            <w:pPr>
              <w:pStyle w:val="TableParagraph"/>
              <w:spacing w:line="47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42.15pt;height:235.5pt;mso-position-horizontal-relative:char;mso-position-vertical-relative:line" coordorigin="0,0" coordsize="843,4710">
                  <v:group style="position:absolute;left:0;top:0;width:843;height:4710" coordorigin="0,0" coordsize="843,4710">
                    <v:shape style="position:absolute;left:0;top:0;width:843;height:4710" coordorigin="0,0" coordsize="843,4710" path="m0,4709l842,4709,842,0,0,0,0,4709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艳</w:t>
            </w:r>
            <w:r>
              <w:rPr>
                <w:rFonts w:ascii="Times New Roman" w:hAnsi="Times New Roman" w:cs="Times New Roman" w:eastAsia="Times New Roman" w:hint="default"/>
                <w:sz w:val="18"/>
                <w:szCs w:val="18"/>
              </w:rPr>
              <w:t>;</w:t>
            </w:r>
            <w:r>
              <w:rPr>
                <w:rFonts w:ascii="宋体" w:hAnsi="宋体" w:cs="宋体" w:eastAsia="宋体" w:hint="default"/>
                <w:sz w:val="18"/>
                <w:szCs w:val="18"/>
              </w:rPr>
              <w:t>李岩</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2"/>
              <w:jc w:val="left"/>
              <w:rPr>
                <w:rFonts w:ascii="宋体" w:hAnsi="宋体" w:cs="宋体" w:eastAsia="宋体" w:hint="default"/>
                <w:sz w:val="18"/>
                <w:szCs w:val="18"/>
              </w:rPr>
            </w:pPr>
            <w:r>
              <w:rPr>
                <w:rFonts w:ascii="宋体" w:hAnsi="宋体" w:cs="宋体" w:eastAsia="宋体" w:hint="default"/>
                <w:sz w:val="18"/>
                <w:szCs w:val="18"/>
              </w:rPr>
              <w:t>法律规定的发行条件构成重大、</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波</w:t>
            </w:r>
            <w:r>
              <w:rPr>
                <w:rFonts w:ascii="Times New Roman" w:hAnsi="Times New Roman" w:cs="Times New Roman" w:eastAsia="Times New Roman" w:hint="default"/>
                <w:sz w:val="18"/>
                <w:szCs w:val="18"/>
              </w:rPr>
              <w:t>;</w:t>
            </w:r>
            <w:r>
              <w:rPr>
                <w:rFonts w:ascii="宋体" w:hAnsi="宋体" w:cs="宋体" w:eastAsia="宋体" w:hint="default"/>
                <w:sz w:val="18"/>
                <w:szCs w:val="18"/>
              </w:rPr>
              <w:t>白松涛</w:t>
            </w:r>
            <w:r>
              <w:rPr>
                <w:rFonts w:ascii="Times New Roman" w:hAnsi="Times New Roman" w:cs="Times New Roman" w:eastAsia="Times New Roman" w:hint="default"/>
                <w:sz w:val="18"/>
                <w:szCs w:val="18"/>
              </w:rPr>
              <w:t>;</w:t>
            </w: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实质影响的（或致使投资者在证</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陈爱珍</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券交易中遭受损失的</w:t>
            </w:r>
            <w:r>
              <w:rPr>
                <w:rFonts w:ascii="宋体" w:hAnsi="宋体" w:cs="宋体" w:eastAsia="宋体" w:hint="default"/>
                <w:spacing w:val="-92"/>
                <w:sz w:val="18"/>
                <w:szCs w:val="18"/>
              </w:rPr>
              <w:t>）</w:t>
            </w:r>
            <w:r>
              <w:rPr>
                <w:rFonts w:ascii="宋体" w:hAnsi="宋体" w:cs="宋体" w:eastAsia="宋体" w:hint="default"/>
                <w:sz w:val="18"/>
                <w:szCs w:val="18"/>
              </w:rPr>
              <w:t>，承诺人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2"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立娅</w:t>
            </w:r>
            <w:r>
              <w:rPr>
                <w:rFonts w:ascii="Times New Roman" w:hAnsi="Times New Roman" w:cs="Times New Roman" w:eastAsia="Times New Roman" w:hint="default"/>
                <w:sz w:val="18"/>
                <w:szCs w:val="18"/>
              </w:rPr>
              <w:t>;</w:t>
            </w:r>
            <w:r>
              <w:rPr>
                <w:rFonts w:ascii="宋体" w:hAnsi="宋体" w:cs="宋体" w:eastAsia="宋体" w:hint="default"/>
                <w:sz w:val="18"/>
                <w:szCs w:val="18"/>
              </w:rPr>
              <w:t>陈进</w:t>
            </w:r>
            <w:r>
              <w:rPr>
                <w:rFonts w:ascii="Times New Roman" w:hAnsi="Times New Roman" w:cs="Times New Roman" w:eastAsia="Times New Roman" w:hint="default"/>
                <w:sz w:val="18"/>
                <w:szCs w:val="18"/>
              </w:rPr>
              <w:t>;</w:t>
            </w: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将在中国证监会或司法机关作</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29"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z w:val="18"/>
                <w:szCs w:val="18"/>
              </w:rPr>
              <w:t>魏亚锋</w:t>
            </w: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出发行人存在上述事实的最终</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认定或判决生效后五日内（或作</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出由发行人承担赔偿投资者损</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失责任的最终处理决定或判决</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生效后五日内</w:t>
            </w:r>
            <w:r>
              <w:rPr>
                <w:rFonts w:ascii="宋体" w:hAnsi="宋体" w:cs="宋体" w:eastAsia="宋体" w:hint="default"/>
                <w:spacing w:val="-92"/>
                <w:sz w:val="18"/>
                <w:szCs w:val="18"/>
              </w:rPr>
              <w:t>）</w:t>
            </w:r>
            <w:r>
              <w:rPr>
                <w:rFonts w:ascii="宋体" w:hAnsi="宋体" w:cs="宋体" w:eastAsia="宋体" w:hint="default"/>
                <w:sz w:val="18"/>
                <w:szCs w:val="18"/>
              </w:rPr>
              <w:t>，依法及时提议</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召集召开发行人董事会、股东大</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会，并在相关会议中就相关议案</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投赞成票，以确保发行人履行完</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成股票回购责任（或赔偿责任）</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如因前述事由导致承诺人需要</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依法承担赔偿责任的，承诺人将</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根据中国证监会或人民法院等</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有权部门的最终处理决定或判</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决生效在随后三十日内，向投资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81"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者依法履行完毕赔偿责任。</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276"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公司上市后三年内，如公司股票</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收盘价格（如果因派发现金红</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利、送股、转增股本、增发新股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百华悦邦</w:t>
            </w:r>
            <w:r>
              <w:rPr>
                <w:rFonts w:ascii="Times New Roman" w:hAnsi="Times New Roman" w:cs="Times New Roman" w:eastAsia="Times New Roman" w:hint="default"/>
                <w:sz w:val="18"/>
                <w:szCs w:val="18"/>
              </w:rPr>
              <w:t>;</w:t>
            </w: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等原因进行除权、除息的，须按</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达安世纪</w:t>
            </w:r>
            <w:r>
              <w:rPr>
                <w:rFonts w:ascii="Times New Roman" w:hAnsi="Times New Roman" w:cs="Times New Roman" w:eastAsia="Times New Roman" w:hint="default"/>
                <w:sz w:val="18"/>
                <w:szCs w:val="18"/>
              </w:rPr>
              <w:t>;</w:t>
            </w: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照深圳证券交易所的有关规定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167"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悦华众城</w:t>
            </w:r>
            <w:r>
              <w:rPr>
                <w:rFonts w:ascii="Times New Roman" w:hAnsi="Times New Roman" w:cs="Times New Roman" w:eastAsia="Times New Roman" w:hint="default"/>
                <w:sz w:val="18"/>
                <w:szCs w:val="18"/>
              </w:rPr>
              <w:t>;</w:t>
            </w:r>
          </w:p>
          <w:p>
            <w:pPr>
              <w:pStyle w:val="TableParagraph"/>
              <w:spacing w:line="225" w:lineRule="auto" w:before="4"/>
              <w:ind w:left="24" w:right="137"/>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刘 保元</w:t>
            </w:r>
            <w:r>
              <w:rPr>
                <w:rFonts w:ascii="Times New Roman" w:hAnsi="Times New Roman" w:cs="Times New Roman" w:eastAsia="Times New Roman" w:hint="default"/>
                <w:sz w:val="18"/>
                <w:szCs w:val="18"/>
              </w:rPr>
              <w:t>;</w:t>
            </w:r>
            <w:r>
              <w:rPr>
                <w:rFonts w:ascii="宋体" w:hAnsi="宋体" w:cs="宋体" w:eastAsia="宋体" w:hint="default"/>
                <w:sz w:val="18"/>
                <w:szCs w:val="18"/>
              </w:rPr>
              <w:t>周海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p>
            <w:pPr>
              <w:pStyle w:val="TableParagraph"/>
              <w:spacing w:line="235"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岩</w:t>
            </w:r>
            <w:r>
              <w:rPr>
                <w:rFonts w:ascii="Times New Roman" w:hAnsi="Times New Roman" w:cs="Times New Roman" w:eastAsia="Times New Roman" w:hint="default"/>
                <w:sz w:val="18"/>
                <w:szCs w:val="18"/>
              </w:rPr>
              <w:t>;</w:t>
            </w:r>
            <w:r>
              <w:rPr>
                <w:rFonts w:ascii="宋体" w:hAnsi="宋体" w:cs="宋体" w:eastAsia="宋体" w:hint="default"/>
                <w:sz w:val="18"/>
                <w:szCs w:val="18"/>
              </w:rPr>
              <w:t>白松涛</w:t>
            </w:r>
            <w:r>
              <w:rPr>
                <w:rFonts w:ascii="Times New Roman" w:hAnsi="Times New Roman" w:cs="Times New Roman" w:eastAsia="Times New Roman" w:hint="default"/>
                <w:sz w:val="18"/>
                <w:szCs w:val="18"/>
              </w:rPr>
              <w:t>;</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1"/>
              <w:ind w:left="2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作复权处理，下同）连续二十个</w:t>
            </w:r>
          </w:p>
          <w:p>
            <w:pPr>
              <w:pStyle w:val="TableParagraph"/>
              <w:spacing w:line="232" w:lineRule="auto" w:before="5"/>
              <w:ind w:left="23" w:right="75"/>
              <w:jc w:val="left"/>
              <w:rPr>
                <w:rFonts w:ascii="宋体" w:hAnsi="宋体" w:cs="宋体" w:eastAsia="宋体" w:hint="default"/>
                <w:sz w:val="18"/>
                <w:szCs w:val="18"/>
              </w:rPr>
            </w:pPr>
            <w:r>
              <w:rPr>
                <w:rFonts w:ascii="宋体" w:hAnsi="宋体" w:cs="宋体" w:eastAsia="宋体" w:hint="default"/>
                <w:sz w:val="18"/>
                <w:szCs w:val="18"/>
              </w:rPr>
              <w:t>交易日低于最近一期经审计的 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 财务报表中归属于母公司普通 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期末公司股</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0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2" w:lineRule="exact" w:before="8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3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1"/>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陈爱珍</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份总数</w:t>
            </w:r>
            <w:r>
              <w:rPr>
                <w:rFonts w:ascii="宋体" w:hAnsi="宋体" w:cs="宋体" w:eastAsia="宋体" w:hint="default"/>
                <w:spacing w:val="-8"/>
                <w:sz w:val="18"/>
                <w:szCs w:val="18"/>
              </w:rPr>
              <w:t>，</w:t>
            </w:r>
            <w:r>
              <w:rPr>
                <w:rFonts w:ascii="宋体" w:hAnsi="宋体" w:cs="宋体" w:eastAsia="宋体" w:hint="default"/>
                <w:sz w:val="18"/>
                <w:szCs w:val="18"/>
              </w:rPr>
              <w:t>下同</w:t>
            </w:r>
            <w:r>
              <w:rPr>
                <w:rFonts w:ascii="宋体" w:hAnsi="宋体" w:cs="宋体" w:eastAsia="宋体" w:hint="default"/>
                <w:spacing w:val="-99"/>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2"/>
                <w:sz w:val="18"/>
                <w:szCs w:val="18"/>
              </w:rPr>
              <w:t>启动</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立娅</w:t>
            </w:r>
            <w:r>
              <w:rPr>
                <w:rFonts w:ascii="Times New Roman" w:hAnsi="Times New Roman" w:cs="Times New Roman" w:eastAsia="Times New Roman" w:hint="default"/>
                <w:sz w:val="18"/>
                <w:szCs w:val="18"/>
              </w:rPr>
              <w:t>;</w:t>
            </w:r>
            <w:r>
              <w:rPr>
                <w:rFonts w:ascii="宋体" w:hAnsi="宋体" w:cs="宋体" w:eastAsia="宋体" w:hint="default"/>
                <w:sz w:val="18"/>
                <w:szCs w:val="18"/>
              </w:rPr>
              <w:t>陈进</w:t>
            </w:r>
            <w:r>
              <w:rPr>
                <w:rFonts w:ascii="Times New Roman" w:hAnsi="Times New Roman" w:cs="Times New Roman" w:eastAsia="Times New Roman" w:hint="default"/>
                <w:sz w:val="18"/>
                <w:szCs w:val="18"/>
              </w:rPr>
              <w:t>;</w:t>
            </w: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则公司应当在十个</w:t>
            </w:r>
            <w:r>
              <w:rPr>
                <w:rFonts w:ascii="宋体" w:hAnsi="宋体" w:cs="宋体" w:eastAsia="宋体" w:hint="default"/>
                <w:spacing w:val="2"/>
                <w:sz w:val="18"/>
                <w:szCs w:val="18"/>
              </w:rPr>
              <w:t>交</w:t>
            </w:r>
            <w:r>
              <w:rPr>
                <w:rFonts w:ascii="宋体" w:hAnsi="宋体" w:cs="宋体" w:eastAsia="宋体" w:hint="default"/>
                <w:sz w:val="18"/>
                <w:szCs w:val="18"/>
              </w:rPr>
              <w:t>易</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日内启动稳定股价的措施，由董</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2"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事会制订具体实施方案并提前</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三个交易日公告。</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2268"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本人承诺不得越权</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230"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干预公司经营管理活动，不得侵</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占公司利益</w:t>
            </w:r>
            <w:r>
              <w:rPr>
                <w:rFonts w:ascii="宋体" w:hAnsi="宋体" w:cs="宋体" w:eastAsia="宋体" w:hint="default"/>
                <w:spacing w:val="-13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9"/>
                <w:sz w:val="18"/>
                <w:szCs w:val="18"/>
              </w:rPr>
              <w:t>）</w:t>
            </w:r>
            <w:r>
              <w:rPr>
                <w:rFonts w:ascii="宋体" w:hAnsi="宋体" w:cs="宋体" w:eastAsia="宋体" w:hint="default"/>
                <w:sz w:val="18"/>
                <w:szCs w:val="18"/>
              </w:rPr>
              <w:t>本公</w:t>
            </w:r>
            <w:r>
              <w:rPr>
                <w:rFonts w:ascii="宋体" w:hAnsi="宋体" w:cs="宋体" w:eastAsia="宋体" w:hint="default"/>
                <w:spacing w:val="-1"/>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28"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诺将促使公司股东大会审议批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准持续稳定的现金分红方案，在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符合《公司法》等法律法规和《公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25" w:lineRule="auto" w:before="78"/>
              <w:ind w:left="24" w:right="187"/>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达 安世纪</w:t>
            </w:r>
            <w:r>
              <w:rPr>
                <w:rFonts w:ascii="Times New Roman" w:hAnsi="Times New Roman" w:cs="Times New Roman" w:eastAsia="Times New Roman" w:hint="default"/>
                <w:sz w:val="18"/>
                <w:szCs w:val="18"/>
              </w:rPr>
              <w:t>;</w:t>
            </w:r>
            <w:r>
              <w:rPr>
                <w:rFonts w:ascii="宋体" w:hAnsi="宋体" w:cs="宋体" w:eastAsia="宋体" w:hint="default"/>
                <w:sz w:val="18"/>
                <w:szCs w:val="18"/>
              </w:rPr>
              <w:t>悦 华众城</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司章程（草案</w:t>
            </w:r>
            <w:r>
              <w:rPr>
                <w:rFonts w:ascii="宋体" w:hAnsi="宋体" w:cs="宋体" w:eastAsia="宋体" w:hint="default"/>
                <w:spacing w:val="-92"/>
                <w:sz w:val="18"/>
                <w:szCs w:val="18"/>
              </w:rPr>
              <w:t>）</w:t>
            </w:r>
            <w:r>
              <w:rPr>
                <w:rFonts w:ascii="宋体" w:hAnsi="宋体" w:cs="宋体" w:eastAsia="宋体" w:hint="default"/>
                <w:sz w:val="18"/>
                <w:szCs w:val="18"/>
              </w:rPr>
              <w:t>》的情况下，确</w:t>
            </w:r>
          </w:p>
          <w:p>
            <w:pPr>
              <w:pStyle w:val="TableParagraph"/>
              <w:spacing w:line="232" w:lineRule="auto" w:before="5"/>
              <w:ind w:left="23" w:right="20"/>
              <w:jc w:val="left"/>
              <w:rPr>
                <w:rFonts w:ascii="宋体" w:hAnsi="宋体" w:cs="宋体" w:eastAsia="宋体" w:hint="default"/>
                <w:sz w:val="18"/>
                <w:szCs w:val="18"/>
              </w:rPr>
            </w:pPr>
            <w:r>
              <w:rPr>
                <w:rFonts w:ascii="宋体" w:hAnsi="宋体" w:cs="宋体" w:eastAsia="宋体" w:hint="default"/>
                <w:spacing w:val="-2"/>
                <w:sz w:val="18"/>
                <w:szCs w:val="18"/>
              </w:rPr>
              <w:t>保现金分红水平符合《关于公司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未来三年分红回报规划（</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年）的议案》的要求，</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32"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8"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并将在股东大会表决相关议案</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时投赞成票</w:t>
            </w:r>
            <w:r>
              <w:rPr>
                <w:rFonts w:ascii="宋体" w:hAnsi="宋体" w:cs="宋体" w:eastAsia="宋体" w:hint="default"/>
                <w:spacing w:val="-10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如果未能履行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上述承诺，将在股东大会及中国</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证监会指定报刊上公开说明未</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2268"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履行的具体原因并向股东和社</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会公众投资者道歉，违反承诺给</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228" w:footer="0" w:top="1100" w:bottom="160" w:left="168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2268"/>
        <w:gridCol w:w="994"/>
        <w:gridCol w:w="1133"/>
        <w:gridCol w:w="2552"/>
        <w:gridCol w:w="852"/>
        <w:gridCol w:w="850"/>
        <w:gridCol w:w="920"/>
      </w:tblGrid>
      <w:tr>
        <w:trPr>
          <w:trHeight w:val="516"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公司或者股东造成损失的，依法</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承担补偿责任。</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358"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25" w:lineRule="auto"/>
              <w:ind w:left="24" w:right="137"/>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刘 保元</w:t>
            </w:r>
            <w:r>
              <w:rPr>
                <w:rFonts w:ascii="Times New Roman" w:hAnsi="Times New Roman" w:cs="Times New Roman" w:eastAsia="Times New Roman" w:hint="default"/>
                <w:sz w:val="18"/>
                <w:szCs w:val="18"/>
              </w:rPr>
              <w:t>;</w:t>
            </w:r>
            <w:r>
              <w:rPr>
                <w:rFonts w:ascii="宋体" w:hAnsi="宋体" w:cs="宋体" w:eastAsia="宋体" w:hint="default"/>
                <w:sz w:val="18"/>
                <w:szCs w:val="18"/>
              </w:rPr>
              <w:t>周海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徐</w:t>
            </w:r>
          </w:p>
          <w:p>
            <w:pPr>
              <w:pStyle w:val="TableParagraph"/>
              <w:spacing w:line="228" w:lineRule="exact"/>
              <w:ind w:left="24" w:right="0"/>
              <w:jc w:val="both"/>
              <w:rPr>
                <w:rFonts w:ascii="宋体" w:hAnsi="宋体" w:cs="宋体" w:eastAsia="宋体" w:hint="default"/>
                <w:sz w:val="18"/>
                <w:szCs w:val="18"/>
              </w:rPr>
            </w:pPr>
            <w:r>
              <w:rPr>
                <w:rFonts w:ascii="宋体" w:hAnsi="宋体" w:cs="宋体" w:eastAsia="宋体" w:hint="default"/>
                <w:sz w:val="18"/>
                <w:szCs w:val="18"/>
              </w:rPr>
              <w:t>艳</w:t>
            </w:r>
            <w:r>
              <w:rPr>
                <w:rFonts w:ascii="Times New Roman" w:hAnsi="Times New Roman" w:cs="Times New Roman" w:eastAsia="Times New Roman" w:hint="default"/>
                <w:sz w:val="18"/>
                <w:szCs w:val="18"/>
              </w:rPr>
              <w:t>;</w:t>
            </w:r>
            <w:r>
              <w:rPr>
                <w:rFonts w:ascii="宋体" w:hAnsi="宋体" w:cs="宋体" w:eastAsia="宋体" w:hint="default"/>
                <w:sz w:val="18"/>
                <w:szCs w:val="18"/>
              </w:rPr>
              <w:t>李岩</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p>
            <w:pPr>
              <w:pStyle w:val="TableParagraph"/>
              <w:spacing w:line="232" w:lineRule="exact" w:before="18"/>
              <w:ind w:left="24" w:right="137"/>
              <w:jc w:val="both"/>
              <w:rPr>
                <w:rFonts w:ascii="宋体" w:hAnsi="宋体" w:cs="宋体" w:eastAsia="宋体" w:hint="default"/>
                <w:sz w:val="18"/>
                <w:szCs w:val="18"/>
              </w:rPr>
            </w:pPr>
            <w:r>
              <w:rPr>
                <w:rFonts w:ascii="宋体" w:hAnsi="宋体" w:cs="宋体" w:eastAsia="宋体" w:hint="default"/>
                <w:sz w:val="18"/>
                <w:szCs w:val="18"/>
              </w:rPr>
              <w:t>波</w:t>
            </w:r>
            <w:r>
              <w:rPr>
                <w:rFonts w:ascii="Times New Roman" w:hAnsi="Times New Roman" w:cs="Times New Roman" w:eastAsia="Times New Roman" w:hint="default"/>
                <w:sz w:val="18"/>
                <w:szCs w:val="18"/>
              </w:rPr>
              <w:t>;</w:t>
            </w:r>
            <w:r>
              <w:rPr>
                <w:rFonts w:ascii="宋体" w:hAnsi="宋体" w:cs="宋体" w:eastAsia="宋体" w:hint="default"/>
                <w:sz w:val="18"/>
                <w:szCs w:val="18"/>
              </w:rPr>
              <w:t>白松涛</w:t>
            </w:r>
            <w:r>
              <w:rPr>
                <w:rFonts w:ascii="Times New Roman" w:hAnsi="Times New Roman" w:cs="Times New Roman" w:eastAsia="Times New Roman" w:hint="default"/>
                <w:sz w:val="18"/>
                <w:szCs w:val="18"/>
              </w:rPr>
              <w:t>; </w:t>
            </w:r>
            <w:r>
              <w:rPr>
                <w:rFonts w:ascii="宋体" w:hAnsi="宋体" w:cs="宋体" w:eastAsia="宋体" w:hint="default"/>
                <w:sz w:val="18"/>
                <w:szCs w:val="18"/>
              </w:rPr>
              <w:t>陈爱珍</w:t>
            </w:r>
            <w:r>
              <w:rPr>
                <w:rFonts w:ascii="Times New Roman" w:hAnsi="Times New Roman" w:cs="Times New Roman" w:eastAsia="Times New Roman" w:hint="default"/>
                <w:sz w:val="18"/>
                <w:szCs w:val="18"/>
              </w:rPr>
              <w:t>;</w:t>
            </w:r>
            <w:r>
              <w:rPr>
                <w:rFonts w:ascii="宋体" w:hAnsi="宋体" w:cs="宋体" w:eastAsia="宋体" w:hint="default"/>
                <w:sz w:val="18"/>
                <w:szCs w:val="18"/>
              </w:rPr>
              <w:t>陈 立娅</w:t>
            </w:r>
            <w:r>
              <w:rPr>
                <w:rFonts w:ascii="Times New Roman" w:hAnsi="Times New Roman" w:cs="Times New Roman" w:eastAsia="Times New Roman" w:hint="default"/>
                <w:sz w:val="18"/>
                <w:szCs w:val="18"/>
              </w:rPr>
              <w:t>;</w:t>
            </w:r>
            <w:r>
              <w:rPr>
                <w:rFonts w:ascii="宋体" w:hAnsi="宋体" w:cs="宋体" w:eastAsia="宋体" w:hint="default"/>
                <w:sz w:val="18"/>
                <w:szCs w:val="18"/>
              </w:rPr>
              <w:t>陈进</w:t>
            </w:r>
            <w:r>
              <w:rPr>
                <w:rFonts w:ascii="Times New Roman" w:hAnsi="Times New Roman" w:cs="Times New Roman" w:eastAsia="Times New Roman" w:hint="default"/>
                <w:sz w:val="18"/>
                <w:szCs w:val="18"/>
              </w:rPr>
              <w:t>; </w:t>
            </w:r>
            <w:r>
              <w:rPr>
                <w:rFonts w:ascii="宋体" w:hAnsi="宋体" w:cs="宋体" w:eastAsia="宋体" w:hint="default"/>
                <w:sz w:val="18"/>
                <w:szCs w:val="18"/>
              </w:rPr>
              <w:t>魏亚锋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3" w:right="-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）本人承诺不无偿或以不公 平条件向其他单位或者个人输 </w:t>
            </w:r>
            <w:r>
              <w:rPr>
                <w:rFonts w:ascii="宋体" w:hAnsi="宋体" w:cs="宋体" w:eastAsia="宋体" w:hint="default"/>
                <w:spacing w:val="-2"/>
                <w:sz w:val="18"/>
                <w:szCs w:val="18"/>
              </w:rPr>
              <w:t>送利益，也不采用其他方式损害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公司利益；（</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）本人承诺对本人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的职务消费行为进行约束；（</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本人承诺不动用公司资产从事 </w:t>
            </w:r>
            <w:r>
              <w:rPr>
                <w:rFonts w:ascii="宋体" w:hAnsi="宋体" w:cs="宋体" w:eastAsia="宋体" w:hint="default"/>
                <w:spacing w:val="-2"/>
                <w:sz w:val="18"/>
                <w:szCs w:val="18"/>
              </w:rPr>
              <w:t>与本人履行职责无关的投资、消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费活动；（</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）本人承诺由董事会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或薪酬与考核委员会制定的薪 酬制度与公司填补回报措施的 </w:t>
            </w:r>
            <w:r>
              <w:rPr>
                <w:rFonts w:ascii="宋体" w:hAnsi="宋体" w:cs="宋体" w:eastAsia="宋体" w:hint="default"/>
                <w:spacing w:val="-8"/>
                <w:sz w:val="18"/>
                <w:szCs w:val="18"/>
              </w:rPr>
              <w:t>执行情况相挂钩；（</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）本人承诺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拟公布的公司股权激励的行权 条件与公司填补回报措施的执 行情况相挂钩。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4" w:lineRule="exact"/>
              <w:ind w:left="24" w:right="16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72"/>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6" w:space="0" w:color="D2D2D2"/>
              <w:right w:val="single" w:sz="4" w:space="0" w:color="000000"/>
            </w:tcBorders>
          </w:tcPr>
          <w:p>
            <w:pPr/>
          </w:p>
        </w:tc>
        <w:tc>
          <w:tcPr>
            <w:tcW w:w="2552" w:type="dxa"/>
            <w:tcBorders>
              <w:top w:val="single" w:sz="4" w:space="0" w:color="000000"/>
              <w:left w:val="single" w:sz="4" w:space="0" w:color="000000"/>
              <w:bottom w:val="single" w:sz="6" w:space="0" w:color="D2D2D2"/>
              <w:right w:val="single" w:sz="4" w:space="0" w:color="000000"/>
            </w:tcBorders>
          </w:tcPr>
          <w:p>
            <w:pPr/>
          </w:p>
        </w:tc>
        <w:tc>
          <w:tcPr>
            <w:tcW w:w="852" w:type="dxa"/>
            <w:tcBorders>
              <w:top w:val="single" w:sz="4" w:space="0" w:color="000000"/>
              <w:left w:val="single" w:sz="4" w:space="0" w:color="000000"/>
              <w:bottom w:val="single" w:sz="6" w:space="0" w:color="D2D2D2"/>
              <w:right w:val="single" w:sz="4" w:space="0" w:color="000000"/>
            </w:tcBorders>
          </w:tcPr>
          <w:p>
            <w:pPr/>
          </w:p>
        </w:tc>
        <w:tc>
          <w:tcPr>
            <w:tcW w:w="850" w:type="dxa"/>
            <w:tcBorders>
              <w:top w:val="single" w:sz="4" w:space="0" w:color="000000"/>
              <w:left w:val="single" w:sz="4" w:space="0" w:color="000000"/>
              <w:bottom w:val="single" w:sz="6" w:space="0" w:color="D2D2D2"/>
              <w:right w:val="single" w:sz="4" w:space="0" w:color="000000"/>
            </w:tcBorders>
          </w:tcPr>
          <w:p>
            <w:pPr/>
          </w:p>
        </w:tc>
        <w:tc>
          <w:tcPr>
            <w:tcW w:w="920" w:type="dxa"/>
            <w:tcBorders>
              <w:top w:val="single" w:sz="4" w:space="0" w:color="000000"/>
              <w:left w:val="single" w:sz="4" w:space="0" w:color="000000"/>
              <w:bottom w:val="single" w:sz="6" w:space="0" w:color="D2D2D2"/>
              <w:right w:val="single" w:sz="4" w:space="0" w:color="000000"/>
            </w:tcBorders>
          </w:tcPr>
          <w:p>
            <w:pPr/>
          </w:p>
        </w:tc>
      </w:tr>
      <w:tr>
        <w:trPr>
          <w:trHeight w:val="31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3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7"/>
              <w:ind w:left="23" w:right="72"/>
              <w:jc w:val="both"/>
              <w:rPr>
                <w:rFonts w:ascii="宋体" w:hAnsi="宋体" w:cs="宋体" w:eastAsia="宋体" w:hint="default"/>
                <w:sz w:val="18"/>
                <w:szCs w:val="18"/>
              </w:rPr>
            </w:pPr>
            <w:r>
              <w:rPr>
                <w:rFonts w:ascii="宋体" w:hAnsi="宋体" w:cs="宋体" w:eastAsia="宋体" w:hint="default"/>
                <w:sz w:val="18"/>
                <w:szCs w:val="18"/>
              </w:rPr>
              <w:t>如承诺超期未履行完毕的， 应当详细说明未完成履行的 具体原因及下一步的工作计 划</w:t>
            </w:r>
          </w:p>
        </w:tc>
        <w:tc>
          <w:tcPr>
            <w:tcW w:w="7300" w:type="dxa"/>
            <w:gridSpan w:val="6"/>
            <w:tcBorders>
              <w:top w:val="single" w:sz="6" w:space="0" w:color="D2D2D2"/>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00"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32" w:lineRule="exact" w:before="32"/>
        <w:ind w:right="661"/>
        <w:jc w:val="left"/>
      </w:pPr>
      <w:r>
        <w:rPr/>
        <w:t>公司报告期不存在由公司实际控制人、股东、关联方、收购人以及公司等承诺相关方在报告期内履行完毕及截至报 告期末尚未履行完毕的承诺事项。</w:t>
      </w:r>
    </w:p>
    <w:p>
      <w:pPr>
        <w:spacing w:line="240" w:lineRule="auto" w:before="4"/>
        <w:rPr>
          <w:rFonts w:ascii="宋体" w:hAnsi="宋体" w:cs="宋体" w:eastAsia="宋体" w:hint="default"/>
          <w:sz w:val="22"/>
          <w:szCs w:val="22"/>
        </w:rPr>
      </w:pPr>
    </w:p>
    <w:p>
      <w:pPr>
        <w:pStyle w:val="Heading3"/>
        <w:spacing w:line="177" w:lineRule="auto"/>
        <w:ind w:left="305" w:right="661"/>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w:t>
      </w:r>
      <w:r>
        <w:rPr>
          <w:spacing w:val="31"/>
        </w:rPr>
        <w:t> </w:t>
      </w:r>
      <w:r>
        <w:rPr>
          <w:spacing w:val="31"/>
        </w:rPr>
      </w:r>
      <w:r>
        <w:rPr/>
        <w:t>预测及其原因做出说明</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三、控股股东及其关联方对上市公司的非经营性占用资金情况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5"/>
          <w:szCs w:val="15"/>
        </w:rPr>
      </w:pPr>
    </w:p>
    <w:p>
      <w:pPr>
        <w:pStyle w:val="Heading2"/>
        <w:spacing w:line="240" w:lineRule="auto"/>
        <w:ind w:right="661"/>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366" w:lineRule="exact"/>
        <w:ind w:right="554"/>
        <w:jc w:val="left"/>
        <w:rPr>
          <w:rFonts w:ascii="Times New Roman" w:hAnsi="Times New Roman" w:cs="Times New Roman" w:eastAsia="Times New Roman" w:hint="default"/>
          <w:b w:val="0"/>
          <w:bCs w:val="0"/>
        </w:rPr>
      </w:pPr>
      <w:r>
        <w:rPr>
          <w:spacing w:val="3"/>
        </w:rPr>
        <w:t>五、董事会、监事会、独立董事（如有）对会计师事务所本报告期</w:t>
      </w:r>
      <w:r>
        <w:rPr>
          <w:rFonts w:ascii="Times New Roman" w:hAnsi="Times New Roman" w:cs="Times New Roman" w:eastAsia="Times New Roman" w:hint="default"/>
          <w:spacing w:val="3"/>
        </w:rPr>
        <w:t>“</w:t>
      </w:r>
      <w:r>
        <w:rPr>
          <w:spacing w:val="3"/>
        </w:rPr>
        <w:t>非标准审计报告</w:t>
      </w:r>
      <w:r>
        <w:rPr>
          <w:rFonts w:ascii="Times New Roman" w:hAnsi="Times New Roman" w:cs="Times New Roman" w:eastAsia="Times New Roman" w:hint="default"/>
          <w:spacing w:val="3"/>
        </w:rPr>
        <w:t>”</w:t>
      </w:r>
      <w:r>
        <w:rPr>
          <w:rFonts w:ascii="Times New Roman" w:hAnsi="Times New Roman" w:cs="Times New Roman" w:eastAsia="Times New Roman" w:hint="default"/>
          <w:b w:val="0"/>
          <w:bCs w:val="0"/>
          <w:spacing w:val="3"/>
        </w:rPr>
      </w:r>
    </w:p>
    <w:p>
      <w:pPr>
        <w:spacing w:line="366" w:lineRule="exact" w:before="0"/>
        <w:ind w:left="305" w:right="6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的说明</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367" w:lineRule="exact"/>
        <w:ind w:right="675"/>
        <w:jc w:val="left"/>
        <w:rPr>
          <w:b w:val="0"/>
          <w:bCs w:val="0"/>
        </w:rPr>
      </w:pPr>
      <w:r>
        <w:rPr/>
        <w:t>六、董事会关于报告期会计政策、会计估计变更或重大会计差错更正的说明</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七、与上年度财务报告相比，合并报表范围发生变化的情况说明</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4"/>
        <w:ind w:right="67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年度，本公司注销杭州百华悦邦电子技术有限公司和天津百华悦邦科技有限公司。</w:t>
      </w:r>
    </w:p>
    <w:p>
      <w:pPr>
        <w:spacing w:line="240" w:lineRule="auto" w:before="4"/>
        <w:rPr>
          <w:rFonts w:ascii="宋体" w:hAnsi="宋体" w:cs="宋体" w:eastAsia="宋体" w:hint="default"/>
          <w:sz w:val="15"/>
          <w:szCs w:val="15"/>
        </w:rPr>
      </w:pPr>
    </w:p>
    <w:p>
      <w:pPr>
        <w:pStyle w:val="Heading2"/>
        <w:spacing w:line="240" w:lineRule="auto"/>
        <w:ind w:right="675"/>
        <w:jc w:val="left"/>
        <w:rPr>
          <w:b w:val="0"/>
          <w:bCs w:val="0"/>
        </w:rPr>
      </w:pPr>
      <w:r>
        <w:rPr/>
        <w:t>八、聘任、解聘会计师事务所情况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75"/>
        <w:jc w:val="left"/>
      </w:pPr>
      <w:r>
        <w:rPr/>
        <w:t>现聘任的会计事务所</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4791"/>
        <w:gridCol w:w="4779"/>
      </w:tblGrid>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32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76.89</w:t>
            </w: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程明、刘渊博</w:t>
            </w: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程明连续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年，刘渊博连续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675"/>
        <w:jc w:val="left"/>
      </w:pPr>
      <w:r>
        <w:rPr/>
        <w:t>是否改聘会计师事务所</w:t>
      </w:r>
    </w:p>
    <w:p>
      <w:pPr>
        <w:pStyle w:val="BodyText"/>
        <w:spacing w:line="240" w:lineRule="auto" w:before="35"/>
        <w:ind w:right="67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九、年度报告披露后面临暂停上市和终止上市情况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十、破产重整相关事项</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5"/>
          <w:szCs w:val="15"/>
        </w:rPr>
      </w:pPr>
    </w:p>
    <w:p>
      <w:pPr>
        <w:pStyle w:val="Heading2"/>
        <w:spacing w:line="240" w:lineRule="auto"/>
        <w:ind w:right="675"/>
        <w:jc w:val="left"/>
        <w:rPr>
          <w:b w:val="0"/>
          <w:bCs w:val="0"/>
        </w:rPr>
      </w:pPr>
      <w:r>
        <w:rPr/>
        <w:t>十一、重大诉讼、仲裁事项</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1452"/>
        <w:gridCol w:w="1085"/>
        <w:gridCol w:w="1265"/>
        <w:gridCol w:w="953"/>
        <w:gridCol w:w="1394"/>
        <w:gridCol w:w="1265"/>
        <w:gridCol w:w="1080"/>
        <w:gridCol w:w="1078"/>
      </w:tblGrid>
      <w:tr>
        <w:trPr>
          <w:trHeight w:val="557"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631"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55" w:right="22"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448" w:right="8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66"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4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艾迪伊欧创意设 </w:t>
            </w:r>
            <w:r>
              <w:rPr>
                <w:rFonts w:ascii="宋体" w:hAnsi="宋体" w:cs="宋体" w:eastAsia="宋体" w:hint="default"/>
                <w:spacing w:val="-6"/>
                <w:sz w:val="18"/>
                <w:szCs w:val="18"/>
              </w:rPr>
              <w:t>计（上海）有限公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司与上海百华悦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402.54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审理日期 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92"/>
                <w:sz w:val="18"/>
                <w:szCs w:val="18"/>
              </w:rPr>
              <w:t>日</w:t>
            </w:r>
            <w:r>
              <w:rPr>
                <w:rFonts w:ascii="宋体" w:hAnsi="宋体" w:cs="宋体" w:eastAsia="宋体" w:hint="default"/>
                <w:sz w:val="18"/>
                <w:szCs w:val="18"/>
              </w:rPr>
              <w:t>（待</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尚未有结果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228" w:footer="0" w:top="1100" w:bottom="160" w:left="168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1452"/>
        <w:gridCol w:w="1085"/>
        <w:gridCol w:w="1265"/>
        <w:gridCol w:w="953"/>
        <w:gridCol w:w="1394"/>
        <w:gridCol w:w="1265"/>
        <w:gridCol w:w="1080"/>
        <w:gridCol w:w="1078"/>
      </w:tblGrid>
      <w:tr>
        <w:trPr>
          <w:trHeight w:val="95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邦电子科技有限</w:t>
            </w:r>
          </w:p>
          <w:p>
            <w:pPr>
              <w:pStyle w:val="TableParagraph"/>
              <w:spacing w:line="249" w:lineRule="auto"/>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公司仲裁案，</w:t>
            </w:r>
            <w:r>
              <w:rPr>
                <w:rFonts w:ascii="宋体" w:hAnsi="宋体" w:cs="宋体" w:eastAsia="宋体" w:hint="default"/>
                <w:spacing w:val="1"/>
                <w:sz w:val="18"/>
                <w:szCs w:val="18"/>
              </w:rPr>
              <w:t> </w:t>
            </w:r>
            <w:r>
              <w:rPr>
                <w:rFonts w:ascii="宋体" w:hAnsi="宋体" w:cs="宋体" w:eastAsia="宋体" w:hint="default"/>
                <w:sz w:val="18"/>
                <w:szCs w:val="18"/>
              </w:rPr>
              <w:t>案</w:t>
            </w:r>
            <w:r>
              <w:rPr>
                <w:rFonts w:ascii="宋体" w:hAnsi="宋体" w:cs="宋体" w:eastAsia="宋体" w:hint="default"/>
                <w:sz w:val="18"/>
                <w:szCs w:val="18"/>
              </w:rPr>
              <w:t> 号： </w:t>
            </w:r>
            <w:r>
              <w:rPr>
                <w:rFonts w:ascii="Times New Roman" w:hAnsi="Times New Roman" w:cs="Times New Roman" w:eastAsia="Times New Roman" w:hint="default"/>
                <w:sz w:val="18"/>
                <w:szCs w:val="18"/>
              </w:rPr>
              <w:t>SDC2017S22</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确认是否</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延期）</w:t>
            </w:r>
          </w:p>
        </w:tc>
        <w:tc>
          <w:tcPr>
            <w:tcW w:w="139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2"/>
        <w:spacing w:line="367" w:lineRule="exact"/>
        <w:ind w:right="675"/>
        <w:jc w:val="left"/>
        <w:rPr>
          <w:b w:val="0"/>
          <w:bCs w:val="0"/>
        </w:rPr>
      </w:pPr>
      <w:r>
        <w:rPr/>
        <w:t>十二、处罚及整改情况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5"/>
          <w:szCs w:val="15"/>
        </w:rPr>
      </w:pPr>
    </w:p>
    <w:p>
      <w:pPr>
        <w:pStyle w:val="Heading2"/>
        <w:spacing w:line="240" w:lineRule="auto"/>
        <w:ind w:right="675"/>
        <w:jc w:val="left"/>
        <w:rPr>
          <w:b w:val="0"/>
          <w:bCs w:val="0"/>
        </w:rPr>
      </w:pPr>
      <w:r>
        <w:rPr/>
        <w:t>十三、公司及其控股股东、实际控制人的诚信状况</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十四、公司股权激励计划、员工持股计划或其他员工激励措施的实施情况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十五、重大关联交易</w:t>
      </w:r>
      <w:r>
        <w:rPr>
          <w:b w:val="0"/>
          <w:bCs w:val="0"/>
        </w:rPr>
      </w:r>
    </w:p>
    <w:p>
      <w:pPr>
        <w:pStyle w:val="Heading3"/>
        <w:spacing w:line="240" w:lineRule="auto" w:before="210"/>
        <w:ind w:left="305" w:right="67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Heading3"/>
        <w:spacing w:line="240" w:lineRule="auto"/>
        <w:ind w:left="305" w:right="67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7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7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Heading3"/>
        <w:spacing w:line="240" w:lineRule="auto"/>
        <w:ind w:left="305" w:right="67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4"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日与民生银行签订协议，交易标的为公司拟向招商银行股份有限公司北京世纪城支行申请综合</w:t>
      </w:r>
      <w:r>
        <w:rPr>
          <w:spacing w:val="-60"/>
        </w:rPr>
        <w:t> </w:t>
      </w:r>
      <w:r>
        <w:rPr>
          <w:spacing w:val="-60"/>
        </w:rPr>
      </w:r>
      <w:r>
        <w:rPr/>
        <w:t>授信额度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t>万元，期限一年，该笔授信由刘铁峰提供无限连带责任担保保证，利率以合同签订利率为准。担保</w:t>
      </w:r>
    </w:p>
    <w:p>
      <w:pPr>
        <w:pStyle w:val="BodyText"/>
        <w:spacing w:line="232" w:lineRule="exact" w:before="6"/>
        <w:ind w:right="674"/>
        <w:jc w:val="left"/>
      </w:pP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日到期。 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日与民生银行签订协议，交易标的为公司拟向中国民生银行股份有限公司北京分行申请综合授 信额度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万元，期限一年，该笔授信由刘铁峰提供无限连带责任担保保证，利率以合同签订利率为准。担保已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日到期。</w:t>
      </w:r>
    </w:p>
    <w:p>
      <w:pPr>
        <w:spacing w:after="0" w:line="232" w:lineRule="exact"/>
        <w:jc w:val="left"/>
        <w:sectPr>
          <w:pgSz w:w="11910" w:h="16840"/>
          <w:pgMar w:header="228" w:footer="0" w:top="1100" w:bottom="160" w:left="168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2" w:lineRule="exact" w:before="69"/>
        <w:ind w:right="661"/>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日与民生银行签订协议，交易标的为公司拟向中国民生银行股份有限公司北京分行申请综合 授信额度 </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t>万元，期限一年，该笔授信由刘铁峰提供无限连带责任担保保证，利率以合同签订利率为准。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日与招商银行签订协议，交易标的为公司拟向招商银行股份有限公司北京世纪城支行申请综 合授信额度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t>万元，期限一年，该笔授信由刘铁峰提供无限连带责任担保保证，利率以合同签订利率为准。</w:t>
      </w:r>
    </w:p>
    <w:p>
      <w:pPr>
        <w:pStyle w:val="BodyText"/>
        <w:spacing w:line="240" w:lineRule="auto" w:before="17"/>
        <w:ind w:right="661"/>
        <w:jc w:val="left"/>
      </w:pPr>
      <w:r>
        <w:rPr/>
        <w:t>重大关联交易临时报告披露网站相关查询</w:t>
      </w:r>
    </w:p>
    <w:p>
      <w:pPr>
        <w:spacing w:line="240" w:lineRule="auto" w:before="3"/>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3459"/>
        <w:gridCol w:w="2650"/>
        <w:gridCol w:w="3462"/>
      </w:tblGrid>
      <w:tr>
        <w:trPr>
          <w:trHeight w:val="324"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557" w:hRule="exact"/>
        </w:trPr>
        <w:tc>
          <w:tcPr>
            <w:tcW w:w="34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4" w:lineRule="exact"/>
              <w:ind w:left="23" w:right="183"/>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北京百华悦邦科技股份有限公司关联交易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86"/>
              <w:jc w:val="left"/>
              <w:rPr>
                <w:rFonts w:ascii="宋体" w:hAnsi="宋体" w:cs="宋体" w:eastAsia="宋体" w:hint="default"/>
                <w:sz w:val="18"/>
                <w:szCs w:val="18"/>
              </w:rPr>
            </w:pPr>
            <w:r>
              <w:rPr>
                <w:rFonts w:ascii="宋体" w:hAnsi="宋体" w:cs="宋体" w:eastAsia="宋体" w:hint="default"/>
                <w:sz w:val="18"/>
                <w:szCs w:val="18"/>
              </w:rPr>
              <w:t>全国中小企业股份转让系统指定信息披露 平台（</w:t>
            </w:r>
            <w:hyperlink r:id="rId26">
              <w:r>
                <w:rPr>
                  <w:rFonts w:ascii="Times New Roman" w:hAnsi="Times New Roman" w:cs="Times New Roman" w:eastAsia="Times New Roman" w:hint="default"/>
                  <w:sz w:val="18"/>
                  <w:szCs w:val="18"/>
                </w:rPr>
                <w:t>www.neeq.cc</w:t>
              </w:r>
            </w:hyperlink>
            <w:r>
              <w:rPr>
                <w:rFonts w:ascii="宋体" w:hAnsi="宋体" w:cs="宋体" w:eastAsia="宋体" w:hint="default"/>
                <w:sz w:val="18"/>
                <w:szCs w:val="18"/>
              </w:rPr>
              <w:t>）</w:t>
            </w:r>
          </w:p>
        </w:tc>
      </w:tr>
      <w:tr>
        <w:trPr>
          <w:trHeight w:val="557" w:hRule="exact"/>
        </w:trPr>
        <w:tc>
          <w:tcPr>
            <w:tcW w:w="3459"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86"/>
              <w:jc w:val="left"/>
              <w:rPr>
                <w:rFonts w:ascii="宋体" w:hAnsi="宋体" w:cs="宋体" w:eastAsia="宋体" w:hint="default"/>
                <w:sz w:val="18"/>
                <w:szCs w:val="18"/>
              </w:rPr>
            </w:pPr>
            <w:r>
              <w:rPr>
                <w:rFonts w:ascii="宋体" w:hAnsi="宋体" w:cs="宋体" w:eastAsia="宋体" w:hint="default"/>
                <w:sz w:val="18"/>
                <w:szCs w:val="18"/>
              </w:rPr>
              <w:t>全国中小企业股份转让系统指定信息披露 平台（</w:t>
            </w:r>
            <w:hyperlink r:id="rId26">
              <w:r>
                <w:rPr>
                  <w:rFonts w:ascii="Times New Roman" w:hAnsi="Times New Roman" w:cs="Times New Roman" w:eastAsia="Times New Roman" w:hint="default"/>
                  <w:sz w:val="18"/>
                  <w:szCs w:val="18"/>
                </w:rPr>
                <w:t>www.neeq.cc</w:t>
              </w:r>
            </w:hyperlink>
            <w:r>
              <w:rPr>
                <w:rFonts w:ascii="宋体" w:hAnsi="宋体" w:cs="宋体" w:eastAsia="宋体" w:hint="default"/>
                <w:sz w:val="18"/>
                <w:szCs w:val="18"/>
              </w:rPr>
              <w:t>）</w:t>
            </w:r>
          </w:p>
        </w:tc>
      </w:tr>
      <w:tr>
        <w:trPr>
          <w:trHeight w:val="557" w:hRule="exact"/>
        </w:trPr>
        <w:tc>
          <w:tcPr>
            <w:tcW w:w="34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32" w:lineRule="exact"/>
              <w:ind w:left="23" w:right="183"/>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北京百华悦邦科技股份有限公司关联交易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86"/>
              <w:jc w:val="left"/>
              <w:rPr>
                <w:rFonts w:ascii="宋体" w:hAnsi="宋体" w:cs="宋体" w:eastAsia="宋体" w:hint="default"/>
                <w:sz w:val="18"/>
                <w:szCs w:val="18"/>
              </w:rPr>
            </w:pPr>
            <w:r>
              <w:rPr>
                <w:rFonts w:ascii="宋体" w:hAnsi="宋体" w:cs="宋体" w:eastAsia="宋体" w:hint="default"/>
                <w:sz w:val="18"/>
                <w:szCs w:val="18"/>
              </w:rPr>
              <w:t>全国中小企业股份转让系统指定信息披露 平台（</w:t>
            </w:r>
            <w:hyperlink r:id="rId26">
              <w:r>
                <w:rPr>
                  <w:rFonts w:ascii="Times New Roman" w:hAnsi="Times New Roman" w:cs="Times New Roman" w:eastAsia="Times New Roman" w:hint="default"/>
                  <w:sz w:val="18"/>
                  <w:szCs w:val="18"/>
                </w:rPr>
                <w:t>www.neeq.cc</w:t>
              </w:r>
            </w:hyperlink>
            <w:r>
              <w:rPr>
                <w:rFonts w:ascii="宋体" w:hAnsi="宋体" w:cs="宋体" w:eastAsia="宋体" w:hint="default"/>
                <w:sz w:val="18"/>
                <w:szCs w:val="18"/>
              </w:rPr>
              <w:t>）</w:t>
            </w:r>
          </w:p>
        </w:tc>
      </w:tr>
      <w:tr>
        <w:trPr>
          <w:trHeight w:val="557" w:hRule="exact"/>
        </w:trPr>
        <w:tc>
          <w:tcPr>
            <w:tcW w:w="3459"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86"/>
              <w:jc w:val="left"/>
              <w:rPr>
                <w:rFonts w:ascii="宋体" w:hAnsi="宋体" w:cs="宋体" w:eastAsia="宋体" w:hint="default"/>
                <w:sz w:val="18"/>
                <w:szCs w:val="18"/>
              </w:rPr>
            </w:pPr>
            <w:r>
              <w:rPr>
                <w:rFonts w:ascii="宋体" w:hAnsi="宋体" w:cs="宋体" w:eastAsia="宋体" w:hint="default"/>
                <w:sz w:val="18"/>
                <w:szCs w:val="18"/>
              </w:rPr>
              <w:t>全国中小企业股份转让系统指定信息披露 平台（</w:t>
            </w:r>
            <w:hyperlink r:id="rId26">
              <w:r>
                <w:rPr>
                  <w:rFonts w:ascii="Times New Roman" w:hAnsi="Times New Roman" w:cs="Times New Roman" w:eastAsia="Times New Roman" w:hint="default"/>
                  <w:sz w:val="18"/>
                  <w:szCs w:val="18"/>
                </w:rPr>
                <w:t>www.neeq.cc</w:t>
              </w:r>
            </w:hyperlink>
            <w:r>
              <w:rPr>
                <w:rFonts w:ascii="宋体" w:hAnsi="宋体" w:cs="宋体" w:eastAsia="宋体" w:hint="default"/>
                <w:sz w:val="18"/>
                <w:szCs w:val="18"/>
              </w:rPr>
              <w:t>）</w:t>
            </w:r>
          </w:p>
        </w:tc>
      </w:tr>
    </w:tbl>
    <w:p>
      <w:pPr>
        <w:pStyle w:val="BodyText"/>
        <w:spacing w:line="240" w:lineRule="auto" w:before="8"/>
        <w:ind w:right="661"/>
        <w:jc w:val="left"/>
      </w:pPr>
      <w:r>
        <w:rPr/>
        <w:t>公司报告期无其他重大关联交易。</w:t>
      </w:r>
    </w:p>
    <w:p>
      <w:pPr>
        <w:spacing w:line="240" w:lineRule="auto" w:before="4"/>
        <w:rPr>
          <w:rFonts w:ascii="宋体" w:hAnsi="宋体" w:cs="宋体" w:eastAsia="宋体" w:hint="default"/>
          <w:sz w:val="16"/>
          <w:szCs w:val="16"/>
        </w:rPr>
      </w:pPr>
    </w:p>
    <w:p>
      <w:pPr>
        <w:pStyle w:val="Heading2"/>
        <w:spacing w:line="240" w:lineRule="auto"/>
        <w:ind w:right="661"/>
        <w:jc w:val="left"/>
        <w:rPr>
          <w:b w:val="0"/>
          <w:bCs w:val="0"/>
        </w:rPr>
      </w:pPr>
      <w:r>
        <w:rPr/>
        <w:t>十六、重大合同及其履行情况</w:t>
      </w:r>
      <w:r>
        <w:rPr>
          <w:b w:val="0"/>
          <w:bCs w:val="0"/>
        </w:rPr>
      </w:r>
    </w:p>
    <w:p>
      <w:pPr>
        <w:pStyle w:val="Heading3"/>
        <w:spacing w:line="240" w:lineRule="auto" w:before="212"/>
        <w:ind w:left="305" w:right="66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4"/>
        <w:rPr>
          <w:rFonts w:ascii="Microsoft JhengHei" w:hAnsi="Microsoft JhengHei" w:cs="Microsoft JhengHei" w:eastAsia="Microsoft JhengHei" w:hint="default"/>
          <w:b/>
          <w:bCs/>
          <w:sz w:val="11"/>
          <w:szCs w:val="11"/>
        </w:rPr>
      </w:pPr>
    </w:p>
    <w:p>
      <w:pPr>
        <w:spacing w:before="0"/>
        <w:ind w:left="305" w:right="66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）托管情况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64" w:lineRule="auto"/>
        <w:ind w:right="8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240" w:lineRule="auto" w:before="22"/>
        <w:ind w:right="661"/>
        <w:jc w:val="left"/>
      </w:pPr>
      <w:r>
        <w:rPr/>
        <w:t>报告期内，公司所有门店均使用租赁房屋进行经营活动，租赁物管费为</w:t>
      </w:r>
      <w:r>
        <w:rPr>
          <w:rFonts w:ascii="Times New Roman" w:hAnsi="Times New Roman" w:cs="Times New Roman" w:eastAsia="Times New Roman" w:hint="default"/>
        </w:rPr>
        <w:t>39,959,102.62</w:t>
      </w:r>
      <w:r>
        <w:rPr/>
        <w:t>元。</w:t>
      </w:r>
    </w:p>
    <w:p>
      <w:pPr>
        <w:spacing w:line="240" w:lineRule="auto" w:before="4"/>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4"/>
        <w:rPr>
          <w:rFonts w:ascii="Microsoft JhengHei" w:hAnsi="Microsoft JhengHei" w:cs="Microsoft JhengHei" w:eastAsia="Microsoft JhengHei" w:hint="default"/>
          <w:b/>
          <w:bCs/>
          <w:sz w:val="11"/>
          <w:szCs w:val="11"/>
        </w:rPr>
      </w:pPr>
    </w:p>
    <w:p>
      <w:pPr>
        <w:spacing w:before="0"/>
        <w:ind w:left="305" w:right="66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）委托理财情况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right="661"/>
        <w:jc w:val="left"/>
      </w:pPr>
      <w:r>
        <w:rPr/>
        <w:t>报告期内委托理财概况</w:t>
      </w:r>
    </w:p>
    <w:p>
      <w:pPr>
        <w:pStyle w:val="BodyText"/>
        <w:spacing w:line="240" w:lineRule="auto" w:before="38"/>
        <w:ind w:left="0" w:right="663"/>
        <w:jc w:val="right"/>
      </w:pPr>
      <w:r>
        <w:rPr/>
        <w:t>单位：万元</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868"/>
        <w:gridCol w:w="1963"/>
        <w:gridCol w:w="1980"/>
        <w:gridCol w:w="1911"/>
        <w:gridCol w:w="1846"/>
      </w:tblGrid>
      <w:tr>
        <w:trPr>
          <w:trHeight w:val="32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2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367,336,462.42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367,336,462.42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8"/>
        <w:ind w:right="0"/>
        <w:jc w:val="both"/>
      </w:pPr>
      <w:r>
        <w:rPr/>
        <w:t>单项金额重大或安全性较低、流动性较差、不保本的高风险委托理财具体情况</w:t>
      </w:r>
    </w:p>
    <w:p>
      <w:pPr>
        <w:pStyle w:val="BodyText"/>
        <w:spacing w:line="264" w:lineRule="auto" w:before="38"/>
        <w:ind w:right="46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1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0"/>
        <w:jc w:val="both"/>
        <w:rPr>
          <w:b w:val="0"/>
          <w:bCs w:val="0"/>
        </w:rPr>
      </w:pPr>
      <w:r>
        <w:rPr/>
        <w:t>十七、社会责任情况</w:t>
      </w:r>
      <w:r>
        <w:rPr>
          <w:b w:val="0"/>
          <w:bCs w:val="0"/>
        </w:rPr>
      </w:r>
    </w:p>
    <w:p>
      <w:pPr>
        <w:pStyle w:val="Heading3"/>
        <w:spacing w:line="240" w:lineRule="auto" w:before="210"/>
        <w:ind w:left="305"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ind w:left="725" w:right="661"/>
        <w:jc w:val="left"/>
      </w:pPr>
      <w:r>
        <w:rPr/>
        <w:t>（一）股东权益保护 </w:t>
      </w:r>
      <w:r>
        <w:rPr>
          <w:spacing w:val="-9"/>
        </w:rPr>
        <w:t>公司严格按照《中华人民共和国公司法》、《中华人民共和国证券法》、《上市公司治理准则》等相关法律、法规</w:t>
      </w:r>
    </w:p>
    <w:p>
      <w:pPr>
        <w:pStyle w:val="BodyText"/>
        <w:spacing w:line="237" w:lineRule="auto"/>
        <w:ind w:right="666"/>
        <w:jc w:val="both"/>
      </w:pPr>
      <w:r>
        <w:rPr/>
        <w:t>和规范性文件的要求，持续完善公司三会治理，提升公司规范运作的水平。公司建立了股东大会、董事会、监事会</w:t>
      </w:r>
      <w:r>
        <w:rPr>
          <w:spacing w:val="-79"/>
        </w:rPr>
        <w:t> </w:t>
      </w:r>
      <w:r>
        <w:rPr>
          <w:spacing w:val="-79"/>
        </w:rPr>
      </w:r>
      <w:r>
        <w:rPr/>
        <w:t>的法人治理结构；制定了三会议事规则，严格明确决策、执行、监督等方面的职责权限，用制度的约束力使得三会</w:t>
      </w:r>
      <w:r>
        <w:rPr>
          <w:spacing w:val="-79"/>
        </w:rPr>
        <w:t> </w:t>
      </w:r>
      <w:r>
        <w:rPr>
          <w:spacing w:val="-79"/>
        </w:rPr>
      </w:r>
      <w:r>
        <w:rPr/>
        <w:t>各司其职、规范运作，形成了科学有效的职责分工、制衡机制。公司董事会下设四个专门委员会，即战略与发展委</w:t>
      </w:r>
      <w:r>
        <w:rPr>
          <w:spacing w:val="-79"/>
        </w:rPr>
        <w:t> </w:t>
      </w:r>
      <w:r>
        <w:rPr>
          <w:spacing w:val="-79"/>
        </w:rPr>
      </w:r>
      <w:r>
        <w:rPr/>
        <w:t>员会、审计委员会、提名委员会、薪酬与考核委员会，同时还制定了相应的工作细则，促进了董事会科学、高效、</w:t>
      </w:r>
      <w:r>
        <w:rPr>
          <w:spacing w:val="-79"/>
        </w:rPr>
        <w:t> </w:t>
      </w:r>
      <w:r>
        <w:rPr>
          <w:spacing w:val="-79"/>
        </w:rPr>
      </w:r>
      <w:r>
        <w:rPr/>
        <w:t>正确决策，保障了公司股东的合法权益。</w:t>
      </w:r>
    </w:p>
    <w:p>
      <w:pPr>
        <w:pStyle w:val="BodyText"/>
        <w:spacing w:line="232" w:lineRule="exact" w:before="22"/>
        <w:ind w:left="725" w:right="661"/>
        <w:jc w:val="left"/>
      </w:pPr>
      <w:r>
        <w:rPr/>
        <w:t>（二）职工权益保护 </w:t>
      </w:r>
      <w:r>
        <w:rPr>
          <w:spacing w:val="-2"/>
        </w:rPr>
        <w:t>公司认真贯彻执行《劳动合同法》，将人才作为推动企业发展的第一要素，将企业发展战略与员工职业生涯规</w:t>
      </w:r>
    </w:p>
    <w:p>
      <w:pPr>
        <w:pStyle w:val="BodyText"/>
        <w:spacing w:line="232" w:lineRule="exact" w:before="3"/>
        <w:ind w:right="666"/>
        <w:jc w:val="both"/>
      </w:pPr>
      <w:r>
        <w:rPr/>
        <w:t>划有机结合，最大限度保护员工的权益，构建和谐的劳动关系。公司为员工缴纳养老、医疗、工伤、失业、生育在</w:t>
      </w:r>
      <w:r>
        <w:rPr>
          <w:spacing w:val="-79"/>
        </w:rPr>
        <w:t> </w:t>
      </w:r>
      <w:r>
        <w:rPr>
          <w:spacing w:val="-79"/>
        </w:rPr>
      </w:r>
      <w:r>
        <w:rPr/>
        <w:t>内的社会保险，并为员工购买商业意外保险以及住房公积金，每年均组织员工旅游，丰富业余生活。此外，公司根</w:t>
      </w:r>
      <w:r>
        <w:rPr>
          <w:spacing w:val="-79"/>
        </w:rPr>
        <w:t> </w:t>
      </w:r>
      <w:r>
        <w:rPr>
          <w:spacing w:val="-79"/>
        </w:rPr>
      </w:r>
      <w:r>
        <w:rPr/>
        <w:t>据国家规定保障职工在怀孕、生育、哺乳期间所享有的福利待遇。</w:t>
      </w:r>
    </w:p>
    <w:p>
      <w:pPr>
        <w:spacing w:line="240" w:lineRule="auto" w:before="12"/>
        <w:rPr>
          <w:rFonts w:ascii="宋体" w:hAnsi="宋体" w:cs="宋体" w:eastAsia="宋体" w:hint="default"/>
          <w:sz w:val="15"/>
          <w:szCs w:val="15"/>
        </w:rPr>
      </w:pPr>
    </w:p>
    <w:p>
      <w:pPr>
        <w:pStyle w:val="Heading3"/>
        <w:spacing w:line="240" w:lineRule="auto"/>
        <w:ind w:left="305"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5"/>
        <w:rPr>
          <w:rFonts w:ascii="Microsoft JhengHei" w:hAnsi="Microsoft JhengHei" w:cs="Microsoft JhengHei" w:eastAsia="Microsoft JhengHei" w:hint="default"/>
          <w:b/>
          <w:bCs/>
          <w:sz w:val="11"/>
          <w:szCs w:val="11"/>
        </w:rPr>
      </w:pPr>
    </w:p>
    <w:p>
      <w:pPr>
        <w:spacing w:before="0"/>
        <w:ind w:left="305"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）精准扶贫规划</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6"/>
          <w:szCs w:val="16"/>
        </w:rPr>
      </w:pPr>
    </w:p>
    <w:p>
      <w:pPr>
        <w:pStyle w:val="BodyText"/>
        <w:spacing w:line="240" w:lineRule="auto"/>
        <w:ind w:right="0"/>
        <w:jc w:val="both"/>
      </w:pPr>
      <w:r>
        <w:rPr/>
        <w:t>公司报告年度未开展精准扶贫工作，也无后续精准扶贫计划。</w:t>
      </w:r>
    </w:p>
    <w:p>
      <w:pPr>
        <w:spacing w:line="240" w:lineRule="auto" w:before="7"/>
        <w:rPr>
          <w:rFonts w:ascii="宋体" w:hAnsi="宋体" w:cs="宋体" w:eastAsia="宋体" w:hint="default"/>
          <w:sz w:val="17"/>
          <w:szCs w:val="17"/>
        </w:rPr>
      </w:pPr>
    </w:p>
    <w:p>
      <w:pPr>
        <w:pStyle w:val="Heading3"/>
        <w:spacing w:line="240" w:lineRule="auto"/>
        <w:ind w:left="305" w:right="0"/>
        <w:jc w:val="both"/>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0"/>
        <w:rPr>
          <w:rFonts w:ascii="Microsoft JhengHei" w:hAnsi="Microsoft JhengHei" w:cs="Microsoft JhengHei" w:eastAsia="Microsoft JhengHei" w:hint="default"/>
          <w:b/>
          <w:bCs/>
          <w:sz w:val="16"/>
          <w:szCs w:val="16"/>
        </w:rPr>
      </w:pPr>
    </w:p>
    <w:p>
      <w:pPr>
        <w:pStyle w:val="BodyText"/>
        <w:spacing w:line="240" w:lineRule="auto"/>
        <w:ind w:right="0"/>
        <w:jc w:val="both"/>
      </w:pPr>
      <w:r>
        <w:rPr/>
        <w:t>无</w:t>
      </w:r>
    </w:p>
    <w:p>
      <w:pPr>
        <w:spacing w:after="0" w:line="240" w:lineRule="auto"/>
        <w:jc w:val="both"/>
        <w:sectPr>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335" w:lineRule="exact"/>
        <w:ind w:left="305" w:right="675"/>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7"/>
        <w:rPr>
          <w:rFonts w:ascii="Microsoft JhengHei" w:hAnsi="Microsoft JhengHei" w:cs="Microsoft JhengHei" w:eastAsia="Microsoft JhengHei" w:hint="default"/>
          <w:b/>
          <w:bCs/>
          <w:sz w:val="11"/>
          <w:szCs w:val="11"/>
        </w:rPr>
      </w:pPr>
    </w:p>
    <w:p>
      <w:pPr>
        <w:spacing w:line="446" w:lineRule="auto" w:before="0"/>
        <w:ind w:left="305" w:right="747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）后续精准扶贫计划</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z w:val="18"/>
          <w:szCs w:val="18"/>
        </w:rPr>
        <w:t>无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、环境保护相关的情况</w:t>
      </w:r>
      <w:r>
        <w:rPr>
          <w:rFonts w:ascii="Microsoft JhengHei" w:hAnsi="Microsoft JhengHei" w:cs="Microsoft JhengHei" w:eastAsia="Microsoft JhengHei" w:hint="default"/>
          <w:sz w:val="21"/>
          <w:szCs w:val="21"/>
        </w:rPr>
      </w:r>
    </w:p>
    <w:p>
      <w:pPr>
        <w:pStyle w:val="BodyText"/>
        <w:spacing w:line="240" w:lineRule="auto" w:before="36"/>
        <w:ind w:right="675"/>
        <w:jc w:val="left"/>
      </w:pPr>
      <w:r>
        <w:rPr/>
        <w:t>不适用</w:t>
      </w:r>
    </w:p>
    <w:p>
      <w:pPr>
        <w:spacing w:line="240" w:lineRule="auto" w:before="4"/>
        <w:rPr>
          <w:rFonts w:ascii="宋体" w:hAnsi="宋体" w:cs="宋体" w:eastAsia="宋体" w:hint="default"/>
          <w:sz w:val="16"/>
          <w:szCs w:val="16"/>
        </w:rPr>
      </w:pPr>
    </w:p>
    <w:p>
      <w:pPr>
        <w:pStyle w:val="Heading2"/>
        <w:spacing w:line="240" w:lineRule="auto"/>
        <w:ind w:right="675"/>
        <w:jc w:val="left"/>
        <w:rPr>
          <w:b w:val="0"/>
          <w:bCs w:val="0"/>
        </w:rPr>
      </w:pPr>
      <w:r>
        <w:rPr/>
        <w:t>十八、其他重大事项的说明</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十九、公司子公司重大事项</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5"/>
          <w:szCs w:val="15"/>
        </w:rPr>
      </w:pPr>
    </w:p>
    <w:p>
      <w:pPr>
        <w:pStyle w:val="Heading1"/>
        <w:spacing w:line="240" w:lineRule="auto"/>
        <w:ind w:left="2804" w:right="675"/>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4"/>
        <w:rPr>
          <w:rFonts w:ascii="Microsoft JhengHei" w:hAnsi="Microsoft JhengHei" w:cs="Microsoft JhengHei" w:eastAsia="Microsoft JhengHei" w:hint="default"/>
          <w:b/>
          <w:bCs/>
          <w:sz w:val="46"/>
          <w:szCs w:val="46"/>
        </w:rPr>
      </w:pPr>
    </w:p>
    <w:p>
      <w:pPr>
        <w:pStyle w:val="Heading2"/>
        <w:spacing w:line="240" w:lineRule="auto"/>
        <w:ind w:right="675"/>
        <w:jc w:val="left"/>
        <w:rPr>
          <w:b w:val="0"/>
          <w:bCs w:val="0"/>
        </w:rPr>
      </w:pPr>
      <w:r>
        <w:rPr/>
        <w:t>一、股份变动情况</w:t>
      </w:r>
      <w:r>
        <w:rPr>
          <w:b w:val="0"/>
          <w:bCs w:val="0"/>
        </w:rPr>
      </w:r>
    </w:p>
    <w:p>
      <w:pPr>
        <w:pStyle w:val="Heading3"/>
        <w:spacing w:line="240" w:lineRule="auto" w:before="210"/>
        <w:ind w:left="305" w:right="67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44"/>
        <w:ind w:left="0" w:right="683"/>
        <w:jc w:val="right"/>
      </w:pPr>
      <w:r>
        <w:rPr/>
        <w:t>单位：股</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4"/>
        <w:gridCol w:w="792"/>
      </w:tblGrid>
      <w:tr>
        <w:trPr>
          <w:trHeight w:val="324"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0"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2228"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9"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5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7" w:space="0" w:color="D2D2D2"/>
              <w:left w:val="single" w:sz="10" w:space="0" w:color="D2D2D2"/>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24,762,15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7" w:space="0" w:color="D2D2D2"/>
              <w:left w:val="single" w:sz="4" w:space="0" w:color="000000"/>
              <w:right w:val="single" w:sz="4" w:space="0" w:color="000000"/>
            </w:tcBorders>
          </w:tcPr>
          <w:p>
            <w:pPr>
              <w:pStyle w:val="TableParagraph"/>
              <w:spacing w:line="240" w:lineRule="auto" w:before="141"/>
              <w:ind w:left="237" w:right="0"/>
              <w:jc w:val="left"/>
              <w:rPr>
                <w:rFonts w:ascii="Times New Roman" w:hAnsi="Times New Roman" w:cs="Times New Roman" w:eastAsia="Times New Roman" w:hint="default"/>
                <w:sz w:val="18"/>
                <w:szCs w:val="18"/>
              </w:rPr>
            </w:pPr>
            <w:r>
              <w:rPr>
                <w:rFonts w:ascii="Times New Roman"/>
                <w:sz w:val="18"/>
              </w:rPr>
              <w:t>60.79%</w:t>
            </w:r>
          </w:p>
        </w:tc>
        <w:tc>
          <w:tcPr>
            <w:tcW w:w="824" w:type="dxa"/>
            <w:vMerge w:val="restart"/>
            <w:tcBorders>
              <w:top w:val="single" w:sz="47" w:space="0" w:color="D2D2D2"/>
              <w:left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7" w:space="0" w:color="D2D2D2"/>
              <w:left w:val="single" w:sz="4" w:space="0" w:color="000000"/>
              <w:right w:val="single" w:sz="10" w:space="0" w:color="D2D2D2"/>
            </w:tcBorders>
          </w:tcPr>
          <w:p>
            <w:pPr>
              <w:pStyle w:val="TableParagraph"/>
              <w:spacing w:line="240" w:lineRule="auto" w:before="141"/>
              <w:ind w:right="16"/>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7" w:space="0" w:color="D2D2D2"/>
              <w:left w:val="single" w:sz="10" w:space="0" w:color="D2D2D2"/>
              <w:right w:val="single" w:sz="4" w:space="0" w:color="000000"/>
            </w:tcBorders>
          </w:tcPr>
          <w:p>
            <w:pPr>
              <w:pStyle w:val="TableParagraph"/>
              <w:spacing w:line="207" w:lineRule="exact" w:before="38"/>
              <w:ind w:right="21"/>
              <w:jc w:val="right"/>
              <w:rPr>
                <w:rFonts w:ascii="Times New Roman" w:hAnsi="Times New Roman" w:cs="Times New Roman" w:eastAsia="Times New Roman" w:hint="default"/>
                <w:sz w:val="18"/>
                <w:szCs w:val="18"/>
              </w:rPr>
            </w:pPr>
            <w:r>
              <w:rPr>
                <w:rFonts w:ascii="Times New Roman"/>
                <w:spacing w:val="-1"/>
                <w:sz w:val="18"/>
              </w:rPr>
              <w:t>-24,762,1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7" w:space="0" w:color="D2D2D2"/>
              <w:left w:val="single" w:sz="4" w:space="0" w:color="000000"/>
              <w:right w:val="single" w:sz="4" w:space="0" w:color="000000"/>
            </w:tcBorders>
          </w:tcPr>
          <w:p>
            <w:pPr>
              <w:pStyle w:val="TableParagraph"/>
              <w:spacing w:line="207" w:lineRule="exact" w:before="38"/>
              <w:ind w:right="21"/>
              <w:jc w:val="right"/>
              <w:rPr>
                <w:rFonts w:ascii="Times New Roman" w:hAnsi="Times New Roman" w:cs="Times New Roman" w:eastAsia="Times New Roman" w:hint="default"/>
                <w:sz w:val="18"/>
                <w:szCs w:val="18"/>
              </w:rPr>
            </w:pPr>
            <w:r>
              <w:rPr>
                <w:rFonts w:ascii="Times New Roman"/>
                <w:spacing w:val="-1"/>
                <w:sz w:val="18"/>
              </w:rPr>
              <w:t>-24,762,1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7" w:space="0" w:color="D2D2D2"/>
              <w:left w:val="single" w:sz="4" w:space="0" w:color="000000"/>
              <w:right w:val="single" w:sz="4" w:space="0" w:color="000000"/>
            </w:tcBorders>
          </w:tcPr>
          <w:p>
            <w:pPr>
              <w:pStyle w:val="TableParagraph"/>
              <w:spacing w:line="240" w:lineRule="auto" w:before="141"/>
              <w:ind w:right="25"/>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7" w:space="0" w:color="D2D2D2"/>
              <w:left w:val="single" w:sz="4" w:space="0" w:color="000000"/>
              <w:right w:val="single" w:sz="4" w:space="0" w:color="000000"/>
            </w:tcBorders>
          </w:tcPr>
          <w:p>
            <w:pPr>
              <w:pStyle w:val="TableParagraph"/>
              <w:spacing w:line="240" w:lineRule="auto" w:before="141"/>
              <w:ind w:left="292" w:right="0"/>
              <w:jc w:val="lef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10" w:space="0" w:color="D2D2D2"/>
            </w:tcBorders>
          </w:tcPr>
          <w:p>
            <w:pPr/>
          </w:p>
        </w:tc>
        <w:tc>
          <w:tcPr>
            <w:tcW w:w="823" w:type="dxa"/>
            <w:vMerge/>
            <w:tcBorders>
              <w:left w:val="single" w:sz="10" w:space="0" w:color="D2D2D2"/>
              <w:bottom w:val="single" w:sz="4" w:space="0" w:color="000000"/>
              <w:right w:val="single" w:sz="10" w:space="0" w:color="D2D2D2"/>
            </w:tcBorders>
          </w:tcPr>
          <w:p>
            <w:pPr/>
          </w:p>
        </w:tc>
        <w:tc>
          <w:tcPr>
            <w:tcW w:w="821"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0.00%</w:t>
            </w:r>
          </w:p>
        </w:tc>
      </w:tr>
      <w:tr>
        <w:trPr>
          <w:trHeight w:val="32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96"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24,762,15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36"/>
              <w:ind w:left="237" w:right="0"/>
              <w:jc w:val="left"/>
              <w:rPr>
                <w:rFonts w:ascii="Times New Roman" w:hAnsi="Times New Roman" w:cs="Times New Roman" w:eastAsia="Times New Roman" w:hint="default"/>
                <w:sz w:val="18"/>
                <w:szCs w:val="18"/>
              </w:rPr>
            </w:pPr>
            <w:r>
              <w:rPr>
                <w:rFonts w:ascii="Times New Roman"/>
                <w:sz w:val="18"/>
              </w:rPr>
              <w:t>60.79%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-24,762,1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-24,762,1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6"/>
              <w:ind w:right="25"/>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36"/>
              <w:ind w:left="292" w:right="0"/>
              <w:jc w:val="lef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96"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12,484,80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36"/>
              <w:ind w:left="237" w:right="0"/>
              <w:jc w:val="left"/>
              <w:rPr>
                <w:rFonts w:ascii="Times New Roman" w:hAnsi="Times New Roman" w:cs="Times New Roman" w:eastAsia="Times New Roman" w:hint="default"/>
                <w:sz w:val="18"/>
                <w:szCs w:val="18"/>
              </w:rPr>
            </w:pPr>
            <w:r>
              <w:rPr>
                <w:rFonts w:ascii="Times New Roman"/>
                <w:sz w:val="18"/>
              </w:rPr>
              <w:t>30.65%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-12,484,8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-12,484,8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6"/>
              <w:ind w:right="25"/>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36"/>
              <w:ind w:left="292" w:right="0"/>
              <w:jc w:val="lef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96"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12,277,35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36"/>
              <w:ind w:left="237" w:right="0"/>
              <w:jc w:val="left"/>
              <w:rPr>
                <w:rFonts w:ascii="Times New Roman" w:hAnsi="Times New Roman" w:cs="Times New Roman" w:eastAsia="Times New Roman" w:hint="default"/>
                <w:sz w:val="18"/>
                <w:szCs w:val="18"/>
              </w:rPr>
            </w:pPr>
            <w:r>
              <w:rPr>
                <w:rFonts w:ascii="Times New Roman"/>
                <w:sz w:val="18"/>
              </w:rPr>
              <w:t>30.14%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-12,277,3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-12,277,3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6"/>
              <w:ind w:right="25"/>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36"/>
              <w:ind w:left="292" w:right="0"/>
              <w:jc w:val="lef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vMerge/>
            <w:tcBorders>
              <w:left w:val="single" w:sz="10"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228" w:footer="0" w:top="1100" w:bottom="160" w:left="168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4"/>
        <w:gridCol w:w="792"/>
      </w:tblGrid>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0.00%</w:t>
            </w:r>
          </w:p>
        </w:tc>
      </w:tr>
      <w:tr>
        <w:trPr>
          <w:trHeight w:val="5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19"/>
              <w:jc w:val="right"/>
              <w:rPr>
                <w:rFonts w:ascii="Times New Roman" w:hAnsi="Times New Roman" w:cs="Times New Roman" w:eastAsia="Times New Roman" w:hint="default"/>
                <w:sz w:val="18"/>
                <w:szCs w:val="18"/>
              </w:rPr>
            </w:pPr>
            <w:r>
              <w:rPr>
                <w:rFonts w:ascii="Times New Roman"/>
                <w:spacing w:val="-1"/>
                <w:sz w:val="18"/>
              </w:rPr>
              <w:t>15,969,35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z w:val="18"/>
              </w:rPr>
              <w:t>39.21%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2"/>
              <w:jc w:val="right"/>
              <w:rPr>
                <w:rFonts w:ascii="Times New Roman" w:hAnsi="Times New Roman" w:cs="Times New Roman" w:eastAsia="Times New Roman" w:hint="default"/>
                <w:sz w:val="18"/>
                <w:szCs w:val="18"/>
              </w:rPr>
            </w:pPr>
            <w:r>
              <w:rPr>
                <w:rFonts w:ascii="Times New Roman"/>
                <w:spacing w:val="-1"/>
                <w:sz w:val="18"/>
              </w:rPr>
              <w:t>24,762,15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24,762,15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4"/>
              <w:jc w:val="right"/>
              <w:rPr>
                <w:rFonts w:ascii="Times New Roman" w:hAnsi="Times New Roman" w:cs="Times New Roman" w:eastAsia="Times New Roman" w:hint="default"/>
                <w:sz w:val="18"/>
                <w:szCs w:val="18"/>
              </w:rPr>
            </w:pPr>
            <w:r>
              <w:rPr>
                <w:rFonts w:ascii="Times New Roman"/>
                <w:spacing w:val="-1"/>
                <w:sz w:val="18"/>
              </w:rPr>
              <w:t>40,731,50</w:t>
            </w:r>
          </w:p>
          <w:p>
            <w:pPr>
              <w:pStyle w:val="TableParagraph"/>
              <w:spacing w:line="207" w:lineRule="exact"/>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right="19"/>
              <w:jc w:val="right"/>
              <w:rPr>
                <w:rFonts w:ascii="Times New Roman" w:hAnsi="Times New Roman" w:cs="Times New Roman" w:eastAsia="Times New Roman" w:hint="default"/>
                <w:sz w:val="18"/>
                <w:szCs w:val="18"/>
              </w:rPr>
            </w:pPr>
            <w:r>
              <w:rPr>
                <w:rFonts w:ascii="Times New Roman"/>
                <w:spacing w:val="-1"/>
                <w:sz w:val="18"/>
              </w:rPr>
              <w:t>15,969,35</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z w:val="18"/>
              </w:rPr>
              <w:t>39.21%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right="22"/>
              <w:jc w:val="right"/>
              <w:rPr>
                <w:rFonts w:ascii="Times New Roman" w:hAnsi="Times New Roman" w:cs="Times New Roman" w:eastAsia="Times New Roman" w:hint="default"/>
                <w:sz w:val="18"/>
                <w:szCs w:val="18"/>
              </w:rPr>
            </w:pPr>
            <w:r>
              <w:rPr>
                <w:rFonts w:ascii="Times New Roman"/>
                <w:spacing w:val="-1"/>
                <w:sz w:val="18"/>
              </w:rPr>
              <w:t>24,762,15</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right="21"/>
              <w:jc w:val="right"/>
              <w:rPr>
                <w:rFonts w:ascii="Times New Roman" w:hAnsi="Times New Roman" w:cs="Times New Roman" w:eastAsia="Times New Roman" w:hint="default"/>
                <w:sz w:val="18"/>
                <w:szCs w:val="18"/>
              </w:rPr>
            </w:pPr>
            <w:r>
              <w:rPr>
                <w:rFonts w:ascii="Times New Roman"/>
                <w:spacing w:val="-1"/>
                <w:sz w:val="18"/>
              </w:rPr>
              <w:t>24,762,15</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right="24"/>
              <w:jc w:val="right"/>
              <w:rPr>
                <w:rFonts w:ascii="Times New Roman" w:hAnsi="Times New Roman" w:cs="Times New Roman" w:eastAsia="Times New Roman" w:hint="default"/>
                <w:sz w:val="18"/>
                <w:szCs w:val="18"/>
              </w:rPr>
            </w:pPr>
            <w:r>
              <w:rPr>
                <w:rFonts w:ascii="Times New Roman"/>
                <w:spacing w:val="-1"/>
                <w:sz w:val="18"/>
              </w:rPr>
              <w:t>40,731,50</w:t>
            </w:r>
          </w:p>
          <w:p>
            <w:pPr>
              <w:pStyle w:val="TableParagraph"/>
              <w:spacing w:line="205" w:lineRule="exact"/>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5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40,731,50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4"/>
              <w:jc w:val="right"/>
              <w:rPr>
                <w:rFonts w:ascii="Times New Roman" w:hAnsi="Times New Roman" w:cs="Times New Roman" w:eastAsia="Times New Roman" w:hint="default"/>
                <w:sz w:val="18"/>
                <w:szCs w:val="18"/>
              </w:rPr>
            </w:pPr>
            <w:r>
              <w:rPr>
                <w:rFonts w:ascii="Times New Roman"/>
                <w:spacing w:val="-1"/>
                <w:sz w:val="18"/>
              </w:rPr>
              <w:t>40,731,50</w:t>
            </w:r>
          </w:p>
          <w:p>
            <w:pPr>
              <w:pStyle w:val="TableParagraph"/>
              <w:spacing w:line="207" w:lineRule="exact"/>
              <w:ind w:right="25"/>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8"/>
        <w:ind w:right="675"/>
        <w:jc w:val="left"/>
      </w:pPr>
      <w:r>
        <w:rPr/>
        <w:t>股份变动的原因</w:t>
      </w:r>
    </w:p>
    <w:p>
      <w:pPr>
        <w:pStyle w:val="BodyText"/>
        <w:spacing w:line="247" w:lineRule="auto" w:before="35"/>
        <w:ind w:right="68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日终止在全国中小企业股份转让系统挂牌，于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日在中国登记结算中心有限责任公 司北京分公司终止登记。公司于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日在中国登记结算中心有限责任公司深圳分公司完成股份登记，于</w:t>
      </w:r>
      <w:r>
        <w:rPr>
          <w:rFonts w:ascii="Times New Roman" w:hAnsi="Times New Roman" w:cs="Times New Roman" w:eastAsia="Times New Roman" w:hint="default"/>
        </w:rPr>
        <w:t>2018</w:t>
      </w:r>
    </w:p>
    <w:p>
      <w:pPr>
        <w:pStyle w:val="BodyText"/>
        <w:spacing w:line="227" w:lineRule="exact"/>
        <w:ind w:right="675"/>
        <w:jc w:val="left"/>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日在深圳证券交易所上市。在此期间公司各持有人股份处于非限售状态。</w:t>
      </w:r>
    </w:p>
    <w:p>
      <w:pPr>
        <w:pStyle w:val="BodyText"/>
        <w:spacing w:line="240" w:lineRule="auto" w:before="22"/>
        <w:ind w:right="675"/>
        <w:jc w:val="left"/>
      </w:pPr>
      <w:r>
        <w:rPr/>
        <w:t>股份变动的批准情况</w:t>
      </w:r>
    </w:p>
    <w:p>
      <w:pPr>
        <w:pStyle w:val="BodyText"/>
        <w:spacing w:line="264" w:lineRule="auto" w:before="38"/>
        <w:ind w:right="80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249" w:lineRule="auto" w:before="20"/>
        <w:ind w:right="6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 影响</w:t>
      </w:r>
    </w:p>
    <w:p>
      <w:pPr>
        <w:pStyle w:val="BodyText"/>
        <w:spacing w:line="264" w:lineRule="auto" w:before="31"/>
        <w:ind w:right="57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20"/>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675"/>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二、证券发行与上市情况</w:t>
      </w:r>
      <w:r>
        <w:rPr>
          <w:b w:val="0"/>
          <w:bCs w:val="0"/>
        </w:rPr>
      </w:r>
    </w:p>
    <w:p>
      <w:pPr>
        <w:pStyle w:val="Heading3"/>
        <w:spacing w:line="240" w:lineRule="auto" w:before="210"/>
        <w:ind w:left="305" w:right="675"/>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Heading3"/>
        <w:spacing w:line="240" w:lineRule="auto"/>
        <w:ind w:left="305" w:right="67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6"/>
          <w:szCs w:val="16"/>
        </w:rPr>
      </w:pPr>
    </w:p>
    <w:p>
      <w:pPr>
        <w:pStyle w:val="Heading3"/>
        <w:spacing w:line="240" w:lineRule="auto"/>
        <w:ind w:left="305" w:right="67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2530"/>
        <w:gridCol w:w="3848"/>
        <w:gridCol w:w="3193"/>
      </w:tblGrid>
      <w:tr>
        <w:trPr>
          <w:trHeight w:val="32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after="0" w:line="240" w:lineRule="auto"/>
        <w:jc w:val="left"/>
        <w:rPr>
          <w:rFonts w:ascii="宋体" w:hAnsi="宋体" w:cs="宋体" w:eastAsia="宋体" w:hint="default"/>
          <w:sz w:val="18"/>
          <w:szCs w:val="18"/>
        </w:rPr>
        <w:sectPr>
          <w:headerReference w:type="default" r:id="rId27"/>
          <w:pgSz w:w="11910" w:h="16840"/>
          <w:pgMar w:header="228" w:footer="0" w:top="1100" w:bottom="160" w:left="168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2530"/>
        <w:gridCol w:w="3848"/>
        <w:gridCol w:w="3193"/>
      </w:tblGrid>
      <w:tr>
        <w:trPr>
          <w:trHeight w:val="322"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473,500</w:t>
            </w:r>
          </w:p>
        </w:tc>
      </w:tr>
      <w:tr>
        <w:trPr>
          <w:trHeight w:val="32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144,500</w:t>
            </w:r>
          </w:p>
        </w:tc>
      </w:tr>
      <w:tr>
        <w:trPr>
          <w:trHeight w:val="32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2"/>
                <w:sz w:val="18"/>
              </w:rPr>
              <w:t>113,500</w:t>
            </w:r>
          </w:p>
        </w:tc>
      </w:tr>
      <w:tr>
        <w:trPr>
          <w:trHeight w:val="32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年公司进行的员工持股计划。</w:t>
            </w:r>
          </w:p>
        </w:tc>
      </w:tr>
    </w:tbl>
    <w:p>
      <w:pPr>
        <w:spacing w:line="240" w:lineRule="auto" w:before="11"/>
        <w:rPr>
          <w:rFonts w:ascii="宋体" w:hAnsi="宋体" w:cs="宋体" w:eastAsia="宋体" w:hint="default"/>
          <w:sz w:val="17"/>
          <w:szCs w:val="17"/>
        </w:rPr>
      </w:pPr>
    </w:p>
    <w:p>
      <w:pPr>
        <w:pStyle w:val="Heading2"/>
        <w:spacing w:line="367" w:lineRule="exact"/>
        <w:ind w:right="661"/>
        <w:jc w:val="left"/>
        <w:rPr>
          <w:b w:val="0"/>
          <w:bCs w:val="0"/>
        </w:rPr>
      </w:pPr>
      <w:r>
        <w:rPr/>
        <w:t>三、股东和实际控制人情况</w:t>
      </w:r>
      <w:r>
        <w:rPr>
          <w:b w:val="0"/>
          <w:bCs w:val="0"/>
        </w:rPr>
      </w:r>
    </w:p>
    <w:p>
      <w:pPr>
        <w:pStyle w:val="Heading3"/>
        <w:spacing w:line="240" w:lineRule="auto" w:before="210"/>
        <w:ind w:left="305" w:right="66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44"/>
        <w:ind w:left="0" w:right="663"/>
        <w:jc w:val="right"/>
      </w:pPr>
      <w:r>
        <w:rPr/>
        <w:pict>
          <v:shape style="position:absolute;margin-left:491.856995pt;margin-top:56.337318pt;width:85.6pt;height:24.1pt;mso-position-horizontal-relative:page;mso-position-vertical-relative:paragraph;z-index:-829504" type="#_x0000_t202" filled="false" stroked="false">
            <v:textbox inset="0,0,0,0">
              <w:txbxContent>
                <w:p>
                  <w:pPr>
                    <w:pStyle w:val="BodyText"/>
                    <w:spacing w:line="180" w:lineRule="exact"/>
                    <w:ind w:left="0" w:right="0"/>
                    <w:jc w:val="left"/>
                  </w:pPr>
                  <w:r>
                    <w:rPr/>
                    <w:t>（如有）</w:t>
                  </w:r>
                </w:p>
              </w:txbxContent>
            </v:textbox>
            <w10:wrap type="none"/>
          </v:shape>
        </w:pict>
      </w:r>
      <w:r>
        <w:rPr/>
        <w:pict>
          <v:group style="position:absolute;margin-left:524.979980pt;margin-top:56.391693pt;width:52.5pt;height:24pt;mso-position-horizontal-relative:page;mso-position-vertical-relative:paragraph;z-index:-829480" coordorigin="10500,1128" coordsize="1050,480">
            <v:shape style="position:absolute;left:10500;top:1128;width:1050;height:480" coordorigin="10500,1128" coordsize="1050,480" path="m10500,1608l11549,1608,11549,1128,10500,1128,10500,1608xe" filled="true" fillcolor="#ffffff" stroked="false">
              <v:path arrowok="t"/>
              <v:fill type="solid"/>
            </v:shape>
            <w10:wrap type="none"/>
          </v:group>
        </w:pict>
      </w:r>
      <w:r>
        <w:rPr/>
        <w:t>单位：股</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334"/>
        <w:gridCol w:w="134"/>
        <w:gridCol w:w="674"/>
        <w:gridCol w:w="738"/>
        <w:gridCol w:w="744"/>
        <w:gridCol w:w="831"/>
        <w:gridCol w:w="344"/>
        <w:gridCol w:w="445"/>
        <w:gridCol w:w="823"/>
        <w:gridCol w:w="803"/>
        <w:gridCol w:w="322"/>
        <w:gridCol w:w="1027"/>
        <w:gridCol w:w="278"/>
        <w:gridCol w:w="514"/>
        <w:gridCol w:w="557"/>
      </w:tblGrid>
      <w:tr>
        <w:trPr>
          <w:trHeight w:val="122" w:hRule="exact"/>
        </w:trPr>
        <w:tc>
          <w:tcPr>
            <w:tcW w:w="1334" w:type="dxa"/>
            <w:vMerge w:val="restart"/>
            <w:tcBorders>
              <w:top w:val="single" w:sz="4" w:space="0" w:color="000000"/>
              <w:left w:val="single" w:sz="4" w:space="0" w:color="000000"/>
              <w:right w:val="single" w:sz="4" w:space="0" w:color="000000"/>
            </w:tcBorders>
            <w:shd w:val="clear" w:color="auto" w:fill="D2D2D2"/>
          </w:tcPr>
          <w:p>
            <w:pPr/>
          </w:p>
        </w:tc>
        <w:tc>
          <w:tcPr>
            <w:tcW w:w="8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103</w:t>
            </w:r>
          </w:p>
        </w:tc>
        <w:tc>
          <w:tcPr>
            <w:tcW w:w="1482" w:type="dxa"/>
            <w:gridSpan w:val="2"/>
            <w:vMerge w:val="restart"/>
            <w:tcBorders>
              <w:top w:val="single" w:sz="4" w:space="0" w:color="000000"/>
              <w:left w:val="single" w:sz="4" w:space="0" w:color="000000"/>
              <w:right w:val="single" w:sz="4" w:space="0" w:color="000000"/>
            </w:tcBorders>
            <w:shd w:val="clear" w:color="auto" w:fill="D2D2D2"/>
          </w:tcPr>
          <w:p>
            <w:pPr/>
          </w:p>
        </w:tc>
        <w:tc>
          <w:tcPr>
            <w:tcW w:w="1175" w:type="dxa"/>
            <w:gridSpan w:val="2"/>
            <w:vMerge w:val="restart"/>
            <w:tcBorders>
              <w:top w:val="single" w:sz="4" w:space="0" w:color="000000"/>
              <w:left w:val="single" w:sz="10" w:space="0" w:color="D2D2D2"/>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11,417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2"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4" w:lineRule="exact"/>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4" w:type="dxa"/>
            <w:vMerge w:val="restart"/>
            <w:tcBorders>
              <w:top w:val="single" w:sz="4" w:space="0" w:color="000000"/>
              <w:left w:val="single" w:sz="13"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15" w:hRule="exact"/>
        </w:trPr>
        <w:tc>
          <w:tcPr>
            <w:tcW w:w="1334" w:type="dxa"/>
            <w:vMerge/>
            <w:tcBorders>
              <w:left w:val="single" w:sz="4" w:space="0" w:color="000000"/>
              <w:right w:val="single" w:sz="4" w:space="0" w:color="000000"/>
            </w:tcBorders>
            <w:shd w:val="clear" w:color="auto" w:fill="D2D2D2"/>
          </w:tcPr>
          <w:p>
            <w:pPr/>
          </w:p>
        </w:tc>
        <w:tc>
          <w:tcPr>
            <w:tcW w:w="808" w:type="dxa"/>
            <w:gridSpan w:val="2"/>
            <w:vMerge/>
            <w:tcBorders>
              <w:left w:val="single" w:sz="10" w:space="0" w:color="D2D2D2"/>
              <w:right w:val="single" w:sz="9" w:space="0" w:color="D2D2D2"/>
            </w:tcBorders>
          </w:tcPr>
          <w:p>
            <w:pPr/>
          </w:p>
        </w:tc>
        <w:tc>
          <w:tcPr>
            <w:tcW w:w="1482"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10" w:space="0" w:color="D2D2D2"/>
              <w:right w:val="single" w:sz="12"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10"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4" w:lineRule="exact"/>
              <w:ind w:left="10"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2"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4" w:type="dxa"/>
            <w:vMerge/>
            <w:tcBorders>
              <w:left w:val="single" w:sz="13"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18" w:hRule="exact"/>
        </w:trPr>
        <w:tc>
          <w:tcPr>
            <w:tcW w:w="1334" w:type="dxa"/>
            <w:vMerge/>
            <w:tcBorders>
              <w:left w:val="single" w:sz="4" w:space="0" w:color="000000"/>
              <w:bottom w:val="nil" w:sz="6" w:space="0" w:color="auto"/>
              <w:right w:val="single" w:sz="4" w:space="0" w:color="000000"/>
            </w:tcBorders>
            <w:shd w:val="clear" w:color="auto" w:fill="D2D2D2"/>
          </w:tcPr>
          <w:p>
            <w:pPr/>
          </w:p>
        </w:tc>
        <w:tc>
          <w:tcPr>
            <w:tcW w:w="808" w:type="dxa"/>
            <w:gridSpan w:val="2"/>
            <w:vMerge/>
            <w:tcBorders>
              <w:left w:val="single" w:sz="10" w:space="0" w:color="D2D2D2"/>
              <w:right w:val="single" w:sz="9" w:space="0" w:color="D2D2D2"/>
            </w:tcBorders>
          </w:tcPr>
          <w:p>
            <w:pPr/>
          </w:p>
        </w:tc>
        <w:tc>
          <w:tcPr>
            <w:tcW w:w="14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10"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5" w:type="dxa"/>
            <w:gridSpan w:val="2"/>
            <w:vMerge/>
            <w:tcBorders>
              <w:left w:val="single" w:sz="10" w:space="0" w:color="D2D2D2"/>
              <w:right w:val="single" w:sz="12"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2"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4" w:type="dxa"/>
            <w:vMerge/>
            <w:tcBorders>
              <w:left w:val="single" w:sz="13"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547" w:hRule="exact"/>
        </w:trPr>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2"/>
              <w:ind w:left="23"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8" w:type="dxa"/>
            <w:gridSpan w:val="2"/>
            <w:vMerge/>
            <w:tcBorders>
              <w:left w:val="single" w:sz="10" w:space="0" w:color="D2D2D2"/>
              <w:right w:val="single" w:sz="9" w:space="0" w:color="D2D2D2"/>
            </w:tcBorders>
          </w:tcPr>
          <w:p>
            <w:pPr/>
          </w:p>
        </w:tc>
        <w:tc>
          <w:tcPr>
            <w:tcW w:w="1482" w:type="dxa"/>
            <w:gridSpan w:val="2"/>
            <w:vMerge/>
            <w:tcBorders>
              <w:left w:val="single" w:sz="4" w:space="0" w:color="000000"/>
              <w:right w:val="single" w:sz="4" w:space="0" w:color="000000"/>
            </w:tcBorders>
            <w:shd w:val="clear" w:color="auto" w:fill="D2D2D2"/>
          </w:tcPr>
          <w:p>
            <w:pPr/>
          </w:p>
        </w:tc>
        <w:tc>
          <w:tcPr>
            <w:tcW w:w="1175" w:type="dxa"/>
            <w:gridSpan w:val="2"/>
            <w:vMerge/>
            <w:tcBorders>
              <w:left w:val="single" w:sz="10" w:space="0" w:color="D2D2D2"/>
              <w:right w:val="single" w:sz="12"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2"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4" w:type="dxa"/>
            <w:vMerge/>
            <w:tcBorders>
              <w:left w:val="single" w:sz="13"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18" w:hRule="exact"/>
        </w:trPr>
        <w:tc>
          <w:tcPr>
            <w:tcW w:w="1334" w:type="dxa"/>
            <w:vMerge w:val="restart"/>
            <w:tcBorders>
              <w:top w:val="nil" w:sz="6" w:space="0" w:color="auto"/>
              <w:left w:val="single" w:sz="4" w:space="0" w:color="000000"/>
              <w:right w:val="single" w:sz="4" w:space="0" w:color="000000"/>
            </w:tcBorders>
            <w:shd w:val="clear" w:color="auto" w:fill="D2D2D2"/>
          </w:tcPr>
          <w:p>
            <w:pPr/>
          </w:p>
        </w:tc>
        <w:tc>
          <w:tcPr>
            <w:tcW w:w="808" w:type="dxa"/>
            <w:gridSpan w:val="2"/>
            <w:vMerge/>
            <w:tcBorders>
              <w:left w:val="single" w:sz="10" w:space="0" w:color="D2D2D2"/>
              <w:right w:val="single" w:sz="9" w:space="0" w:color="D2D2D2"/>
            </w:tcBorders>
          </w:tcPr>
          <w:p>
            <w:pPr/>
          </w:p>
        </w:tc>
        <w:tc>
          <w:tcPr>
            <w:tcW w:w="1482"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10" w:space="0" w:color="D2D2D2"/>
              <w:right w:val="single" w:sz="12"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2"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4" w:type="dxa"/>
            <w:vMerge/>
            <w:tcBorders>
              <w:left w:val="single" w:sz="13"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242" w:hRule="exact"/>
        </w:trPr>
        <w:tc>
          <w:tcPr>
            <w:tcW w:w="1334" w:type="dxa"/>
            <w:vMerge/>
            <w:tcBorders>
              <w:left w:val="single" w:sz="4" w:space="0" w:color="000000"/>
              <w:bottom w:val="single" w:sz="4" w:space="0" w:color="000000"/>
              <w:right w:val="single" w:sz="4" w:space="0" w:color="000000"/>
            </w:tcBorders>
            <w:shd w:val="clear" w:color="auto" w:fill="D2D2D2"/>
          </w:tcPr>
          <w:p>
            <w:pPr/>
          </w:p>
        </w:tc>
        <w:tc>
          <w:tcPr>
            <w:tcW w:w="808" w:type="dxa"/>
            <w:gridSpan w:val="2"/>
            <w:vMerge/>
            <w:tcBorders>
              <w:left w:val="single" w:sz="10" w:space="0" w:color="D2D2D2"/>
              <w:bottom w:val="single" w:sz="4" w:space="0" w:color="000000"/>
              <w:right w:val="single" w:sz="9" w:space="0" w:color="D2D2D2"/>
            </w:tcBorders>
          </w:tcPr>
          <w:p>
            <w:pPr/>
          </w:p>
        </w:tc>
        <w:tc>
          <w:tcPr>
            <w:tcW w:w="14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gridSpan w:val="2"/>
            <w:vMerge/>
            <w:tcBorders>
              <w:left w:val="single" w:sz="10" w:space="0" w:color="D2D2D2"/>
              <w:bottom w:val="single" w:sz="4" w:space="0" w:color="000000"/>
              <w:right w:val="single" w:sz="12" w:space="0" w:color="D2D2D2"/>
            </w:tcBorders>
          </w:tcPr>
          <w:p>
            <w:pPr/>
          </w:p>
        </w:tc>
        <w:tc>
          <w:tcPr>
            <w:tcW w:w="1268" w:type="dxa"/>
            <w:gridSpan w:val="2"/>
            <w:vMerge/>
            <w:tcBorders>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2" w:space="0" w:color="D2D2D2"/>
              <w:bottom w:val="single" w:sz="4" w:space="0" w:color="000000"/>
              <w:right w:val="single" w:sz="10"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4" w:type="dxa"/>
            <w:vMerge/>
            <w:tcBorders>
              <w:left w:val="single" w:sz="13"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14"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25"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5"/>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5"/>
              <w:ind w:left="26"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5"/>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8"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2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38" w:hRule="exact"/>
        </w:trPr>
        <w:tc>
          <w:tcPr>
            <w:tcW w:w="14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1"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51" w:space="0" w:color="D2D2D2"/>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33" w:space="0" w:color="D2D2D2"/>
              <w:left w:val="single" w:sz="4" w:space="0" w:color="000000"/>
              <w:bottom w:val="single" w:sz="4" w:space="0" w:color="000000"/>
              <w:right w:val="single" w:sz="4" w:space="0" w:color="000000"/>
            </w:tcBorders>
          </w:tcPr>
          <w:p>
            <w:pPr/>
          </w:p>
        </w:tc>
        <w:tc>
          <w:tcPr>
            <w:tcW w:w="1349" w:type="dxa"/>
            <w:gridSpan w:val="3"/>
            <w:tcBorders>
              <w:top w:val="single" w:sz="33" w:space="0" w:color="D2D2D2"/>
              <w:left w:val="single" w:sz="4" w:space="0" w:color="000000"/>
              <w:bottom w:val="single" w:sz="4" w:space="0" w:color="000000"/>
              <w:right w:val="single" w:sz="4" w:space="0" w:color="000000"/>
            </w:tcBorders>
          </w:tcPr>
          <w:p>
            <w:pPr/>
          </w:p>
        </w:tc>
      </w:tr>
      <w:tr>
        <w:trPr>
          <w:trHeight w:val="322"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3"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3"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166"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1"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0"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881" w:type="dxa"/>
            <w:gridSpan w:val="4"/>
            <w:tcBorders>
              <w:top w:val="single" w:sz="4" w:space="0" w:color="000000"/>
              <w:left w:val="single" w:sz="4" w:space="0" w:color="000000"/>
              <w:bottom w:val="single" w:sz="4" w:space="0" w:color="000000"/>
              <w:right w:val="single" w:sz="4" w:space="0" w:color="000000"/>
            </w:tcBorders>
          </w:tcPr>
          <w:p>
            <w:pPr/>
          </w:p>
        </w:tc>
        <w:tc>
          <w:tcPr>
            <w:tcW w:w="3990" w:type="dxa"/>
            <w:gridSpan w:val="6"/>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06" w:right="0"/>
              <w:jc w:val="left"/>
              <w:rPr>
                <w:rFonts w:ascii="Times New Roman" w:hAnsi="Times New Roman" w:cs="Times New Roman" w:eastAsia="Times New Roman" w:hint="default"/>
                <w:sz w:val="18"/>
                <w:szCs w:val="18"/>
              </w:rPr>
            </w:pPr>
            <w:r>
              <w:rPr>
                <w:rFonts w:ascii="Times New Roman"/>
                <w:sz w:val="18"/>
              </w:rPr>
              <w:t>16,927,200</w:t>
            </w:r>
          </w:p>
        </w:tc>
      </w:tr>
      <w:tr>
        <w:trPr>
          <w:trHeight w:val="324" w:hRule="exact"/>
        </w:trPr>
        <w:tc>
          <w:tcPr>
            <w:tcW w:w="2881" w:type="dxa"/>
            <w:gridSpan w:val="4"/>
            <w:tcBorders>
              <w:top w:val="single" w:sz="4" w:space="0" w:color="000000"/>
              <w:left w:val="single" w:sz="4" w:space="0" w:color="000000"/>
              <w:bottom w:val="single" w:sz="4" w:space="0" w:color="000000"/>
              <w:right w:val="single" w:sz="4" w:space="0" w:color="000000"/>
            </w:tcBorders>
          </w:tcPr>
          <w:p>
            <w:pPr/>
          </w:p>
        </w:tc>
        <w:tc>
          <w:tcPr>
            <w:tcW w:w="3990" w:type="dxa"/>
            <w:gridSpan w:val="6"/>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06" w:right="0"/>
              <w:jc w:val="left"/>
              <w:rPr>
                <w:rFonts w:ascii="Times New Roman" w:hAnsi="Times New Roman" w:cs="Times New Roman" w:eastAsia="Times New Roman" w:hint="default"/>
                <w:sz w:val="18"/>
                <w:szCs w:val="18"/>
              </w:rPr>
            </w:pPr>
            <w:r>
              <w:rPr>
                <w:rFonts w:ascii="Times New Roman"/>
                <w:sz w:val="18"/>
              </w:rPr>
              <w:t>13,852,800</w:t>
            </w:r>
          </w:p>
        </w:tc>
      </w:tr>
      <w:tr>
        <w:trPr>
          <w:trHeight w:val="324" w:hRule="exact"/>
        </w:trPr>
        <w:tc>
          <w:tcPr>
            <w:tcW w:w="2881" w:type="dxa"/>
            <w:gridSpan w:val="4"/>
            <w:tcBorders>
              <w:top w:val="single" w:sz="4" w:space="0" w:color="000000"/>
              <w:left w:val="single" w:sz="4" w:space="0" w:color="000000"/>
              <w:bottom w:val="single" w:sz="4" w:space="0" w:color="000000"/>
              <w:right w:val="single" w:sz="4" w:space="0" w:color="000000"/>
            </w:tcBorders>
          </w:tcPr>
          <w:p>
            <w:pPr/>
          </w:p>
        </w:tc>
        <w:tc>
          <w:tcPr>
            <w:tcW w:w="3990" w:type="dxa"/>
            <w:gridSpan w:val="6"/>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97" w:right="0"/>
              <w:jc w:val="left"/>
              <w:rPr>
                <w:rFonts w:ascii="Times New Roman" w:hAnsi="Times New Roman" w:cs="Times New Roman" w:eastAsia="Times New Roman" w:hint="default"/>
                <w:sz w:val="18"/>
                <w:szCs w:val="18"/>
              </w:rPr>
            </w:pPr>
            <w:r>
              <w:rPr>
                <w:rFonts w:ascii="Times New Roman"/>
                <w:sz w:val="18"/>
              </w:rPr>
              <w:t>2,363,000</w:t>
            </w:r>
          </w:p>
        </w:tc>
      </w:tr>
    </w:tbl>
    <w:p>
      <w:pPr>
        <w:spacing w:after="0" w:line="240" w:lineRule="auto"/>
        <w:jc w:val="left"/>
        <w:rPr>
          <w:rFonts w:ascii="Times New Roman" w:hAnsi="Times New Roman" w:cs="Times New Roman" w:eastAsia="Times New Roman" w:hint="default"/>
          <w:sz w:val="18"/>
          <w:szCs w:val="18"/>
        </w:rPr>
        <w:sectPr>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2881"/>
        <w:gridCol w:w="3990"/>
        <w:gridCol w:w="1349"/>
        <w:gridCol w:w="1349"/>
      </w:tblGrid>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2,252,000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2,252,000</w:t>
            </w:r>
          </w:p>
        </w:tc>
      </w:tr>
      <w:tr>
        <w:trPr>
          <w:trHeight w:val="557" w:hRule="exact"/>
        </w:trPr>
        <w:tc>
          <w:tcPr>
            <w:tcW w:w="2881" w:type="dxa"/>
            <w:tcBorders>
              <w:top w:val="single" w:sz="4" w:space="0" w:color="000000"/>
              <w:left w:val="single" w:sz="4" w:space="0" w:color="000000"/>
              <w:bottom w:val="single" w:sz="4" w:space="0" w:color="000000"/>
              <w:right w:val="single" w:sz="4" w:space="0" w:color="000000"/>
            </w:tcBorders>
          </w:tcPr>
          <w:p>
            <w:pP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4" w:hRule="exact"/>
        </w:trPr>
        <w:tc>
          <w:tcPr>
            <w:tcW w:w="2881" w:type="dxa"/>
            <w:tcBorders>
              <w:top w:val="single" w:sz="4" w:space="0" w:color="000000"/>
              <w:left w:val="single" w:sz="4" w:space="0" w:color="000000"/>
              <w:bottom w:val="single" w:sz="4" w:space="0" w:color="000000"/>
              <w:right w:val="single" w:sz="4" w:space="0" w:color="000000"/>
            </w:tcBorders>
          </w:tcPr>
          <w:p>
            <w:pP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1,348,000</w:t>
            </w:r>
          </w:p>
        </w:tc>
      </w:tr>
      <w:tr>
        <w:trPr>
          <w:trHeight w:val="557" w:hRule="exact"/>
        </w:trPr>
        <w:tc>
          <w:tcPr>
            <w:tcW w:w="2881" w:type="dxa"/>
            <w:tcBorders>
              <w:top w:val="single" w:sz="4" w:space="0" w:color="000000"/>
              <w:left w:val="single" w:sz="4" w:space="0" w:color="000000"/>
              <w:bottom w:val="single" w:sz="4" w:space="0" w:color="000000"/>
              <w:right w:val="single" w:sz="4" w:space="0" w:color="000000"/>
            </w:tcBorders>
          </w:tcPr>
          <w:p>
            <w:pP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538,600</w:t>
            </w:r>
          </w:p>
        </w:tc>
      </w:tr>
      <w:tr>
        <w:trPr>
          <w:trHeight w:val="557" w:hRule="exact"/>
        </w:trPr>
        <w:tc>
          <w:tcPr>
            <w:tcW w:w="2881" w:type="dxa"/>
            <w:tcBorders>
              <w:top w:val="single" w:sz="4" w:space="0" w:color="000000"/>
              <w:left w:val="single" w:sz="4" w:space="0" w:color="000000"/>
              <w:bottom w:val="single" w:sz="4" w:space="0" w:color="000000"/>
              <w:right w:val="single" w:sz="4" w:space="0" w:color="000000"/>
            </w:tcBorders>
          </w:tcPr>
          <w:p>
            <w:pP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483,400</w:t>
            </w:r>
          </w:p>
        </w:tc>
      </w:tr>
      <w:tr>
        <w:trPr>
          <w:trHeight w:val="324" w:hRule="exact"/>
        </w:trPr>
        <w:tc>
          <w:tcPr>
            <w:tcW w:w="2881" w:type="dxa"/>
            <w:tcBorders>
              <w:top w:val="single" w:sz="4" w:space="0" w:color="000000"/>
              <w:left w:val="single" w:sz="4" w:space="0" w:color="000000"/>
              <w:bottom w:val="single" w:sz="4" w:space="0" w:color="000000"/>
              <w:right w:val="single" w:sz="4" w:space="0" w:color="000000"/>
            </w:tcBorders>
          </w:tcPr>
          <w:p>
            <w:pP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324" w:hRule="exact"/>
        </w:trPr>
        <w:tc>
          <w:tcPr>
            <w:tcW w:w="2881" w:type="dxa"/>
            <w:tcBorders>
              <w:top w:val="single" w:sz="4" w:space="0" w:color="000000"/>
              <w:left w:val="single" w:sz="4" w:space="0" w:color="000000"/>
              <w:bottom w:val="single" w:sz="4" w:space="0" w:color="000000"/>
              <w:right w:val="single" w:sz="4" w:space="0" w:color="000000"/>
            </w:tcBorders>
          </w:tcPr>
          <w:p>
            <w:pP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1258"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25"/>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30" w:lineRule="auto" w:before="1"/>
              <w:ind w:left="23"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、股东深圳力合创赢股权投资基金合伙企业（有限合伙）与天津力合创赢股权投资 </w:t>
            </w:r>
            <w:r>
              <w:rPr>
                <w:rFonts w:ascii="宋体" w:hAnsi="宋体" w:cs="宋体" w:eastAsia="宋体" w:hint="default"/>
                <w:spacing w:val="-1"/>
                <w:sz w:val="18"/>
                <w:szCs w:val="18"/>
              </w:rPr>
              <w:t>基金合伙企业（有限合伙）的执行事务合伙人均为深圳力合清源创业投资管理有限公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、股东北京达安世纪投资管理有限公司与股东北京悦华众城投资管理中心（有 </w:t>
            </w:r>
            <w:r>
              <w:rPr>
                <w:rFonts w:ascii="宋体" w:hAnsi="宋体" w:cs="宋体" w:eastAsia="宋体" w:hint="default"/>
                <w:spacing w:val="-1"/>
                <w:sz w:val="18"/>
                <w:szCs w:val="18"/>
              </w:rPr>
              <w:t>限合伙）为同一实际控制人刘铁峰所控制的企业。除此之外，前十名股东之间不存在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关联关系。</w:t>
            </w:r>
          </w:p>
        </w:tc>
      </w:tr>
      <w:tr>
        <w:trPr>
          <w:trHeight w:val="55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
        <w:ind w:right="661"/>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22"/>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24"/>
        <w:ind w:right="661"/>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78" w:lineRule="auto"/>
        <w:ind w:right="3001"/>
        <w:jc w:val="left"/>
      </w:pPr>
      <w:r>
        <w:rPr/>
        <w:t>控股股东性质：自然人控股 其分别归为中央国有控股、地方国有控股、社团集体控股、自然人控股和外商控股。</w:t>
      </w:r>
    </w:p>
    <w:p>
      <w:pPr>
        <w:pStyle w:val="BodyText"/>
        <w:spacing w:line="232" w:lineRule="exact" w:before="34"/>
        <w:ind w:right="661"/>
        <w:jc w:val="left"/>
      </w:pPr>
      <w:r>
        <w:rPr/>
        <w:t>（六）公司的控股主体性质不明确，包括公司由两种以上性质主体共同控制、公司控股主体的股权分散且性质不明 确等，将其归为控股主体性质不明确。</w:t>
      </w:r>
    </w:p>
    <w:p>
      <w:pPr>
        <w:pStyle w:val="BodyText"/>
        <w:spacing w:line="278" w:lineRule="auto" w:before="17"/>
        <w:ind w:right="4801"/>
        <w:jc w:val="left"/>
      </w:pPr>
      <w:r>
        <w:rPr/>
        <w:t>公司既无实际控制人，又无控股股东，将其归为无控股主体。 控股主体性质不明确和无控股主体归为其他。</w:t>
      </w:r>
    </w:p>
    <w:p>
      <w:pPr>
        <w:pStyle w:val="BodyText"/>
        <w:spacing w:line="230" w:lineRule="exact" w:before="38"/>
        <w:ind w:right="661"/>
        <w:jc w:val="left"/>
      </w:pPr>
      <w:r>
        <w:rPr/>
        <w:t>（七）不能按照上述分类方法确定分类的公司，由公司控股情况分类专家委员会根据公司股权结构判断公司所属分 类。</w:t>
      </w:r>
    </w:p>
    <w:p>
      <w:pPr>
        <w:pStyle w:val="BodyText"/>
        <w:spacing w:line="240" w:lineRule="auto" w:before="17"/>
        <w:ind w:right="661"/>
        <w:jc w:val="left"/>
      </w:pPr>
      <w:r>
        <w:rPr/>
        <w:t>控股股东类型：法人</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2199"/>
        <w:gridCol w:w="1793"/>
        <w:gridCol w:w="1594"/>
        <w:gridCol w:w="1753"/>
        <w:gridCol w:w="2232"/>
      </w:tblGrid>
      <w:tr>
        <w:trPr>
          <w:trHeight w:val="55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3"/>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55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3" w:right="183"/>
              <w:jc w:val="left"/>
              <w:rPr>
                <w:rFonts w:ascii="宋体" w:hAnsi="宋体" w:cs="宋体" w:eastAsia="宋体" w:hint="default"/>
                <w:sz w:val="18"/>
                <w:szCs w:val="18"/>
              </w:rPr>
            </w:pPr>
            <w:r>
              <w:rPr>
                <w:rFonts w:ascii="宋体" w:hAnsi="宋体" w:cs="宋体" w:eastAsia="宋体" w:hint="default"/>
                <w:sz w:val="18"/>
                <w:szCs w:val="18"/>
              </w:rPr>
              <w:t>北京达安世纪投资管理有 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91110105667529885A</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投资管理；投资咨询。</w:t>
            </w:r>
          </w:p>
        </w:tc>
      </w:tr>
      <w:tr>
        <w:trPr>
          <w:trHeight w:val="790"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23" w:right="183"/>
              <w:jc w:val="left"/>
              <w:rPr>
                <w:rFonts w:ascii="宋体" w:hAnsi="宋体" w:cs="宋体" w:eastAsia="宋体" w:hint="default"/>
                <w:sz w:val="18"/>
                <w:szCs w:val="18"/>
              </w:rPr>
            </w:pPr>
            <w:r>
              <w:rPr>
                <w:rFonts w:ascii="宋体" w:hAnsi="宋体" w:cs="宋体" w:eastAsia="宋体" w:hint="default"/>
                <w:sz w:val="18"/>
                <w:szCs w:val="18"/>
              </w:rPr>
              <w:t>北京悦华众城投资管理中 心（有限合伙）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3"/>
              <w:jc w:val="left"/>
              <w:rPr>
                <w:rFonts w:ascii="宋体" w:hAnsi="宋体" w:cs="宋体" w:eastAsia="宋体" w:hint="default"/>
                <w:sz w:val="18"/>
                <w:szCs w:val="18"/>
              </w:rPr>
            </w:pPr>
            <w:r>
              <w:rPr>
                <w:rFonts w:ascii="宋体" w:hAnsi="宋体" w:cs="宋体" w:eastAsia="宋体" w:hint="default"/>
                <w:sz w:val="18"/>
                <w:szCs w:val="18"/>
              </w:rPr>
              <w:t>北京达安世纪投资管 </w:t>
            </w:r>
            <w:r>
              <w:rPr>
                <w:rFonts w:ascii="宋体" w:hAnsi="宋体" w:cs="宋体" w:eastAsia="宋体" w:hint="default"/>
                <w:spacing w:val="-7"/>
                <w:sz w:val="18"/>
                <w:szCs w:val="18"/>
              </w:rPr>
              <w:t>理有限公司（委派刘铁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峰为代表）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91110105587699892K</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投资管理；投资咨询。</w:t>
            </w:r>
          </w:p>
        </w:tc>
      </w:tr>
      <w:tr>
        <w:trPr>
          <w:trHeight w:val="790"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3"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
        <w:ind w:right="661"/>
        <w:jc w:val="left"/>
      </w:pPr>
      <w:r>
        <w:rPr/>
        <w:t>注：法人包括企业法人、机关、事业单位、社团法人及其联营形式。</w:t>
      </w:r>
    </w:p>
    <w:p>
      <w:pPr>
        <w:spacing w:after="0" w:line="240" w:lineRule="auto"/>
        <w:jc w:val="left"/>
        <w:sectPr>
          <w:headerReference w:type="default" r:id="rId28"/>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3418"/>
        <w:gridCol w:w="2031"/>
        <w:gridCol w:w="4119"/>
      </w:tblGrid>
      <w:tr>
        <w:trPr>
          <w:trHeight w:val="32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298" w:hRule="exact"/>
        </w:trPr>
        <w:tc>
          <w:tcPr>
            <w:tcW w:w="3418"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c>
          <w:tcPr>
            <w:tcW w:w="41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10" w:space="0" w:color="D2D2D2"/>
              <w:bottom w:val="single" w:sz="4" w:space="0" w:color="000000"/>
              <w:right w:val="single" w:sz="4" w:space="0" w:color="000000"/>
            </w:tcBorders>
          </w:tcPr>
          <w:p>
            <w:pPr/>
          </w:p>
        </w:tc>
      </w:tr>
      <w:tr>
        <w:trPr>
          <w:trHeight w:val="557"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10" w:space="0" w:color="D2D2D2"/>
              <w:bottom w:val="single" w:sz="4" w:space="0" w:color="000000"/>
              <w:right w:val="single" w:sz="4" w:space="0" w:color="000000"/>
            </w:tcBorders>
          </w:tcPr>
          <w:p>
            <w:pPr/>
          </w:p>
        </w:tc>
      </w:tr>
    </w:tbl>
    <w:p>
      <w:pPr>
        <w:pStyle w:val="BodyText"/>
        <w:spacing w:line="278" w:lineRule="auto" w:before="8"/>
        <w:ind w:right="7141"/>
        <w:jc w:val="left"/>
      </w:pPr>
      <w:r>
        <w:rPr/>
        <w:t>公司不存在控股股东情况的说明 控股股东报告期内变更</w:t>
      </w:r>
    </w:p>
    <w:p>
      <w:pPr>
        <w:pStyle w:val="BodyText"/>
        <w:spacing w:line="240" w:lineRule="auto" w:before="9"/>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4784"/>
        <w:gridCol w:w="4787"/>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auto" w:before="8"/>
        <w:ind w:right="2641"/>
        <w:jc w:val="left"/>
      </w:pPr>
      <w:r>
        <w:rPr/>
        <w:t>注：如报告期内控股股东发生变更，应当列明披露相关信息的指定网站查询索引及日期。 公司报告期控股股东未发生变更。</w:t>
      </w:r>
    </w:p>
    <w:p>
      <w:pPr>
        <w:spacing w:line="240" w:lineRule="auto" w:before="8"/>
        <w:rPr>
          <w:rFonts w:ascii="宋体" w:hAnsi="宋体" w:cs="宋体" w:eastAsia="宋体" w:hint="default"/>
          <w:sz w:val="15"/>
          <w:szCs w:val="15"/>
        </w:rPr>
      </w:pPr>
    </w:p>
    <w:p>
      <w:pPr>
        <w:pStyle w:val="Heading3"/>
        <w:spacing w:line="240" w:lineRule="auto"/>
        <w:ind w:left="305" w:right="661"/>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78" w:lineRule="auto"/>
        <w:ind w:right="7321"/>
        <w:jc w:val="left"/>
      </w:pPr>
      <w:r>
        <w:rPr/>
        <w:t>实际控制人性质：境内自然人 实际控制人类型：自然人</w:t>
      </w:r>
    </w:p>
    <w:p>
      <w:pPr>
        <w:spacing w:line="240" w:lineRule="auto" w:before="3"/>
        <w:rPr>
          <w:rFonts w:ascii="宋体" w:hAnsi="宋体" w:cs="宋体" w:eastAsia="宋体" w:hint="default"/>
          <w:sz w:val="3"/>
          <w:szCs w:val="3"/>
        </w:rPr>
      </w:pPr>
    </w:p>
    <w:tbl>
      <w:tblPr>
        <w:tblW w:w="0" w:type="auto"/>
        <w:jc w:val="left"/>
        <w:tblInd w:w="300" w:type="dxa"/>
        <w:tblLayout w:type="fixed"/>
        <w:tblCellMar>
          <w:top w:w="0" w:type="dxa"/>
          <w:left w:w="0" w:type="dxa"/>
          <w:bottom w:w="0" w:type="dxa"/>
          <w:right w:w="0" w:type="dxa"/>
        </w:tblCellMar>
        <w:tblLook w:val="01E0"/>
      </w:tblPr>
      <w:tblGrid>
        <w:gridCol w:w="3337"/>
        <w:gridCol w:w="2057"/>
        <w:gridCol w:w="4177"/>
      </w:tblGrid>
      <w:tr>
        <w:trPr>
          <w:trHeight w:val="322"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公司董事长兼总经理</w:t>
            </w:r>
          </w:p>
        </w:tc>
      </w:tr>
      <w:tr>
        <w:trPr>
          <w:trHeight w:val="32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
        <w:ind w:right="661"/>
        <w:jc w:val="left"/>
      </w:pPr>
      <w:r>
        <w:rPr/>
        <w:t>公司与实际控制人之间的产权及控制关系的方框图</w:t>
      </w:r>
    </w:p>
    <w:p>
      <w:pPr>
        <w:spacing w:after="0" w:line="240" w:lineRule="auto"/>
        <w:jc w:val="left"/>
        <w:sectPr>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5595" w:lineRule="exact"/>
        <w:ind w:left="1195"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4590044" cy="355282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30" cstate="print"/>
                    <a:stretch>
                      <a:fillRect/>
                    </a:stretch>
                  </pic:blipFill>
                  <pic:spPr>
                    <a:xfrm>
                      <a:off x="0" y="0"/>
                      <a:ext cx="4590044" cy="3552825"/>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12"/>
        <w:rPr>
          <w:rFonts w:ascii="宋体" w:hAnsi="宋体" w:cs="宋体" w:eastAsia="宋体" w:hint="default"/>
          <w:sz w:val="9"/>
          <w:szCs w:val="9"/>
        </w:rPr>
      </w:pPr>
    </w:p>
    <w:p>
      <w:pPr>
        <w:pStyle w:val="BodyText"/>
        <w:spacing w:line="230" w:lineRule="exact" w:before="70"/>
        <w:ind w:right="141"/>
        <w:jc w:val="left"/>
      </w:pPr>
      <w:r>
        <w:rPr/>
        <w:t>注：实际控制人应当披露到自然人、国有资产管理管理机构，或者股东之间达成某种协议或安排的其他机构或自然 人，包括以信托方式形成实际控制的情况。</w:t>
      </w:r>
    </w:p>
    <w:p>
      <w:pPr>
        <w:pStyle w:val="BodyText"/>
        <w:spacing w:line="240" w:lineRule="auto" w:before="17"/>
        <w:ind w:right="141"/>
        <w:jc w:val="left"/>
      </w:pPr>
      <w:r>
        <w:rPr/>
        <w:t>实际控制人通过信托或其他资产管理方式控制公司</w:t>
      </w:r>
    </w:p>
    <w:p>
      <w:pPr>
        <w:pStyle w:val="BodyText"/>
        <w:spacing w:line="240" w:lineRule="auto" w:before="38"/>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141"/>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6"/>
          <w:szCs w:val="16"/>
        </w:rPr>
      </w:pPr>
    </w:p>
    <w:p>
      <w:pPr>
        <w:pStyle w:val="Heading3"/>
        <w:spacing w:line="240" w:lineRule="auto"/>
        <w:ind w:left="305" w:right="141"/>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5"/>
          <w:szCs w:val="15"/>
        </w:rPr>
      </w:pPr>
    </w:p>
    <w:p>
      <w:pPr>
        <w:pStyle w:val="Heading1"/>
        <w:spacing w:line="240" w:lineRule="auto"/>
        <w:ind w:left="3125" w:right="141"/>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12"/>
        <w:rPr>
          <w:rFonts w:ascii="Microsoft JhengHei" w:hAnsi="Microsoft JhengHei" w:cs="Microsoft JhengHei" w:eastAsia="Microsoft JhengHei" w:hint="default"/>
          <w:b/>
          <w:bCs/>
          <w:sz w:val="19"/>
          <w:szCs w:val="19"/>
        </w:rPr>
      </w:pPr>
    </w:p>
    <w:p>
      <w:pPr>
        <w:pStyle w:val="BodyText"/>
        <w:spacing w:line="264" w:lineRule="auto"/>
        <w:ind w:right="6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264" w:lineRule="auto"/>
        <w:jc w:val="left"/>
        <w:sectPr>
          <w:headerReference w:type="default" r:id="rId29"/>
          <w:pgSz w:w="11910" w:h="16840"/>
          <w:pgMar w:header="228" w:footer="0" w:top="1100" w:bottom="160" w:left="16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456" w:lineRule="exact"/>
        <w:ind w:left="1519" w:right="675"/>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4"/>
        <w:rPr>
          <w:rFonts w:ascii="Microsoft JhengHei" w:hAnsi="Microsoft JhengHei" w:cs="Microsoft JhengHei" w:eastAsia="Microsoft JhengHei" w:hint="default"/>
          <w:b/>
          <w:bCs/>
          <w:sz w:val="46"/>
          <w:szCs w:val="46"/>
        </w:rPr>
      </w:pPr>
    </w:p>
    <w:p>
      <w:pPr>
        <w:pStyle w:val="Heading2"/>
        <w:spacing w:line="240" w:lineRule="auto"/>
        <w:ind w:right="675"/>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300"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790"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0"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0"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33" w:right="3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刘铁峰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22" w:right="35" w:hanging="9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9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刘保元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22" w:right="35" w:hanging="9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125,000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2,252,000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2,252,000</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79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赵新宇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13,852,80</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13,852,80</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白松涛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9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庞军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陈爱珍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302" w:right="35"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35,000</w:t>
            </w: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魏亚锋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11" w:right="35" w:hanging="180"/>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5,000</w:t>
            </w:r>
          </w:p>
        </w:tc>
      </w:tr>
      <w:tr>
        <w:trPr>
          <w:trHeight w:val="51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王波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228" w:footer="0" w:top="1100" w:bottom="160" w:left="1680" w:right="2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1"/>
          <w:szCs w:val="21"/>
        </w:rPr>
      </w:pPr>
    </w:p>
    <w:tbl>
      <w:tblPr>
        <w:tblW w:w="0" w:type="auto"/>
        <w:jc w:val="left"/>
        <w:tblInd w:w="300"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283"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陈立娅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31" w:right="35"/>
              <w:jc w:val="both"/>
              <w:rPr>
                <w:rFonts w:ascii="宋体" w:hAnsi="宋体" w:cs="宋体" w:eastAsia="宋体" w:hint="default"/>
                <w:sz w:val="18"/>
                <w:szCs w:val="18"/>
              </w:rPr>
            </w:pPr>
            <w:r>
              <w:rPr>
                <w:rFonts w:ascii="宋体" w:hAnsi="宋体" w:cs="宋体" w:eastAsia="宋体" w:hint="default"/>
                <w:sz w:val="18"/>
                <w:szCs w:val="18"/>
              </w:rPr>
              <w:t>董事会秘 书、财务 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504"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331"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331"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334"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0"/>
              <w:jc w:val="center"/>
              <w:rPr>
                <w:rFonts w:ascii="Times New Roman" w:hAnsi="Times New Roman" w:cs="Times New Roman" w:eastAsia="Times New Roman" w:hint="default"/>
                <w:sz w:val="18"/>
                <w:szCs w:val="18"/>
              </w:rPr>
            </w:pPr>
            <w:r>
              <w:rPr>
                <w:rFonts w:ascii="Times New Roman"/>
                <w:sz w:val="18"/>
              </w:rPr>
              <w:t>16,294,80</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0"/>
              <w:jc w:val="center"/>
              <w:rPr>
                <w:rFonts w:ascii="Times New Roman" w:hAnsi="Times New Roman" w:cs="Times New Roman" w:eastAsia="Times New Roman" w:hint="default"/>
                <w:sz w:val="18"/>
                <w:szCs w:val="18"/>
              </w:rPr>
            </w:pPr>
            <w:r>
              <w:rPr>
                <w:rFonts w:ascii="Times New Roman"/>
                <w:sz w:val="18"/>
              </w:rPr>
              <w:t>16,294,80</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Microsoft JhengHei" w:hAnsi="Microsoft JhengHei" w:cs="Microsoft JhengHei" w:eastAsia="Microsoft JhengHei" w:hint="default"/>
          <w:b/>
          <w:bCs/>
          <w:sz w:val="13"/>
          <w:szCs w:val="13"/>
        </w:rPr>
      </w:pPr>
    </w:p>
    <w:p>
      <w:pPr>
        <w:spacing w:line="367" w:lineRule="exact" w:before="0"/>
        <w:ind w:left="305" w:right="67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二、公司董事、监事、高级管理人员变动情况</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16"/>
          <w:szCs w:val="16"/>
        </w:rPr>
      </w:pPr>
    </w:p>
    <w:p>
      <w:pPr>
        <w:pStyle w:val="BodyText"/>
        <w:spacing w:line="240" w:lineRule="auto"/>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32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1"/>
        <w:rPr>
          <w:rFonts w:ascii="宋体" w:hAnsi="宋体" w:cs="宋体" w:eastAsia="宋体" w:hint="default"/>
          <w:sz w:val="17"/>
          <w:szCs w:val="17"/>
        </w:rPr>
      </w:pPr>
    </w:p>
    <w:p>
      <w:pPr>
        <w:pStyle w:val="Heading2"/>
        <w:spacing w:line="367" w:lineRule="exact"/>
        <w:ind w:right="0"/>
        <w:jc w:val="both"/>
        <w:rPr>
          <w:b w:val="0"/>
          <w:bCs w:val="0"/>
        </w:rPr>
      </w:pPr>
      <w:r>
        <w:rPr/>
        <w:t>三、任职情况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40" w:lineRule="auto"/>
        <w:ind w:right="0"/>
        <w:jc w:val="both"/>
      </w:pPr>
      <w:r>
        <w:rPr/>
        <w:t>公司现任董事、监事、高级管理人员专业背景、主要工作经历以及目前在公司的主要职责</w:t>
      </w:r>
    </w:p>
    <w:p>
      <w:pPr>
        <w:pStyle w:val="BodyText"/>
        <w:spacing w:line="240" w:lineRule="auto" w:before="38"/>
        <w:ind w:right="0"/>
        <w:jc w:val="both"/>
      </w:pPr>
      <w:r>
        <w:rPr>
          <w:rFonts w:ascii="Times New Roman" w:hAnsi="Times New Roman" w:cs="Times New Roman" w:eastAsia="Times New Roman" w:hint="default"/>
        </w:rPr>
        <w:t>1</w:t>
      </w:r>
      <w:r>
        <w:rPr/>
        <w:t>、董事</w:t>
      </w:r>
    </w:p>
    <w:p>
      <w:pPr>
        <w:pStyle w:val="BodyText"/>
        <w:spacing w:line="242" w:lineRule="exact" w:before="24"/>
        <w:ind w:right="0"/>
        <w:jc w:val="both"/>
      </w:pPr>
      <w:r>
        <w:rPr/>
        <w:t>刘铁峰：男，</w:t>
      </w:r>
      <w:r>
        <w:rPr>
          <w:rFonts w:ascii="Times New Roman" w:hAnsi="Times New Roman" w:cs="Times New Roman" w:eastAsia="Times New Roman" w:hint="default"/>
        </w:rPr>
        <w:t>1972 </w:t>
      </w:r>
      <w:r>
        <w:rPr/>
        <w:t>年</w:t>
      </w:r>
      <w:r>
        <w:rPr>
          <w:spacing w:val="-49"/>
        </w:rPr>
        <w:t> </w:t>
      </w:r>
      <w:r>
        <w:rPr>
          <w:rFonts w:ascii="Times New Roman" w:hAnsi="Times New Roman" w:cs="Times New Roman" w:eastAsia="Times New Roman" w:hint="default"/>
        </w:rPr>
        <w:t>9 </w:t>
      </w:r>
      <w:r>
        <w:rPr/>
        <w:t>月出生，北京大学光华管理学院工商管理硕士学位、哈佛商学院企业家项目</w:t>
      </w:r>
    </w:p>
    <w:p>
      <w:pPr>
        <w:pStyle w:val="BodyText"/>
        <w:spacing w:line="230" w:lineRule="auto" w:before="1"/>
        <w:ind w:right="699"/>
        <w:jc w:val="both"/>
      </w:pPr>
      <w:r>
        <w:rPr/>
        <w:t>（</w:t>
      </w:r>
      <w:r>
        <w:rPr>
          <w:rFonts w:ascii="Times New Roman" w:hAnsi="Times New Roman" w:cs="Times New Roman" w:eastAsia="Times New Roman" w:hint="default"/>
        </w:rPr>
        <w:t>Owner/PresidentManagementProgram)</w:t>
      </w:r>
      <w:r>
        <w:rPr/>
        <w:t>毕业。先后在北京市人民政府外事办公室、荷兰托克公司、美国迪尔公司、</w:t>
      </w:r>
      <w:r>
        <w:rPr>
          <w:w w:val="99"/>
        </w:rPr>
        <w:t> </w:t>
      </w:r>
      <w:r>
        <w:rPr/>
        <w:t>诺基亚（中国）投资有限公司、三星电子（中国）有限公司、北京金环天朗通讯科技有限公司、杭州华飞通讯科技</w:t>
      </w:r>
      <w:r>
        <w:rPr>
          <w:w w:val="99"/>
        </w:rPr>
        <w:t> </w:t>
      </w:r>
      <w:r>
        <w:rPr/>
        <w:t>有限公司任职；</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 </w:t>
      </w:r>
      <w:r>
        <w:rPr/>
        <w:t>月任公司总经理；</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月至今任公司董事长兼总经理。</w:t>
      </w:r>
    </w:p>
    <w:p>
      <w:pPr>
        <w:pStyle w:val="BodyText"/>
        <w:spacing w:line="230" w:lineRule="exact" w:before="55"/>
        <w:ind w:right="703"/>
        <w:jc w:val="both"/>
      </w:pPr>
      <w:r>
        <w:rPr>
          <w:spacing w:val="-1"/>
        </w:rPr>
        <w:t>陈进：男，</w:t>
      </w:r>
      <w:r>
        <w:rPr>
          <w:rFonts w:ascii="Times New Roman" w:hAnsi="Times New Roman" w:cs="Times New Roman" w:eastAsia="Times New Roman" w:hint="default"/>
          <w:spacing w:val="-1"/>
        </w:rPr>
        <w:t>1973</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6"/>
        </w:rPr>
        <w:t> </w:t>
      </w:r>
      <w:r>
        <w:rPr>
          <w:spacing w:val="-8"/>
        </w:rPr>
        <w:t>月出生，，本科学历。先后在</w:t>
      </w:r>
      <w:r>
        <w:rPr>
          <w:spacing w:val="-41"/>
        </w:rPr>
        <w:t> </w:t>
      </w:r>
      <w:r>
        <w:rPr>
          <w:rFonts w:ascii="Times New Roman" w:hAnsi="Times New Roman" w:cs="Times New Roman" w:eastAsia="Times New Roman" w:hint="default"/>
          <w:spacing w:val="-1"/>
          <w:w w:val="99"/>
        </w:rPr>
        <w:t>D&amp;A</w:t>
      </w:r>
      <w:r>
        <w:rPr>
          <w:rFonts w:ascii="Times New Roman" w:hAnsi="Times New Roman" w:cs="Times New Roman" w:eastAsia="Times New Roman" w:hint="default"/>
          <w:spacing w:val="2"/>
          <w:w w:val="99"/>
        </w:rPr>
        <w:t> </w:t>
      </w:r>
      <w:r>
        <w:rPr/>
        <w:t>贸易投资顾问有限公司、戴尔（中国）有限公司、苹果电 脑贸易（上海）有限公司任职；</w:t>
      </w:r>
      <w:r>
        <w:rPr>
          <w:rFonts w:ascii="Times New Roman" w:hAnsi="Times New Roman" w:cs="Times New Roman" w:eastAsia="Times New Roman" w:hint="default"/>
        </w:rPr>
        <w:t>2012 </w:t>
      </w:r>
      <w:r>
        <w:rPr/>
        <w:t>年</w:t>
      </w:r>
      <w:r>
        <w:rPr>
          <w:spacing w:val="-48"/>
        </w:rPr>
        <w:t> </w:t>
      </w:r>
      <w:r>
        <w:rPr>
          <w:rFonts w:ascii="Times New Roman" w:hAnsi="Times New Roman" w:cs="Times New Roman" w:eastAsia="Times New Roman" w:hint="default"/>
        </w:rPr>
        <w:t>9 </w:t>
      </w:r>
      <w:r>
        <w:rPr/>
        <w:t>月至今任公司董事。</w:t>
      </w:r>
    </w:p>
    <w:p>
      <w:pPr>
        <w:pStyle w:val="BodyText"/>
        <w:spacing w:line="242" w:lineRule="exact" w:before="19"/>
        <w:ind w:right="0"/>
        <w:jc w:val="both"/>
        <w:rPr>
          <w:rFonts w:ascii="Times New Roman" w:hAnsi="Times New Roman" w:cs="Times New Roman" w:eastAsia="Times New Roman" w:hint="default"/>
        </w:rPr>
      </w:pPr>
      <w:r>
        <w:rPr/>
        <w:t>李岩：男，</w:t>
      </w:r>
      <w:r>
        <w:rPr>
          <w:rFonts w:ascii="Times New Roman" w:hAnsi="Times New Roman" w:cs="Times New Roman" w:eastAsia="Times New Roman" w:hint="default"/>
        </w:rPr>
        <w:t>1977</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月出生，本科学历。</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月在联想（北京）有限公司任经理；</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7</w:t>
      </w:r>
    </w:p>
    <w:p>
      <w:pPr>
        <w:pStyle w:val="BodyText"/>
        <w:spacing w:line="230" w:lineRule="exact" w:before="19"/>
        <w:ind w:right="692"/>
        <w:jc w:val="both"/>
      </w:pPr>
      <w:r>
        <w:rPr/>
        <w:t>月至今在公司任合规部负责人和苹果业务负责人，</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月在公司任监事，</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月至今担任 公司董事。</w:t>
      </w:r>
    </w:p>
    <w:p>
      <w:pPr>
        <w:pStyle w:val="BodyText"/>
        <w:spacing w:line="230" w:lineRule="auto" w:before="28"/>
        <w:ind w:right="699"/>
        <w:jc w:val="both"/>
      </w:pPr>
      <w:r>
        <w:rPr/>
        <w:t>白松涛：男，</w:t>
      </w:r>
      <w:r>
        <w:rPr>
          <w:rFonts w:ascii="Times New Roman" w:hAnsi="Times New Roman" w:cs="Times New Roman" w:eastAsia="Times New Roman" w:hint="default"/>
        </w:rPr>
        <w:t>1970 </w:t>
      </w:r>
      <w:r>
        <w:rPr/>
        <w:t>年</w:t>
      </w:r>
      <w:r>
        <w:rPr>
          <w:spacing w:val="-49"/>
        </w:rPr>
        <w:t> </w:t>
      </w:r>
      <w:r>
        <w:rPr>
          <w:rFonts w:ascii="Times New Roman" w:hAnsi="Times New Roman" w:cs="Times New Roman" w:eastAsia="Times New Roman" w:hint="default"/>
        </w:rPr>
        <w:t>10 </w:t>
      </w:r>
      <w:r>
        <w:rPr/>
        <w:t>月出生，本科学历。先后在香港北邦电信中国有限公司北京办事处、大连大显通讯有限公 司、深圳市港利通科技有限公司、深圳优摩科技有限公司、北京老鹰投资基金管理有限公司、北京飞鹰创新投资管 理有限公司任职。</w:t>
      </w:r>
      <w:r>
        <w:rPr>
          <w:rFonts w:ascii="Times New Roman" w:hAnsi="Times New Roman" w:cs="Times New Roman" w:eastAsia="Times New Roman" w:hint="default"/>
        </w:rPr>
        <w:t>2015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月至今任公司董事。</w:t>
      </w:r>
    </w:p>
    <w:p>
      <w:pPr>
        <w:pStyle w:val="BodyText"/>
        <w:spacing w:line="230" w:lineRule="auto" w:before="36"/>
        <w:ind w:right="698"/>
        <w:jc w:val="both"/>
      </w:pPr>
      <w:r>
        <w:rPr/>
        <w:t>周海涛：男，</w:t>
      </w:r>
      <w:r>
        <w:rPr>
          <w:rFonts w:ascii="Times New Roman" w:hAnsi="Times New Roman" w:cs="Times New Roman" w:eastAsia="Times New Roman" w:hint="default"/>
        </w:rPr>
        <w:t>1958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月出生，本科学历，中国注册会计师。先后在北京轻工业学院机械工程系、北京首都影视 文化研究所、中信会计师事务所、北京龙洲会计师事务所、北京中伦信会计师事务所、中和正信会计师事务所、信 永中和会计师事务所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任职。</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月至今任公司独立董事。</w:t>
      </w:r>
    </w:p>
    <w:p>
      <w:pPr>
        <w:pStyle w:val="BodyText"/>
        <w:spacing w:line="230" w:lineRule="exact" w:before="54"/>
        <w:ind w:right="695"/>
        <w:jc w:val="both"/>
      </w:pPr>
      <w:r>
        <w:rPr/>
        <w:t>庞军：男，</w:t>
      </w:r>
      <w:r>
        <w:rPr>
          <w:rFonts w:ascii="Times New Roman" w:hAnsi="Times New Roman" w:cs="Times New Roman" w:eastAsia="Times New Roman" w:hint="default"/>
        </w:rPr>
        <w:t>1968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月出生，本科学历。先后在天津广播电视局、赛诺市场研究公司、捷孚凯（</w:t>
      </w:r>
      <w:r>
        <w:rPr>
          <w:rFonts w:ascii="Times New Roman" w:hAnsi="Times New Roman" w:cs="Times New Roman" w:eastAsia="Times New Roman" w:hint="default"/>
        </w:rPr>
        <w:t>GfK</w:t>
      </w:r>
      <w:r>
        <w:rPr/>
        <w:t>）中国公司、 北京中天创域市场咨询有限公司任职。</w:t>
      </w:r>
      <w:r>
        <w:rPr>
          <w:rFonts w:ascii="Times New Roman" w:hAnsi="Times New Roman" w:cs="Times New Roman" w:eastAsia="Times New Roman" w:hint="default"/>
        </w:rPr>
        <w:t>2013 </w:t>
      </w:r>
      <w:r>
        <w:rPr/>
        <w:t>年</w:t>
      </w:r>
      <w:r>
        <w:rPr>
          <w:spacing w:val="-48"/>
        </w:rPr>
        <w:t> </w:t>
      </w:r>
      <w:r>
        <w:rPr>
          <w:rFonts w:ascii="Times New Roman" w:hAnsi="Times New Roman" w:cs="Times New Roman" w:eastAsia="Times New Roman" w:hint="default"/>
        </w:rPr>
        <w:t>3 </w:t>
      </w:r>
      <w:r>
        <w:rPr/>
        <w:t>月至今任公司独立董事。</w:t>
      </w:r>
    </w:p>
    <w:p>
      <w:pPr>
        <w:pStyle w:val="BodyText"/>
        <w:spacing w:line="230" w:lineRule="auto" w:before="28"/>
        <w:ind w:right="684"/>
        <w:jc w:val="both"/>
      </w:pPr>
      <w:r>
        <w:rPr/>
        <w:t>陈爱珍：女，</w:t>
      </w:r>
      <w:r>
        <w:rPr>
          <w:rFonts w:ascii="Times New Roman" w:hAnsi="Times New Roman" w:cs="Times New Roman" w:eastAsia="Times New Roman" w:hint="default"/>
        </w:rPr>
        <w:t>1957</w:t>
      </w:r>
      <w:r>
        <w:rPr>
          <w:rFonts w:ascii="Times New Roman" w:hAnsi="Times New Roman" w:cs="Times New Roman" w:eastAsia="Times New Roman" w:hint="default"/>
          <w:spacing w:val="-10"/>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月出生，硕士学历，律师。先后在山西大学、北京市众天律师事务所任职。现任国家电投集 团石家庄东方能源股份有限公司、银川新华百货商业集团股份有限公司、东旭蓝天新能源股份有限公司、石家庄通 合电子科技股份有限公司独立董事。</w:t>
      </w:r>
      <w:r>
        <w:rPr>
          <w:rFonts w:ascii="Times New Roman" w:hAnsi="Times New Roman" w:cs="Times New Roman" w:eastAsia="Times New Roman" w:hint="default"/>
        </w:rPr>
        <w:t>2013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月至今任公司独立董事。</w:t>
      </w:r>
    </w:p>
    <w:p>
      <w:pPr>
        <w:pStyle w:val="BodyText"/>
        <w:spacing w:line="240" w:lineRule="auto" w:before="26"/>
        <w:ind w:right="0"/>
        <w:jc w:val="both"/>
      </w:pPr>
      <w:r>
        <w:rPr>
          <w:rFonts w:ascii="Times New Roman" w:hAnsi="Times New Roman" w:cs="Times New Roman" w:eastAsia="Times New Roman" w:hint="default"/>
        </w:rPr>
        <w:t>2</w:t>
      </w:r>
      <w:r>
        <w:rPr/>
        <w:t>、监事</w:t>
      </w:r>
    </w:p>
    <w:p>
      <w:pPr>
        <w:pStyle w:val="BodyText"/>
        <w:spacing w:line="242" w:lineRule="exact" w:before="27"/>
        <w:ind w:right="0"/>
        <w:jc w:val="both"/>
        <w:rPr>
          <w:rFonts w:ascii="Times New Roman" w:hAnsi="Times New Roman" w:cs="Times New Roman" w:eastAsia="Times New Roman" w:hint="default"/>
        </w:rPr>
      </w:pPr>
      <w:r>
        <w:rPr>
          <w:spacing w:val="-4"/>
        </w:rPr>
        <w:t>徐艳：女，</w:t>
      </w:r>
      <w:r>
        <w:rPr>
          <w:rFonts w:ascii="Times New Roman" w:hAnsi="Times New Roman" w:cs="Times New Roman" w:eastAsia="Times New Roman" w:hint="default"/>
          <w:spacing w:val="-4"/>
        </w:rPr>
        <w:t>1981</w:t>
      </w:r>
      <w:r>
        <w:rPr>
          <w:rFonts w:ascii="Times New Roman" w:hAnsi="Times New Roman" w:cs="Times New Roman" w:eastAsia="Times New Roman" w:hint="default"/>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月出生，大专学历。</w:t>
      </w:r>
      <w:r>
        <w:rPr>
          <w:rFonts w:ascii="Times New Roman" w:hAnsi="Times New Roman" w:cs="Times New Roman" w:eastAsia="Times New Roman" w:hint="default"/>
          <w:spacing w:val="-3"/>
        </w:rPr>
        <w:t>2002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2009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月在山东金宏景通讯技术有限公司店经理。</w:t>
      </w:r>
      <w:r>
        <w:rPr>
          <w:rFonts w:ascii="Times New Roman" w:hAnsi="Times New Roman" w:cs="Times New Roman" w:eastAsia="Times New Roman" w:hint="default"/>
        </w:rPr>
        <w:t>2009</w:t>
      </w:r>
    </w:p>
    <w:p>
      <w:pPr>
        <w:pStyle w:val="BodyText"/>
        <w:spacing w:line="230" w:lineRule="exact" w:before="19"/>
        <w:ind w:right="692"/>
        <w:jc w:val="both"/>
      </w:pPr>
      <w:r>
        <w:rPr/>
        <w:t>年</w:t>
      </w:r>
      <w:r>
        <w:rPr>
          <w:spacing w:val="-46"/>
        </w:rPr>
        <w:t> </w:t>
      </w:r>
      <w:r>
        <w:rPr>
          <w:rFonts w:ascii="Times New Roman" w:hAnsi="Times New Roman" w:cs="Times New Roman" w:eastAsia="Times New Roman" w:hint="default"/>
        </w:rPr>
        <w:t>10 </w:t>
      </w:r>
      <w:r>
        <w:rPr/>
        <w:t>月至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月担任山东百邦区域经理，</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 </w:t>
      </w:r>
      <w:r>
        <w:rPr/>
        <w:t>月担任山东百邦区域总监，</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月至 今担任公司监事，</w:t>
      </w:r>
      <w:r>
        <w:rPr>
          <w:rFonts w:ascii="Times New Roman" w:hAnsi="Times New Roman" w:cs="Times New Roman" w:eastAsia="Times New Roman" w:hint="default"/>
        </w:rPr>
        <w:t>2015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月至今任监事会主席。</w:t>
      </w:r>
    </w:p>
    <w:p>
      <w:pPr>
        <w:pStyle w:val="BodyText"/>
        <w:spacing w:line="223" w:lineRule="auto" w:before="34"/>
        <w:ind w:right="680"/>
        <w:jc w:val="both"/>
      </w:pPr>
      <w:r>
        <w:rPr/>
        <w:t>魏亚锋：男，</w:t>
      </w:r>
      <w:r>
        <w:rPr>
          <w:rFonts w:ascii="Times New Roman" w:hAnsi="Times New Roman" w:cs="Times New Roman" w:eastAsia="Times New Roman" w:hint="default"/>
        </w:rPr>
        <w:t>1979</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月出生，专科学历，微软系统工程师，华为数通工程师。先后在北京人和人美电子商务有限 公司、河北华为通讯有限公司、河北国讯通讯器材有限公司任职。</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月至今任公司</w:t>
      </w:r>
      <w:r>
        <w:rPr>
          <w:spacing w:val="-50"/>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spacing w:val="-3"/>
        </w:rPr>
        <w:t>部经理，</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 至今任公司监事。</w:t>
      </w:r>
    </w:p>
    <w:p>
      <w:pPr>
        <w:pStyle w:val="BodyText"/>
        <w:spacing w:line="240" w:lineRule="auto" w:before="42"/>
        <w:ind w:right="0"/>
        <w:jc w:val="both"/>
      </w:pPr>
      <w:r>
        <w:rPr>
          <w:spacing w:val="-6"/>
        </w:rPr>
        <w:t>王波：男，</w:t>
      </w:r>
      <w:r>
        <w:rPr>
          <w:rFonts w:ascii="Times New Roman" w:hAnsi="Times New Roman" w:cs="Times New Roman" w:eastAsia="Times New Roman" w:hint="default"/>
          <w:spacing w:val="-6"/>
        </w:rPr>
        <w:t>1958</w:t>
      </w:r>
      <w:r>
        <w:rPr>
          <w:rFonts w:ascii="Times New Roman" w:hAnsi="Times New Roman" w:cs="Times New Roman" w:eastAsia="Times New Roman" w:hint="default"/>
          <w:spacing w:val="-23"/>
        </w:rPr>
        <w:t> </w:t>
      </w:r>
      <w:r>
        <w:rPr/>
        <w:t>年</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月出生，大专学历。先后在北京大兴礼贤插队、北京市自来水集团宇通市政工程有限公司任职。</w:t>
      </w:r>
    </w:p>
    <w:p>
      <w:pPr>
        <w:spacing w:after="0" w:line="240" w:lineRule="auto"/>
        <w:jc w:val="both"/>
        <w:sectPr>
          <w:headerReference w:type="default" r:id="rId31"/>
          <w:pgSz w:w="11910" w:h="16840"/>
          <w:pgMar w:header="228" w:footer="0" w:top="1100" w:bottom="160" w:left="168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right="661"/>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月至今任公司工程师，</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月起至今任公司监事。</w:t>
      </w:r>
    </w:p>
    <w:p>
      <w:pPr>
        <w:pStyle w:val="BodyText"/>
        <w:spacing w:line="264" w:lineRule="auto" w:before="24"/>
        <w:ind w:right="6241"/>
        <w:jc w:val="left"/>
      </w:pPr>
      <w:r>
        <w:rPr>
          <w:rFonts w:ascii="Times New Roman" w:hAnsi="Times New Roman" w:cs="Times New Roman" w:eastAsia="Times New Roman" w:hint="default"/>
        </w:rPr>
        <w:t>3</w:t>
      </w:r>
      <w:r>
        <w:rPr/>
        <w:t>、高级管理人员 刘铁峰：个人简介参见本节董事介绍部分。</w:t>
      </w:r>
    </w:p>
    <w:p>
      <w:pPr>
        <w:pStyle w:val="BodyText"/>
        <w:spacing w:line="244" w:lineRule="auto" w:before="20"/>
        <w:ind w:right="716"/>
        <w:jc w:val="left"/>
      </w:pPr>
      <w:r>
        <w:rPr/>
        <w:t>陈立娅：女，英文名：</w:t>
      </w:r>
      <w:r>
        <w:rPr>
          <w:rFonts w:ascii="Times New Roman" w:hAnsi="Times New Roman" w:cs="Times New Roman" w:eastAsia="Times New Roman" w:hint="default"/>
        </w:rPr>
        <w:t>CHENLIYA</w:t>
      </w:r>
      <w:r>
        <w:rPr/>
        <w:t>，</w:t>
      </w:r>
      <w:r>
        <w:rPr>
          <w:rFonts w:ascii="Times New Roman" w:hAnsi="Times New Roman" w:cs="Times New Roman" w:eastAsia="Times New Roman" w:hint="default"/>
        </w:rPr>
        <w:t>1972</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月出生，硕士学历。先后在普华永道会计师事务所、康龙化成（北 京）新药技术有限公司、中华水电公司任职。</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月至今任公司财务负责人兼董事会秘书。 在股东单位任职情况</w:t>
      </w:r>
    </w:p>
    <w:p>
      <w:pPr>
        <w:pStyle w:val="BodyText"/>
        <w:spacing w:line="240" w:lineRule="auto" w:before="34"/>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1200"/>
        <w:gridCol w:w="3191"/>
        <w:gridCol w:w="1066"/>
        <w:gridCol w:w="1195"/>
        <w:gridCol w:w="1330"/>
        <w:gridCol w:w="1589"/>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04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北京达安世纪投资管理有限公司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31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41"/>
              <w:jc w:val="left"/>
              <w:rPr>
                <w:rFonts w:ascii="宋体" w:hAnsi="宋体" w:cs="宋体" w:eastAsia="宋体" w:hint="default"/>
                <w:sz w:val="18"/>
                <w:szCs w:val="18"/>
              </w:rPr>
            </w:pPr>
            <w:r>
              <w:rPr>
                <w:rFonts w:ascii="宋体" w:hAnsi="宋体" w:cs="宋体" w:eastAsia="宋体" w:hint="default"/>
                <w:spacing w:val="-3"/>
                <w:sz w:val="18"/>
                <w:szCs w:val="18"/>
              </w:rPr>
              <w:t>北京悦华众城投资管理中心（有限合伙）</w:t>
            </w:r>
            <w:r>
              <w:rPr>
                <w:rFonts w:ascii="宋体" w:hAnsi="宋体" w:cs="宋体" w:eastAsia="宋体" w:hint="default"/>
                <w:sz w:val="18"/>
                <w:szCs w:val="18"/>
              </w:rPr>
            </w:r>
          </w:p>
        </w:tc>
        <w:tc>
          <w:tcPr>
            <w:tcW w:w="1066" w:type="dxa"/>
            <w:tcBorders>
              <w:top w:val="single" w:sz="4" w:space="0" w:color="000000"/>
              <w:left w:val="single" w:sz="10" w:space="0" w:color="FFFFFF"/>
              <w:bottom w:val="single" w:sz="4" w:space="0" w:color="000000"/>
              <w:right w:val="single" w:sz="4" w:space="0" w:color="000000"/>
            </w:tcBorders>
          </w:tcPr>
          <w:p>
            <w:pPr>
              <w:pStyle w:val="TableParagraph"/>
              <w:spacing w:line="237" w:lineRule="auto" w:before="10"/>
              <w:ind w:left="16" w:right="131"/>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p>
            <w:pPr>
              <w:pStyle w:val="TableParagraph"/>
              <w:spacing w:line="240" w:lineRule="auto" w:before="12"/>
              <w:ind w:right="0"/>
              <w:jc w:val="left"/>
              <w:rPr>
                <w:rFonts w:ascii="宋体" w:hAnsi="宋体" w:cs="宋体" w:eastAsia="宋体" w:hint="default"/>
                <w:sz w:val="20"/>
                <w:szCs w:val="20"/>
              </w:rPr>
            </w:pPr>
          </w:p>
          <w:p>
            <w:pPr>
              <w:pStyle w:val="TableParagraph"/>
              <w:spacing w:line="232" w:lineRule="exact"/>
              <w:ind w:left="16" w:right="-26"/>
              <w:jc w:val="left"/>
              <w:rPr>
                <w:rFonts w:ascii="宋体" w:hAnsi="宋体" w:cs="宋体" w:eastAsia="宋体" w:hint="default"/>
                <w:sz w:val="20"/>
                <w:szCs w:val="20"/>
              </w:rPr>
            </w:pPr>
            <w:r>
              <w:rPr>
                <w:rFonts w:ascii="宋体" w:hAnsi="宋体" w:cs="宋体" w:eastAsia="宋体" w:hint="default"/>
                <w:position w:val="-4"/>
                <w:sz w:val="20"/>
                <w:szCs w:val="20"/>
              </w:rPr>
              <w:pict>
                <v:group style="width:50.4pt;height:11.65pt;mso-position-horizontal-relative:char;mso-position-vertical-relative:line" coordorigin="0,0" coordsize="1008,233">
                  <v:group style="position:absolute;left:0;top:0;width:1008;height:233" coordorigin="0,0" coordsize="1008,233">
                    <v:shape style="position:absolute;left:0;top:0;width:1008;height:233" coordorigin="0,0" coordsize="1008,233" path="m0,233l1008,233,1008,0,0,0,0,233xe" filled="true" fillcolor="#ffffff" stroked="false">
                      <v:path arrowok="t"/>
                      <v:fill type="solid"/>
                    </v:shape>
                  </v:group>
                </v:group>
              </w:pict>
            </w:r>
            <w:r>
              <w:rPr>
                <w:rFonts w:ascii="宋体" w:hAnsi="宋体" w:cs="宋体" w:eastAsia="宋体" w:hint="default"/>
                <w:position w:val="-4"/>
                <w:sz w:val="20"/>
                <w:szCs w:val="20"/>
              </w:rPr>
            </w:r>
          </w:p>
          <w:p>
            <w:pPr>
              <w:pStyle w:val="TableParagraph"/>
              <w:spacing w:line="240" w:lineRule="auto" w:before="13"/>
              <w:ind w:right="0"/>
              <w:jc w:val="left"/>
              <w:rPr>
                <w:rFonts w:ascii="宋体" w:hAnsi="宋体" w:cs="宋体" w:eastAsia="宋体" w:hint="default"/>
                <w:sz w:val="20"/>
                <w:szCs w:val="20"/>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
        <w:ind w:right="661"/>
        <w:jc w:val="left"/>
      </w:pPr>
      <w:r>
        <w:rPr/>
        <w:t>在其他单位任职情况</w:t>
      </w:r>
    </w:p>
    <w:p>
      <w:pPr>
        <w:pStyle w:val="BodyText"/>
        <w:spacing w:line="240" w:lineRule="auto" w:before="38"/>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1200"/>
        <w:gridCol w:w="3193"/>
        <w:gridCol w:w="1063"/>
        <w:gridCol w:w="1195"/>
        <w:gridCol w:w="1325"/>
        <w:gridCol w:w="1594"/>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74"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40" w:right="72"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DAAN Investment Company</w:t>
            </w:r>
            <w:r>
              <w:rPr>
                <w:rFonts w:ascii="Times New Roman"/>
                <w:spacing w:val="-11"/>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北京淡海科技有限公司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23"/>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白松涛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北京老鹰投资基金管理有限公司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白松涛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北京飞鹰创新投资管理有限公司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23"/>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银川新华百货商业集团股份有限公司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东旭蓝天新能源股份有限公司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石家庄通合电子科技股份有限公司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深圳汇洁集团股份有限公司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北京市众天律师事务所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周海涛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北京中天创域市场咨询有限公司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23"/>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right="675"/>
        <w:jc w:val="left"/>
      </w:pPr>
      <w:r>
        <w:rPr/>
        <w:t>公司现任及报告期内离任董事、监事和高级管理人员近三年证券监管机构处罚的情况</w:t>
      </w:r>
    </w:p>
    <w:p>
      <w:pPr>
        <w:pStyle w:val="BodyText"/>
        <w:spacing w:line="240" w:lineRule="auto" w:before="38"/>
        <w:ind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675"/>
        <w:jc w:val="left"/>
        <w:rPr>
          <w:b w:val="0"/>
          <w:bCs w:val="0"/>
        </w:rPr>
      </w:pPr>
      <w:r>
        <w:rPr/>
        <w:t>四、董事、监事、高级管理人员报酬情况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56" w:lineRule="auto"/>
        <w:ind w:right="681"/>
        <w:jc w:val="left"/>
      </w:pPr>
      <w:r>
        <w:rPr/>
        <w:t>董事、监事、高级管理人员报酬的决策程序、确定依据、实际支付情况 决策程序：公司按照绩效考核机制对公司董事、监事及高级管理人员进行定期考核，并按照考核情况确定报酬。公 司董事、监事、高级管理人员的薪酬制度符合公司现状及相关法律法规及《公司章程》等规定。</w:t>
      </w:r>
    </w:p>
    <w:p>
      <w:pPr>
        <w:pStyle w:val="BodyText"/>
        <w:spacing w:line="278" w:lineRule="auto" w:before="26"/>
        <w:ind w:right="2301"/>
        <w:jc w:val="left"/>
      </w:pPr>
      <w:r>
        <w:rPr/>
        <w:t>确定依据：公司董事、监事、高级管理人员报酬依据公司的经营业绩和绩效考核指标来确定。 公司报告期内董事、监事和高级管理人员报酬情况</w:t>
      </w:r>
    </w:p>
    <w:p>
      <w:pPr>
        <w:pStyle w:val="BodyText"/>
        <w:spacing w:line="240" w:lineRule="auto" w:before="9"/>
        <w:ind w:left="0" w:right="683"/>
        <w:jc w:val="right"/>
      </w:pPr>
      <w:r>
        <w:rPr/>
        <w:t>单位：万元</w:t>
      </w:r>
    </w:p>
    <w:p>
      <w:pPr>
        <w:spacing w:line="240" w:lineRule="auto" w:before="5"/>
        <w:rPr>
          <w:rFonts w:ascii="宋体" w:hAnsi="宋体" w:cs="宋体" w:eastAsia="宋体" w:hint="default"/>
          <w:sz w:val="5"/>
          <w:szCs w:val="5"/>
        </w:rPr>
      </w:pPr>
    </w:p>
    <w:tbl>
      <w:tblPr>
        <w:tblW w:w="0" w:type="auto"/>
        <w:jc w:val="left"/>
        <w:tblInd w:w="300"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刘铁峰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714,489.24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刘保元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615,627.82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陈进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911,290.14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赵新宇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白松涛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周海涛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庞军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陈爱珍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徐艳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魏亚锋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205,135.45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192,000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陈立娅</w:t>
            </w:r>
          </w:p>
        </w:tc>
        <w:tc>
          <w:tcPr>
            <w:tcW w:w="1369" w:type="dxa"/>
            <w:tcBorders>
              <w:top w:val="single" w:sz="4" w:space="0" w:color="000000"/>
              <w:left w:val="single" w:sz="4" w:space="0" w:color="000000"/>
              <w:bottom w:val="single" w:sz="10" w:space="0" w:color="D2D2D2"/>
              <w:right w:val="single" w:sz="4" w:space="0" w:color="000000"/>
            </w:tcBorders>
          </w:tcPr>
          <w:p>
            <w:pPr>
              <w:pStyle w:val="TableParagraph"/>
              <w:spacing w:line="232" w:lineRule="exact" w:before="32"/>
              <w:ind w:left="319" w:right="50" w:hanging="272"/>
              <w:jc w:val="left"/>
              <w:rPr>
                <w:rFonts w:ascii="宋体" w:hAnsi="宋体" w:cs="宋体" w:eastAsia="宋体" w:hint="default"/>
                <w:sz w:val="18"/>
                <w:szCs w:val="18"/>
              </w:rPr>
            </w:pPr>
            <w:r>
              <w:rPr>
                <w:rFonts w:ascii="宋体" w:hAnsi="宋体" w:cs="宋体" w:eastAsia="宋体" w:hint="default"/>
                <w:sz w:val="18"/>
                <w:szCs w:val="18"/>
              </w:rPr>
              <w:t>董事会秘书、财 务负责人</w:t>
            </w:r>
          </w:p>
        </w:tc>
        <w:tc>
          <w:tcPr>
            <w:tcW w:w="13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932,997.95</w:t>
            </w:r>
          </w:p>
        </w:tc>
        <w:tc>
          <w:tcPr>
            <w:tcW w:w="13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7"/>
              <w:jc w:val="center"/>
              <w:rPr>
                <w:rFonts w:ascii="Times New Roman" w:hAnsi="Times New Roman" w:cs="Times New Roman" w:eastAsia="Times New Roman" w:hint="default"/>
                <w:sz w:val="18"/>
                <w:szCs w:val="18"/>
              </w:rPr>
            </w:pPr>
            <w:r>
              <w:rPr>
                <w:rFonts w:ascii="Times New Roman"/>
                <w:sz w:val="18"/>
              </w:rPr>
              <w:t>3,751,540.6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61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228" w:footer="0" w:top="1100" w:bottom="160" w:left="1680" w:right="220"/>
        </w:sectPr>
      </w:pPr>
    </w:p>
    <w:p>
      <w:pPr>
        <w:pStyle w:val="BodyText"/>
        <w:spacing w:line="240" w:lineRule="auto" w:before="14"/>
        <w:ind w:right="-20"/>
        <w:jc w:val="left"/>
      </w:pPr>
      <w:r>
        <w:rPr/>
        <w:t>公司董事、高级管理人员报告期内被授予的股权激励情况</w:t>
      </w:r>
    </w:p>
    <w:p>
      <w:pPr>
        <w:pStyle w:val="BodyText"/>
        <w:spacing w:line="240" w:lineRule="auto" w:before="3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060" w:bottom="1160" w:left="1680" w:right="220"/>
          <w:cols w:num="2" w:equalWidth="0">
            <w:col w:w="4806" w:space="3490"/>
            <w:col w:w="1714"/>
          </w:cols>
        </w:sectPr>
      </w:pPr>
    </w:p>
    <w:p>
      <w:pPr>
        <w:spacing w:line="240" w:lineRule="auto" w:before="2"/>
        <w:rPr>
          <w:rFonts w:ascii="宋体" w:hAnsi="宋体" w:cs="宋体" w:eastAsia="宋体" w:hint="default"/>
          <w:sz w:val="20"/>
          <w:szCs w:val="20"/>
        </w:rPr>
      </w:pPr>
    </w:p>
    <w:p>
      <w:pPr>
        <w:pStyle w:val="Heading2"/>
        <w:spacing w:line="367" w:lineRule="exact"/>
        <w:ind w:right="675"/>
        <w:jc w:val="left"/>
        <w:rPr>
          <w:b w:val="0"/>
          <w:bCs w:val="0"/>
        </w:rPr>
      </w:pPr>
      <w:r>
        <w:rPr/>
        <w:t>五、公司员工情况</w:t>
      </w:r>
      <w:r>
        <w:rPr>
          <w:b w:val="0"/>
          <w:bCs w:val="0"/>
        </w:rPr>
      </w:r>
    </w:p>
    <w:p>
      <w:pPr>
        <w:pStyle w:val="Heading3"/>
        <w:spacing w:line="240" w:lineRule="auto" w:before="210"/>
        <w:ind w:left="305" w:right="675"/>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300" w:type="dxa"/>
        <w:tblLayout w:type="fixed"/>
        <w:tblCellMar>
          <w:top w:w="0" w:type="dxa"/>
          <w:left w:w="0" w:type="dxa"/>
          <w:bottom w:w="0" w:type="dxa"/>
          <w:right w:w="0" w:type="dxa"/>
        </w:tblCellMar>
        <w:tblLook w:val="01E0"/>
      </w:tblPr>
      <w:tblGrid>
        <w:gridCol w:w="4784"/>
        <w:gridCol w:w="4787"/>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146</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801</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947</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1,883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680" w:right="2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1"/>
          <w:szCs w:val="21"/>
        </w:rPr>
      </w:pPr>
    </w:p>
    <w:tbl>
      <w:tblPr>
        <w:tblW w:w="0" w:type="auto"/>
        <w:jc w:val="left"/>
        <w:tblInd w:w="300" w:type="dxa"/>
        <w:tblLayout w:type="fixed"/>
        <w:tblCellMar>
          <w:top w:w="0" w:type="dxa"/>
          <w:left w:w="0" w:type="dxa"/>
          <w:bottom w:w="0" w:type="dxa"/>
          <w:right w:w="0" w:type="dxa"/>
        </w:tblCellMar>
        <w:tblLook w:val="01E0"/>
      </w:tblPr>
      <w:tblGrid>
        <w:gridCol w:w="4781"/>
        <w:gridCol w:w="4790"/>
      </w:tblGrid>
      <w:tr>
        <w:trPr>
          <w:trHeight w:val="32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2" w:space="0" w:color="D2D2D2"/>
              <w:bottom w:val="single" w:sz="4" w:space="0" w:color="000000"/>
              <w:right w:val="single" w:sz="4" w:space="0" w:color="000000"/>
            </w:tcBorders>
          </w:tcPr>
          <w:p>
            <w:pP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2" w:space="0" w:color="D2D2D2"/>
              <w:bottom w:val="single" w:sz="4" w:space="0" w:color="000000"/>
              <w:right w:val="single" w:sz="4" w:space="0" w:color="000000"/>
            </w:tcBorders>
          </w:tcPr>
          <w:p>
            <w:pPr/>
          </w:p>
        </w:tc>
      </w:tr>
      <w:tr>
        <w:trPr>
          <w:trHeight w:val="32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2" w:space="0" w:color="D2D2D2"/>
              <w:bottom w:val="single" w:sz="4" w:space="0" w:color="000000"/>
              <w:right w:val="single" w:sz="4" w:space="0" w:color="000000"/>
            </w:tcBorders>
          </w:tcPr>
          <w:p>
            <w:pP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41</w:t>
            </w:r>
          </w:p>
        </w:tc>
      </w:tr>
      <w:tr>
        <w:trPr>
          <w:trHeight w:val="325"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186</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门店负责人员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132</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工程师</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202</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其他门店员工</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386</w:t>
            </w:r>
          </w:p>
        </w:tc>
      </w:tr>
      <w:tr>
        <w:trPr>
          <w:trHeight w:val="32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947</w:t>
            </w:r>
          </w:p>
        </w:tc>
      </w:tr>
      <w:tr>
        <w:trPr>
          <w:trHeight w:val="31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9</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176</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479</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283</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947</w:t>
            </w:r>
          </w:p>
        </w:tc>
      </w:tr>
    </w:tbl>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305" w:right="66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、薪酬政策</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6"/>
          <w:szCs w:val="16"/>
        </w:rPr>
      </w:pPr>
    </w:p>
    <w:p>
      <w:pPr>
        <w:pStyle w:val="BodyText"/>
        <w:spacing w:line="240" w:lineRule="auto"/>
        <w:ind w:right="554"/>
        <w:jc w:val="left"/>
      </w:pPr>
      <w:r>
        <w:rPr/>
        <w:t>薪酬组成：工资、奖金、社保及公积金 </w:t>
      </w:r>
      <w:r>
        <w:rPr>
          <w:spacing w:val="-2"/>
        </w:rPr>
        <w:t>确定依据：工资由劳动合同约定，奖金根据公司的奖金管理办法按年度发放，社保公积金根据法定基数及比例缴纳。</w:t>
      </w:r>
    </w:p>
    <w:p>
      <w:pPr>
        <w:spacing w:line="240" w:lineRule="auto" w:before="4"/>
        <w:rPr>
          <w:rFonts w:ascii="宋体" w:hAnsi="宋体" w:cs="宋体" w:eastAsia="宋体" w:hint="default"/>
          <w:sz w:val="17"/>
          <w:szCs w:val="17"/>
        </w:rPr>
      </w:pPr>
    </w:p>
    <w:p>
      <w:pPr>
        <w:pStyle w:val="Heading3"/>
        <w:spacing w:line="240" w:lineRule="auto"/>
        <w:ind w:left="305" w:right="661"/>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Microsoft JhengHei" w:hAnsi="Microsoft JhengHei" w:cs="Microsoft JhengHei" w:eastAsia="Microsoft JhengHei" w:hint="default"/>
          <w:b/>
          <w:bCs/>
          <w:sz w:val="17"/>
          <w:szCs w:val="17"/>
        </w:rPr>
      </w:pPr>
    </w:p>
    <w:p>
      <w:pPr>
        <w:pStyle w:val="BodyText"/>
        <w:spacing w:line="232" w:lineRule="exact"/>
        <w:ind w:right="661"/>
        <w:jc w:val="left"/>
      </w:pPr>
      <w:r>
        <w:rPr/>
        <w:t>公司根据经营需求，定期举办岗位培训，新员工入职培训，针对不同业务对相关人员组织专项培训，以满足公司业 务发展需求。</w:t>
      </w:r>
    </w:p>
    <w:p>
      <w:pPr>
        <w:spacing w:line="240" w:lineRule="auto" w:before="9"/>
        <w:rPr>
          <w:rFonts w:ascii="宋体" w:hAnsi="宋体" w:cs="宋体" w:eastAsia="宋体" w:hint="default"/>
          <w:sz w:val="15"/>
          <w:szCs w:val="15"/>
        </w:rPr>
      </w:pPr>
    </w:p>
    <w:p>
      <w:pPr>
        <w:pStyle w:val="Heading3"/>
        <w:spacing w:line="240" w:lineRule="auto"/>
        <w:ind w:left="305" w:right="661"/>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32"/>
          <w:pgSz w:w="11910" w:h="16840"/>
          <w:pgMar w:header="228" w:footer="0" w:top="1100" w:bottom="160" w:left="168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456" w:lineRule="exact"/>
        <w:ind w:right="2683"/>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9"/>
          <w:szCs w:val="29"/>
        </w:rPr>
      </w:pPr>
    </w:p>
    <w:p>
      <w:pPr>
        <w:pStyle w:val="Heading2"/>
        <w:spacing w:line="367" w:lineRule="exact"/>
        <w:ind w:right="0"/>
        <w:jc w:val="both"/>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234" w:lineRule="exact"/>
        <w:ind w:left="725" w:right="0"/>
        <w:jc w:val="left"/>
      </w:pPr>
      <w:r>
        <w:rPr>
          <w:spacing w:val="-7"/>
        </w:rPr>
        <w:t>报告期内，公司严格按照《公司法》、《证券法》、《上市公司治理准则》、《深圳证券交易所股票上市规则》、</w:t>
      </w:r>
    </w:p>
    <w:p>
      <w:pPr>
        <w:pStyle w:val="BodyText"/>
        <w:spacing w:line="237" w:lineRule="auto" w:before="1"/>
        <w:ind w:right="206"/>
        <w:jc w:val="both"/>
        <w:rPr>
          <w:rFonts w:ascii="宋体" w:hAnsi="宋体" w:cs="宋体" w:eastAsia="宋体" w:hint="default"/>
        </w:rPr>
      </w:pPr>
      <w:r>
        <w:rPr/>
        <w:t>《深圳证券交易所中小板上市公司规范运作指引》、《中小企业板上市公司特别规定》等法律、法规和中国证监会</w:t>
      </w:r>
      <w:r>
        <w:rPr>
          <w:spacing w:val="-79"/>
        </w:rPr>
        <w:t> </w:t>
      </w:r>
      <w:r>
        <w:rPr>
          <w:spacing w:val="-79"/>
        </w:rPr>
      </w:r>
      <w:r>
        <w:rPr/>
        <w:t>有关法律法规的要求，不断完善公司法人治理结构，建立健全公司内部管理和控制体系，持续深入开展公司治理活</w:t>
      </w:r>
      <w:r>
        <w:rPr>
          <w:spacing w:val="-79"/>
        </w:rPr>
        <w:t> </w:t>
      </w:r>
      <w:r>
        <w:rPr>
          <w:spacing w:val="-79"/>
        </w:rPr>
      </w:r>
      <w:r>
        <w:rPr/>
        <w:t>动，促进公司规范运作，提高公司治理水平。</w:t>
      </w:r>
      <w:r>
        <w:rPr>
          <w:rFonts w:ascii="宋体" w:hAnsi="宋体" w:cs="宋体" w:eastAsia="宋体" w:hint="default"/>
        </w:rPr>
        <w:t> </w:t>
      </w:r>
    </w:p>
    <w:p>
      <w:pPr>
        <w:pStyle w:val="BodyText"/>
        <w:spacing w:line="232" w:lineRule="exact" w:before="22"/>
        <w:ind w:left="725" w:right="189"/>
        <w:jc w:val="left"/>
      </w:pPr>
      <w:r>
        <w:rPr/>
        <w:t>截至报告期内，公司治理实际情况基本符合中国证监会发布的有关上市公司治理的规范性文件的要求。</w:t>
      </w:r>
      <w:r>
        <w:rPr>
          <w:rFonts w:ascii="宋体" w:hAnsi="宋体" w:cs="宋体" w:eastAsia="宋体" w:hint="default"/>
        </w:rPr>
        <w:t> 1</w:t>
      </w:r>
      <w:r>
        <w:rPr/>
        <w:t>、公司股东与股东大会</w:t>
      </w:r>
      <w:r>
        <w:rPr>
          <w:rFonts w:ascii="宋体" w:hAnsi="宋体" w:cs="宋体" w:eastAsia="宋体" w:hint="default"/>
        </w:rPr>
        <w:t> </w:t>
      </w:r>
      <w:r>
        <w:rPr>
          <w:spacing w:val="-1"/>
        </w:rPr>
        <w:t>公司严格按照《公司章程》和《公司股东大会议事规则》的规定和要求，规范股东大会的召集、召开及议事程</w:t>
      </w:r>
    </w:p>
    <w:p>
      <w:pPr>
        <w:pStyle w:val="BodyText"/>
        <w:spacing w:line="232" w:lineRule="exact" w:before="3"/>
        <w:ind w:right="206"/>
        <w:jc w:val="both"/>
        <w:rPr>
          <w:rFonts w:ascii="宋体" w:hAnsi="宋体" w:cs="宋体" w:eastAsia="宋体" w:hint="default"/>
        </w:rPr>
      </w:pPr>
      <w:r>
        <w:rPr/>
        <w:t>序，能够平等对待所有的股东，并尽可能为股东参加股东大会提供便利，确保股东特别是中小股东能充分行使自己</w:t>
      </w:r>
      <w:r>
        <w:rPr>
          <w:spacing w:val="-79"/>
        </w:rPr>
        <w:t> </w:t>
      </w:r>
      <w:r>
        <w:rPr>
          <w:spacing w:val="-79"/>
        </w:rPr>
      </w:r>
      <w:r>
        <w:rPr/>
        <w:t>的权利。在涉及关联交易事项表决时，关联股东均进行了回避。</w:t>
      </w:r>
      <w:r>
        <w:rPr>
          <w:rFonts w:ascii="宋体" w:hAnsi="宋体" w:cs="宋体" w:eastAsia="宋体" w:hint="default"/>
        </w:rPr>
        <w:t> </w:t>
      </w:r>
    </w:p>
    <w:p>
      <w:pPr>
        <w:pStyle w:val="BodyText"/>
        <w:spacing w:line="232" w:lineRule="exact" w:before="1"/>
        <w:ind w:left="725" w:right="189"/>
        <w:jc w:val="left"/>
      </w:pPr>
      <w:r>
        <w:rPr>
          <w:rFonts w:ascii="宋体" w:hAnsi="宋体" w:cs="宋体" w:eastAsia="宋体" w:hint="default"/>
        </w:rPr>
        <w:t>2</w:t>
      </w:r>
      <w:r>
        <w:rPr/>
        <w:t>、关于公司与控股股东</w:t>
      </w:r>
      <w:r>
        <w:rPr>
          <w:rFonts w:ascii="宋体" w:hAnsi="宋体" w:cs="宋体" w:eastAsia="宋体" w:hint="default"/>
        </w:rPr>
        <w:t> </w:t>
      </w:r>
      <w:r>
        <w:rPr>
          <w:spacing w:val="-1"/>
        </w:rPr>
        <w:t>公司控股股东行为规范，依法行使其权力并承担相应义务，没有超越股东大会直接或间接干预公司的决策和经</w:t>
      </w:r>
    </w:p>
    <w:p>
      <w:pPr>
        <w:pStyle w:val="BodyText"/>
        <w:spacing w:line="232" w:lineRule="exact" w:before="3"/>
        <w:ind w:right="206"/>
        <w:jc w:val="both"/>
        <w:rPr>
          <w:rFonts w:ascii="宋体" w:hAnsi="宋体" w:cs="宋体" w:eastAsia="宋体" w:hint="default"/>
        </w:rPr>
      </w:pPr>
      <w:r>
        <w:rPr/>
        <w:t>营活动。同时，公司具有独立的业务和自主经营能力，在业务、人员、资产、机构、财务上独立于控股股东，公司</w:t>
      </w:r>
      <w:r>
        <w:rPr>
          <w:spacing w:val="-79"/>
        </w:rPr>
        <w:t> </w:t>
      </w:r>
      <w:r>
        <w:rPr>
          <w:spacing w:val="-79"/>
        </w:rPr>
      </w:r>
      <w:r>
        <w:rPr/>
        <w:t>董事会、监事会和内部机构独立运作。公司与控股股东关联交易公平合理，决策程序符合规定，不存在控股股东占</w:t>
      </w:r>
      <w:r>
        <w:rPr>
          <w:spacing w:val="-79"/>
        </w:rPr>
        <w:t> </w:t>
      </w:r>
      <w:r>
        <w:rPr>
          <w:spacing w:val="-79"/>
        </w:rPr>
      </w:r>
      <w:r>
        <w:rPr/>
        <w:t>用公司资金的现象，公司亦没有为控股股东提供担保的情形。</w:t>
      </w:r>
      <w:r>
        <w:rPr>
          <w:rFonts w:ascii="宋体" w:hAnsi="宋体" w:cs="宋体" w:eastAsia="宋体" w:hint="default"/>
        </w:rPr>
        <w:t> </w:t>
      </w:r>
    </w:p>
    <w:p>
      <w:pPr>
        <w:pStyle w:val="BodyText"/>
        <w:spacing w:line="232" w:lineRule="exact" w:before="3"/>
        <w:ind w:left="725" w:right="141"/>
        <w:jc w:val="left"/>
      </w:pPr>
      <w:r>
        <w:rPr>
          <w:rFonts w:ascii="宋体" w:hAnsi="宋体" w:cs="宋体" w:eastAsia="宋体" w:hint="default"/>
        </w:rPr>
        <w:t>3</w:t>
      </w:r>
      <w:r>
        <w:rPr/>
        <w:t>、关于董事与董事会</w:t>
      </w:r>
      <w:r>
        <w:rPr>
          <w:rFonts w:ascii="宋体" w:hAnsi="宋体" w:cs="宋体" w:eastAsia="宋体" w:hint="default"/>
        </w:rPr>
        <w:t> </w:t>
      </w:r>
      <w:r>
        <w:rPr/>
        <w:t>公司严格按照《公司章程》规定的选聘程序选举董事和独立董事，公司目前有董事九名，其中独立董事三名，</w:t>
      </w:r>
    </w:p>
    <w:p>
      <w:pPr>
        <w:pStyle w:val="BodyText"/>
        <w:spacing w:line="234" w:lineRule="exact"/>
        <w:ind w:right="206"/>
        <w:jc w:val="both"/>
      </w:pPr>
      <w:r>
        <w:rPr/>
        <w:t>占全体董事的三分之一以上，其中一名独立董事为会计专业人士，董事会成员构成符合法律法规和《公司章程》的</w:t>
      </w:r>
      <w:r>
        <w:rPr>
          <w:spacing w:val="-79"/>
        </w:rPr>
        <w:t> </w:t>
      </w:r>
      <w:r>
        <w:rPr>
          <w:spacing w:val="-79"/>
        </w:rPr>
      </w:r>
      <w:r>
        <w:rPr/>
        <w:t>要求。公司全体董事能够依据《公司董事会议事规则》、《公司独立董事议事规则》、《中小企业板上市公司董事</w:t>
      </w:r>
    </w:p>
    <w:p>
      <w:pPr>
        <w:pStyle w:val="BodyText"/>
        <w:spacing w:line="232" w:lineRule="exact" w:before="2"/>
        <w:ind w:right="204"/>
        <w:jc w:val="both"/>
        <w:rPr>
          <w:rFonts w:ascii="宋体" w:hAnsi="宋体" w:cs="宋体" w:eastAsia="宋体" w:hint="default"/>
        </w:rPr>
      </w:pPr>
      <w:r>
        <w:rPr/>
        <w:t>行为指引》等开展工作，认真出席董事会和股东大会，积极参加相关知识的培训，熟悉有关法律法规，勤勉尽责地</w:t>
      </w:r>
      <w:r>
        <w:rPr>
          <w:spacing w:val="-79"/>
        </w:rPr>
        <w:t> </w:t>
      </w:r>
      <w:r>
        <w:rPr>
          <w:spacing w:val="-79"/>
        </w:rPr>
      </w:r>
      <w:r>
        <w:rPr/>
        <w:t>履行职责和义务，维护公司和股东利益。董事会严格按照《公司法》、《公司董事会议事规则》召开会议，执行股</w:t>
      </w:r>
      <w:r>
        <w:rPr>
          <w:spacing w:val="-78"/>
        </w:rPr>
        <w:t> </w:t>
      </w:r>
      <w:r>
        <w:rPr>
          <w:spacing w:val="-78"/>
        </w:rPr>
      </w:r>
      <w:r>
        <w:rPr/>
        <w:t>东大会决议并依法行使职权。</w:t>
      </w:r>
      <w:r>
        <w:rPr>
          <w:rFonts w:ascii="宋体" w:hAnsi="宋体" w:cs="宋体" w:eastAsia="宋体" w:hint="default"/>
        </w:rPr>
        <w:t> </w:t>
      </w:r>
    </w:p>
    <w:p>
      <w:pPr>
        <w:pStyle w:val="BodyText"/>
        <w:spacing w:line="212" w:lineRule="exact"/>
        <w:ind w:left="725" w:right="6141"/>
        <w:jc w:val="left"/>
        <w:rPr>
          <w:rFonts w:ascii="宋体" w:hAnsi="宋体" w:cs="宋体" w:eastAsia="宋体" w:hint="default"/>
        </w:rPr>
      </w:pPr>
      <w:r>
        <w:rPr>
          <w:rFonts w:ascii="宋体" w:hAnsi="宋体" w:cs="宋体" w:eastAsia="宋体" w:hint="default"/>
        </w:rPr>
        <w:t>4</w:t>
      </w:r>
      <w:r>
        <w:rPr/>
        <w:t>、关于监事和监事会</w:t>
      </w:r>
      <w:r>
        <w:rPr>
          <w:rFonts w:ascii="宋体" w:hAnsi="宋体" w:cs="宋体" w:eastAsia="宋体" w:hint="default"/>
        </w:rPr>
        <w:t> </w:t>
      </w:r>
    </w:p>
    <w:p>
      <w:pPr>
        <w:pStyle w:val="BodyText"/>
        <w:spacing w:line="232" w:lineRule="exact" w:before="24"/>
        <w:ind w:right="204" w:firstLine="419"/>
        <w:jc w:val="both"/>
        <w:rPr>
          <w:rFonts w:ascii="宋体" w:hAnsi="宋体" w:cs="宋体" w:eastAsia="宋体" w:hint="default"/>
        </w:rPr>
      </w:pPr>
      <w:r>
        <w:rPr>
          <w:spacing w:val="-1"/>
        </w:rPr>
        <w:t>公司严格按照《公司章程》规定的选聘程序选举监事，公司监事会设监事三名，其中职工监事一名，监事会及</w:t>
      </w:r>
      <w:r>
        <w:rPr/>
        <w:t> 监事的人数及构成符合法律、法规的要求。公司监事能够严格按照《公司章程》、《公司监事会议事规则》等的要</w:t>
      </w:r>
      <w:r>
        <w:rPr>
          <w:spacing w:val="-79"/>
        </w:rPr>
        <w:t> </w:t>
      </w:r>
      <w:r>
        <w:rPr>
          <w:spacing w:val="-79"/>
        </w:rPr>
      </w:r>
      <w:r>
        <w:rPr/>
        <w:t>求，认真履行自己的职责，对公司运营情况、重大事项、关联交易的决策以及董事和高级管理人员的履行职责的合</w:t>
      </w:r>
      <w:r>
        <w:rPr>
          <w:spacing w:val="-79"/>
        </w:rPr>
        <w:t> </w:t>
      </w:r>
      <w:r>
        <w:rPr>
          <w:spacing w:val="-79"/>
        </w:rPr>
      </w:r>
      <w:r>
        <w:rPr/>
        <w:t>法合规性进行有效的监督，积极维护公司及股东的合法权益。</w:t>
      </w:r>
      <w:r>
        <w:rPr>
          <w:rFonts w:ascii="宋体" w:hAnsi="宋体" w:cs="宋体" w:eastAsia="宋体" w:hint="default"/>
        </w:rPr>
        <w:t> </w:t>
      </w:r>
    </w:p>
    <w:p>
      <w:pPr>
        <w:pStyle w:val="BodyText"/>
        <w:spacing w:line="232" w:lineRule="exact" w:before="3"/>
        <w:ind w:left="725" w:right="201"/>
        <w:jc w:val="left"/>
      </w:pPr>
      <w:r>
        <w:rPr>
          <w:rFonts w:ascii="宋体" w:hAnsi="宋体" w:cs="宋体" w:eastAsia="宋体" w:hint="default"/>
        </w:rPr>
        <w:t>5</w:t>
      </w:r>
      <w:r>
        <w:rPr/>
        <w:t>、关于相关利益者</w:t>
      </w:r>
      <w:r>
        <w:rPr>
          <w:rFonts w:ascii="宋体" w:hAnsi="宋体" w:cs="宋体" w:eastAsia="宋体" w:hint="default"/>
        </w:rPr>
        <w:t> </w:t>
      </w:r>
      <w:r>
        <w:rPr>
          <w:spacing w:val="-2"/>
        </w:rPr>
        <w:t>公司能够充分尊重和维护相关利益者的合法权益，积极与相关利益者沟通和交流，努力实现股东、员工、社会</w:t>
      </w:r>
    </w:p>
    <w:p>
      <w:pPr>
        <w:pStyle w:val="BodyText"/>
        <w:spacing w:line="212" w:lineRule="exact"/>
        <w:ind w:right="0"/>
        <w:jc w:val="both"/>
        <w:rPr>
          <w:rFonts w:ascii="宋体" w:hAnsi="宋体" w:cs="宋体" w:eastAsia="宋体" w:hint="default"/>
        </w:rPr>
      </w:pPr>
      <w:r>
        <w:rPr/>
        <w:t>等各方利益的均衡，共同推进公司持续、稳健的发展。</w:t>
      </w:r>
      <w:r>
        <w:rPr>
          <w:rFonts w:ascii="宋体" w:hAnsi="宋体" w:cs="宋体" w:eastAsia="宋体" w:hint="default"/>
        </w:rPr>
        <w:t> </w:t>
      </w:r>
    </w:p>
    <w:p>
      <w:pPr>
        <w:pStyle w:val="BodyText"/>
        <w:spacing w:line="232" w:lineRule="exact" w:before="24"/>
        <w:ind w:right="201" w:firstLine="419"/>
        <w:jc w:val="left"/>
        <w:rPr>
          <w:rFonts w:ascii="宋体" w:hAnsi="宋体" w:cs="宋体" w:eastAsia="宋体" w:hint="default"/>
        </w:rPr>
      </w:pPr>
      <w:r>
        <w:rPr>
          <w:rFonts w:ascii="宋体" w:hAnsi="宋体" w:cs="宋体" w:eastAsia="宋体" w:hint="default"/>
        </w:rPr>
        <w:t>6</w:t>
      </w:r>
      <w:r>
        <w:rPr/>
        <w:t>、关于信息披露与透明度</w:t>
      </w:r>
      <w:r>
        <w:rPr>
          <w:rFonts w:ascii="宋体" w:hAnsi="宋体" w:cs="宋体" w:eastAsia="宋体" w:hint="default"/>
        </w:rPr>
        <w:t> </w:t>
      </w:r>
      <w:r>
        <w:rPr/>
        <w:t>按照《公司信息披露管理制度》的规定，董事会指定公司董事会秘书负责投资者关系管理和日常信息披露工作，接</w:t>
      </w:r>
      <w:r>
        <w:rPr>
          <w:spacing w:val="-79"/>
        </w:rPr>
        <w:t> </w:t>
      </w:r>
      <w:r>
        <w:rPr>
          <w:spacing w:val="-79"/>
        </w:rPr>
      </w:r>
      <w:r>
        <w:rPr/>
        <w:t>待股东的来访和咨询。公司力求做到公平、及时、准确、完整的披露公司信息，确保公司所有股东及时、公平地获</w:t>
      </w:r>
      <w:r>
        <w:rPr>
          <w:spacing w:val="-79"/>
        </w:rPr>
        <w:t> </w:t>
      </w:r>
      <w:r>
        <w:rPr>
          <w:spacing w:val="-79"/>
        </w:rPr>
      </w:r>
      <w:r>
        <w:rPr/>
        <w:t>得公司的相关信息。</w:t>
      </w:r>
      <w:r>
        <w:rPr>
          <w:rFonts w:ascii="宋体" w:hAnsi="宋体" w:cs="宋体" w:eastAsia="宋体" w:hint="default"/>
        </w:rPr>
        <w:t> </w:t>
      </w:r>
    </w:p>
    <w:p>
      <w:pPr>
        <w:pStyle w:val="BodyText"/>
        <w:spacing w:line="240" w:lineRule="auto" w:before="17"/>
        <w:ind w:right="0"/>
        <w:jc w:val="both"/>
      </w:pPr>
      <w:r>
        <w:rPr/>
        <w:t>公司治理的实际状况与中国证监会发布的有关上市公司治理的规范性文件是否存在重大差异</w:t>
      </w:r>
    </w:p>
    <w:p>
      <w:pPr>
        <w:pStyle w:val="BodyText"/>
        <w:spacing w:line="240" w:lineRule="auto" w:before="3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15"/>
          <w:szCs w:val="15"/>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5"/>
        <w:rPr>
          <w:rFonts w:ascii="Microsoft JhengHei" w:hAnsi="Microsoft JhengHei" w:cs="Microsoft JhengHei" w:eastAsia="Microsoft JhengHei" w:hint="default"/>
          <w:b/>
          <w:bCs/>
          <w:sz w:val="16"/>
          <w:szCs w:val="16"/>
        </w:rPr>
      </w:pPr>
    </w:p>
    <w:p>
      <w:pPr>
        <w:pStyle w:val="BodyText"/>
        <w:spacing w:line="241" w:lineRule="exact"/>
        <w:ind w:right="0"/>
        <w:jc w:val="both"/>
      </w:pPr>
      <w:r>
        <w:rPr>
          <w:rFonts w:ascii="Times New Roman" w:hAnsi="Times New Roman" w:cs="Times New Roman" w:eastAsia="Times New Roman" w:hint="default"/>
          <w:spacing w:val="-4"/>
        </w:rPr>
        <w:t>1</w:t>
      </w:r>
      <w:r>
        <w:rPr>
          <w:spacing w:val="-4"/>
        </w:rPr>
        <w:t>、业务方面：本公司业务独立于控股股东，具有独立完整的业务及自主经营能力，不依赖于股东及任何其他关联方。</w:t>
      </w:r>
    </w:p>
    <w:p>
      <w:pPr>
        <w:pStyle w:val="BodyText"/>
        <w:spacing w:line="232" w:lineRule="exact" w:before="16"/>
        <w:ind w:right="202"/>
        <w:jc w:val="both"/>
      </w:pPr>
      <w:r>
        <w:rPr>
          <w:rFonts w:ascii="Times New Roman" w:hAnsi="Times New Roman" w:cs="Times New Roman" w:eastAsia="Times New Roman" w:hint="default"/>
          <w:spacing w:val="-2"/>
        </w:rPr>
        <w:t>2</w:t>
      </w:r>
      <w:r>
        <w:rPr>
          <w:spacing w:val="-2"/>
        </w:rPr>
        <w:t>、人员方面：本公司在劳动人事、薪酬管理方面与控股股东完全独立，本公司高级管理人员均在本公司领薪，不存</w:t>
      </w:r>
      <w:r>
        <w:rPr>
          <w:spacing w:val="-65"/>
        </w:rPr>
        <w:t> </w:t>
      </w:r>
      <w:r>
        <w:rPr>
          <w:spacing w:val="-65"/>
        </w:rPr>
      </w:r>
      <w:r>
        <w:rPr/>
        <w:t>在在股东单位兼任职务的情况。公司人员独立，所有员工均和公司签订了劳动合同。公司在员工管理、社会保障、</w:t>
      </w:r>
      <w:r>
        <w:rPr>
          <w:spacing w:val="-79"/>
        </w:rPr>
        <w:t> </w:t>
      </w:r>
      <w:r>
        <w:rPr>
          <w:spacing w:val="-79"/>
        </w:rPr>
      </w:r>
      <w:r>
        <w:rPr/>
        <w:t>劳动报酬等方面独立于股东单位或其他关联方。</w:t>
      </w:r>
    </w:p>
    <w:p>
      <w:pPr>
        <w:spacing w:after="0" w:line="232" w:lineRule="exact"/>
        <w:jc w:val="both"/>
        <w:sectPr>
          <w:pgSz w:w="11910" w:h="16840"/>
          <w:pgMar w:header="228" w:footer="0" w:top="1100" w:bottom="160" w:left="16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0" w:lineRule="auto" w:before="53"/>
        <w:ind w:right="0"/>
        <w:jc w:val="left"/>
      </w:pPr>
      <w:r>
        <w:rPr>
          <w:rFonts w:ascii="Times New Roman" w:hAnsi="Times New Roman" w:cs="Times New Roman" w:eastAsia="Times New Roman" w:hint="default"/>
          <w:spacing w:val="-2"/>
        </w:rPr>
        <w:t>3</w:t>
      </w:r>
      <w:r>
        <w:rPr>
          <w:spacing w:val="-2"/>
        </w:rPr>
        <w:t>、资产方面：公司拥有独立于股东单位的完整的经营、采购、销售系统及配套设施，资产完整、产权清晰。不存在</w:t>
      </w:r>
      <w:r>
        <w:rPr>
          <w:spacing w:val="-63"/>
        </w:rPr>
        <w:t> </w:t>
      </w:r>
      <w:r>
        <w:rPr>
          <w:spacing w:val="-63"/>
        </w:rPr>
      </w:r>
      <w:r>
        <w:rPr/>
        <w:t>资产资金被控股股东占用的情况，公司资产完全独立于控股股东。 </w:t>
      </w:r>
      <w:r>
        <w:rPr>
          <w:rFonts w:ascii="Times New Roman" w:hAnsi="Times New Roman" w:cs="Times New Roman" w:eastAsia="Times New Roman" w:hint="default"/>
          <w:spacing w:val="-4"/>
        </w:rPr>
        <w:t>4</w:t>
      </w:r>
      <w:r>
        <w:rPr>
          <w:spacing w:val="-4"/>
        </w:rPr>
        <w:t>、财务方面：公司财务完全独立，有独立的财务部门，有独立的财务核算体系和财务管理制度，有独立的财务账户，</w:t>
      </w:r>
      <w:r>
        <w:rPr>
          <w:spacing w:val="-49"/>
        </w:rPr>
        <w:t> </w:t>
      </w:r>
      <w:r>
        <w:rPr>
          <w:spacing w:val="-49"/>
        </w:rPr>
      </w:r>
      <w:r>
        <w:rPr/>
        <w:t>独立纳税，独立进行财务决策。 </w:t>
      </w:r>
      <w:r>
        <w:rPr>
          <w:rFonts w:ascii="Times New Roman" w:hAnsi="Times New Roman" w:cs="Times New Roman" w:eastAsia="Times New Roman" w:hint="default"/>
          <w:spacing w:val="-2"/>
        </w:rPr>
        <w:t>5</w:t>
      </w:r>
      <w:r>
        <w:rPr>
          <w:spacing w:val="-2"/>
        </w:rPr>
        <w:t>、机构方面：本公司机构独立，公司股东大会、董事会、监事会及其他机构独立运作，也不存在控股股东干预公司</w:t>
      </w:r>
      <w:r>
        <w:rPr>
          <w:spacing w:val="-71"/>
        </w:rPr>
        <w:t> </w:t>
      </w:r>
      <w:r>
        <w:rPr>
          <w:spacing w:val="-71"/>
        </w:rPr>
      </w:r>
      <w:r>
        <w:rPr/>
        <w:t>机构设置的现象。</w:t>
      </w:r>
    </w:p>
    <w:p>
      <w:pPr>
        <w:spacing w:line="240" w:lineRule="auto" w:before="2"/>
        <w:rPr>
          <w:rFonts w:ascii="宋体" w:hAnsi="宋体" w:cs="宋体" w:eastAsia="宋体" w:hint="default"/>
          <w:sz w:val="16"/>
          <w:szCs w:val="16"/>
        </w:rPr>
      </w:pPr>
    </w:p>
    <w:p>
      <w:pPr>
        <w:pStyle w:val="Heading2"/>
        <w:spacing w:line="240" w:lineRule="auto"/>
        <w:ind w:right="0"/>
        <w:jc w:val="left"/>
        <w:rPr>
          <w:b w:val="0"/>
          <w:bCs w:val="0"/>
        </w:rPr>
      </w:pPr>
      <w:r>
        <w:rPr/>
        <w:t>三、同业竞争情况</w:t>
      </w:r>
      <w:r>
        <w:rPr>
          <w:b w:val="0"/>
          <w:bCs w:val="0"/>
        </w:rPr>
      </w:r>
    </w:p>
    <w:p>
      <w:pPr>
        <w:spacing w:line="240" w:lineRule="auto" w:before="0"/>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0"/>
        <w:jc w:val="left"/>
        <w:rPr>
          <w:b w:val="0"/>
          <w:bCs w:val="0"/>
        </w:rPr>
      </w:pPr>
      <w:r>
        <w:rPr/>
        <w:t>四、报告期内召开的年度股东大会和临时股东大会的有关情况</w:t>
      </w:r>
      <w:r>
        <w:rPr>
          <w:b w:val="0"/>
          <w:bCs w:val="0"/>
        </w:rPr>
      </w:r>
    </w:p>
    <w:p>
      <w:pPr>
        <w:pStyle w:val="Heading3"/>
        <w:spacing w:line="240" w:lineRule="auto" w:before="212"/>
        <w:ind w:left="305"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0"/>
          <w:szCs w:val="20"/>
        </w:rPr>
      </w:pPr>
    </w:p>
    <w:p>
      <w:pPr>
        <w:pStyle w:val="BodyText"/>
        <w:spacing w:line="240" w:lineRule="auto" w:before="44"/>
        <w:ind w:left="0" w:right="116"/>
        <w:jc w:val="right"/>
      </w:pPr>
      <w:r>
        <w:rPr/>
        <w:pict>
          <v:shape style="position:absolute;margin-left:99.024002pt;margin-top:-72.008286pt;width:479.15pt;height:402.9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37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703" w:right="47" w:hanging="65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Times New Roman" w:hAnsi="Times New Roman" w:cs="Times New Roman" w:eastAsia="Times New Roman" w:hint="default"/>
                            <w:sz w:val="18"/>
                            <w:szCs w:val="18"/>
                          </w:rPr>
                        </w:pPr>
                        <w:r>
                          <w:rPr>
                            <w:rFonts w:ascii="Times New Roman"/>
                            <w:sz w:val="18"/>
                          </w:rPr>
                          <w:t>86.07%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8"/>
                          <w:ind w:left="69"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全国中小企业股份 转让系统指定信息 披露平台 </w:t>
                        </w:r>
                        <w:hyperlink r:id="rId33">
                          <w:r>
                            <w:rPr>
                              <w:rFonts w:ascii="Times New Roman" w:hAnsi="Times New Roman" w:cs="Times New Roman" w:eastAsia="Times New Roman" w:hint="default"/>
                              <w:sz w:val="18"/>
                              <w:szCs w:val="18"/>
                            </w:rPr>
                            <w:t>www.neeq.com.cn</w:t>
                          </w:r>
                        </w:hyperlink>
                      </w:p>
                      <w:p>
                        <w:pPr>
                          <w:pStyle w:val="TableParagraph"/>
                          <w:spacing w:line="205" w:lineRule="exact"/>
                          <w:ind w:right="96"/>
                          <w:jc w:val="center"/>
                          <w:rPr>
                            <w:rFonts w:ascii="宋体" w:hAnsi="宋体" w:cs="宋体" w:eastAsia="宋体" w:hint="default"/>
                            <w:sz w:val="18"/>
                            <w:szCs w:val="18"/>
                          </w:rPr>
                        </w:pPr>
                        <w:r>
                          <w:rPr>
                            <w:rFonts w:ascii="宋体" w:hAnsi="宋体" w:cs="宋体" w:eastAsia="宋体" w:hint="default"/>
                            <w:sz w:val="18"/>
                            <w:szCs w:val="18"/>
                          </w:rPr>
                          <w:t>（证券代码：</w:t>
                        </w:r>
                      </w:p>
                      <w:p>
                        <w:pPr>
                          <w:pStyle w:val="TableParagraph"/>
                          <w:spacing w:line="237" w:lineRule="auto"/>
                          <w:ind w:left="21" w:right="19" w:hanging="9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831008</w:t>
                        </w:r>
                        <w:r>
                          <w:rPr>
                            <w:rFonts w:ascii="宋体" w:hAnsi="宋体" w:cs="宋体" w:eastAsia="宋体" w:hint="default"/>
                            <w:sz w:val="18"/>
                            <w:szCs w:val="18"/>
                          </w:rPr>
                          <w:t>，证券简称 </w:t>
                        </w:r>
                        <w:r>
                          <w:rPr>
                            <w:rFonts w:ascii="宋体" w:hAnsi="宋体" w:cs="宋体" w:eastAsia="宋体" w:hint="default"/>
                            <w:spacing w:val="-13"/>
                            <w:sz w:val="18"/>
                            <w:szCs w:val="18"/>
                          </w:rPr>
                          <w:t>百华悦邦）《</w:t>
                        </w:r>
                        <w:r>
                          <w:rPr>
                            <w:rFonts w:ascii="Times New Roman" w:hAnsi="Times New Roman" w:cs="Times New Roman" w:eastAsia="Times New Roman" w:hint="default"/>
                            <w:spacing w:val="-13"/>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年度股东大会决议 公告》公告编号： </w:t>
                        </w:r>
                        <w:r>
                          <w:rPr>
                            <w:rFonts w:ascii="Times New Roman" w:hAnsi="Times New Roman" w:cs="Times New Roman" w:eastAsia="Times New Roman" w:hint="default"/>
                            <w:sz w:val="18"/>
                            <w:szCs w:val="18"/>
                          </w:rPr>
                          <w:t>2017-010</w:t>
                        </w:r>
                      </w:p>
                    </w:tc>
                  </w:tr>
                  <w:tr>
                    <w:trPr>
                      <w:trHeight w:val="23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30" w:lineRule="exact"/>
                          <w:ind w:left="74" w:right="47"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5" w:right="0"/>
                          <w:jc w:val="center"/>
                          <w:rPr>
                            <w:rFonts w:ascii="Times New Roman" w:hAnsi="Times New Roman" w:cs="Times New Roman" w:eastAsia="Times New Roman" w:hint="default"/>
                            <w:sz w:val="18"/>
                            <w:szCs w:val="18"/>
                          </w:rPr>
                        </w:pPr>
                        <w:r>
                          <w:rPr>
                            <w:rFonts w:ascii="Times New Roman"/>
                            <w:sz w:val="18"/>
                          </w:rPr>
                          <w:t>86.07%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8"/>
                          <w:ind w:left="69"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全国中小企业股份 转让系统指定信息 披露平台 </w:t>
                        </w:r>
                        <w:hyperlink r:id="rId33">
                          <w:r>
                            <w:rPr>
                              <w:rFonts w:ascii="Times New Roman" w:hAnsi="Times New Roman" w:cs="Times New Roman" w:eastAsia="Times New Roman" w:hint="default"/>
                              <w:sz w:val="18"/>
                              <w:szCs w:val="18"/>
                            </w:rPr>
                            <w:t>www.neeq.com.cn</w:t>
                          </w:r>
                        </w:hyperlink>
                      </w:p>
                      <w:p>
                        <w:pPr>
                          <w:pStyle w:val="TableParagraph"/>
                          <w:spacing w:line="205" w:lineRule="exact"/>
                          <w:ind w:right="96"/>
                          <w:jc w:val="center"/>
                          <w:rPr>
                            <w:rFonts w:ascii="宋体" w:hAnsi="宋体" w:cs="宋体" w:eastAsia="宋体" w:hint="default"/>
                            <w:sz w:val="18"/>
                            <w:szCs w:val="18"/>
                          </w:rPr>
                        </w:pPr>
                        <w:r>
                          <w:rPr>
                            <w:rFonts w:ascii="宋体" w:hAnsi="宋体" w:cs="宋体" w:eastAsia="宋体" w:hint="default"/>
                            <w:sz w:val="18"/>
                            <w:szCs w:val="18"/>
                          </w:rPr>
                          <w:t>（证券代码：</w:t>
                        </w:r>
                      </w:p>
                      <w:p>
                        <w:pPr>
                          <w:pStyle w:val="TableParagraph"/>
                          <w:spacing w:line="230" w:lineRule="auto" w:before="7"/>
                          <w:ind w:left="21" w:right="19" w:hanging="9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831008</w:t>
                        </w:r>
                        <w:r>
                          <w:rPr>
                            <w:rFonts w:ascii="宋体" w:hAnsi="宋体" w:cs="宋体" w:eastAsia="宋体" w:hint="default"/>
                            <w:sz w:val="18"/>
                            <w:szCs w:val="18"/>
                          </w:rPr>
                          <w:t>，证券简称 </w:t>
                        </w:r>
                        <w:r>
                          <w:rPr>
                            <w:rFonts w:ascii="宋体" w:hAnsi="宋体" w:cs="宋体" w:eastAsia="宋体" w:hint="default"/>
                            <w:spacing w:val="-13"/>
                            <w:sz w:val="18"/>
                            <w:szCs w:val="18"/>
                          </w:rPr>
                          <w:t>百华悦邦）《</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0"/>
                            <w:sz w:val="18"/>
                            <w:szCs w:val="18"/>
                          </w:rPr>
                          <w:t>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2017-023</w:t>
                        </w:r>
                      </w:p>
                    </w:tc>
                  </w:tr>
                  <w:tr>
                    <w:trPr>
                      <w:trHeight w:val="23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32" w:lineRule="exact"/>
                          <w:ind w:left="74" w:right="47"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5" w:right="0"/>
                          <w:jc w:val="center"/>
                          <w:rPr>
                            <w:rFonts w:ascii="Times New Roman" w:hAnsi="Times New Roman" w:cs="Times New Roman" w:eastAsia="Times New Roman" w:hint="default"/>
                            <w:sz w:val="18"/>
                            <w:szCs w:val="18"/>
                          </w:rPr>
                        </w:pPr>
                        <w:r>
                          <w:rPr>
                            <w:rFonts w:ascii="Times New Roman"/>
                            <w:sz w:val="18"/>
                          </w:rPr>
                          <w:t>86.07%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8"/>
                          <w:ind w:left="69"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全国中小企业股份 转让系统指定信息 披露平台 </w:t>
                        </w:r>
                        <w:hyperlink r:id="rId33">
                          <w:r>
                            <w:rPr>
                              <w:rFonts w:ascii="Times New Roman" w:hAnsi="Times New Roman" w:cs="Times New Roman" w:eastAsia="Times New Roman" w:hint="default"/>
                              <w:sz w:val="18"/>
                              <w:szCs w:val="18"/>
                            </w:rPr>
                            <w:t>www.neeq.com.cn</w:t>
                          </w:r>
                        </w:hyperlink>
                      </w:p>
                      <w:p>
                        <w:pPr>
                          <w:pStyle w:val="TableParagraph"/>
                          <w:spacing w:line="202" w:lineRule="exact"/>
                          <w:ind w:right="96"/>
                          <w:jc w:val="center"/>
                          <w:rPr>
                            <w:rFonts w:ascii="宋体" w:hAnsi="宋体" w:cs="宋体" w:eastAsia="宋体" w:hint="default"/>
                            <w:sz w:val="18"/>
                            <w:szCs w:val="18"/>
                          </w:rPr>
                        </w:pPr>
                        <w:r>
                          <w:rPr>
                            <w:rFonts w:ascii="宋体" w:hAnsi="宋体" w:cs="宋体" w:eastAsia="宋体" w:hint="default"/>
                            <w:sz w:val="18"/>
                            <w:szCs w:val="18"/>
                          </w:rPr>
                          <w:t>（证券代码：</w:t>
                        </w:r>
                      </w:p>
                      <w:p>
                        <w:pPr>
                          <w:pStyle w:val="TableParagraph"/>
                          <w:spacing w:line="230" w:lineRule="auto" w:before="7"/>
                          <w:ind w:left="21" w:right="19" w:hanging="9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831008</w:t>
                        </w:r>
                        <w:r>
                          <w:rPr>
                            <w:rFonts w:ascii="宋体" w:hAnsi="宋体" w:cs="宋体" w:eastAsia="宋体" w:hint="default"/>
                            <w:sz w:val="18"/>
                            <w:szCs w:val="18"/>
                          </w:rPr>
                          <w:t>，证券简称 </w:t>
                        </w:r>
                        <w:r>
                          <w:rPr>
                            <w:rFonts w:ascii="宋体" w:hAnsi="宋体" w:cs="宋体" w:eastAsia="宋体" w:hint="default"/>
                            <w:spacing w:val="-13"/>
                            <w:sz w:val="18"/>
                            <w:szCs w:val="18"/>
                          </w:rPr>
                          <w:t>百华悦邦）《</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第二次临时股东大 </w:t>
                        </w:r>
                        <w:r>
                          <w:rPr>
                            <w:rFonts w:ascii="宋体" w:hAnsi="宋体" w:cs="宋体" w:eastAsia="宋体" w:hint="default"/>
                            <w:spacing w:val="-10"/>
                            <w:sz w:val="18"/>
                            <w:szCs w:val="18"/>
                          </w:rPr>
                          <w:t>会决议公告》公告编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2017-026</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4" w:right="47"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86.07%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9" w:right="72"/>
                          <w:jc w:val="left"/>
                          <w:rPr>
                            <w:rFonts w:ascii="宋体" w:hAnsi="宋体" w:cs="宋体" w:eastAsia="宋体" w:hint="default"/>
                            <w:sz w:val="18"/>
                            <w:szCs w:val="18"/>
                          </w:rPr>
                        </w:pPr>
                        <w:r>
                          <w:rPr>
                            <w:rFonts w:ascii="宋体" w:hAnsi="宋体" w:cs="宋体" w:eastAsia="宋体" w:hint="default"/>
                            <w:sz w:val="18"/>
                            <w:szCs w:val="18"/>
                          </w:rPr>
                          <w:t>全国中小企业股份 转让系统指定信息</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left="0" w:right="11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150"/>
        <w:ind w:left="0" w:right="116"/>
        <w:jc w:val="right"/>
      </w:pPr>
      <w:r>
        <w:rPr/>
        <w:t>：</w:t>
      </w:r>
    </w:p>
    <w:p>
      <w:pPr>
        <w:spacing w:after="0" w:line="240" w:lineRule="auto"/>
        <w:jc w:val="right"/>
        <w:sectPr>
          <w:pgSz w:w="11910" w:h="16840"/>
          <w:pgMar w:header="228" w:footer="0" w:top="1100" w:bottom="160" w:left="1680" w:right="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44"/>
        <w:ind w:left="0" w:right="116"/>
        <w:jc w:val="right"/>
      </w:pPr>
      <w:r>
        <w:rPr/>
        <w:pict>
          <v:shape style="position:absolute;margin-left:99.024002pt;margin-top:-30.488283pt;width:479.15pt;height:95.0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233"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披露平台</w:t>
                        </w:r>
                      </w:p>
                    </w:tc>
                  </w:tr>
                  <w:tr>
                    <w:trPr>
                      <w:trHeight w:val="220"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24" w:right="0"/>
                          <w:jc w:val="left"/>
                          <w:rPr>
                            <w:rFonts w:ascii="Times New Roman" w:hAnsi="Times New Roman" w:cs="Times New Roman" w:eastAsia="Times New Roman" w:hint="default"/>
                            <w:sz w:val="18"/>
                            <w:szCs w:val="18"/>
                          </w:rPr>
                        </w:pPr>
                        <w:hyperlink r:id="rId33">
                          <w:r>
                            <w:rPr>
                              <w:rFonts w:ascii="Times New Roman"/>
                              <w:sz w:val="18"/>
                            </w:rPr>
                            <w:t>www.neeq.com.cn</w:t>
                          </w:r>
                        </w:hyperlink>
                      </w:p>
                    </w:tc>
                  </w:tr>
                  <w:tr>
                    <w:trPr>
                      <w:trHeight w:val="224"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49" w:right="0"/>
                          <w:jc w:val="left"/>
                          <w:rPr>
                            <w:rFonts w:ascii="宋体" w:hAnsi="宋体" w:cs="宋体" w:eastAsia="宋体" w:hint="default"/>
                            <w:sz w:val="18"/>
                            <w:szCs w:val="18"/>
                          </w:rPr>
                        </w:pPr>
                        <w:r>
                          <w:rPr>
                            <w:rFonts w:ascii="宋体" w:hAnsi="宋体" w:cs="宋体" w:eastAsia="宋体" w:hint="default"/>
                            <w:sz w:val="18"/>
                            <w:szCs w:val="18"/>
                          </w:rPr>
                          <w:t>（证券代码：</w:t>
                        </w:r>
                      </w:p>
                    </w:tc>
                  </w:tr>
                  <w:tr>
                    <w:trPr>
                      <w:trHeight w:val="239"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831008</w:t>
                        </w:r>
                        <w:r>
                          <w:rPr>
                            <w:rFonts w:ascii="宋体" w:hAnsi="宋体" w:cs="宋体" w:eastAsia="宋体" w:hint="default"/>
                            <w:sz w:val="18"/>
                            <w:szCs w:val="18"/>
                          </w:rPr>
                          <w:t>，证券简称</w:t>
                        </w:r>
                      </w:p>
                    </w:tc>
                  </w:tr>
                  <w:tr>
                    <w:trPr>
                      <w:trHeight w:val="23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1" w:right="0"/>
                          <w:jc w:val="left"/>
                          <w:rPr>
                            <w:rFonts w:ascii="宋体" w:hAnsi="宋体" w:cs="宋体" w:eastAsia="宋体" w:hint="default"/>
                            <w:sz w:val="18"/>
                            <w:szCs w:val="18"/>
                          </w:rPr>
                        </w:pPr>
                        <w:r>
                          <w:rPr>
                            <w:rFonts w:ascii="宋体" w:hAnsi="宋体" w:cs="宋体" w:eastAsia="宋体" w:hint="default"/>
                            <w:sz w:val="18"/>
                            <w:szCs w:val="18"/>
                          </w:rPr>
                          <w:t>百华悦邦</w:t>
                        </w:r>
                        <w:r>
                          <w:rPr>
                            <w:rFonts w:ascii="宋体" w:hAnsi="宋体" w:cs="宋体" w:eastAsia="宋体" w:hint="default"/>
                            <w:spacing w:val="-12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2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69" w:right="0"/>
                          <w:jc w:val="left"/>
                          <w:rPr>
                            <w:rFonts w:ascii="宋体" w:hAnsi="宋体" w:cs="宋体" w:eastAsia="宋体" w:hint="default"/>
                            <w:sz w:val="18"/>
                            <w:szCs w:val="18"/>
                          </w:rPr>
                        </w:pPr>
                        <w:r>
                          <w:rPr>
                            <w:rFonts w:ascii="宋体" w:hAnsi="宋体" w:cs="宋体" w:eastAsia="宋体" w:hint="default"/>
                            <w:sz w:val="18"/>
                            <w:szCs w:val="18"/>
                          </w:rPr>
                          <w:t>第三次临时股东大</w:t>
                        </w:r>
                      </w:p>
                    </w:tc>
                  </w:tr>
                  <w:tr>
                    <w:trPr>
                      <w:trHeight w:val="23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82"/>
                            <w:sz w:val="18"/>
                            <w:szCs w:val="18"/>
                          </w:rPr>
                          <w:t>》</w:t>
                        </w:r>
                        <w:r>
                          <w:rPr>
                            <w:rFonts w:ascii="宋体" w:hAnsi="宋体" w:cs="宋体" w:eastAsia="宋体" w:hint="default"/>
                            <w:sz w:val="18"/>
                            <w:szCs w:val="18"/>
                          </w:rPr>
                          <w:t>公告编</w:t>
                        </w:r>
                      </w:p>
                    </w:tc>
                  </w:tr>
                  <w:tr>
                    <w:trPr>
                      <w:trHeight w:val="282"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2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2017-032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335" w:lineRule="exact"/>
        <w:ind w:left="305"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5"/>
          <w:szCs w:val="15"/>
        </w:rPr>
      </w:pPr>
    </w:p>
    <w:p>
      <w:pPr>
        <w:pStyle w:val="Heading2"/>
        <w:spacing w:line="240" w:lineRule="auto"/>
        <w:ind w:right="0"/>
        <w:jc w:val="left"/>
        <w:rPr>
          <w:b w:val="0"/>
          <w:bCs w:val="0"/>
        </w:rPr>
      </w:pPr>
      <w:r>
        <w:rPr/>
        <w:t>五、报告期内独立董事履行职责的情况</w:t>
      </w:r>
      <w:r>
        <w:rPr>
          <w:b w:val="0"/>
          <w:bCs w:val="0"/>
        </w:rPr>
      </w:r>
    </w:p>
    <w:p>
      <w:pPr>
        <w:pStyle w:val="Heading3"/>
        <w:spacing w:line="240" w:lineRule="auto" w:before="210"/>
        <w:ind w:left="305"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300"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324"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90"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5" w:right="38"/>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04" w:right="36"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3"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484" w:right="38"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36"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周海涛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8"/>
        <w:ind w:right="0"/>
        <w:jc w:val="left"/>
      </w:pPr>
      <w:r>
        <w:rPr/>
        <w:t>连续两次未亲自出席董事会的说明</w:t>
      </w:r>
    </w:p>
    <w:p>
      <w:pPr>
        <w:spacing w:line="240" w:lineRule="auto" w:before="7"/>
        <w:rPr>
          <w:rFonts w:ascii="宋体" w:hAnsi="宋体" w:cs="宋体" w:eastAsia="宋体" w:hint="default"/>
          <w:sz w:val="17"/>
          <w:szCs w:val="17"/>
        </w:rPr>
      </w:pPr>
    </w:p>
    <w:p>
      <w:pPr>
        <w:pStyle w:val="Heading3"/>
        <w:spacing w:line="240" w:lineRule="auto"/>
        <w:ind w:left="305"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0"/>
        <w:jc w:val="left"/>
      </w:pPr>
      <w:r>
        <w:rPr/>
        <w:t>独立董事对公司有关事项是否提出异议</w:t>
      </w:r>
    </w:p>
    <w:p>
      <w:pPr>
        <w:pStyle w:val="BodyText"/>
        <w:spacing w:line="240" w:lineRule="auto" w:before="3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6"/>
        <w:rPr>
          <w:rFonts w:ascii="宋体" w:hAnsi="宋体" w:cs="宋体" w:eastAsia="宋体" w:hint="default"/>
          <w:sz w:val="16"/>
          <w:szCs w:val="16"/>
        </w:rPr>
      </w:pPr>
    </w:p>
    <w:p>
      <w:pPr>
        <w:pStyle w:val="Heading3"/>
        <w:spacing w:line="240" w:lineRule="auto"/>
        <w:ind w:left="305"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ind w:right="0"/>
        <w:jc w:val="left"/>
      </w:pPr>
      <w:r>
        <w:rPr/>
        <w:t>独立董事对公司有关建议是否被采纳</w:t>
      </w:r>
    </w:p>
    <w:p>
      <w:pPr>
        <w:pStyle w:val="BodyText"/>
        <w:spacing w:line="240" w:lineRule="auto" w:before="3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35" w:lineRule="auto" w:before="31"/>
        <w:ind w:right="739" w:firstLine="362"/>
        <w:jc w:val="both"/>
      </w:pPr>
      <w:r>
        <w:rPr/>
        <w:t>报告期内，公司独立董事严格按照有关法律、法规和《公司章程》的规定，关注公司运作，独立履行职责，对 公司的制度完善及公司日常经营决策等方面提出了许多专业性的意见，对报告期内需要独立董事发表意见的事项出 具了独立、公正意见，为完善公司监督机制，维护公司和全体股东的合法权益发挥了应有的作用。</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12"/>
        <w:rPr>
          <w:rFonts w:ascii="Microsoft JhengHei" w:hAnsi="Microsoft JhengHei" w:cs="Microsoft JhengHei" w:eastAsia="Microsoft JhengHei" w:hint="default"/>
          <w:b/>
          <w:bCs/>
          <w:sz w:val="17"/>
          <w:szCs w:val="17"/>
        </w:rPr>
      </w:pPr>
    </w:p>
    <w:p>
      <w:pPr>
        <w:pStyle w:val="BodyText"/>
        <w:spacing w:line="232" w:lineRule="exact"/>
        <w:ind w:right="679" w:firstLine="419"/>
        <w:jc w:val="both"/>
      </w:pPr>
      <w:r>
        <w:rPr/>
        <w:t>报告期内，董事会各专门委员会根据《上市公司治理准则》和公司董事会各专门委员会工作制度，认真履职， 充分发挥了专业优势和职能作用，为董事会决策提供了良好的支持。</w:t>
      </w:r>
    </w:p>
    <w:p>
      <w:pPr>
        <w:spacing w:after="0" w:line="232" w:lineRule="exact"/>
        <w:jc w:val="both"/>
        <w:sectPr>
          <w:pgSz w:w="11910" w:h="16840"/>
          <w:pgMar w:header="228" w:footer="0" w:top="1100" w:bottom="160" w:left="1680" w:right="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35" w:lineRule="auto" w:before="48"/>
        <w:ind w:right="664" w:firstLine="362"/>
        <w:jc w:val="both"/>
      </w:pPr>
      <w:r>
        <w:rPr/>
        <w:t>审计委员会详细了解公司财务状况和经营情况，审议了公司的定期报告、内审部门日常审计、专项审计工作， 审查了公司内部控制制度的制定及执行情况，对公司财务状况和经营情况实施了有效的指导和监督；薪酬和考核委</w:t>
      </w:r>
      <w:r>
        <w:rPr>
          <w:spacing w:val="-79"/>
        </w:rPr>
        <w:t> </w:t>
      </w:r>
      <w:r>
        <w:rPr>
          <w:spacing w:val="-79"/>
        </w:rPr>
      </w:r>
      <w:r>
        <w:rPr/>
        <w:t>员会审议</w:t>
      </w:r>
      <w:r>
        <w:rPr>
          <w:rFonts w:ascii="Times New Roman" w:hAnsi="Times New Roman" w:cs="Times New Roman" w:eastAsia="Times New Roman" w:hint="default"/>
        </w:rPr>
        <w:t>2016</w:t>
      </w:r>
      <w:r>
        <w:rPr/>
        <w:t>年公司董事、监事、高级管理人员年终奖方案及</w:t>
      </w:r>
      <w:r>
        <w:rPr>
          <w:rFonts w:ascii="Times New Roman" w:hAnsi="Times New Roman" w:cs="Times New Roman" w:eastAsia="Times New Roman" w:hint="default"/>
        </w:rPr>
        <w:t>2017</w:t>
      </w:r>
      <w:r>
        <w:rPr/>
        <w:t>年度薪酬标准；战略发展委员会结合公司所处行</w:t>
      </w:r>
      <w:r>
        <w:rPr>
          <w:spacing w:val="-80"/>
        </w:rPr>
        <w:t> </w:t>
      </w:r>
      <w:r>
        <w:rPr>
          <w:spacing w:val="-80"/>
        </w:rPr>
      </w:r>
      <w:r>
        <w:rPr/>
        <w:t>业的特点，对公司经营现状、发展前景、所处行业的风险和机遇进行了深入地了解，为公司发展战略的制订实施提</w:t>
      </w:r>
      <w:r>
        <w:rPr>
          <w:spacing w:val="-79"/>
        </w:rPr>
        <w:t> </w:t>
      </w:r>
      <w:r>
        <w:rPr>
          <w:spacing w:val="-79"/>
        </w:rPr>
      </w:r>
      <w:r>
        <w:rPr/>
        <w:t>出了宝贵的建议，保证了公司发展规划和战略决策的科学性，为公司持续、稳健发展提供了战略层面的支持。</w:t>
      </w:r>
    </w:p>
    <w:p>
      <w:pPr>
        <w:spacing w:line="240" w:lineRule="auto" w:before="2"/>
        <w:rPr>
          <w:rFonts w:ascii="宋体" w:hAnsi="宋体" w:cs="宋体" w:eastAsia="宋体" w:hint="default"/>
          <w:sz w:val="16"/>
          <w:szCs w:val="16"/>
        </w:rPr>
      </w:pPr>
    </w:p>
    <w:p>
      <w:pPr>
        <w:pStyle w:val="Heading2"/>
        <w:spacing w:line="240" w:lineRule="auto"/>
        <w:ind w:right="661"/>
        <w:jc w:val="left"/>
        <w:rPr>
          <w:b w:val="0"/>
          <w:bCs w:val="0"/>
        </w:rPr>
      </w:pPr>
      <w:r>
        <w:rPr/>
        <w:t>七、监事会工作情况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661"/>
        <w:jc w:val="left"/>
      </w:pPr>
      <w:r>
        <w:rPr/>
        <w:t>监事会在报告期内的监督活动中发现公司是否存在风险</w:t>
      </w:r>
    </w:p>
    <w:p>
      <w:pPr>
        <w:pStyle w:val="BodyText"/>
        <w:spacing w:line="240" w:lineRule="auto" w:before="38"/>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15"/>
          <w:szCs w:val="15"/>
        </w:rPr>
      </w:pPr>
    </w:p>
    <w:p>
      <w:pPr>
        <w:pStyle w:val="Heading2"/>
        <w:spacing w:line="240" w:lineRule="auto"/>
        <w:ind w:right="661"/>
        <w:jc w:val="left"/>
        <w:rPr>
          <w:b w:val="0"/>
          <w:bCs w:val="0"/>
        </w:rPr>
      </w:pPr>
      <w:r>
        <w:rPr/>
        <w:t>八、高级管理人员的考评及激励情况</w:t>
      </w:r>
      <w:r>
        <w:rPr>
          <w:b w:val="0"/>
          <w:bCs w:val="0"/>
        </w:rPr>
      </w:r>
    </w:p>
    <w:p>
      <w:pPr>
        <w:spacing w:line="240" w:lineRule="auto" w:before="9"/>
        <w:rPr>
          <w:rFonts w:ascii="Microsoft JhengHei" w:hAnsi="Microsoft JhengHei" w:cs="Microsoft JhengHei" w:eastAsia="Microsoft JhengHei" w:hint="default"/>
          <w:b/>
          <w:bCs/>
          <w:sz w:val="16"/>
          <w:szCs w:val="16"/>
        </w:rPr>
      </w:pPr>
    </w:p>
    <w:p>
      <w:pPr>
        <w:pStyle w:val="BodyText"/>
        <w:spacing w:line="235" w:lineRule="auto"/>
        <w:ind w:right="678" w:firstLine="362"/>
        <w:jc w:val="both"/>
      </w:pPr>
      <w:r>
        <w:rPr/>
        <w:t>公司建立了完善的高级管理人员绩效考评体系和薪酬制度，公司董事会提名、薪酬与考核委员对公司高级管理 人员年度薪酬提出方案，经公司董事会审议通过后执行。公司高级管理人员年度薪酬由基本薪酬和绩效薪酬两部分 构成，绩效薪酬由董事会授权提名、薪酬与考核委员会根据公司年度经营目标、各项财务指标完成情况以及各高级 管理人员分管业务工作、个人年度履行职责情况，对其进行绩效考核并评定。</w:t>
      </w:r>
    </w:p>
    <w:p>
      <w:pPr>
        <w:spacing w:line="240" w:lineRule="auto" w:before="4"/>
        <w:rPr>
          <w:rFonts w:ascii="宋体" w:hAnsi="宋体" w:cs="宋体" w:eastAsia="宋体" w:hint="default"/>
          <w:sz w:val="16"/>
          <w:szCs w:val="16"/>
        </w:rPr>
      </w:pPr>
    </w:p>
    <w:p>
      <w:pPr>
        <w:pStyle w:val="Heading2"/>
        <w:spacing w:line="240" w:lineRule="auto"/>
        <w:ind w:right="661"/>
        <w:jc w:val="left"/>
        <w:rPr>
          <w:b w:val="0"/>
          <w:bCs w:val="0"/>
        </w:rPr>
      </w:pPr>
      <w:r>
        <w:rPr/>
        <w:t>九、内部控制评价报告</w:t>
      </w:r>
      <w:r>
        <w:rPr>
          <w:b w:val="0"/>
          <w:bCs w:val="0"/>
        </w:rPr>
      </w:r>
    </w:p>
    <w:p>
      <w:pPr>
        <w:pStyle w:val="Heading3"/>
        <w:spacing w:line="240" w:lineRule="auto" w:before="212"/>
        <w:ind w:left="305" w:right="661"/>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40" w:lineRule="auto"/>
        <w:ind w:right="6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16"/>
          <w:szCs w:val="16"/>
        </w:rPr>
      </w:pPr>
    </w:p>
    <w:p>
      <w:pPr>
        <w:pStyle w:val="Heading3"/>
        <w:spacing w:line="240" w:lineRule="auto"/>
        <w:ind w:left="305" w:right="66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Microsoft JhengHei" w:hAnsi="Microsoft JhengHei" w:cs="Microsoft JhengHei" w:eastAsia="Microsoft JhengHei" w:hint="default"/>
          <w:b/>
          <w:bCs/>
          <w:sz w:val="17"/>
          <w:szCs w:val="17"/>
        </w:rPr>
      </w:pPr>
    </w:p>
    <w:tbl>
      <w:tblPr>
        <w:tblW w:w="0" w:type="auto"/>
        <w:jc w:val="left"/>
        <w:tblInd w:w="300" w:type="dxa"/>
        <w:tblLayout w:type="fixed"/>
        <w:tblCellMar>
          <w:top w:w="0" w:type="dxa"/>
          <w:left w:w="0" w:type="dxa"/>
          <w:bottom w:w="0" w:type="dxa"/>
          <w:right w:w="0" w:type="dxa"/>
        </w:tblCellMar>
        <w:tblLook w:val="01E0"/>
      </w:tblPr>
      <w:tblGrid>
        <w:gridCol w:w="3189"/>
        <w:gridCol w:w="3328"/>
        <w:gridCol w:w="3054"/>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100.00%</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15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10" w:space="0" w:color="D2D2D2"/>
              <w:right w:val="single" w:sz="4" w:space="0" w:color="000000"/>
            </w:tcBorders>
          </w:tcPr>
          <w:p>
            <w:pPr>
              <w:pStyle w:val="TableParagraph"/>
              <w:spacing w:line="237"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重大缺陷：公司董事、监事和高级管理人 员舞弊；对已经公告的财务报告出现的重 大差错进行更正；注册会计师发现当期财 务报告存在重大错报而内部控制在运行过 程中未能发现该错误；审计委员会和内部 审计机构对财务报告内部控制的监督无 效；会计人员不具备应有素质以完成财务 报表编制工作等。重要缺陷：依照公认会 计准则选择和应用会计政策的内部控制问 题、反舞弊程序和控制问题、非常规或非 系统性交易的内部控制问题、期末财务报</w:t>
            </w:r>
          </w:p>
        </w:tc>
        <w:tc>
          <w:tcPr>
            <w:tcW w:w="3054" w:type="dxa"/>
            <w:vMerge w:val="restart"/>
            <w:tcBorders>
              <w:top w:val="single" w:sz="4" w:space="0" w:color="000000"/>
              <w:left w:val="single" w:sz="4" w:space="0" w:color="000000"/>
              <w:right w:val="single" w:sz="4" w:space="0" w:color="000000"/>
            </w:tcBorders>
          </w:tcPr>
          <w:p>
            <w:pPr>
              <w:pStyle w:val="TableParagraph"/>
              <w:spacing w:line="237" w:lineRule="auto" w:before="10"/>
              <w:ind w:left="24" w:right="24"/>
              <w:jc w:val="left"/>
              <w:rPr>
                <w:rFonts w:ascii="宋体" w:hAnsi="宋体" w:cs="宋体" w:eastAsia="宋体" w:hint="default"/>
                <w:sz w:val="18"/>
                <w:szCs w:val="18"/>
              </w:rPr>
            </w:pPr>
            <w:r>
              <w:rPr>
                <w:rFonts w:ascii="宋体" w:hAnsi="宋体" w:cs="宋体" w:eastAsia="宋体" w:hint="default"/>
                <w:sz w:val="18"/>
                <w:szCs w:val="18"/>
              </w:rPr>
              <w:t>公司非财务报告内部控制缺陷认定的 定性标准主要依据缺陷涉及业务性质 </w:t>
            </w:r>
            <w:r>
              <w:rPr>
                <w:rFonts w:ascii="宋体" w:hAnsi="宋体" w:cs="宋体" w:eastAsia="宋体" w:hint="default"/>
                <w:spacing w:val="-4"/>
                <w:sz w:val="18"/>
                <w:szCs w:val="18"/>
              </w:rPr>
              <w:t>的严重程度、直接或潜在负面影响的性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质、影响的范围等因素来确定。</w:t>
            </w:r>
            <w:r>
              <w:rPr>
                <w:rFonts w:ascii="宋体" w:hAnsi="宋体" w:cs="宋体" w:eastAsia="宋体" w:hint="default"/>
                <w:spacing w:val="1"/>
                <w:sz w:val="18"/>
                <w:szCs w:val="18"/>
              </w:rPr>
              <w:t> </w:t>
            </w:r>
            <w:r>
              <w:rPr>
                <w:rFonts w:ascii="宋体" w:hAnsi="宋体" w:cs="宋体" w:eastAsia="宋体" w:hint="default"/>
                <w:sz w:val="18"/>
                <w:szCs w:val="18"/>
              </w:rPr>
              <w:t>重大</w:t>
            </w:r>
            <w:r>
              <w:rPr>
                <w:rFonts w:ascii="宋体" w:hAnsi="宋体" w:cs="宋体" w:eastAsia="宋体" w:hint="default"/>
                <w:sz w:val="18"/>
                <w:szCs w:val="18"/>
              </w:rPr>
              <w:t> </w:t>
            </w:r>
            <w:r>
              <w:rPr>
                <w:rFonts w:ascii="宋体" w:hAnsi="宋体" w:cs="宋体" w:eastAsia="宋体" w:hint="default"/>
                <w:spacing w:val="-4"/>
                <w:sz w:val="18"/>
                <w:szCs w:val="18"/>
              </w:rPr>
              <w:t>缺陷：对于重大事项公司管理层缺乏科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学的决策；本年度发生严重违反国家法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律、法规事项；关键岗位人员流失率过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高，影响业务正常开展；在中央媒体或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全国性媒体上负面新闻频现。</w:t>
            </w:r>
            <w:r>
              <w:rPr>
                <w:rFonts w:ascii="宋体" w:hAnsi="宋体" w:cs="宋体" w:eastAsia="宋体" w:hint="default"/>
                <w:spacing w:val="1"/>
                <w:sz w:val="18"/>
                <w:szCs w:val="18"/>
              </w:rPr>
              <w:t> </w:t>
            </w:r>
            <w:r>
              <w:rPr>
                <w:rFonts w:ascii="宋体" w:hAnsi="宋体" w:cs="宋体" w:eastAsia="宋体" w:hint="default"/>
                <w:sz w:val="18"/>
                <w:szCs w:val="18"/>
              </w:rPr>
              <w:t>重要缺</w:t>
            </w:r>
            <w:r>
              <w:rPr>
                <w:rFonts w:ascii="宋体" w:hAnsi="宋体" w:cs="宋体" w:eastAsia="宋体" w:hint="default"/>
                <w:sz w:val="18"/>
                <w:szCs w:val="18"/>
              </w:rPr>
              <w:t> </w:t>
            </w:r>
            <w:r>
              <w:rPr>
                <w:rFonts w:ascii="宋体" w:hAnsi="宋体" w:cs="宋体" w:eastAsia="宋体" w:hint="default"/>
                <w:spacing w:val="-4"/>
                <w:sz w:val="18"/>
                <w:szCs w:val="18"/>
              </w:rPr>
              <w:t>陷：对于重要事项未执行规范的科学决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策程序；本年度发生严重违反地方法规</w:t>
            </w:r>
          </w:p>
        </w:tc>
      </w:tr>
      <w:tr>
        <w:trPr>
          <w:trHeight w:val="31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10" w:space="0" w:color="D2D2D2"/>
              <w:right w:val="single" w:sz="4" w:space="0" w:color="000000"/>
            </w:tcBorders>
          </w:tcPr>
          <w:p>
            <w:pPr/>
          </w:p>
        </w:tc>
        <w:tc>
          <w:tcPr>
            <w:tcW w:w="3054" w:type="dxa"/>
            <w:vMerge/>
            <w:tcBorders>
              <w:left w:val="single" w:sz="4" w:space="0" w:color="000000"/>
              <w:right w:val="single" w:sz="4" w:space="0" w:color="000000"/>
            </w:tcBorders>
          </w:tcPr>
          <w:p>
            <w:pPr/>
          </w:p>
        </w:tc>
      </w:tr>
      <w:tr>
        <w:trPr>
          <w:trHeight w:val="115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10" w:space="0" w:color="D2D2D2"/>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bl>
    <w:p>
      <w:pPr>
        <w:spacing w:after="0"/>
        <w:sectPr>
          <w:pgSz w:w="11910" w:h="16840"/>
          <w:pgMar w:header="228" w:footer="0" w:top="1100" w:bottom="160" w:left="1680" w:right="2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08"/>
        <w:jc w:val="right"/>
      </w:pPr>
      <w:r>
        <w:rPr/>
        <w:pict>
          <v:shape style="position:absolute;margin-left:99.024002pt;margin-top:-82.928284pt;width:479.3pt;height:188.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4"/>
                  </w:tblGrid>
                  <w:tr>
                    <w:trPr>
                      <w:trHeight w:val="98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告流程的内部控制问题。一般缺陷：除重</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大缺陷和重要缺陷之外的其他缺陷。</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pacing w:val="-4"/>
                            <w:sz w:val="18"/>
                            <w:szCs w:val="18"/>
                          </w:rPr>
                          <w:t>的事项；本年度关键岗位人员流失率大</w:t>
                        </w:r>
                      </w:p>
                      <w:p>
                        <w:pPr>
                          <w:pStyle w:val="TableParagraph"/>
                          <w:spacing w:line="232" w:lineRule="exact" w:before="23"/>
                          <w:ind w:left="24" w:right="22"/>
                          <w:jc w:val="both"/>
                          <w:rPr>
                            <w:rFonts w:ascii="宋体" w:hAnsi="宋体" w:cs="宋体" w:eastAsia="宋体" w:hint="default"/>
                            <w:sz w:val="18"/>
                            <w:szCs w:val="18"/>
                          </w:rPr>
                        </w:pPr>
                        <w:r>
                          <w:rPr>
                            <w:rFonts w:ascii="宋体" w:hAnsi="宋体" w:cs="宋体" w:eastAsia="宋体" w:hint="default"/>
                            <w:spacing w:val="-4"/>
                            <w:sz w:val="18"/>
                            <w:szCs w:val="18"/>
                          </w:rPr>
                          <w:t>大高于平均水平；在地方媒体上负面新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闻频现等。一般缺陷：除重大缺陷和重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要缺陷之外的其他缺陷。</w:t>
                        </w:r>
                      </w:p>
                    </w:tc>
                  </w:tr>
                  <w:tr>
                    <w:trPr>
                      <w:trHeight w:val="149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7"/>
                          <w:ind w:left="23" w:right="19"/>
                          <w:jc w:val="both"/>
                          <w:rPr>
                            <w:rFonts w:ascii="宋体" w:hAnsi="宋体" w:cs="宋体" w:eastAsia="宋体" w:hint="default"/>
                            <w:sz w:val="18"/>
                            <w:szCs w:val="18"/>
                          </w:rPr>
                        </w:pPr>
                        <w:r>
                          <w:rPr>
                            <w:rFonts w:ascii="宋体" w:hAnsi="宋体" w:cs="宋体" w:eastAsia="宋体" w:hint="default"/>
                            <w:sz w:val="18"/>
                            <w:szCs w:val="18"/>
                          </w:rPr>
                          <w:t>重大缺陷包括内部控制缺陷导致错报或财 产损失金额超过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万元；重要缺陷包括 内部控制缺陷导致错报或财产损失金额在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万元以内的；错报或财产损</w:t>
                        </w:r>
                      </w:p>
                      <w:p>
                        <w:pPr>
                          <w:pStyle w:val="TableParagraph"/>
                          <w:spacing w:line="231" w:lineRule="exact"/>
                          <w:ind w:left="23" w:right="0"/>
                          <w:jc w:val="both"/>
                          <w:rPr>
                            <w:rFonts w:ascii="宋体" w:hAnsi="宋体" w:cs="宋体" w:eastAsia="宋体" w:hint="default"/>
                            <w:sz w:val="18"/>
                            <w:szCs w:val="18"/>
                          </w:rPr>
                        </w:pPr>
                        <w:r>
                          <w:rPr>
                            <w:rFonts w:ascii="宋体" w:hAnsi="宋体" w:cs="宋体" w:eastAsia="宋体" w:hint="default"/>
                            <w:sz w:val="18"/>
                            <w:szCs w:val="18"/>
                          </w:rPr>
                          <w:t>失金额在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万元以内的属于一般缺陷。</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22"/>
                          <w:jc w:val="left"/>
                          <w:rPr>
                            <w:rFonts w:ascii="宋体" w:hAnsi="宋体" w:cs="宋体" w:eastAsia="宋体" w:hint="default"/>
                            <w:sz w:val="18"/>
                            <w:szCs w:val="18"/>
                          </w:rPr>
                        </w:pPr>
                        <w:r>
                          <w:rPr>
                            <w:rFonts w:ascii="宋体" w:hAnsi="宋体" w:cs="宋体" w:eastAsia="宋体" w:hint="default"/>
                            <w:sz w:val="18"/>
                            <w:szCs w:val="18"/>
                          </w:rPr>
                          <w:t>重大缺陷包括内部控制缺陷导致错报 或财产损失金额超过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万元；重要缺</w:t>
                        </w:r>
                        <w:r>
                          <w:rPr>
                            <w:rFonts w:ascii="宋体" w:hAnsi="宋体" w:cs="宋体" w:eastAsia="宋体" w:hint="default"/>
                            <w:sz w:val="18"/>
                            <w:szCs w:val="18"/>
                          </w:rPr>
                          <w:t> 陷包括内部控制缺陷导致错报或财产 损失金额在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万元以内的</w:t>
                        </w:r>
                      </w:p>
                      <w:p>
                        <w:pPr>
                          <w:pStyle w:val="TableParagraph"/>
                          <w:spacing w:line="234" w:lineRule="exact" w:before="8"/>
                          <w:ind w:left="24" w:right="46"/>
                          <w:jc w:val="left"/>
                          <w:rPr>
                            <w:rFonts w:ascii="宋体" w:hAnsi="宋体" w:cs="宋体" w:eastAsia="宋体" w:hint="default"/>
                            <w:sz w:val="18"/>
                            <w:szCs w:val="18"/>
                          </w:rPr>
                        </w:pPr>
                        <w:r>
                          <w:rPr>
                            <w:rFonts w:ascii="宋体" w:hAnsi="宋体" w:cs="宋体" w:eastAsia="宋体" w:hint="default"/>
                            <w:sz w:val="18"/>
                            <w:szCs w:val="18"/>
                          </w:rPr>
                          <w:t>错报或财产损失金额在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万元以内的 属于一般缺陷。</w:t>
                        </w:r>
                      </w:p>
                    </w:tc>
                  </w:tr>
                  <w:tr>
                    <w:trPr>
                      <w:trHeight w:val="32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right="0"/>
        <w:jc w:val="left"/>
      </w:pPr>
      <w:r>
        <w:rPr/>
        <w:t>不适用</w:t>
      </w:r>
    </w:p>
    <w:p>
      <w:pPr>
        <w:spacing w:line="240" w:lineRule="auto" w:before="3"/>
        <w:rPr>
          <w:rFonts w:ascii="宋体" w:hAnsi="宋体" w:cs="宋体" w:eastAsia="宋体" w:hint="default"/>
          <w:sz w:val="16"/>
          <w:szCs w:val="16"/>
        </w:rPr>
      </w:pPr>
    </w:p>
    <w:p>
      <w:pPr>
        <w:pStyle w:val="Heading1"/>
        <w:spacing w:line="240" w:lineRule="auto"/>
        <w:ind w:left="2947" w:right="3368"/>
        <w:jc w:val="center"/>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11"/>
        <w:rPr>
          <w:rFonts w:ascii="Microsoft JhengHei" w:hAnsi="Microsoft JhengHei" w:cs="Microsoft JhengHei" w:eastAsia="Microsoft JhengHei" w:hint="default"/>
          <w:b/>
          <w:bCs/>
          <w:sz w:val="19"/>
          <w:szCs w:val="19"/>
        </w:rPr>
      </w:pPr>
    </w:p>
    <w:p>
      <w:pPr>
        <w:pStyle w:val="BodyText"/>
        <w:spacing w:line="278" w:lineRule="auto"/>
        <w:ind w:right="1081"/>
        <w:jc w:val="left"/>
      </w:pPr>
      <w:r>
        <w:rPr/>
        <w:t>公司是否存在公开发行并在证券交易所上市，且在年度报告批准报出日未到期或到期未能全额兑付的公司债券 否</w:t>
      </w:r>
    </w:p>
    <w:p>
      <w:pPr>
        <w:spacing w:line="240" w:lineRule="auto" w:before="13"/>
        <w:rPr>
          <w:rFonts w:ascii="宋体" w:hAnsi="宋体" w:cs="宋体" w:eastAsia="宋体" w:hint="default"/>
          <w:sz w:val="13"/>
          <w:szCs w:val="13"/>
        </w:rPr>
      </w:pPr>
    </w:p>
    <w:p>
      <w:pPr>
        <w:pStyle w:val="Heading1"/>
        <w:spacing w:line="240" w:lineRule="auto"/>
        <w:ind w:left="2947" w:right="3367"/>
        <w:jc w:val="center"/>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4"/>
        <w:rPr>
          <w:rFonts w:ascii="Microsoft JhengHei" w:hAnsi="Microsoft JhengHei" w:cs="Microsoft JhengHei" w:eastAsia="Microsoft JhengHei" w:hint="default"/>
          <w:b/>
          <w:bCs/>
          <w:sz w:val="46"/>
          <w:szCs w:val="46"/>
        </w:rPr>
      </w:pPr>
    </w:p>
    <w:p>
      <w:pPr>
        <w:pStyle w:val="Heading2"/>
        <w:spacing w:line="240" w:lineRule="auto"/>
        <w:ind w:right="0"/>
        <w:jc w:val="left"/>
        <w:rPr>
          <w:b w:val="0"/>
          <w:bCs w:val="0"/>
        </w:rPr>
      </w:pP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300" w:type="dxa"/>
        <w:tblLayout w:type="fixed"/>
        <w:tblCellMar>
          <w:top w:w="0" w:type="dxa"/>
          <w:left w:w="0" w:type="dxa"/>
          <w:bottom w:w="0" w:type="dxa"/>
          <w:right w:w="0" w:type="dxa"/>
        </w:tblCellMar>
        <w:tblLook w:val="01E0"/>
      </w:tblPr>
      <w:tblGrid>
        <w:gridCol w:w="4784"/>
        <w:gridCol w:w="4787"/>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普华永道中天审字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程明，刘渊博</w:t>
            </w:r>
          </w:p>
        </w:tc>
      </w:tr>
    </w:tbl>
    <w:p>
      <w:pPr>
        <w:spacing w:after="0" w:line="240" w:lineRule="auto"/>
        <w:jc w:val="left"/>
        <w:rPr>
          <w:rFonts w:ascii="宋体" w:hAnsi="宋体" w:cs="宋体" w:eastAsia="宋体" w:hint="default"/>
          <w:sz w:val="18"/>
          <w:szCs w:val="18"/>
        </w:rPr>
        <w:sectPr>
          <w:pgSz w:w="11910" w:h="16840"/>
          <w:pgMar w:header="228" w:footer="0" w:top="1100" w:bottom="160" w:left="1680" w:right="180"/>
        </w:sectPr>
      </w:pPr>
    </w:p>
    <w:p>
      <w:pPr>
        <w:spacing w:line="240" w:lineRule="auto" w:before="0"/>
        <w:rPr>
          <w:rFonts w:ascii="Microsoft JhengHei" w:hAnsi="Microsoft JhengHei" w:cs="Microsoft JhengHei" w:eastAsia="Microsoft JhengHei" w:hint="default"/>
          <w:b/>
          <w:bCs/>
          <w:sz w:val="18"/>
          <w:szCs w:val="18"/>
        </w:rPr>
      </w:pPr>
    </w:p>
    <w:p>
      <w:pPr>
        <w:spacing w:line="240" w:lineRule="auto" w:before="5"/>
        <w:rPr>
          <w:rFonts w:ascii="Microsoft JhengHei" w:hAnsi="Microsoft JhengHei" w:cs="Microsoft JhengHei" w:eastAsia="Microsoft JhengHei" w:hint="default"/>
          <w:b/>
          <w:bCs/>
          <w:sz w:val="18"/>
          <w:szCs w:val="18"/>
        </w:rPr>
      </w:pPr>
    </w:p>
    <w:p>
      <w:pPr>
        <w:pStyle w:val="BodyText"/>
        <w:spacing w:line="240" w:lineRule="auto"/>
        <w:ind w:right="-15"/>
        <w:jc w:val="left"/>
      </w:pPr>
      <w:r>
        <w:rPr/>
        <w:t>普华永道中天审字</w:t>
      </w:r>
      <w:r>
        <w:rPr>
          <w:rFonts w:ascii="Times New Roman" w:hAnsi="Times New Roman" w:cs="Times New Roman" w:eastAsia="Times New Roman" w:hint="default"/>
        </w:rPr>
        <w:t>(2018)</w:t>
      </w:r>
      <w:r>
        <w:rPr/>
        <w:t>第</w:t>
      </w:r>
      <w:r>
        <w:rPr>
          <w:spacing w:val="-48"/>
        </w:rPr>
        <w:t> </w:t>
      </w:r>
      <w:r>
        <w:rPr>
          <w:rFonts w:ascii="Times New Roman" w:hAnsi="Times New Roman" w:cs="Times New Roman" w:eastAsia="Times New Roman" w:hint="default"/>
        </w:rPr>
        <w:t>10052</w:t>
      </w:r>
      <w:r>
        <w:rPr>
          <w:rFonts w:ascii="Times New Roman" w:hAnsi="Times New Roman" w:cs="Times New Roman" w:eastAsia="Times New Roman" w:hint="default"/>
          <w:spacing w:val="1"/>
        </w:rPr>
        <w:t> </w:t>
      </w:r>
      <w:r>
        <w:rPr/>
        <w:t>号</w:t>
      </w:r>
    </w:p>
    <w:p>
      <w:pPr>
        <w:pStyle w:val="BodyText"/>
        <w:spacing w:line="240" w:lineRule="auto" w:before="8"/>
        <w:ind w:right="0"/>
        <w:jc w:val="left"/>
      </w:pPr>
      <w:r>
        <w:rPr/>
        <w:br w:type="column"/>
      </w:r>
      <w:r>
        <w:rPr/>
        <w:t>审计报告正文</w:t>
      </w:r>
    </w:p>
    <w:p>
      <w:pPr>
        <w:spacing w:before="30"/>
        <w:ind w:left="307" w:right="0" w:firstLine="0"/>
        <w:jc w:val="left"/>
        <w:rPr>
          <w:rFonts w:ascii="宋体" w:hAnsi="宋体" w:cs="宋体" w:eastAsia="宋体" w:hint="default"/>
          <w:sz w:val="24"/>
          <w:szCs w:val="24"/>
        </w:rPr>
      </w:pPr>
      <w:r>
        <w:rPr>
          <w:rFonts w:ascii="宋体" w:hAnsi="宋体" w:cs="宋体" w:eastAsia="宋体" w:hint="default"/>
          <w:sz w:val="24"/>
          <w:szCs w:val="24"/>
        </w:rPr>
        <w:t>审计报告</w:t>
      </w:r>
    </w:p>
    <w:p>
      <w:pPr>
        <w:spacing w:after="0"/>
        <w:jc w:val="left"/>
        <w:rPr>
          <w:rFonts w:ascii="宋体" w:hAnsi="宋体" w:cs="宋体" w:eastAsia="宋体" w:hint="default"/>
          <w:sz w:val="24"/>
          <w:szCs w:val="24"/>
        </w:rPr>
        <w:sectPr>
          <w:type w:val="continuous"/>
          <w:pgSz w:w="11910" w:h="16840"/>
          <w:pgMar w:top="1060" w:bottom="1160" w:left="1680" w:right="180"/>
          <w:cols w:num="2" w:equalWidth="0">
            <w:col w:w="3129" w:space="839"/>
            <w:col w:w="608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right="0"/>
        <w:jc w:val="both"/>
      </w:pPr>
      <w:r>
        <w:rPr/>
        <w:t>北京百华悦邦科技股份有限公司全体股东：</w:t>
      </w:r>
    </w:p>
    <w:p>
      <w:pPr>
        <w:spacing w:line="240" w:lineRule="auto" w:before="10"/>
        <w:rPr>
          <w:rFonts w:ascii="宋体" w:hAnsi="宋体" w:cs="宋体" w:eastAsia="宋体" w:hint="default"/>
          <w:sz w:val="21"/>
          <w:szCs w:val="21"/>
        </w:rPr>
      </w:pPr>
    </w:p>
    <w:p>
      <w:pPr>
        <w:pStyle w:val="BodyText"/>
        <w:spacing w:line="276" w:lineRule="auto"/>
        <w:ind w:right="7881"/>
        <w:jc w:val="left"/>
      </w:pPr>
      <w:r>
        <w:rPr/>
        <w:t>审计意见 我们审计的内容</w:t>
      </w:r>
    </w:p>
    <w:p>
      <w:pPr>
        <w:pStyle w:val="BodyText"/>
        <w:spacing w:line="223" w:lineRule="auto" w:before="28"/>
        <w:ind w:right="140"/>
        <w:jc w:val="both"/>
      </w:pPr>
      <w:r>
        <w:rPr/>
        <w:t>我们审计了北京百华悦邦科技股份有限公司（以下简称百华悦邦公司）的财务报表，包括</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日的合并 及公司资产负债表，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年度的合并及公司利润表、合并及公司现金流量表、合并及公司股东权益变动表以及财务 报表附注。</w:t>
      </w:r>
    </w:p>
    <w:p>
      <w:pPr>
        <w:spacing w:line="240" w:lineRule="auto" w:before="12"/>
        <w:rPr>
          <w:rFonts w:ascii="宋体" w:hAnsi="宋体" w:cs="宋体" w:eastAsia="宋体" w:hint="default"/>
          <w:sz w:val="21"/>
          <w:szCs w:val="21"/>
        </w:rPr>
      </w:pPr>
    </w:p>
    <w:p>
      <w:pPr>
        <w:pStyle w:val="BodyText"/>
        <w:spacing w:line="240" w:lineRule="auto"/>
        <w:ind w:left="396" w:right="0"/>
        <w:jc w:val="both"/>
      </w:pPr>
      <w:r>
        <w:rPr/>
        <w:t>我们的意见</w:t>
      </w:r>
    </w:p>
    <w:p>
      <w:pPr>
        <w:pStyle w:val="BodyText"/>
        <w:spacing w:line="240" w:lineRule="exact" w:before="41"/>
        <w:ind w:right="0"/>
        <w:jc w:val="both"/>
      </w:pPr>
      <w:r>
        <w:rPr/>
        <w:t>我们认为，后附的财务报表在所有重大方面按照企业会计准则的规定编制，公允反映了百华悦邦公司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p>
    <w:p>
      <w:pPr>
        <w:pStyle w:val="BodyText"/>
        <w:spacing w:line="240" w:lineRule="exact"/>
        <w:ind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日的合并及公司财务状况以及</w:t>
      </w:r>
      <w:r>
        <w:rPr>
          <w:spacing w:val="-46"/>
        </w:rPr>
        <w:t> </w:t>
      </w:r>
      <w:r>
        <w:rPr>
          <w:rFonts w:ascii="Times New Roman" w:hAnsi="Times New Roman" w:cs="Times New Roman" w:eastAsia="Times New Roman" w:hint="default"/>
        </w:rPr>
        <w:t>2017 </w:t>
      </w:r>
      <w:r>
        <w:rPr/>
        <w:t>年度的合并及公司经营成果和现金流量。</w:t>
      </w:r>
    </w:p>
    <w:p>
      <w:pPr>
        <w:spacing w:line="240" w:lineRule="auto" w:before="10"/>
        <w:rPr>
          <w:rFonts w:ascii="宋体" w:hAnsi="宋体" w:cs="宋体" w:eastAsia="宋体" w:hint="default"/>
          <w:sz w:val="20"/>
          <w:szCs w:val="20"/>
        </w:rPr>
      </w:pPr>
    </w:p>
    <w:p>
      <w:pPr>
        <w:pStyle w:val="BodyText"/>
        <w:spacing w:line="240" w:lineRule="auto"/>
        <w:ind w:right="0"/>
        <w:jc w:val="both"/>
      </w:pPr>
      <w:r>
        <w:rPr/>
        <w:t>形成审计意见的基础</w:t>
      </w:r>
    </w:p>
    <w:p>
      <w:pPr>
        <w:pStyle w:val="BodyText"/>
        <w:spacing w:line="230" w:lineRule="auto" w:before="49"/>
        <w:ind w:right="159"/>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 一步阐述了我们在这些准则下的责任。我们相信，我们获取的审计证据是充分、适当的，为发表审计意见提供了基 础。</w:t>
      </w:r>
    </w:p>
    <w:p>
      <w:pPr>
        <w:spacing w:line="240" w:lineRule="auto" w:before="11"/>
        <w:rPr>
          <w:rFonts w:ascii="宋体" w:hAnsi="宋体" w:cs="宋体" w:eastAsia="宋体" w:hint="default"/>
          <w:sz w:val="21"/>
          <w:szCs w:val="21"/>
        </w:rPr>
      </w:pPr>
    </w:p>
    <w:p>
      <w:pPr>
        <w:pStyle w:val="BodyText"/>
        <w:spacing w:line="240" w:lineRule="auto"/>
        <w:ind w:left="396" w:right="0"/>
        <w:jc w:val="both"/>
      </w:pPr>
      <w:r>
        <w:rPr/>
        <w:t>按照中国注册会计师职业道德守则，我们独立于百华悦邦公司，并履行了职业道德方面的其他责任。</w:t>
      </w:r>
    </w:p>
    <w:p>
      <w:pPr>
        <w:spacing w:line="240" w:lineRule="auto" w:before="10"/>
        <w:rPr>
          <w:rFonts w:ascii="宋体" w:hAnsi="宋体" w:cs="宋体" w:eastAsia="宋体" w:hint="default"/>
          <w:sz w:val="21"/>
          <w:szCs w:val="21"/>
        </w:rPr>
      </w:pPr>
    </w:p>
    <w:p>
      <w:pPr>
        <w:pStyle w:val="BodyText"/>
        <w:spacing w:line="256" w:lineRule="auto"/>
        <w:ind w:right="141"/>
        <w:jc w:val="left"/>
      </w:pPr>
      <w:r>
        <w:rPr/>
        <w:t>关键审计事项 关键审计事项是我们根据职业判断，认为对本期财务报表审计最为重要的事项。这些事项的应对以对财务报表整体 进行审计并形成审计意见为背景，我们不对这些事项单独发表意见。</w:t>
      </w:r>
    </w:p>
    <w:p>
      <w:pPr>
        <w:spacing w:line="240" w:lineRule="auto" w:before="11"/>
        <w:rPr>
          <w:rFonts w:ascii="宋体" w:hAnsi="宋体" w:cs="宋体" w:eastAsia="宋体" w:hint="default"/>
          <w:sz w:val="20"/>
          <w:szCs w:val="20"/>
        </w:rPr>
      </w:pPr>
    </w:p>
    <w:p>
      <w:pPr>
        <w:pStyle w:val="BodyText"/>
        <w:spacing w:line="240" w:lineRule="auto"/>
        <w:ind w:left="396" w:right="0"/>
        <w:jc w:val="both"/>
      </w:pPr>
      <w:r>
        <w:rPr/>
        <w:t>我们在审计中识别出的关键审计事项汇总如下：</w:t>
      </w:r>
    </w:p>
    <w:p>
      <w:pPr>
        <w:pStyle w:val="BodyText"/>
        <w:spacing w:line="240" w:lineRule="auto" w:before="38"/>
        <w:ind w:left="1027" w:right="141"/>
        <w:jc w:val="left"/>
      </w:pPr>
      <w:r>
        <w:rPr/>
        <w:t>（一）收入的确认</w:t>
      </w:r>
    </w:p>
    <w:p>
      <w:pPr>
        <w:pStyle w:val="BodyText"/>
        <w:spacing w:line="240" w:lineRule="auto" w:before="38"/>
        <w:ind w:left="1027" w:right="141"/>
        <w:jc w:val="left"/>
      </w:pPr>
      <w:r>
        <w:rPr/>
        <w:t>（二）商誉的减值评估</w:t>
      </w:r>
    </w:p>
    <w:p>
      <w:pPr>
        <w:spacing w:after="0" w:line="240" w:lineRule="auto"/>
        <w:jc w:val="left"/>
        <w:sectPr>
          <w:pgSz w:w="11910" w:h="16840"/>
          <w:pgMar w:header="228" w:footer="0" w:top="1100" w:bottom="160" w:left="16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pStyle w:val="BodyText"/>
        <w:spacing w:line="240" w:lineRule="auto" w:before="44"/>
        <w:ind w:left="152" w:right="0"/>
        <w:jc w:val="left"/>
      </w:pPr>
      <w:r>
        <w:rPr/>
        <w:t>关键审计事项（续）</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4395"/>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7827"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收入的确认</w:t>
            </w:r>
          </w:p>
          <w:p>
            <w:pPr>
              <w:pStyle w:val="TableParagraph"/>
              <w:spacing w:line="300" w:lineRule="auto" w:before="117"/>
              <w:ind w:left="103" w:right="101"/>
              <w:jc w:val="both"/>
              <w:rPr>
                <w:rFonts w:ascii="宋体" w:hAnsi="宋体" w:cs="宋体" w:eastAsia="宋体" w:hint="default"/>
                <w:sz w:val="18"/>
                <w:szCs w:val="18"/>
              </w:rPr>
            </w:pPr>
            <w:r>
              <w:rPr>
                <w:rFonts w:ascii="宋体" w:hAnsi="宋体" w:cs="宋体" w:eastAsia="宋体" w:hint="default"/>
                <w:sz w:val="18"/>
                <w:szCs w:val="18"/>
              </w:rPr>
              <w:t>请参见财务报表附注二（</w:t>
            </w:r>
            <w:r>
              <w:rPr>
                <w:rFonts w:ascii="Times New Roman" w:hAnsi="Times New Roman" w:cs="Times New Roman" w:eastAsia="Times New Roman" w:hint="default"/>
                <w:sz w:val="18"/>
                <w:szCs w:val="18"/>
              </w:rPr>
              <w:t>23</w:t>
            </w:r>
            <w:r>
              <w:rPr>
                <w:rFonts w:ascii="宋体" w:hAnsi="宋体" w:cs="宋体" w:eastAsia="宋体" w:hint="default"/>
                <w:sz w:val="18"/>
                <w:szCs w:val="18"/>
              </w:rPr>
              <w:t>）“主要会计政策和会计估 计</w:t>
            </w:r>
            <w:r>
              <w:rPr>
                <w:rFonts w:ascii="Times New Roman" w:hAnsi="Times New Roman" w:cs="Times New Roman" w:eastAsia="Times New Roman" w:hint="default"/>
                <w:sz w:val="18"/>
                <w:szCs w:val="18"/>
              </w:rPr>
              <w:t>-</w:t>
            </w:r>
            <w:r>
              <w:rPr>
                <w:rFonts w:ascii="宋体" w:hAnsi="宋体" w:cs="宋体" w:eastAsia="宋体" w:hint="default"/>
                <w:sz w:val="18"/>
                <w:szCs w:val="18"/>
              </w:rPr>
              <w:t>收入确认”及附注四</w:t>
            </w:r>
            <w:r>
              <w:rPr>
                <w:rFonts w:ascii="Times New Roman" w:hAnsi="Times New Roman" w:cs="Times New Roman" w:eastAsia="Times New Roman" w:hint="default"/>
                <w:sz w:val="18"/>
                <w:szCs w:val="18"/>
              </w:rPr>
              <w:t>(25)</w:t>
            </w:r>
            <w:r>
              <w:rPr>
                <w:rFonts w:ascii="宋体" w:hAnsi="宋体" w:cs="宋体" w:eastAsia="宋体" w:hint="default"/>
                <w:sz w:val="18"/>
                <w:szCs w:val="18"/>
              </w:rPr>
              <w:t>“营业收入和营业成本”。</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日止年</w:t>
            </w:r>
            <w:r>
              <w:rPr>
                <w:rFonts w:ascii="宋体" w:hAnsi="宋体" w:cs="宋体" w:eastAsia="宋体" w:hint="default"/>
                <w:spacing w:val="-3"/>
                <w:sz w:val="18"/>
                <w:szCs w:val="18"/>
              </w:rPr>
              <w:t>度</w:t>
            </w:r>
            <w:r>
              <w:rPr>
                <w:rFonts w:ascii="宋体" w:hAnsi="宋体" w:cs="宋体" w:eastAsia="宋体" w:hint="default"/>
                <w:spacing w:val="-92"/>
                <w:sz w:val="18"/>
                <w:szCs w:val="18"/>
              </w:rPr>
              <w:t>，</w:t>
            </w:r>
            <w:r>
              <w:rPr>
                <w:rFonts w:ascii="宋体" w:hAnsi="宋体" w:cs="宋体" w:eastAsia="宋体" w:hint="default"/>
                <w:sz w:val="18"/>
                <w:szCs w:val="18"/>
              </w:rPr>
              <w:t>百华悦邦公司合并利润</w:t>
            </w:r>
          </w:p>
          <w:p>
            <w:pPr>
              <w:pStyle w:val="TableParagraph"/>
              <w:spacing w:line="309" w:lineRule="auto" w:before="63"/>
              <w:ind w:left="103" w:right="101"/>
              <w:jc w:val="both"/>
              <w:rPr>
                <w:rFonts w:ascii="宋体" w:hAnsi="宋体" w:cs="宋体" w:eastAsia="宋体" w:hint="default"/>
                <w:sz w:val="18"/>
                <w:szCs w:val="18"/>
              </w:rPr>
            </w:pPr>
            <w:r>
              <w:rPr>
                <w:rFonts w:ascii="宋体" w:hAnsi="宋体" w:cs="宋体" w:eastAsia="宋体" w:hint="default"/>
                <w:sz w:val="18"/>
                <w:szCs w:val="18"/>
              </w:rPr>
              <w:t>表营业收入金额为人民币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675,123,540.03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元。公司的主 要收入来源为：手机维修、电子商务和非电子商务类的 配件销售及增值业务。</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百华悦邦公司收入类型较多，业务量较大，门店网点较 多，同时还存在经销商销售商品业务以及现金结算的销 售业务。上述收入确认还涉及百华悦邦公司在这些交易 中的角色是作为主要责任人或代理人从而应当用全额法 还是净额法确认相关收入的重大判断，包括评估百华悦 邦公司是否为主要责任承担人，是否承担存货风险和信 用风险，以及是否拥有定价能力。</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03" w:right="281"/>
              <w:jc w:val="left"/>
              <w:rPr>
                <w:rFonts w:ascii="宋体" w:hAnsi="宋体" w:cs="宋体" w:eastAsia="宋体" w:hint="default"/>
                <w:sz w:val="18"/>
                <w:szCs w:val="18"/>
              </w:rPr>
            </w:pPr>
            <w:r>
              <w:rPr>
                <w:rFonts w:ascii="宋体" w:hAnsi="宋体" w:cs="宋体" w:eastAsia="宋体" w:hint="default"/>
                <w:sz w:val="18"/>
                <w:szCs w:val="18"/>
              </w:rPr>
              <w:t>考虑到百华悦邦公司的收入业务规模以及所涉及的判 断，我们将收入的确认作为审计的重点关注领域。</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40"/>
              <w:jc w:val="left"/>
              <w:rPr>
                <w:rFonts w:ascii="宋体" w:hAnsi="宋体" w:cs="宋体" w:eastAsia="宋体" w:hint="default"/>
                <w:sz w:val="18"/>
                <w:szCs w:val="18"/>
              </w:rPr>
            </w:pPr>
            <w:r>
              <w:rPr>
                <w:rFonts w:ascii="宋体" w:hAnsi="宋体" w:cs="宋体" w:eastAsia="宋体" w:hint="default"/>
                <w:sz w:val="18"/>
                <w:szCs w:val="18"/>
              </w:rPr>
              <w:t>结合相关会计准则的规定以及收入有关的交易背景和 情况，我们实施的审计程序主要包括：</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z w:val="18"/>
                <w:szCs w:val="18"/>
              </w:rPr>
              <w:t>了解并测试百华悦邦公司有关销售收入和销售收款流 程的内部控制；</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抽样选取重大合同予以检查，与百华悦邦公司管理层、</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供应商以及客户的相关人员进行访谈，了解商业实质 及交易安排；</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03" w:right="140"/>
              <w:jc w:val="left"/>
              <w:rPr>
                <w:rFonts w:ascii="宋体" w:hAnsi="宋体" w:cs="宋体" w:eastAsia="宋体" w:hint="default"/>
                <w:sz w:val="18"/>
                <w:szCs w:val="18"/>
              </w:rPr>
            </w:pPr>
            <w:r>
              <w:rPr>
                <w:rFonts w:ascii="宋体" w:hAnsi="宋体" w:cs="宋体" w:eastAsia="宋体" w:hint="default"/>
                <w:sz w:val="18"/>
                <w:szCs w:val="18"/>
              </w:rPr>
              <w:t>针对抽样选取的交易，我们检查了相关支持性文件。 其中，</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03" w:right="140"/>
              <w:jc w:val="left"/>
              <w:rPr>
                <w:rFonts w:ascii="宋体" w:hAnsi="宋体" w:cs="宋体" w:eastAsia="宋体" w:hint="default"/>
                <w:sz w:val="18"/>
                <w:szCs w:val="18"/>
              </w:rPr>
            </w:pPr>
            <w:r>
              <w:rPr>
                <w:rFonts w:ascii="宋体" w:hAnsi="宋体" w:cs="宋体" w:eastAsia="宋体" w:hint="default"/>
                <w:sz w:val="18"/>
                <w:szCs w:val="18"/>
              </w:rPr>
              <w:t>针对现金结算业务，我们检查了客户签字确认的现金 销售工单以及对应的银行流水；及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09" w:lineRule="auto"/>
              <w:ind w:left="103" w:right="14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针对经销商销售商品业务，我们检查了经销商</w:t>
            </w:r>
            <w:r>
              <w:rPr>
                <w:rFonts w:ascii="宋体" w:hAnsi="宋体" w:cs="宋体" w:eastAsia="宋体" w:hint="default"/>
                <w:sz w:val="18"/>
                <w:szCs w:val="18"/>
              </w:rPr>
              <w:t> 销售订单和销售物流运单信息，对经销商进行了电话 访谈或实地走访。</w:t>
            </w:r>
          </w:p>
        </w:tc>
      </w:tr>
    </w:tbl>
    <w:p>
      <w:pPr>
        <w:spacing w:line="240" w:lineRule="auto" w:before="4"/>
        <w:rPr>
          <w:rFonts w:ascii="宋体" w:hAnsi="宋体" w:cs="宋体" w:eastAsia="宋体" w:hint="default"/>
          <w:sz w:val="27"/>
          <w:szCs w:val="27"/>
        </w:rPr>
      </w:pPr>
    </w:p>
    <w:p>
      <w:pPr>
        <w:pStyle w:val="BodyText"/>
        <w:tabs>
          <w:tab w:pos="786" w:val="left" w:leader="none"/>
        </w:tabs>
        <w:spacing w:line="240" w:lineRule="auto" w:before="44"/>
        <w:ind w:left="152" w:right="0"/>
        <w:jc w:val="left"/>
      </w:pPr>
      <w:r>
        <w:rPr/>
        <w:t>三、</w:t>
        <w:tab/>
        <w:t>关键审计事项（续）</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4410"/>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305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收入的确认（续）</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56"/>
              <w:jc w:val="left"/>
              <w:rPr>
                <w:rFonts w:ascii="宋体" w:hAnsi="宋体" w:cs="宋体" w:eastAsia="宋体" w:hint="default"/>
                <w:sz w:val="18"/>
                <w:szCs w:val="18"/>
              </w:rPr>
            </w:pPr>
            <w:r>
              <w:rPr>
                <w:rFonts w:ascii="宋体" w:hAnsi="宋体" w:cs="宋体" w:eastAsia="宋体" w:hint="default"/>
                <w:sz w:val="18"/>
                <w:szCs w:val="18"/>
              </w:rPr>
              <w:t>抽样选取客户，针对其本年发生的交易额实施了函证 程序。</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03" w:right="156"/>
              <w:jc w:val="left"/>
              <w:rPr>
                <w:rFonts w:ascii="宋体" w:hAnsi="宋体" w:cs="宋体" w:eastAsia="宋体" w:hint="default"/>
                <w:sz w:val="18"/>
                <w:szCs w:val="18"/>
              </w:rPr>
            </w:pPr>
            <w:r>
              <w:rPr>
                <w:rFonts w:ascii="宋体" w:hAnsi="宋体" w:cs="宋体" w:eastAsia="宋体" w:hint="default"/>
                <w:sz w:val="18"/>
                <w:szCs w:val="18"/>
              </w:rPr>
              <w:t>针对收入按照全额法或净额法确认的判断，我们抽样 实施了下列程序：</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03" w:right="156"/>
              <w:jc w:val="left"/>
              <w:rPr>
                <w:rFonts w:ascii="宋体" w:hAnsi="宋体" w:cs="宋体" w:eastAsia="宋体" w:hint="default"/>
                <w:sz w:val="18"/>
                <w:szCs w:val="18"/>
              </w:rPr>
            </w:pPr>
            <w:r>
              <w:rPr>
                <w:rFonts w:ascii="宋体" w:hAnsi="宋体" w:cs="宋体" w:eastAsia="宋体" w:hint="default"/>
                <w:sz w:val="18"/>
                <w:szCs w:val="18"/>
              </w:rPr>
              <w:t>对于选取的客户和供应商，进行了背景调查，并通过 与之访谈了解双方合作过程中的主要方面，包括双方</w:t>
            </w:r>
          </w:p>
        </w:tc>
      </w:tr>
    </w:tbl>
    <w:p>
      <w:pPr>
        <w:spacing w:after="0" w:line="316" w:lineRule="auto"/>
        <w:jc w:val="left"/>
        <w:rPr>
          <w:rFonts w:ascii="宋体" w:hAnsi="宋体" w:cs="宋体" w:eastAsia="宋体" w:hint="default"/>
          <w:sz w:val="18"/>
          <w:szCs w:val="18"/>
        </w:rPr>
        <w:sectPr>
          <w:headerReference w:type="default" r:id="rId34"/>
          <w:footerReference w:type="default" r:id="rId35"/>
          <w:pgSz w:w="11910" w:h="16840"/>
          <w:pgMar w:header="892" w:footer="956" w:top="1080" w:bottom="1140" w:left="980" w:right="980"/>
          <w:pgNumType w:start="5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4537"/>
        <w:gridCol w:w="4410"/>
        <w:gridCol w:w="722"/>
      </w:tblGrid>
      <w:tr>
        <w:trPr>
          <w:trHeight w:val="329" w:hRule="exact"/>
        </w:trPr>
        <w:tc>
          <w:tcPr>
            <w:tcW w:w="4537" w:type="dxa"/>
            <w:vMerge w:val="restart"/>
            <w:tcBorders>
              <w:top w:val="single" w:sz="10" w:space="0" w:color="000000"/>
              <w:left w:val="single" w:sz="4" w:space="0" w:color="000000"/>
              <w:right w:val="single" w:sz="4" w:space="0" w:color="000000"/>
            </w:tcBorders>
          </w:tcPr>
          <w:p>
            <w:pPr/>
          </w:p>
        </w:tc>
        <w:tc>
          <w:tcPr>
            <w:tcW w:w="441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如何建立商业关系，价格的谈判与确定以及对提供的</w:t>
            </w:r>
          </w:p>
        </w:tc>
        <w:tc>
          <w:tcPr>
            <w:tcW w:w="722" w:type="dxa"/>
            <w:vMerge w:val="restart"/>
            <w:tcBorders>
              <w:top w:val="single" w:sz="6" w:space="0" w:color="000000"/>
              <w:left w:val="single" w:sz="4" w:space="0" w:color="000000"/>
              <w:right w:val="nil" w:sz="6" w:space="0" w:color="auto"/>
            </w:tcBorders>
          </w:tcPr>
          <w:p>
            <w:pPr/>
          </w:p>
        </w:tc>
      </w:tr>
      <w:tr>
        <w:trPr>
          <w:trHeight w:val="508" w:hRule="exact"/>
        </w:trPr>
        <w:tc>
          <w:tcPr>
            <w:tcW w:w="4537" w:type="dxa"/>
            <w:vMerge/>
            <w:tcBorders>
              <w:left w:val="single" w:sz="4" w:space="0" w:color="000000"/>
              <w:right w:val="single" w:sz="4" w:space="0" w:color="000000"/>
            </w:tcBorders>
          </w:tcPr>
          <w:p>
            <w:pP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货物或服务的验收；及</w:t>
            </w:r>
          </w:p>
        </w:tc>
        <w:tc>
          <w:tcPr>
            <w:tcW w:w="722" w:type="dxa"/>
            <w:vMerge/>
            <w:tcBorders>
              <w:left w:val="single" w:sz="4" w:space="0" w:color="000000"/>
              <w:right w:val="nil" w:sz="6" w:space="0" w:color="auto"/>
            </w:tcBorders>
          </w:tcPr>
          <w:p>
            <w:pPr/>
          </w:p>
        </w:tc>
      </w:tr>
      <w:tr>
        <w:trPr>
          <w:trHeight w:val="508" w:hRule="exact"/>
        </w:trPr>
        <w:tc>
          <w:tcPr>
            <w:tcW w:w="4537" w:type="dxa"/>
            <w:vMerge/>
            <w:tcBorders>
              <w:left w:val="single" w:sz="4" w:space="0" w:color="000000"/>
              <w:right w:val="single" w:sz="4" w:space="0" w:color="000000"/>
            </w:tcBorders>
          </w:tcPr>
          <w:p>
            <w:pP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对相关合同进行了检查并评价其主要条款，包括谁是</w:t>
            </w:r>
          </w:p>
        </w:tc>
        <w:tc>
          <w:tcPr>
            <w:tcW w:w="722" w:type="dxa"/>
            <w:vMerge/>
            <w:tcBorders>
              <w:left w:val="single" w:sz="4" w:space="0" w:color="000000"/>
              <w:right w:val="nil" w:sz="6" w:space="0" w:color="auto"/>
            </w:tcBorders>
          </w:tcPr>
          <w:p>
            <w:pPr/>
          </w:p>
        </w:tc>
      </w:tr>
      <w:tr>
        <w:trPr>
          <w:trHeight w:val="312" w:hRule="exact"/>
        </w:trPr>
        <w:tc>
          <w:tcPr>
            <w:tcW w:w="4537" w:type="dxa"/>
            <w:vMerge/>
            <w:tcBorders>
              <w:left w:val="single" w:sz="4" w:space="0" w:color="000000"/>
              <w:right w:val="single" w:sz="4" w:space="0" w:color="000000"/>
            </w:tcBorders>
          </w:tcPr>
          <w:p>
            <w:pP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为客户供货或提供服务的主要责任人，谁承担存货风</w:t>
            </w:r>
          </w:p>
        </w:tc>
        <w:tc>
          <w:tcPr>
            <w:tcW w:w="722" w:type="dxa"/>
            <w:vMerge/>
            <w:tcBorders>
              <w:left w:val="single" w:sz="4" w:space="0" w:color="000000"/>
              <w:right w:val="nil" w:sz="6" w:space="0" w:color="auto"/>
            </w:tcBorders>
          </w:tcPr>
          <w:p>
            <w:pPr/>
          </w:p>
        </w:tc>
      </w:tr>
      <w:tr>
        <w:trPr>
          <w:trHeight w:val="684" w:hRule="exact"/>
        </w:trPr>
        <w:tc>
          <w:tcPr>
            <w:tcW w:w="4537" w:type="dxa"/>
            <w:vMerge/>
            <w:tcBorders>
              <w:left w:val="single" w:sz="4" w:space="0" w:color="000000"/>
              <w:right w:val="single" w:sz="4" w:space="0" w:color="000000"/>
            </w:tcBorders>
          </w:tcPr>
          <w:p>
            <w:pP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险，以及由谁承担客户的信用风险。</w:t>
            </w:r>
          </w:p>
        </w:tc>
        <w:tc>
          <w:tcPr>
            <w:tcW w:w="722" w:type="dxa"/>
            <w:vMerge/>
            <w:tcBorders>
              <w:left w:val="single" w:sz="4" w:space="0" w:color="000000"/>
              <w:right w:val="nil" w:sz="6" w:space="0" w:color="auto"/>
            </w:tcBorders>
          </w:tcPr>
          <w:p>
            <w:pPr/>
          </w:p>
        </w:tc>
      </w:tr>
      <w:tr>
        <w:trPr>
          <w:trHeight w:val="684" w:hRule="exact"/>
        </w:trPr>
        <w:tc>
          <w:tcPr>
            <w:tcW w:w="4537" w:type="dxa"/>
            <w:vMerge/>
            <w:tcBorders>
              <w:left w:val="single" w:sz="4" w:space="0" w:color="000000"/>
              <w:right w:val="single" w:sz="4" w:space="0" w:color="000000"/>
            </w:tcBorders>
          </w:tcPr>
          <w:p>
            <w:pPr/>
          </w:p>
        </w:tc>
        <w:tc>
          <w:tcPr>
            <w:tcW w:w="44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基于上述执行的程序，我们取得的审计证据能够支持</w:t>
            </w:r>
          </w:p>
        </w:tc>
        <w:tc>
          <w:tcPr>
            <w:tcW w:w="722" w:type="dxa"/>
            <w:vMerge/>
            <w:tcBorders>
              <w:left w:val="single" w:sz="4" w:space="0" w:color="000000"/>
              <w:right w:val="nil" w:sz="6" w:space="0" w:color="auto"/>
            </w:tcBorders>
          </w:tcPr>
          <w:p>
            <w:pPr/>
          </w:p>
        </w:tc>
      </w:tr>
      <w:tr>
        <w:trPr>
          <w:trHeight w:val="360" w:hRule="exact"/>
        </w:trPr>
        <w:tc>
          <w:tcPr>
            <w:tcW w:w="4537" w:type="dxa"/>
            <w:vMerge/>
            <w:tcBorders>
              <w:left w:val="single" w:sz="4" w:space="0" w:color="000000"/>
              <w:bottom w:val="single" w:sz="4" w:space="0" w:color="000000"/>
              <w:right w:val="single" w:sz="4" w:space="0" w:color="000000"/>
            </w:tcBorders>
          </w:tcPr>
          <w:p>
            <w:pPr/>
          </w:p>
        </w:tc>
        <w:tc>
          <w:tcPr>
            <w:tcW w:w="4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管理层对于相关收入的确认。</w:t>
            </w:r>
          </w:p>
        </w:tc>
        <w:tc>
          <w:tcPr>
            <w:tcW w:w="722" w:type="dxa"/>
            <w:vMerge/>
            <w:tcBorders>
              <w:left w:val="single" w:sz="4" w:space="0" w:color="000000"/>
              <w:bottom w:val="nil" w:sz="6" w:space="0" w:color="auto"/>
              <w:right w:val="nil" w:sz="6" w:space="0" w:color="auto"/>
            </w:tcBorders>
          </w:tcPr>
          <w:p>
            <w:pPr/>
          </w:p>
        </w:tc>
      </w:tr>
    </w:tbl>
    <w:p>
      <w:pPr>
        <w:spacing w:line="240" w:lineRule="auto" w:before="2"/>
        <w:rPr>
          <w:rFonts w:ascii="宋体" w:hAnsi="宋体" w:cs="宋体" w:eastAsia="宋体" w:hint="default"/>
          <w:sz w:val="27"/>
          <w:szCs w:val="27"/>
        </w:rPr>
      </w:pPr>
    </w:p>
    <w:p>
      <w:pPr>
        <w:pStyle w:val="BodyText"/>
        <w:tabs>
          <w:tab w:pos="966" w:val="left" w:leader="none"/>
        </w:tabs>
        <w:spacing w:line="240" w:lineRule="auto" w:before="44"/>
        <w:ind w:left="152" w:right="0"/>
        <w:jc w:val="left"/>
      </w:pPr>
      <w:r>
        <w:rPr/>
        <w:t>三、</w:t>
        <w:tab/>
        <w:t>关键审计事项（续）</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566"/>
        <w:gridCol w:w="4395"/>
      </w:tblGrid>
      <w:tr>
        <w:trPr>
          <w:trHeight w:val="40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8564"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（二）商誉的减值评估</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00" w:lineRule="auto"/>
              <w:ind w:left="106" w:right="65"/>
              <w:jc w:val="both"/>
              <w:rPr>
                <w:rFonts w:ascii="宋体" w:hAnsi="宋体" w:cs="宋体" w:eastAsia="宋体" w:hint="default"/>
                <w:sz w:val="18"/>
                <w:szCs w:val="18"/>
              </w:rPr>
            </w:pPr>
            <w:r>
              <w:rPr>
                <w:rFonts w:ascii="宋体" w:hAnsi="宋体" w:cs="宋体" w:eastAsia="宋体" w:hint="default"/>
                <w:sz w:val="18"/>
                <w:szCs w:val="18"/>
              </w:rPr>
              <w:t>请参见财务报表附注二</w:t>
            </w:r>
            <w:r>
              <w:rPr>
                <w:rFonts w:ascii="Times New Roman" w:hAnsi="Times New Roman" w:cs="Times New Roman" w:eastAsia="Times New Roman" w:hint="default"/>
                <w:sz w:val="18"/>
                <w:szCs w:val="18"/>
              </w:rPr>
              <w:t>-</w:t>
            </w:r>
            <w:r>
              <w:rPr>
                <w:rFonts w:ascii="宋体" w:hAnsi="宋体" w:cs="宋体" w:eastAsia="宋体" w:hint="default"/>
                <w:sz w:val="18"/>
                <w:szCs w:val="18"/>
              </w:rPr>
              <w:t>主要会计政策和会计估计（</w:t>
            </w:r>
            <w:r>
              <w:rPr>
                <w:rFonts w:ascii="Times New Roman" w:hAnsi="Times New Roman" w:cs="Times New Roman" w:eastAsia="Times New Roman" w:hint="default"/>
                <w:sz w:val="18"/>
                <w:szCs w:val="18"/>
              </w:rPr>
              <w:t>19</w:t>
            </w:r>
            <w:r>
              <w:rPr>
                <w:rFonts w:ascii="宋体" w:hAnsi="宋体" w:cs="宋体" w:eastAsia="宋体" w:hint="default"/>
                <w:sz w:val="18"/>
                <w:szCs w:val="18"/>
              </w:rPr>
              <w:t>） “商誉”、（</w:t>
            </w:r>
            <w:r>
              <w:rPr>
                <w:rFonts w:ascii="Times New Roman" w:hAnsi="Times New Roman" w:cs="Times New Roman" w:eastAsia="Times New Roman" w:hint="default"/>
                <w:sz w:val="18"/>
                <w:szCs w:val="18"/>
              </w:rPr>
              <w:t>20</w:t>
            </w:r>
            <w:r>
              <w:rPr>
                <w:rFonts w:ascii="宋体" w:hAnsi="宋体" w:cs="宋体" w:eastAsia="宋体" w:hint="default"/>
                <w:sz w:val="18"/>
                <w:szCs w:val="18"/>
              </w:rPr>
              <w:t>）“长期资产减值”、（</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r>
              <w:rPr>
                <w:rFonts w:ascii="Times New Roman" w:hAnsi="Times New Roman" w:cs="Times New Roman" w:eastAsia="Times New Roman" w:hint="default"/>
                <w:sz w:val="18"/>
                <w:szCs w:val="18"/>
              </w:rPr>
              <w:t>i</w:t>
            </w:r>
            <w:r>
              <w:rPr>
                <w:rFonts w:ascii="宋体" w:hAnsi="宋体" w:cs="宋体" w:eastAsia="宋体" w:hint="default"/>
                <w:sz w:val="18"/>
                <w:szCs w:val="18"/>
              </w:rPr>
              <w:t>）“重 </w:t>
            </w:r>
            <w:r>
              <w:rPr>
                <w:rFonts w:ascii="宋体" w:hAnsi="宋体" w:cs="宋体" w:eastAsia="宋体" w:hint="default"/>
                <w:spacing w:val="-2"/>
                <w:sz w:val="18"/>
                <w:szCs w:val="18"/>
              </w:rPr>
              <w:t>要会计估计和判断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商誉减值准备的会计估计”及附注四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(11)</w:t>
            </w:r>
            <w:r>
              <w:rPr>
                <w:rFonts w:ascii="宋体" w:hAnsi="宋体" w:cs="宋体" w:eastAsia="宋体" w:hint="default"/>
                <w:sz w:val="18"/>
                <w:szCs w:val="18"/>
              </w:rPr>
              <w:t>“商誉”。</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日止，百华悦邦公司账面的商誉净</w:t>
            </w:r>
          </w:p>
          <w:p>
            <w:pPr>
              <w:pStyle w:val="TableParagraph"/>
              <w:spacing w:line="309" w:lineRule="auto" w:before="63"/>
              <w:ind w:left="106" w:right="99"/>
              <w:jc w:val="left"/>
              <w:rPr>
                <w:rFonts w:ascii="宋体" w:hAnsi="宋体" w:cs="宋体" w:eastAsia="宋体" w:hint="default"/>
                <w:sz w:val="18"/>
                <w:szCs w:val="18"/>
              </w:rPr>
            </w:pPr>
            <w:r>
              <w:rPr>
                <w:rFonts w:ascii="宋体" w:hAnsi="宋体" w:cs="宋体" w:eastAsia="宋体" w:hint="default"/>
                <w:sz w:val="18"/>
                <w:szCs w:val="18"/>
              </w:rPr>
              <w:t>值为人民币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27,053,907.05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元。其中主要包括收购上海百 华悦邦电子科技有限公司股权时产生的商誉人民币 </w:t>
            </w:r>
            <w:r>
              <w:rPr>
                <w:rFonts w:ascii="Times New Roman" w:hAnsi="Times New Roman" w:cs="Times New Roman" w:eastAsia="Times New Roman" w:hint="default"/>
                <w:sz w:val="18"/>
                <w:szCs w:val="18"/>
              </w:rPr>
              <w:t>25,695,430.44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60"/>
              <w:ind w:left="106" w:right="99"/>
              <w:jc w:val="left"/>
              <w:rPr>
                <w:rFonts w:ascii="宋体" w:hAnsi="宋体" w:cs="宋体" w:eastAsia="宋体" w:hint="default"/>
                <w:sz w:val="18"/>
                <w:szCs w:val="18"/>
              </w:rPr>
            </w:pPr>
            <w:r>
              <w:rPr>
                <w:rFonts w:ascii="宋体" w:hAnsi="宋体" w:cs="宋体" w:eastAsia="宋体" w:hint="default"/>
                <w:sz w:val="18"/>
                <w:szCs w:val="18"/>
              </w:rPr>
              <w:t>百华悦邦公司管理层每年对所有商誉进行减值测试，比 较这些相关资产组或者资产组组合的账面价值</w:t>
            </w:r>
            <w:r>
              <w:rPr>
                <w:rFonts w:ascii="Times New Roman" w:hAnsi="Times New Roman" w:cs="Times New Roman" w:eastAsia="Times New Roman" w:hint="default"/>
                <w:sz w:val="18"/>
                <w:szCs w:val="18"/>
              </w:rPr>
              <w:t>(</w:t>
            </w:r>
            <w:r>
              <w:rPr>
                <w:rFonts w:ascii="宋体" w:hAnsi="宋体" w:cs="宋体" w:eastAsia="宋体" w:hint="default"/>
                <w:sz w:val="18"/>
                <w:szCs w:val="18"/>
              </w:rPr>
              <w:t>包括所 </w:t>
            </w:r>
            <w:r>
              <w:rPr>
                <w:rFonts w:ascii="宋体" w:hAnsi="宋体" w:cs="宋体" w:eastAsia="宋体" w:hint="default"/>
                <w:spacing w:val="-2"/>
                <w:sz w:val="18"/>
                <w:szCs w:val="18"/>
              </w:rPr>
              <w:t>分摊的商誉的账面价值部分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与其可收回金额，如相关资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产组或者资产组组合的可收回金额低于其账面价值的， 确认相关减值损失。管理层基于其商誉减值测试，</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年度未计提商誉减值损失。</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106" w:right="128"/>
              <w:jc w:val="left"/>
              <w:rPr>
                <w:rFonts w:ascii="宋体" w:hAnsi="宋体" w:cs="宋体" w:eastAsia="宋体" w:hint="default"/>
                <w:sz w:val="18"/>
                <w:szCs w:val="18"/>
              </w:rPr>
            </w:pPr>
            <w:r>
              <w:rPr>
                <w:rFonts w:ascii="宋体" w:hAnsi="宋体" w:cs="宋体" w:eastAsia="宋体" w:hint="default"/>
                <w:sz w:val="18"/>
                <w:szCs w:val="18"/>
              </w:rPr>
              <w:t>商誉减值测试需要管理层的重大判断，包括在预计相关 的资产组或者资产组组合的预计未来现金流量的现值 时，所涉及的收入增长率、预计毛利率以及折现率等关 键假设。</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06" w:right="128"/>
              <w:jc w:val="left"/>
              <w:rPr>
                <w:rFonts w:ascii="宋体" w:hAnsi="宋体" w:cs="宋体" w:eastAsia="宋体" w:hint="default"/>
                <w:sz w:val="18"/>
                <w:szCs w:val="18"/>
              </w:rPr>
            </w:pPr>
            <w:r>
              <w:rPr>
                <w:rFonts w:ascii="宋体" w:hAnsi="宋体" w:cs="宋体" w:eastAsia="宋体" w:hint="default"/>
                <w:sz w:val="18"/>
                <w:szCs w:val="18"/>
              </w:rPr>
              <w:t>考虑到百华悦邦公司商誉金额的重大性以及减值测试所 涉及的重大判断，我们将商誉的减值评估作为审计的重</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40"/>
              <w:jc w:val="both"/>
              <w:rPr>
                <w:rFonts w:ascii="宋体" w:hAnsi="宋体" w:cs="宋体" w:eastAsia="宋体" w:hint="default"/>
                <w:sz w:val="18"/>
                <w:szCs w:val="18"/>
              </w:rPr>
            </w:pPr>
            <w:r>
              <w:rPr>
                <w:rFonts w:ascii="宋体" w:hAnsi="宋体" w:cs="宋体" w:eastAsia="宋体" w:hint="default"/>
                <w:sz w:val="18"/>
                <w:szCs w:val="18"/>
              </w:rPr>
              <w:t>针对管理层有关商誉减值评估，我们实施的审计工作 主要包括：</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评估未来现金流量预测所采用的模型的恰当性；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9" w:lineRule="auto"/>
              <w:ind w:left="103" w:right="140"/>
              <w:jc w:val="both"/>
              <w:rPr>
                <w:rFonts w:ascii="宋体" w:hAnsi="宋体" w:cs="宋体" w:eastAsia="宋体" w:hint="default"/>
                <w:sz w:val="18"/>
                <w:szCs w:val="18"/>
              </w:rPr>
            </w:pPr>
            <w:r>
              <w:rPr>
                <w:rFonts w:ascii="宋体" w:hAnsi="宋体" w:cs="宋体" w:eastAsia="宋体" w:hint="default"/>
                <w:sz w:val="18"/>
                <w:szCs w:val="18"/>
              </w:rPr>
              <w:t>检查相关关键数据包括历史实际数据以及管理层批准 的预算的输入准确性；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评估了所采用的下列关键假设的合理性：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103" w:right="139"/>
              <w:jc w:val="both"/>
              <w:rPr>
                <w:rFonts w:ascii="宋体" w:hAnsi="宋体" w:cs="宋体" w:eastAsia="宋体" w:hint="default"/>
                <w:sz w:val="18"/>
                <w:szCs w:val="18"/>
              </w:rPr>
            </w:pPr>
            <w:r>
              <w:rPr>
                <w:rFonts w:ascii="宋体" w:hAnsi="宋体" w:cs="宋体" w:eastAsia="宋体" w:hint="default"/>
                <w:sz w:val="18"/>
                <w:szCs w:val="18"/>
              </w:rPr>
              <w:t>对于收入增长率和预计毛利率，我们比对了历史经营 结果，并参考了宏观经济形势以及相关行业的未来预 测情况；</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03" w:right="140"/>
              <w:jc w:val="both"/>
              <w:rPr>
                <w:rFonts w:ascii="宋体" w:hAnsi="宋体" w:cs="宋体" w:eastAsia="宋体" w:hint="default"/>
                <w:sz w:val="18"/>
                <w:szCs w:val="18"/>
              </w:rPr>
            </w:pPr>
            <w:r>
              <w:rPr>
                <w:rFonts w:ascii="宋体" w:hAnsi="宋体" w:cs="宋体" w:eastAsia="宋体" w:hint="default"/>
                <w:sz w:val="18"/>
                <w:szCs w:val="18"/>
              </w:rPr>
              <w:t>对于折现率，在内部评估专家的协助下，我们参考了 包括可比公司的资金成本、风险因素及市场风险溢价 在内的市场数据。</w:t>
            </w:r>
          </w:p>
        </w:tc>
      </w:tr>
    </w:tbl>
    <w:p>
      <w:pPr>
        <w:spacing w:after="0" w:line="316" w:lineRule="auto"/>
        <w:jc w:val="both"/>
        <w:rPr>
          <w:rFonts w:ascii="宋体" w:hAnsi="宋体" w:cs="宋体" w:eastAsia="宋体" w:hint="default"/>
          <w:sz w:val="18"/>
          <w:szCs w:val="18"/>
        </w:rPr>
        <w:sectPr>
          <w:pgSz w:w="11910" w:h="16840"/>
          <w:pgMar w:header="892" w:footer="95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391"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5.65pt;height:19.6pt;mso-position-horizontal-relative:char;mso-position-vertical-relative:line" coordorigin="0,0" coordsize="9713,392">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26;top:19;width:4557;height:2" coordorigin="26,19" coordsize="4557,2">
              <v:shape style="position:absolute;left:26;top:19;width:4557;height:2" coordorigin="26,19" coordsize="4557,0" path="m26,19l4583,19e" filled="false" stroked="true" strokeweight=".48pt" strokecolor="#000000">
                <v:path arrowok="t"/>
              </v:shape>
            </v:group>
            <v:group style="position:absolute;left:4592;top:19;width:4386;height:2" coordorigin="4592,19" coordsize="4386,2">
              <v:shape style="position:absolute;left:4592;top:19;width:4386;height:2" coordorigin="4592,19" coordsize="4386,0" path="m4592,19l8978,19e" filled="false" stroked="true" strokeweight=".48pt" strokecolor="#000000">
                <v:path arrowok="t"/>
              </v:shape>
            </v:group>
            <v:group style="position:absolute;left:22;top:14;width:2;height:372" coordorigin="22,14" coordsize="2,372">
              <v:shape style="position:absolute;left:22;top:14;width:2;height:372" coordorigin="22,14" coordsize="0,372" path="m22,14l22,386e" filled="false" stroked="true" strokeweight=".48pt" strokecolor="#000000">
                <v:path arrowok="t"/>
              </v:shape>
            </v:group>
            <v:group style="position:absolute;left:26;top:382;width:4557;height:2" coordorigin="26,382" coordsize="4557,2">
              <v:shape style="position:absolute;left:26;top:382;width:4557;height:2" coordorigin="26,382" coordsize="4557,0" path="m26,382l4583,382e" filled="false" stroked="true" strokeweight=".48pt" strokecolor="#000000">
                <v:path arrowok="t"/>
              </v:shape>
            </v:group>
            <v:group style="position:absolute;left:4587;top:14;width:2;height:372" coordorigin="4587,14" coordsize="2,372">
              <v:shape style="position:absolute;left:4587;top:14;width:2;height:372" coordorigin="4587,14" coordsize="0,372" path="m4587,14l4587,386e" filled="false" stroked="true" strokeweight=".47998pt" strokecolor="#000000">
                <v:path arrowok="t"/>
              </v:shape>
            </v:group>
            <v:group style="position:absolute;left:4592;top:382;width:4386;height:2" coordorigin="4592,382" coordsize="4386,2">
              <v:shape style="position:absolute;left:4592;top:382;width:4386;height:2" coordorigin="4592,382" coordsize="4386,0" path="m4592,382l8978,382e" filled="false" stroked="true" strokeweight=".48pt" strokecolor="#000000">
                <v:path arrowok="t"/>
              </v:shape>
            </v:group>
            <v:group style="position:absolute;left:8983;top:14;width:2;height:372" coordorigin="8983,14" coordsize="2,372">
              <v:shape style="position:absolute;left:8983;top:14;width:2;height:372" coordorigin="8983,14" coordsize="0,372" path="m8983,14l8983,386e" filled="false" stroked="true" strokeweight=".48001pt" strokecolor="#000000">
                <v:path arrowok="t"/>
              </v:shape>
              <v:shape style="position:absolute;left:22;top:7;width:4566;height:375" type="#_x0000_t202" filled="false" stroked="false">
                <v:textbox inset="0,0,0,0">
                  <w:txbxContent>
                    <w:p>
                      <w:pPr>
                        <w:spacing w:before="27"/>
                        <w:ind w:left="110" w:right="0" w:firstLine="0"/>
                        <w:jc w:val="left"/>
                        <w:rPr>
                          <w:rFonts w:ascii="宋体" w:hAnsi="宋体" w:cs="宋体" w:eastAsia="宋体" w:hint="default"/>
                          <w:sz w:val="18"/>
                          <w:szCs w:val="18"/>
                        </w:rPr>
                      </w:pPr>
                      <w:r>
                        <w:rPr>
                          <w:rFonts w:ascii="宋体" w:hAnsi="宋体" w:cs="宋体" w:eastAsia="宋体" w:hint="default"/>
                          <w:sz w:val="18"/>
                          <w:szCs w:val="18"/>
                        </w:rPr>
                        <w:t>点关注领域。</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26"/>
          <w:szCs w:val="26"/>
        </w:rPr>
      </w:pPr>
    </w:p>
    <w:p>
      <w:pPr>
        <w:pStyle w:val="BodyText"/>
        <w:tabs>
          <w:tab w:pos="966" w:val="left" w:leader="none"/>
        </w:tabs>
        <w:spacing w:line="240" w:lineRule="auto" w:before="44"/>
        <w:ind w:left="152" w:right="0"/>
        <w:jc w:val="left"/>
      </w:pPr>
      <w:r>
        <w:rPr/>
        <w:t>三、</w:t>
        <w:tab/>
        <w:t>关键审计事项（续）</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4410"/>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341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商誉的减值评估</w:t>
            </w:r>
            <w:r>
              <w:rPr>
                <w:rFonts w:ascii="Times New Roman" w:hAnsi="Times New Roman" w:cs="Times New Roman" w:eastAsia="Times New Roman" w:hint="default"/>
                <w:sz w:val="18"/>
                <w:szCs w:val="18"/>
              </w:rPr>
              <w:t>(</w:t>
            </w:r>
            <w:r>
              <w:rPr>
                <w:rFonts w:ascii="宋体" w:hAnsi="宋体" w:cs="宋体" w:eastAsia="宋体" w:hint="default"/>
                <w:sz w:val="18"/>
                <w:szCs w:val="18"/>
              </w:rPr>
              <w:t>续</w:t>
            </w:r>
            <w:r>
              <w:rPr>
                <w:rFonts w:ascii="Times New Roman" w:hAnsi="Times New Roman" w:cs="Times New Roman" w:eastAsia="Times New Roman" w:hint="default"/>
                <w:sz w:val="18"/>
                <w:szCs w:val="18"/>
              </w:rPr>
              <w:t>)</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测试了未来现金流预测的相关计算过程的准确性；及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103" w:right="156"/>
              <w:jc w:val="both"/>
              <w:rPr>
                <w:rFonts w:ascii="宋体" w:hAnsi="宋体" w:cs="宋体" w:eastAsia="宋体" w:hint="default"/>
                <w:sz w:val="18"/>
                <w:szCs w:val="18"/>
              </w:rPr>
            </w:pPr>
            <w:r>
              <w:rPr>
                <w:rFonts w:ascii="宋体" w:hAnsi="宋体" w:cs="宋体" w:eastAsia="宋体" w:hint="default"/>
                <w:sz w:val="18"/>
                <w:szCs w:val="18"/>
              </w:rPr>
              <w:t>分析了管理层在敏感性计算中采用的可能偏差范围内 不同关键假设对于上述资产组或资产组组合可回收金 额的影响。</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03" w:right="156"/>
              <w:jc w:val="both"/>
              <w:rPr>
                <w:rFonts w:ascii="宋体" w:hAnsi="宋体" w:cs="宋体" w:eastAsia="宋体" w:hint="default"/>
                <w:sz w:val="18"/>
                <w:szCs w:val="18"/>
              </w:rPr>
            </w:pPr>
            <w:r>
              <w:rPr>
                <w:rFonts w:ascii="宋体" w:hAnsi="宋体" w:cs="宋体" w:eastAsia="宋体" w:hint="default"/>
                <w:sz w:val="18"/>
                <w:szCs w:val="18"/>
              </w:rPr>
              <w:t>基于上述执行的程序，我们取得的审计证据能够支持 管理层在进行商誉减值评估中所作出的重大判断及估 计。</w:t>
            </w:r>
          </w:p>
        </w:tc>
      </w:tr>
    </w:tbl>
    <w:p>
      <w:pPr>
        <w:spacing w:line="240" w:lineRule="auto" w:before="2"/>
        <w:rPr>
          <w:rFonts w:ascii="宋体" w:hAnsi="宋体" w:cs="宋体" w:eastAsia="宋体" w:hint="default"/>
          <w:sz w:val="27"/>
          <w:szCs w:val="27"/>
        </w:rPr>
      </w:pPr>
    </w:p>
    <w:p>
      <w:pPr>
        <w:pStyle w:val="BodyText"/>
        <w:spacing w:line="240" w:lineRule="auto" w:before="44"/>
        <w:ind w:left="152" w:right="0"/>
        <w:jc w:val="both"/>
      </w:pPr>
      <w:r>
        <w:rPr/>
        <w:t>其他信息</w:t>
      </w:r>
    </w:p>
    <w:p>
      <w:pPr>
        <w:pStyle w:val="BodyText"/>
        <w:spacing w:line="300" w:lineRule="auto" w:before="117"/>
        <w:ind w:left="152" w:right="158"/>
        <w:jc w:val="both"/>
      </w:pPr>
      <w:r>
        <w:rPr/>
        <w:t>百华悦邦公司管理层对其他信息负责。其他信息包括百华悦邦公司</w:t>
      </w:r>
      <w:r>
        <w:rPr>
          <w:spacing w:val="-45"/>
        </w:rPr>
        <w:t> </w:t>
      </w:r>
      <w:r>
        <w:rPr>
          <w:rFonts w:ascii="Times New Roman" w:hAnsi="Times New Roman" w:cs="Times New Roman" w:eastAsia="Times New Roman" w:hint="default"/>
        </w:rPr>
        <w:t>2017 </w:t>
      </w:r>
      <w:r>
        <w:rPr/>
        <w:t>年年度报告中涵盖的信息，但不包括财务报表和我 们的审计报告。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52" w:right="0"/>
        <w:jc w:val="both"/>
      </w:pPr>
      <w:r>
        <w:rPr/>
        <w:t>我们对财务报表发表的审计意见不涵盖其他信息，我们也不对其他信息发表任何形式的鉴证结论。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16" w:lineRule="auto"/>
        <w:ind w:left="152" w:right="150"/>
        <w:jc w:val="both"/>
      </w:pPr>
      <w:r>
        <w:rPr>
          <w:spacing w:val="-2"/>
        </w:rPr>
        <w:t>结合我们对财务报表的审计，我们的责任是阅读其他信息，在此过程中，考虑其他信息是否与财务报表或我们在审计过程中</w:t>
      </w:r>
      <w:r>
        <w:rPr>
          <w:spacing w:val="-63"/>
        </w:rPr>
        <w:t> </w:t>
      </w:r>
      <w:r>
        <w:rPr>
          <w:spacing w:val="-63"/>
        </w:rPr>
      </w:r>
      <w:r>
        <w:rPr>
          <w:spacing w:val="-2"/>
        </w:rPr>
        <w:t>了解到的情况存在重大不一致或者似乎存在重大错报。基于我们已经执行的工作，如果我们确定其他信息存在重大错报，我</w:t>
      </w:r>
      <w:r>
        <w:rPr>
          <w:spacing w:val="-63"/>
        </w:rPr>
        <w:t> </w:t>
      </w:r>
      <w:r>
        <w:rPr>
          <w:spacing w:val="-63"/>
        </w:rPr>
      </w:r>
      <w:r>
        <w:rPr/>
        <w:t>们应当报告该事实。在这方面，我们无任何事项需要报告。</w:t>
      </w:r>
    </w:p>
    <w:p>
      <w:pPr>
        <w:spacing w:after="0" w:line="316" w:lineRule="auto"/>
        <w:jc w:val="both"/>
        <w:sectPr>
          <w:pgSz w:w="11910" w:h="16840"/>
          <w:pgMar w:header="892" w:footer="95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pStyle w:val="BodyText"/>
        <w:spacing w:line="338" w:lineRule="auto" w:before="44"/>
        <w:ind w:left="152" w:right="94" w:firstLine="362"/>
        <w:jc w:val="left"/>
      </w:pPr>
      <w:r>
        <w:rPr/>
        <w:t>管理层和治理层对财务报表的责任 </w:t>
      </w:r>
      <w:r>
        <w:rPr>
          <w:spacing w:val="-4"/>
        </w:rPr>
        <w:t>百华悦邦公司管理层负责按照企业会计准则的规定编制财务报表，使其实现公允反映，并设计、执行和维护必要的内部控制，</w:t>
      </w:r>
      <w:r>
        <w:rPr>
          <w:spacing w:val="-44"/>
        </w:rPr>
        <w:t> </w:t>
      </w:r>
      <w:r>
        <w:rPr>
          <w:spacing w:val="-44"/>
        </w:rPr>
      </w:r>
      <w:r>
        <w:rPr/>
        <w:t>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58"/>
        <w:ind w:left="152" w:right="94"/>
        <w:jc w:val="left"/>
      </w:pPr>
      <w:r>
        <w:rPr>
          <w:spacing w:val="-2"/>
        </w:rPr>
        <w:t>在编制财务报表时，管理层负责评估百华悦邦公司的持续经营能力，披露与持续经营相关的事项（如适用），并运用持续经</w:t>
      </w:r>
      <w:r>
        <w:rPr>
          <w:spacing w:val="-72"/>
        </w:rPr>
        <w:t> </w:t>
      </w:r>
      <w:r>
        <w:rPr>
          <w:spacing w:val="-72"/>
        </w:rPr>
      </w:r>
      <w:r>
        <w:rPr/>
        <w:t>营假设，除非管理层计划清算百华悦邦公司、终止运营或别无其他现实的选择。</w:t>
      </w:r>
    </w:p>
    <w:p>
      <w:pPr>
        <w:pStyle w:val="BodyText"/>
        <w:spacing w:line="706" w:lineRule="exact" w:before="55"/>
        <w:ind w:left="515" w:right="6034" w:hanging="363"/>
        <w:jc w:val="left"/>
      </w:pPr>
      <w:r>
        <w:rPr/>
        <w:t>治理层负责监督百华悦邦公司的财务报告过程。 注册会计师对财务报表审计的责任</w:t>
      </w:r>
    </w:p>
    <w:p>
      <w:pPr>
        <w:pStyle w:val="BodyText"/>
        <w:spacing w:line="316" w:lineRule="auto"/>
        <w:ind w:left="152" w:right="94"/>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152" w:right="661"/>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6" w:lineRule="auto"/>
        <w:ind w:left="152" w:right="103" w:firstLine="542"/>
        <w:jc w:val="both"/>
      </w:pPr>
      <w:r>
        <w:rPr>
          <w:spacing w:val="-4"/>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left="606" w:right="661"/>
        <w:jc w:val="left"/>
      </w:pPr>
      <w:r>
        <w:rPr/>
        <w:t>（二）了解与审计相关的内部控制，以设计恰当的审计程序，但目的并非对内部控制的有效性发表意见。</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tabs>
          <w:tab w:pos="875" w:val="left" w:leader="none"/>
        </w:tabs>
        <w:spacing w:line="717" w:lineRule="auto"/>
        <w:ind w:left="152" w:right="3079" w:firstLine="454"/>
        <w:jc w:val="left"/>
      </w:pPr>
      <w:r>
        <w:rPr/>
        <w:t>（三）评价管理层选用会计政策的恰当性和作出会计估计及相关披露的合理性。 六、</w:t>
        <w:tab/>
        <w:t>注册会计师对财务报表审计的责任（续）</w:t>
      </w:r>
    </w:p>
    <w:p>
      <w:pPr>
        <w:pStyle w:val="BodyText"/>
        <w:spacing w:line="316" w:lineRule="auto" w:before="109"/>
        <w:ind w:left="152" w:right="193" w:firstLine="274"/>
        <w:jc w:val="both"/>
      </w:pPr>
      <w:r>
        <w:rPr/>
        <w:t>（四）对管理层使用持续经营假设的恰当性得出结论。同时，根据获取的审计证据，就可能导致对百华悦邦公司持续经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论基于截至审计报告日可获得的信息。然而，未来的事项或情况可能导致百华悦邦公司不能持续经营。</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695" w:right="661"/>
        <w:jc w:val="left"/>
      </w:pPr>
      <w:r>
        <w:rPr/>
        <w:t>（五）评价财务报表</w:t>
      </w:r>
      <w:r>
        <w:rPr>
          <w:spacing w:val="-3"/>
        </w:rPr>
        <w:t>的</w:t>
      </w:r>
      <w:r>
        <w:rPr/>
        <w:t>总体列报、结构和内容（包括披露</w:t>
      </w:r>
      <w:r>
        <w:rPr>
          <w:spacing w:val="-92"/>
        </w:rPr>
        <w:t>）</w:t>
      </w:r>
      <w:r>
        <w:rPr/>
        <w:t>，并评价财务报表是否</w:t>
      </w:r>
      <w:r>
        <w:rPr>
          <w:spacing w:val="2"/>
        </w:rPr>
        <w:t>公</w:t>
      </w:r>
      <w:r>
        <w:rPr/>
        <w:t>允反映相关交易和事项。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6" w:lineRule="auto"/>
        <w:ind w:left="152" w:right="92" w:firstLine="542"/>
        <w:jc w:val="left"/>
      </w:pPr>
      <w:r>
        <w:rPr/>
        <w:t>（六）就百华悦邦公司中实体或业务活动的财务信息获取充分、适当的审计证据，以对合并财务报表发表审计意见。 我们负责指导、监督和执行集团审计，并对审计意见承担全部责任。</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152" w:right="0"/>
        <w:jc w:val="left"/>
      </w:pPr>
      <w:r>
        <w:rPr/>
        <w:t>我们与治理层就计划的审计范围、时间安排和重大审计发现等事项进行沟通，包括沟通我们在审计中识别出的值得关注的内</w:t>
      </w:r>
    </w:p>
    <w:p>
      <w:pPr>
        <w:spacing w:after="0" w:line="240" w:lineRule="auto"/>
        <w:jc w:val="left"/>
        <w:sectPr>
          <w:pgSz w:w="11910" w:h="16840"/>
          <w:pgMar w:header="892" w:footer="956" w:top="1080" w:bottom="1160" w:left="980" w:right="940"/>
        </w:sectPr>
      </w:pPr>
    </w:p>
    <w:p>
      <w:pPr>
        <w:pStyle w:val="BodyText"/>
        <w:spacing w:line="240" w:lineRule="auto" w:before="8"/>
        <w:ind w:left="292" w:right="0"/>
        <w:jc w:val="both"/>
      </w:pPr>
      <w:r>
        <w:rPr/>
        <w:t>部控制缺陷。</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16" w:lineRule="auto"/>
        <w:ind w:left="292" w:right="150"/>
        <w:jc w:val="both"/>
      </w:pPr>
      <w:r>
        <w:rPr/>
        <w:t>我们还就已遵守与独立性相关的职业道德要求向治理层提供声明</w:t>
      </w:r>
      <w:r>
        <w:rPr>
          <w:spacing w:val="-82"/>
        </w:rPr>
        <w:t>，</w:t>
      </w:r>
      <w:r>
        <w:rPr/>
        <w:t>并与治理层沟通可能被合理认为影响我们独立性的所有关</w:t>
      </w:r>
      <w:r>
        <w:rPr/>
        <w:t> 系和其他事项，以及相关的防范措施（如适用</w:t>
      </w:r>
      <w:r>
        <w:rPr>
          <w:spacing w:val="-92"/>
        </w:rPr>
        <w:t>）</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left="292" w:right="150"/>
        <w:jc w:val="both"/>
      </w:pP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3"/>
        </w:rPr>
        <w:t> </w:t>
      </w:r>
      <w:r>
        <w:rPr>
          <w:spacing w:val="-63"/>
        </w:rPr>
      </w:r>
      <w:r>
        <w:rPr/>
        <w:t>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3311"/>
        <w:gridCol w:w="1933"/>
        <w:gridCol w:w="2622"/>
      </w:tblGrid>
      <w:tr>
        <w:trPr>
          <w:trHeight w:val="2292"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普华永道中天</w:t>
            </w:r>
          </w:p>
          <w:p>
            <w:pPr>
              <w:pStyle w:val="TableParagraph"/>
              <w:spacing w:line="240" w:lineRule="auto" w:before="115"/>
              <w:ind w:left="200" w:right="0"/>
              <w:jc w:val="left"/>
              <w:rPr>
                <w:rFonts w:ascii="宋体" w:hAnsi="宋体" w:cs="宋体" w:eastAsia="宋体" w:hint="default"/>
                <w:sz w:val="18"/>
                <w:szCs w:val="18"/>
              </w:rPr>
            </w:pPr>
            <w:r>
              <w:rPr>
                <w:rFonts w:ascii="宋体" w:hAnsi="宋体" w:cs="宋体" w:eastAsia="宋体" w:hint="default"/>
                <w:sz w:val="18"/>
                <w:szCs w:val="18"/>
              </w:rPr>
              <w:t>会计师事务所（特殊普通合伙）</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w:t>
            </w:r>
          </w:p>
          <w:p>
            <w:pPr>
              <w:pStyle w:val="TableParagraph"/>
              <w:spacing w:line="240" w:lineRule="auto" w:before="101"/>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180" w:lineRule="exact"/>
              <w:ind w:left="590" w:right="0"/>
              <w:jc w:val="left"/>
              <w:rPr>
                <w:rFonts w:ascii="宋体" w:hAnsi="宋体" w:cs="宋体" w:eastAsia="宋体" w:hint="default"/>
                <w:sz w:val="18"/>
                <w:szCs w:val="18"/>
              </w:rPr>
            </w:pPr>
            <w:r>
              <w:rPr>
                <w:rFonts w:ascii="宋体" w:hAnsi="宋体" w:cs="宋体" w:eastAsia="宋体" w:hint="default"/>
                <w:sz w:val="18"/>
                <w:szCs w:val="18"/>
              </w:rPr>
              <w:t>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103"/>
              <w:ind w:left="441" w:right="0"/>
              <w:jc w:val="left"/>
              <w:rPr>
                <w:rFonts w:ascii="宋体" w:hAnsi="宋体" w:cs="宋体" w:eastAsia="宋体" w:hint="default"/>
                <w:sz w:val="18"/>
                <w:szCs w:val="18"/>
              </w:rPr>
            </w:pPr>
            <w:r>
              <w:rPr>
                <w:rFonts w:ascii="宋体" w:hAnsi="宋体" w:cs="宋体" w:eastAsia="宋体" w:hint="default"/>
                <w:sz w:val="18"/>
                <w:szCs w:val="18"/>
              </w:rPr>
              <w:t>程明（项目合伙人）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103"/>
              <w:ind w:left="441" w:right="0"/>
              <w:jc w:val="left"/>
              <w:rPr>
                <w:rFonts w:ascii="宋体" w:hAnsi="宋体" w:cs="宋体" w:eastAsia="宋体" w:hint="default"/>
                <w:sz w:val="18"/>
                <w:szCs w:val="18"/>
              </w:rPr>
            </w:pPr>
            <w:r>
              <w:rPr>
                <w:rFonts w:ascii="宋体" w:hAnsi="宋体" w:cs="宋体" w:eastAsia="宋体" w:hint="default"/>
                <w:sz w:val="18"/>
                <w:szCs w:val="18"/>
              </w:rPr>
              <w:t>刘渊博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90"/>
        <w:ind w:left="292"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92" w:right="0"/>
        <w:jc w:val="left"/>
      </w:pPr>
      <w:r>
        <w:rPr/>
        <w:t>财务附注中报表的单位为：人民币元</w:t>
      </w:r>
    </w:p>
    <w:p>
      <w:pPr>
        <w:spacing w:line="240" w:lineRule="auto" w:before="1"/>
        <w:rPr>
          <w:rFonts w:ascii="宋体" w:hAnsi="宋体" w:cs="宋体" w:eastAsia="宋体" w:hint="default"/>
          <w:sz w:val="22"/>
          <w:szCs w:val="22"/>
        </w:rPr>
      </w:pPr>
    </w:p>
    <w:p>
      <w:pPr>
        <w:pStyle w:val="Heading3"/>
        <w:spacing w:line="240" w:lineRule="auto"/>
        <w:ind w:left="292"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headerReference w:type="default" r:id="rId36"/>
          <w:pgSz w:w="11910" w:h="16840"/>
          <w:pgMar w:header="1078" w:footer="956" w:top="1960" w:bottom="1160" w:left="840" w:right="980"/>
        </w:sectPr>
      </w:pPr>
    </w:p>
    <w:p>
      <w:pPr>
        <w:pStyle w:val="BodyText"/>
        <w:spacing w:line="240" w:lineRule="auto" w:before="44"/>
        <w:ind w:left="292" w:right="-20"/>
        <w:jc w:val="left"/>
      </w:pPr>
      <w:r>
        <w:rPr/>
        <w:t>编制单位：北京百华悦邦科技股份有限公司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292"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04 </w:t>
      </w:r>
      <w:r>
        <w:rPr/>
        <w:t>月</w:t>
      </w:r>
      <w:r>
        <w:rPr>
          <w:spacing w:val="-45"/>
        </w:rPr>
        <w:t> </w:t>
      </w:r>
      <w:r>
        <w:rPr>
          <w:rFonts w:ascii="Times New Roman" w:hAnsi="Times New Roman" w:cs="Times New Roman" w:eastAsia="Times New Roman" w:hint="default"/>
        </w:rPr>
        <w:t>12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980"/>
          <w:cols w:num="3" w:equalWidth="0">
            <w:col w:w="3713" w:space="363"/>
            <w:col w:w="1782" w:space="3062"/>
            <w:col w:w="1170"/>
          </w:cols>
        </w:sectPr>
      </w:pPr>
    </w:p>
    <w:p>
      <w:pPr>
        <w:spacing w:line="240" w:lineRule="auto" w:before="2"/>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94,775,987.61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6,944,921.99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4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10" w:space="0" w:color="000000"/>
              <w:left w:val="single" w:sz="10"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42,966,401.24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64,059,895.62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5,325,067.38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2,283,803.04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11,064,511.10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11,053,877.74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12,206,280.17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6,891,117.40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26,716,708.33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63,175,062.01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193,054,955.83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204,408,677.80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6,678,862.52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6,892,983.53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20,881,343.09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22,014,408.82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4,456,935.78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27,053,907.05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27,053,907.05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17,124,967.03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8,733,717.75</w:t>
            </w:r>
          </w:p>
        </w:tc>
      </w:tr>
    </w:tbl>
    <w:p>
      <w:pPr>
        <w:spacing w:after="0" w:line="240" w:lineRule="auto"/>
        <w:jc w:val="right"/>
        <w:rPr>
          <w:rFonts w:ascii="Times New Roman" w:hAnsi="Times New Roman" w:cs="Times New Roman" w:eastAsia="Times New Roman" w:hint="default"/>
          <w:sz w:val="18"/>
          <w:szCs w:val="18"/>
        </w:rPr>
        <w:sectPr>
          <w:headerReference w:type="default" r:id="rId37"/>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7,987,831.66</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8,124,866.40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1,688,331.00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81,415,242.35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77,276,819.33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274,470,198.18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281,685,497.13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11,004,360.65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2,795,206.01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10,625,973.06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9,582,608.31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13,116,081.45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16,273,076.17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25,287,143.73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22,489,371.11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29,753,296.68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5,633,731.18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3,128,513.20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71,695,175.97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84,706,214.13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10" w:space="0" w:color="000000"/>
              <w:left w:val="single" w:sz="10"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1,254,256.25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1,254,256.25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71,695,175.97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85,960,470.38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40,731,500.00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40,731,500.00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38,101,018.95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38,101,018.95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12,302,048.66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10,825,337.92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111,640,454.60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106,067,169.88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202,775,022.21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195,725,026.75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202,775,022.21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195,725,026.75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274,470,198.18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281,685,497.13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left="152" w:right="0"/>
        <w:jc w:val="left"/>
      </w:pPr>
      <w:r>
        <w:rPr/>
        <w:t>法定代表人：刘铁峰</w:t>
        <w:tab/>
      </w:r>
      <w:r>
        <w:rPr>
          <w:spacing w:val="-1"/>
        </w:rPr>
        <w:t>主管会计工作负责人：陈立娅</w:t>
        <w:tab/>
      </w:r>
      <w:r>
        <w:rPr/>
        <w:t>会计机构负责人：陈立娅</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60,512,692.54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4,292,454.56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250,865.45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2,220,873.73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610,791.71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594,305.57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7,628,723.54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5,564,966.28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3,352,069.33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1,054,825.67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10,947,705.23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53,480,100.45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83,302,847.80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117,207,526.26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90,975,005.34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87,806,885.00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2,612,604.28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1,416,855.65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9,414,337.08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10,014,846.46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48,888.90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112,827.78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2,731,649.58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1,307,574.60</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814,363.81</w:t>
            </w: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106,596,848.99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100,658,989.49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189,899,696.79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217,866,515.75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4,345,047.31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2,056,897.84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140,894.58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229,455.32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4,194,914.16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5,031,413.80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2,498,763.84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4,747,625.71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66,218,223.13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75,526,344.19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45,167.51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77,443,010.53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87,591,736.86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77,443,010.53</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87,591,736.86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40,731,500.00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40,731,500.00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38,101,018.95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38,101,018.95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12,302,048.66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10,825,337.92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21,322,118.65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40,616,922.02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112,456,686.26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130,274,778.89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189,899,696.79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217,866,515.75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675,123,540.03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648,067,280.60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675,123,540.03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648,067,280.60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625,685,572.54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582,165,624.07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457,708,770.03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355,874,700.04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5,709,168.36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7,177,823.89</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85.949982pt;width:158.9pt;height:20.65pt;mso-position-horizontal-relative:page;mso-position-vertical-relative:page;z-index:-829264" coordorigin="4220,5719" coordsize="3178,413">
            <v:group style="position:absolute;left:4231;top:5730;width:2;height:392" coordorigin="4231,5730" coordsize="2,392">
              <v:shape style="position:absolute;left:4231;top:5730;width:2;height:392" coordorigin="4231,5730" coordsize="0,392" path="m4231,5730l4231,6121e" filled="false" stroked="true" strokeweight="1.08pt" strokecolor="#ffffff">
                <v:path arrowok="t"/>
              </v:shape>
            </v:group>
            <v:group style="position:absolute;left:4242;top:5730;width:3157;height:392" coordorigin="4242,5730" coordsize="3157,392">
              <v:shape style="position:absolute;left:4242;top:5730;width:3157;height:392" coordorigin="4242,5730" coordsize="3157,392" path="m4242,6121l7398,6121,7398,5730,4242,5730,4242,6121xe" filled="true" fillcolor="#ffffff" stroked="false">
                <v:path arrowok="t"/>
                <v:fill type="solid"/>
              </v:shape>
            </v:group>
            <w10:wrap type="none"/>
          </v:group>
        </w:pict>
      </w:r>
      <w:r>
        <w:rPr/>
        <w:pict>
          <v:group style="position:absolute;margin-left:211.009995pt;margin-top:422.149994pt;width:158.9pt;height:20.65pt;mso-position-horizontal-relative:page;mso-position-vertical-relative:page;z-index:-829240" coordorigin="4220,8443" coordsize="3178,413">
            <v:group style="position:absolute;left:4231;top:8454;width:2;height:392" coordorigin="4231,8454" coordsize="2,392">
              <v:shape style="position:absolute;left:4231;top:8454;width:2;height:392" coordorigin="4231,8454" coordsize="0,392" path="m4231,8454l4231,8845e" filled="false" stroked="true" strokeweight="1.08pt" strokecolor="#ffffff">
                <v:path arrowok="t"/>
              </v:shape>
            </v:group>
            <v:group style="position:absolute;left:4242;top:8454;width:3157;height:392" coordorigin="4242,8454" coordsize="3157,392">
              <v:shape style="position:absolute;left:4242;top:8454;width:3157;height:392" coordorigin="4242,8454" coordsize="3157,392" path="m4242,8845l7398,8845,7398,8454,4242,8454,4242,8845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15" w:hRule="exact"/>
        </w:trPr>
        <w:tc>
          <w:tcPr>
            <w:tcW w:w="306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59,052,428.09</w:t>
            </w:r>
          </w:p>
        </w:tc>
        <w:tc>
          <w:tcPr>
            <w:tcW w:w="3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53,438,533.77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6" w:right="0"/>
              <w:jc w:val="left"/>
              <w:rPr>
                <w:rFonts w:ascii="Times New Roman" w:hAnsi="Times New Roman" w:cs="Times New Roman" w:eastAsia="Times New Roman" w:hint="default"/>
                <w:sz w:val="18"/>
                <w:szCs w:val="18"/>
              </w:rPr>
            </w:pPr>
            <w:r>
              <w:rPr>
                <w:rFonts w:ascii="Times New Roman"/>
                <w:sz w:val="18"/>
              </w:rPr>
              <w:t>100,618,526.62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153,040,960.60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2,592,702.47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2,053,957.42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3,976.97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10,579,648.35</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2,022,390.08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1,764,325.19</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12,783.71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-156,706.93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51,473,141.28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67,509,274.79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3,888,903.67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3,023,043.15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1,318,515.38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2,040,231.08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54,043,529.57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68,492,086.86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14,408,334.11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21,241,913.38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39,635,195.46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47,250,173.48</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39,635,195.46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47,250,173.48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74" w:hRule="exact"/>
        </w:trPr>
        <w:tc>
          <w:tcPr>
            <w:tcW w:w="305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10" w:space="0" w:color="000000"/>
              <w:left w:val="single" w:sz="10" w:space="0" w:color="D2D2D2"/>
              <w:bottom w:val="single" w:sz="4" w:space="0" w:color="000000"/>
              <w:right w:val="single" w:sz="4" w:space="0" w:color="000000"/>
            </w:tcBorders>
          </w:tcPr>
          <w:p>
            <w:pPr/>
          </w:p>
        </w:tc>
        <w:tc>
          <w:tcPr>
            <w:tcW w:w="3277"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39,635,195.46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47,250,173.48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39,635,195.46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47,250,173.48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w:t>
            </w:r>
          </w:p>
        </w:tc>
      </w:tr>
    </w:tbl>
    <w:p>
      <w:pPr>
        <w:pStyle w:val="BodyText"/>
        <w:spacing w:line="240" w:lineRule="auto" w:before="49"/>
        <w:ind w:left="152" w:right="0"/>
        <w:jc w:val="left"/>
      </w:pPr>
      <w:r>
        <w:rPr/>
        <w:t>本期发生同一控制下企业合并的，被合并方在合并前实现的净利润为：元，上期被合并方实现的净利润为：元。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360" w:lineRule="auto" w:before="141"/>
        <w:ind w:left="152" w:right="242"/>
        <w:jc w:val="left"/>
      </w:pPr>
      <w:r>
        <w:rPr/>
        <w:t>法定代表人：刘铁峰</w:t>
        <w:tab/>
      </w:r>
      <w:r>
        <w:rPr>
          <w:spacing w:val="-1"/>
        </w:rPr>
        <w:t>主管会计工作负责人：陈立娅</w:t>
        <w:tab/>
      </w:r>
      <w:r>
        <w:rPr/>
        <w:t>会计机构负责人：陈立娅</w:t>
      </w:r>
      <w:r>
        <w:rPr/>
        <w:t> 注：财务费用涉及金融业务需单独列示汇兑收益项目。</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101,524,488.53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89,482,952.70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51,664,670.54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31,104,755.05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758,856.95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1,048,336.20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7,207,578.57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2,871,156.30</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44,868,376.82</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57,357,259.70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117,668.83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1,503,506.49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435,176.48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5,278.68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18,121,079.81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49,472,720.37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1,438.23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-38,661.43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14,594,678.38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45,026,719.22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122,875.18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104,171.24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116,084.49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14,716,804.20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45,014,805.97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-50,303.17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377,260.14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14,767,107.37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44,637,545.83</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27"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6"/>
              <w:ind w:left="12" w:right="86"/>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10" w:space="0" w:color="000000"/>
              <w:left w:val="single" w:sz="10"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14,767,107.37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44,637,545.83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788,738,493.06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736,625,037.39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8,621,381.58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17,200,185.01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797,359,874.64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753,825,222.40</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10" w:space="0" w:color="000000"/>
              <w:left w:val="single" w:sz="9"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485,151,849.54</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378,742,234.76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140,919,769.41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132,374,789.00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70,369,279.69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80,689,381.08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54,971,192.06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83,935,502.37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751,412,090.70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675,741,907.21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45,947,783.94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78,083,315.19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456,202,442.20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367,039,375.64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2,022,390.08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1,597,092.36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241,699.48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92,278.00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1,630,647.20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458,466,531.76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370,359,393.20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21,588,182.91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17,643,050.98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361,924,880.20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461,316,937.64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383,513,063.11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478,959,988.62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74,953,468.65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-108,600,595.42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74" w:hRule="exact"/>
        </w:trPr>
        <w:tc>
          <w:tcPr>
            <w:tcW w:w="29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00" w:type="dxa"/>
            <w:tcBorders>
              <w:top w:val="single" w:sz="10" w:space="0" w:color="000000"/>
              <w:left w:val="single" w:sz="4" w:space="0" w:color="000000"/>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24,438,900.00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24,438,900.00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-24,438,900.00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11,523.30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88,311,065.62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-54,944,656.93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6,464,921.99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61,409,578.92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94,775,987.61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6,464,921.99</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117,792,825.53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143,271,534.06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54,541,622.89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30,303,495.90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172,334,448.42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173,575,029.96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61,597,167.51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39,422,738.83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41,287,458.01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30,682,225.82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8,814,791.90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9,666,909.85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59,937,579.70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30,948,992.51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171,636,997.12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110,720,867.01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697,451.30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62,854,162.95</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5"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456,152,442.20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367,039,375.64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2,021,602.00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1,597,092.36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19,746.65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150,804.00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458,193,790.85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368,787,272.00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4,160,923.97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696,319.64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361,924,880.20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461,266,937.64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370,085,804.17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461,963,257.28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88,107,986.68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-93,175,985.28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24,438,900.00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24,438,900.00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-24,438,900.00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56,220,237.98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-54,760,722.33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4,292,454.56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59,053,176.89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60,512,692.54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4,292,454.56</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81"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52" w:right="0"/>
        <w:jc w:val="left"/>
      </w:pPr>
      <w:r>
        <w:rPr/>
        <w:t>本期金额</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38,101,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018.95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10,825,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337.92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106,067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,169.88</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195,725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,026.75</w:t>
            </w:r>
          </w:p>
        </w:tc>
      </w:tr>
      <w:tr>
        <w:trPr>
          <w:trHeight w:val="394"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38,101,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018.95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10,825,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337.92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106,067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,169.88</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195,725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,026.75</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5,573,2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7,049,9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95.46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39,635,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39,635,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195.46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27" w:hRule="exact"/>
        </w:trPr>
        <w:tc>
          <w:tcPr>
            <w:tcW w:w="14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531"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67" w:right="0"/>
              <w:jc w:val="center"/>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10.74</w:t>
            </w: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13" w:right="0"/>
              <w:jc w:val="center"/>
              <w:rPr>
                <w:rFonts w:ascii="Times New Roman" w:hAnsi="Times New Roman" w:cs="Times New Roman" w:eastAsia="Times New Roman" w:hint="default"/>
                <w:sz w:val="18"/>
                <w:szCs w:val="18"/>
              </w:rPr>
            </w:pPr>
            <w:r>
              <w:rPr>
                <w:rFonts w:ascii="Times New Roman"/>
                <w:sz w:val="18"/>
              </w:rPr>
              <w:t>-34,061,</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910.74</w:t>
            </w:r>
          </w:p>
        </w:tc>
        <w:tc>
          <w:tcPr>
            <w:tcW w:w="665" w:type="dxa"/>
            <w:tcBorders>
              <w:top w:val="single" w:sz="10" w:space="0" w:color="000000"/>
              <w:left w:val="single" w:sz="4" w:space="0" w:color="000000"/>
              <w:bottom w:val="single" w:sz="4" w:space="0" w:color="000000"/>
              <w:right w:val="single" w:sz="4" w:space="0" w:color="000000"/>
            </w:tcBorders>
          </w:tcPr>
          <w:p>
            <w:pPr/>
          </w:p>
        </w:tc>
        <w:tc>
          <w:tcPr>
            <w:tcW w:w="6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3" w:right="0"/>
              <w:jc w:val="center"/>
              <w:rPr>
                <w:rFonts w:ascii="Times New Roman" w:hAnsi="Times New Roman" w:cs="Times New Roman" w:eastAsia="Times New Roman" w:hint="default"/>
                <w:sz w:val="18"/>
                <w:szCs w:val="18"/>
              </w:rPr>
            </w:pPr>
            <w:r>
              <w:rPr>
                <w:rFonts w:ascii="Times New Roman"/>
                <w:sz w:val="18"/>
              </w:rPr>
              <w:t>-32,585,</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200.00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-32,585,</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-32,585,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200.00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40,731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38,101,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018.95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12,302,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048.66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111,640</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,454.60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202,775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,022.21</w:t>
            </w:r>
          </w:p>
        </w:tc>
      </w:tr>
    </w:tbl>
    <w:p>
      <w:pPr>
        <w:pStyle w:val="BodyText"/>
        <w:spacing w:line="240" w:lineRule="auto" w:before="49"/>
        <w:ind w:left="152"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37,197,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981.09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6,361,5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83.34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87,719,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650.98</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172,010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,715.41</w:t>
            </w:r>
          </w:p>
        </w:tc>
      </w:tr>
      <w:tr>
        <w:trPr>
          <w:trHeight w:val="394"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1"/>
              <w:jc w:val="righ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9"/>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74" w:hRule="exact"/>
        </w:trPr>
        <w:tc>
          <w:tcPr>
            <w:tcW w:w="14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531"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8"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80"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658"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37,197,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981.09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6,361,5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87,719,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650.98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172,010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,715.41</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903,037</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18,347,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518.90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23,714,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311.34</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47,250,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173.48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47,250,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173.48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903,037</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903,037</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.86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903,037</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903,037</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.86</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-28,902,</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654.58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-24,438,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900.00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54.58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-24,438,</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900.00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-24,438,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900.00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27" w:hRule="exact"/>
        </w:trPr>
        <w:tc>
          <w:tcPr>
            <w:tcW w:w="14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6"/>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531"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8"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80"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658"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38,101,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10,825,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106,067</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,169.88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195,725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,026.75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52" w:right="0"/>
        <w:jc w:val="left"/>
      </w:pPr>
      <w:r>
        <w:rPr/>
        <w:t>本期金额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40,731,5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38,101,01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8.95</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10,825,33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7.92</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40,616,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922.02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130,274,7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78.89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40,731,5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38,101,01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10,825,33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40,616,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922.02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130,274,7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78.89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1,476,710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-19,294,</w:t>
            </w:r>
          </w:p>
          <w:p>
            <w:pPr>
              <w:pStyle w:val="TableParagraph"/>
              <w:spacing w:line="240" w:lineRule="auto" w:before="103"/>
              <w:ind w:left="125" w:right="0"/>
              <w:jc w:val="center"/>
              <w:rPr>
                <w:rFonts w:ascii="Times New Roman" w:hAnsi="Times New Roman" w:cs="Times New Roman" w:eastAsia="Times New Roman" w:hint="default"/>
                <w:sz w:val="18"/>
                <w:szCs w:val="18"/>
              </w:rPr>
            </w:pPr>
            <w:r>
              <w:rPr>
                <w:rFonts w:ascii="Times New Roman"/>
                <w:sz w:val="18"/>
              </w:rPr>
              <w:t>803.37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-17,818,0</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92.63</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14,767,10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7.37</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74" w:hRule="exact"/>
        </w:trPr>
        <w:tc>
          <w:tcPr>
            <w:tcW w:w="143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9"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
        </w:tc>
        <w:tc>
          <w:tcPr>
            <w:tcW w:w="780"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-34,061,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910.74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-32,585,2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10.74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-32,585,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-32,585,2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40,731,5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38,101,01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12,302,04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21,322,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118.65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112,456,6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86.26</w:t>
            </w:r>
          </w:p>
        </w:tc>
      </w:tr>
    </w:tbl>
    <w:p>
      <w:pPr>
        <w:pStyle w:val="BodyText"/>
        <w:spacing w:line="240" w:lineRule="auto" w:before="49"/>
        <w:ind w:left="152"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54"/>
        <w:gridCol w:w="678"/>
        <w:gridCol w:w="665"/>
        <w:gridCol w:w="667"/>
        <w:gridCol w:w="665"/>
        <w:gridCol w:w="797"/>
        <w:gridCol w:w="797"/>
        <w:gridCol w:w="797"/>
        <w:gridCol w:w="799"/>
        <w:gridCol w:w="797"/>
        <w:gridCol w:w="677"/>
        <w:gridCol w:w="780"/>
      </w:tblGrid>
      <w:tr>
        <w:trPr>
          <w:trHeight w:val="396" w:hRule="exact"/>
        </w:trPr>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54"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54"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54"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vMerge w:val="restart"/>
            <w:tcBorders>
              <w:top w:val="single" w:sz="4" w:space="0" w:color="000000"/>
              <w:left w:val="single" w:sz="10" w:space="0" w:color="D2D2D2"/>
              <w:right w:val="single" w:sz="4" w:space="0" w:color="000000"/>
            </w:tcBorders>
          </w:tcPr>
          <w:p>
            <w:pPr>
              <w:pStyle w:val="TableParagraph"/>
              <w:spacing w:line="240" w:lineRule="auto" w:before="93"/>
              <w:ind w:left="10" w:right="0"/>
              <w:jc w:val="left"/>
              <w:rPr>
                <w:rFonts w:ascii="Times New Roman" w:hAnsi="Times New Roman" w:cs="Times New Roman" w:eastAsia="Times New Roman" w:hint="default"/>
                <w:sz w:val="18"/>
                <w:szCs w:val="18"/>
              </w:rPr>
            </w:pPr>
            <w:r>
              <w:rPr>
                <w:rFonts w:ascii="Times New Roman"/>
                <w:sz w:val="18"/>
              </w:rPr>
              <w:t>40,731,5</w:t>
            </w:r>
          </w:p>
          <w:p>
            <w:pPr>
              <w:pStyle w:val="TableParagraph"/>
              <w:spacing w:line="240" w:lineRule="auto" w:before="102"/>
              <w:ind w:left="23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37,197,98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1.09</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6,361,583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24,882,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030.77</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109,173,0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95.20</w:t>
            </w:r>
          </w:p>
        </w:tc>
      </w:tr>
      <w:tr>
        <w:trPr>
          <w:trHeight w:val="391" w:hRule="exact"/>
        </w:trPr>
        <w:tc>
          <w:tcPr>
            <w:tcW w:w="1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78"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27" w:hRule="exact"/>
        </w:trPr>
        <w:tc>
          <w:tcPr>
            <w:tcW w:w="143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6"/>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9"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
        </w:tc>
        <w:tc>
          <w:tcPr>
            <w:tcW w:w="780"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40,731,5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37,197,98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6,361,583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24,882,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030.77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109,173,0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95.20</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903,037.8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4,463,754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15,734,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891.25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21,101,68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3.69</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545.83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44,637,54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5.83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903,037.8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903,037.8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4,463,754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-28,902,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654.58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-24,438,9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4,463,754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54.58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-24,438,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-24,438,9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15" w:hRule="exact"/>
        </w:trPr>
        <w:tc>
          <w:tcPr>
            <w:tcW w:w="143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9"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
        </w:tc>
        <w:tc>
          <w:tcPr>
            <w:tcW w:w="780"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40,731,5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38,101,01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10,825,33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40,616,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922.02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130,274,7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78.89</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left="152" w:right="0"/>
        <w:jc w:val="left"/>
        <w:rPr>
          <w:b w:val="0"/>
          <w:bCs w:val="0"/>
        </w:rPr>
      </w:pPr>
      <w:r>
        <w:rPr/>
        <w:t>三、公司基本情况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09" w:lineRule="auto"/>
        <w:ind w:left="152" w:right="224"/>
        <w:jc w:val="left"/>
      </w:pPr>
      <w:r>
        <w:rPr/>
        <w:t>北京百华悦邦科技股份有限公司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日由北京百华悦邦电子科技有限责任公司依法整体变 更设立的股份有限公司，注册地为中华人民共和国北京市，总部地址为中华人民共和国北京市。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月，本公司在全国中小企业股份转让系统正式挂牌，股票代码为</w:t>
      </w:r>
      <w:r>
        <w:rPr>
          <w:rFonts w:ascii="Times New Roman" w:hAnsi="Times New Roman" w:cs="Times New Roman" w:eastAsia="Times New Roman" w:hint="default"/>
        </w:rPr>
        <w:t>831008</w:t>
      </w:r>
      <w:r>
        <w:rPr/>
        <w:t>。</w:t>
      </w:r>
    </w:p>
    <w:p>
      <w:pPr>
        <w:pStyle w:val="BodyText"/>
        <w:spacing w:line="240" w:lineRule="auto" w:before="5"/>
        <w:ind w:left="152" w:right="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日，股权结构如下：</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4981"/>
        <w:gridCol w:w="1791"/>
        <w:gridCol w:w="1527"/>
      </w:tblGrid>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24" w:right="0"/>
              <w:jc w:val="left"/>
              <w:rPr>
                <w:rFonts w:ascii="宋体" w:hAnsi="宋体" w:cs="宋体" w:eastAsia="宋体" w:hint="default"/>
                <w:sz w:val="18"/>
                <w:szCs w:val="18"/>
              </w:rPr>
            </w:pPr>
            <w:r>
              <w:rPr>
                <w:rFonts w:ascii="宋体" w:hAnsi="宋体" w:cs="宋体" w:eastAsia="宋体" w:hint="default"/>
                <w:sz w:val="18"/>
                <w:szCs w:val="18"/>
              </w:rPr>
              <w:t>北京达安世纪投资管理有限公司</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1,692.72</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41.56%</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赵新宇</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1,385.28</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34.01%</w:t>
            </w:r>
          </w:p>
        </w:tc>
      </w:tr>
      <w:tr>
        <w:trPr>
          <w:trHeight w:val="34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常都喜</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236.30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5.80%</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陈进</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225.20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5.53%</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北京悦华众城投资管理中心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4.91%</w:t>
            </w:r>
          </w:p>
        </w:tc>
      </w:tr>
      <w:tr>
        <w:trPr>
          <w:trHeight w:val="34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高锋</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134.80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3.31%</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82"/>
              <w:jc w:val="right"/>
              <w:rPr>
                <w:rFonts w:ascii="Times New Roman" w:hAnsi="Times New Roman" w:cs="Times New Roman" w:eastAsia="Times New Roman" w:hint="default"/>
                <w:sz w:val="18"/>
                <w:szCs w:val="18"/>
              </w:rPr>
            </w:pPr>
            <w:r>
              <w:rPr>
                <w:rFonts w:ascii="宋体" w:hAnsi="宋体" w:cs="宋体" w:eastAsia="宋体" w:hint="default"/>
                <w:sz w:val="18"/>
                <w:szCs w:val="18"/>
              </w:rPr>
              <w:t>深圳力合创赢股权投资基金合伙企业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53.86</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1.32%</w:t>
            </w:r>
          </w:p>
        </w:tc>
      </w:tr>
      <w:tr>
        <w:trPr>
          <w:trHeight w:val="34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82"/>
              <w:jc w:val="right"/>
              <w:rPr>
                <w:rFonts w:ascii="Times New Roman" w:hAnsi="Times New Roman" w:cs="Times New Roman" w:eastAsia="Times New Roman" w:hint="default"/>
                <w:sz w:val="18"/>
                <w:szCs w:val="18"/>
              </w:rPr>
            </w:pPr>
            <w:r>
              <w:rPr>
                <w:rFonts w:ascii="宋体" w:hAnsi="宋体" w:cs="宋体" w:eastAsia="宋体" w:hint="default"/>
                <w:sz w:val="18"/>
                <w:szCs w:val="18"/>
              </w:rPr>
              <w:t>天津力合创赢股权投资基金合伙企业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48.34</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1.19%</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孙颖</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0.49%</w:t>
            </w:r>
          </w:p>
        </w:tc>
      </w:tr>
      <w:tr>
        <w:trPr>
          <w:trHeight w:val="34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其他持股</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76.65</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1.88%</w:t>
            </w:r>
          </w:p>
        </w:tc>
      </w:tr>
      <w:tr>
        <w:trPr>
          <w:trHeight w:val="34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4,073.15</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8"/>
        <w:ind w:left="152" w:right="13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日，本公司在深圳证券交易所挂牌上市交易，股票代码为：</w:t>
      </w:r>
      <w:r>
        <w:rPr>
          <w:rFonts w:ascii="Times New Roman" w:hAnsi="Times New Roman" w:cs="Times New Roman" w:eastAsia="Times New Roman" w:hint="default"/>
        </w:rPr>
        <w:t>300736</w:t>
      </w:r>
      <w:r>
        <w:rPr/>
        <w:t>。 本公司及子公司</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营业执照记录的经营范围包括：销售计算机、软件及辅助设备、电子产品、五金交电、 </w:t>
      </w:r>
      <w:r>
        <w:rPr>
          <w:spacing w:val="-1"/>
        </w:rPr>
        <w:t>机械设备、通讯设备；通讯器材维修；技术推广服务；计算机系统服务；电子商务</w:t>
      </w:r>
      <w:r>
        <w:rPr>
          <w:rFonts w:ascii="Times New Roman" w:hAnsi="Times New Roman" w:cs="Times New Roman" w:eastAsia="Times New Roman" w:hint="default"/>
          <w:spacing w:val="-1"/>
        </w:rPr>
        <w:t>(</w:t>
      </w:r>
      <w:r>
        <w:rPr>
          <w:spacing w:val="-1"/>
        </w:rPr>
        <w:t>不得从事增值电信、金融业务</w:t>
      </w:r>
      <w:r>
        <w:rPr>
          <w:rFonts w:ascii="Times New Roman" w:hAnsi="Times New Roman" w:cs="Times New Roman" w:eastAsia="Times New Roman" w:hint="default"/>
          <w:spacing w:val="-1"/>
        </w:rPr>
        <w:t>)</w:t>
      </w:r>
      <w:r>
        <w:rPr>
          <w:spacing w:val="-1"/>
        </w:rPr>
        <w:t>，电子废</w:t>
      </w:r>
      <w:r>
        <w:rPr>
          <w:spacing w:val="-65"/>
        </w:rPr>
        <w:t> </w:t>
      </w:r>
      <w:r>
        <w:rPr>
          <w:spacing w:val="-65"/>
        </w:rPr>
      </w:r>
      <w:r>
        <w:rPr/>
        <w:t>弃物的回收。于</w:t>
      </w:r>
      <w:r>
        <w:rPr>
          <w:spacing w:val="-20"/>
        </w:rPr>
        <w:t> </w:t>
      </w:r>
      <w:r>
        <w:rPr>
          <w:rFonts w:ascii="Times New Roman" w:hAnsi="Times New Roman" w:cs="Times New Roman" w:eastAsia="Times New Roman" w:hint="default"/>
        </w:rPr>
        <w:t>2017</w:t>
      </w:r>
      <w:r>
        <w:rPr/>
        <w:t>年度，本集团主要从事手机通讯器材的维修及延伸增值服务、相关备件产品的销售和电子商务业务。 本财务报表由本公司董事会于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日批准报出。 </w:t>
      </w:r>
      <w:r>
        <w:rPr>
          <w:rFonts w:ascii="Times New Roman" w:hAnsi="Times New Roman" w:cs="Times New Roman" w:eastAsia="Times New Roman" w:hint="default"/>
        </w:rPr>
        <w:t>2017</w:t>
      </w:r>
      <w:r>
        <w:rPr/>
        <w:t>年，公司注销了两家全资子公司，杭州百华悦邦电子技术有限公司和天津百华悦邦科技有限公司。</w:t>
      </w:r>
    </w:p>
    <w:p>
      <w:pPr>
        <w:spacing w:line="240" w:lineRule="auto" w:before="8"/>
        <w:rPr>
          <w:rFonts w:ascii="宋体" w:hAnsi="宋体" w:cs="宋体" w:eastAsia="宋体" w:hint="default"/>
          <w:sz w:val="14"/>
          <w:szCs w:val="14"/>
        </w:rPr>
      </w:pPr>
    </w:p>
    <w:p>
      <w:pPr>
        <w:pStyle w:val="Heading2"/>
        <w:spacing w:line="240" w:lineRule="auto"/>
        <w:ind w:left="152"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152" w:right="151"/>
        <w:jc w:val="both"/>
      </w:pPr>
      <w:r>
        <w:rPr>
          <w:spacing w:val="-4"/>
        </w:rPr>
        <w:t>本财务报表按照财政部于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日及以后期间颁布的《企业会计准则</w:t>
      </w:r>
      <w:r>
        <w:rPr>
          <w:rFonts w:ascii="Times New Roman" w:hAnsi="Times New Roman" w:cs="Times New Roman" w:eastAsia="Times New Roman" w:hint="default"/>
          <w:spacing w:val="-4"/>
        </w:rPr>
        <w:t>——</w:t>
      </w:r>
      <w:r>
        <w:rPr>
          <w:spacing w:val="-4"/>
        </w:rPr>
        <w:t>基本准则》、各项具体会计准则及相关规定</w:t>
      </w:r>
      <w:r>
        <w:rPr>
          <w:rFonts w:ascii="Times New Roman" w:hAnsi="Times New Roman" w:cs="Times New Roman" w:eastAsia="Times New Roman" w:hint="default"/>
          <w:spacing w:val="-4"/>
        </w:rPr>
        <w:t>(</w:t>
      </w:r>
      <w:r>
        <w:rPr>
          <w:spacing w:val="-4"/>
        </w:rPr>
        <w:t>以</w:t>
      </w:r>
      <w:r>
        <w:rPr/>
        <w:t> 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财务报告的一 般规定》的披露规定编制。</w:t>
      </w:r>
    </w:p>
    <w:p>
      <w:pPr>
        <w:spacing w:after="0" w:line="300" w:lineRule="auto"/>
        <w:jc w:val="both"/>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spacing w:line="281" w:lineRule="exact"/>
        <w:ind w:right="661"/>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661"/>
        <w:jc w:val="left"/>
      </w:pPr>
      <w:r>
        <w:rPr/>
        <w:t>本财务报表以持续经营为基础编制。</w:t>
      </w:r>
    </w:p>
    <w:p>
      <w:pPr>
        <w:spacing w:line="240" w:lineRule="auto" w:before="5"/>
        <w:rPr>
          <w:rFonts w:ascii="宋体" w:hAnsi="宋体" w:cs="宋体" w:eastAsia="宋体" w:hint="default"/>
          <w:sz w:val="19"/>
          <w:szCs w:val="19"/>
        </w:rPr>
      </w:pPr>
    </w:p>
    <w:p>
      <w:pPr>
        <w:pStyle w:val="Heading2"/>
        <w:spacing w:line="240" w:lineRule="auto"/>
        <w:ind w:left="152" w:right="661"/>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left="152" w:right="6754"/>
        <w:jc w:val="left"/>
      </w:pPr>
      <w:r>
        <w:rPr/>
        <w:t>公司是否需要遵守特殊行业的披露要求 否</w:t>
      </w:r>
    </w:p>
    <w:p>
      <w:pPr>
        <w:pStyle w:val="BodyText"/>
        <w:spacing w:line="338" w:lineRule="auto" w:before="27"/>
        <w:ind w:left="152" w:right="94"/>
        <w:jc w:val="left"/>
      </w:pPr>
      <w:r>
        <w:rPr/>
        <w:t>具体会计政策和会计估计提示： </w:t>
      </w:r>
      <w:r>
        <w:rPr>
          <w:spacing w:val="-2"/>
        </w:rPr>
        <w:t>本集团根据业务经营特点确定具体会计政策和会计估计，主要体现在应收款项坏账准备的计提方法、存货的计价方法、固定</w:t>
      </w:r>
      <w:r>
        <w:rPr>
          <w:spacing w:val="-65"/>
        </w:rPr>
        <w:t> </w:t>
      </w:r>
      <w:r>
        <w:rPr>
          <w:spacing w:val="-65"/>
        </w:rPr>
      </w:r>
      <w:r>
        <w:rPr/>
        <w:t>资产折旧和无形资产摊销、开发支出资本化的判断标准、商誉减值的计提方法、收入的确认时点等。</w:t>
      </w:r>
    </w:p>
    <w:p>
      <w:pPr>
        <w:pStyle w:val="BodyText"/>
        <w:spacing w:line="316" w:lineRule="auto" w:before="3"/>
        <w:ind w:left="152" w:right="454"/>
        <w:jc w:val="left"/>
      </w:pPr>
      <w:r>
        <w:rPr/>
        <w:t>本集团根据历史经验和其他因素，包括对未来事项的合理预期，对所采用的重要会计估计和关键判断进行持续的评价。 重要会计估计及其关键假设 下列重要会计估计及关键假设存在会导致下一会计年度资产和负债的账面价值出现重大调整的重要风险：</w:t>
      </w:r>
    </w:p>
    <w:p>
      <w:pPr>
        <w:pStyle w:val="BodyText"/>
        <w:spacing w:line="314" w:lineRule="auto" w:before="19"/>
        <w:ind w:left="152" w:right="94"/>
        <w:jc w:val="left"/>
      </w:pPr>
      <w:r>
        <w:rPr>
          <w:rFonts w:ascii="Times New Roman" w:hAnsi="Times New Roman" w:cs="Times New Roman" w:eastAsia="Times New Roman" w:hint="default"/>
        </w:rPr>
        <w:t>(i)</w:t>
      </w:r>
      <w:r>
        <w:rPr>
          <w:rFonts w:ascii="Times New Roman" w:hAnsi="Times New Roman" w:cs="Times New Roman" w:eastAsia="Times New Roman" w:hint="default"/>
          <w:spacing w:val="10"/>
        </w:rPr>
        <w:t> </w:t>
      </w:r>
      <w:r>
        <w:rPr/>
        <w:t>商誉减值准备的会计估计</w:t>
      </w:r>
      <w:r>
        <w:rPr>
          <w:w w:val="99"/>
        </w:rPr>
        <w:t> </w:t>
      </w:r>
      <w:r>
        <w:rPr>
          <w:spacing w:val="-2"/>
        </w:rPr>
        <w:t>本集团每年对商誉进行减值测试。包含商誉的资产组和资产组组合的可收回金额为其预计未来现金流量的现值，其计算需要</w:t>
      </w:r>
      <w:r>
        <w:rPr>
          <w:spacing w:val="-65"/>
        </w:rPr>
        <w:t> </w:t>
      </w:r>
      <w:r>
        <w:rPr>
          <w:spacing w:val="-65"/>
        </w:rPr>
      </w:r>
      <w:r>
        <w:rPr/>
        <w:t>采用会计估计。</w:t>
      </w:r>
      <w:r>
        <w:rPr>
          <w:w w:val="99"/>
        </w:rPr>
        <w:t> </w:t>
      </w:r>
      <w:r>
        <w:rPr/>
        <w:t>如果管理层对资产组和资产组组合未来现金流量计算中采用的毛利率进行修订，且修订后的毛利率低于目前采用的毛利率，</w:t>
      </w:r>
      <w:r>
        <w:rPr>
          <w:w w:val="99"/>
        </w:rPr>
        <w:t> </w:t>
      </w:r>
      <w:r>
        <w:rPr/>
        <w:t>则本集团需对商誉增加计提减值准备。</w:t>
      </w:r>
      <w:r>
        <w:rPr>
          <w:w w:val="99"/>
        </w:rPr>
        <w:t> </w:t>
      </w:r>
      <w:r>
        <w:rPr>
          <w:spacing w:val="-2"/>
        </w:rPr>
        <w:t>如果管理层对应用于现金流量折现的税前折现率进行重新修订，且修订后的税前折现率高于目前采用的折现率，则本集团需</w:t>
      </w:r>
      <w:r>
        <w:rPr>
          <w:spacing w:val="-65"/>
        </w:rPr>
        <w:t> </w:t>
      </w:r>
      <w:r>
        <w:rPr>
          <w:spacing w:val="-65"/>
        </w:rPr>
      </w:r>
      <w:r>
        <w:rPr/>
        <w:t>对商誉增加计提减值准备。</w:t>
      </w:r>
      <w:r>
        <w:rPr>
          <w:w w:val="99"/>
        </w:rPr>
        <w:t> </w:t>
      </w:r>
      <w:r>
        <w:rPr/>
        <w:t>如果实际毛利率高于或实际税前折现率低于管理层的估计，本集团不能转回原已计提的商誉减值损失。</w:t>
      </w:r>
    </w:p>
    <w:p>
      <w:pPr>
        <w:pStyle w:val="BodyText"/>
        <w:spacing w:line="314" w:lineRule="auto" w:before="20"/>
        <w:ind w:left="152" w:right="94"/>
        <w:jc w:val="left"/>
      </w:pPr>
      <w:r>
        <w:rPr>
          <w:rFonts w:ascii="Times New Roman" w:hAnsi="Times New Roman" w:cs="Times New Roman" w:eastAsia="Times New Roman" w:hint="default"/>
        </w:rPr>
        <w:t>(ii)</w:t>
      </w:r>
      <w:r>
        <w:rPr>
          <w:rFonts w:ascii="Times New Roman" w:hAnsi="Times New Roman" w:cs="Times New Roman" w:eastAsia="Times New Roman" w:hint="default"/>
          <w:spacing w:val="9"/>
        </w:rPr>
        <w:t> </w:t>
      </w:r>
      <w:r>
        <w:rPr/>
        <w:t>所得税及递延所得税</w:t>
      </w:r>
      <w:r>
        <w:rPr>
          <w:w w:val="99"/>
        </w:rPr>
        <w:t> </w:t>
      </w:r>
      <w:r>
        <w:rPr>
          <w:spacing w:val="-2"/>
        </w:rPr>
        <w:t>本集团在多个地区缴纳企业所得税。在正常的经营活动中，部分交易和事项的最终税务处理存在不确定性。在计提各个地区</w:t>
      </w:r>
      <w:r>
        <w:rPr>
          <w:spacing w:val="-66"/>
        </w:rPr>
        <w:t> </w:t>
      </w:r>
      <w:r>
        <w:rPr>
          <w:spacing w:val="-66"/>
        </w:rPr>
      </w:r>
      <w:r>
        <w:rPr>
          <w:spacing w:val="-2"/>
        </w:rPr>
        <w:t>的所得税费用时，本集团需要作出重大判断。如果这些税务事项的最终认定结果与最初入账的金额存在差异，该差异将对作</w:t>
      </w:r>
      <w:r>
        <w:rPr>
          <w:spacing w:val="-63"/>
        </w:rPr>
        <w:t> </w:t>
      </w:r>
      <w:r>
        <w:rPr>
          <w:spacing w:val="-63"/>
        </w:rPr>
      </w:r>
      <w:r>
        <w:rPr/>
        <w:t>出上述最终认定期间的所得税费用和递延所得税的金额产生影响。</w:t>
      </w:r>
      <w:r>
        <w:rPr>
          <w:w w:val="99"/>
        </w:rPr>
        <w:t> </w:t>
      </w:r>
      <w:r>
        <w:rPr>
          <w:spacing w:val="-2"/>
        </w:rPr>
        <w:t>若管理层认为未来很有可能出现应纳税所得额，并可用作抵扣可抵扣暂时性差异或可抵扣亏损，则确认与该可抵扣暂时性差</w:t>
      </w:r>
      <w:r>
        <w:rPr>
          <w:spacing w:val="-65"/>
        </w:rPr>
        <w:t> </w:t>
      </w:r>
      <w:r>
        <w:rPr>
          <w:spacing w:val="-65"/>
        </w:rPr>
      </w:r>
      <w:r>
        <w:rPr>
          <w:spacing w:val="-2"/>
        </w:rPr>
        <w:t>异及可抵扣亏损有关的递延所得税资产。当预期的金额与原先估计有差异，则该差异将会影响于估计改变的期间内递延所得</w:t>
      </w:r>
      <w:r>
        <w:rPr>
          <w:spacing w:val="-65"/>
        </w:rPr>
        <w:t> </w:t>
      </w:r>
      <w:r>
        <w:rPr>
          <w:spacing w:val="-65"/>
        </w:rPr>
      </w:r>
      <w:r>
        <w:rPr/>
        <w:t>税资产及所得税费用的确认。</w:t>
      </w:r>
    </w:p>
    <w:p>
      <w:pPr>
        <w:pStyle w:val="BodyText"/>
        <w:spacing w:line="312" w:lineRule="auto" w:before="20"/>
        <w:ind w:left="152" w:right="94"/>
        <w:jc w:val="left"/>
      </w:pPr>
      <w:r>
        <w:rPr>
          <w:rFonts w:ascii="Times New Roman" w:hAnsi="Times New Roman" w:cs="Times New Roman" w:eastAsia="Times New Roman" w:hint="default"/>
        </w:rPr>
        <w:t>(iii)</w:t>
      </w:r>
      <w:r>
        <w:rPr>
          <w:rFonts w:ascii="Times New Roman" w:hAnsi="Times New Roman" w:cs="Times New Roman" w:eastAsia="Times New Roman" w:hint="default"/>
          <w:spacing w:val="10"/>
        </w:rPr>
        <w:t> </w:t>
      </w:r>
      <w:r>
        <w:rPr/>
        <w:t>应收款项的坏账准备</w:t>
      </w:r>
      <w:r>
        <w:rPr>
          <w:w w:val="99"/>
        </w:rPr>
        <w:t> </w:t>
      </w:r>
      <w:r>
        <w:rPr>
          <w:spacing w:val="-2"/>
        </w:rPr>
        <w:t>本集团以应收款项的可收回性为判断基础，确认坏账准备。当存在迹象表明应收款项无法收回时需要确认坏账准备。坏账准</w:t>
      </w:r>
      <w:r>
        <w:rPr>
          <w:spacing w:val="-66"/>
        </w:rPr>
        <w:t> </w:t>
      </w:r>
      <w:r>
        <w:rPr>
          <w:spacing w:val="-66"/>
        </w:rPr>
      </w:r>
      <w:r>
        <w:rPr>
          <w:spacing w:val="-2"/>
        </w:rPr>
        <w:t>备的确认需要运用判断和估计。如重新估计结果与现有估计存在差异，该差异将会影响估计改变期间的应收款项账面价值及</w:t>
      </w:r>
      <w:r>
        <w:rPr>
          <w:spacing w:val="-65"/>
        </w:rPr>
        <w:t> </w:t>
      </w:r>
      <w:r>
        <w:rPr>
          <w:spacing w:val="-65"/>
        </w:rPr>
      </w:r>
      <w:r>
        <w:rPr/>
        <w:t>资产减值损失。</w:t>
      </w:r>
    </w:p>
    <w:p>
      <w:pPr>
        <w:spacing w:line="240" w:lineRule="auto" w:before="13"/>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本集团</w:t>
      </w:r>
      <w:r>
        <w:rPr>
          <w:rFonts w:ascii="Times New Roman" w:hAnsi="Times New Roman" w:cs="Times New Roman" w:eastAsia="Times New Roman" w:hint="default"/>
        </w:rPr>
        <w:t>2017</w:t>
      </w:r>
      <w:r>
        <w:rPr/>
        <w:t>年度财务报表符合企业会计准则的要求，真实、完整地反映了本集团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p>
    <w:p>
      <w:pPr>
        <w:pStyle w:val="BodyText"/>
        <w:spacing w:line="240" w:lineRule="auto" w:before="63"/>
        <w:ind w:left="152" w:right="661"/>
        <w:jc w:val="left"/>
      </w:pPr>
      <w:r>
        <w:rPr>
          <w:rFonts w:ascii="Times New Roman" w:hAnsi="Times New Roman" w:cs="Times New Roman" w:eastAsia="Times New Roman" w:hint="default"/>
        </w:rPr>
        <w:t>2017</w:t>
      </w:r>
      <w:r>
        <w:rPr/>
        <w:t>年度的合并及公司经营成果和现金流量等有关信息。</w:t>
      </w:r>
    </w:p>
    <w:p>
      <w:pPr>
        <w:spacing w:line="240" w:lineRule="auto" w:before="1"/>
        <w:rPr>
          <w:rFonts w:ascii="宋体" w:hAnsi="宋体" w:cs="宋体" w:eastAsia="宋体" w:hint="default"/>
          <w:sz w:val="21"/>
          <w:szCs w:val="21"/>
        </w:rPr>
      </w:pPr>
    </w:p>
    <w:p>
      <w:pPr>
        <w:pStyle w:val="Heading3"/>
        <w:spacing w:line="240" w:lineRule="auto"/>
        <w:ind w:right="661"/>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661"/>
        <w:jc w:val="left"/>
      </w:pPr>
      <w:r>
        <w:rPr/>
        <w:t>会计年度为公历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footerReference w:type="default" r:id="rId40"/>
          <w:pgSz w:w="11910" w:h="16840"/>
          <w:pgMar w:footer="976" w:header="892" w:top="1080" w:bottom="1160" w:left="980" w:right="940"/>
          <w:pgNumType w:start="79"/>
        </w:sectPr>
      </w:pPr>
    </w:p>
    <w:p>
      <w:pPr>
        <w:pStyle w:val="Heading3"/>
        <w:spacing w:line="286" w:lineRule="exact"/>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营业周期为</w:t>
      </w:r>
      <w:r>
        <w:rPr>
          <w:rFonts w:ascii="Times New Roman" w:hAnsi="Times New Roman" w:cs="Times New Roman" w:eastAsia="Times New Roman" w:hint="default"/>
        </w:rPr>
        <w:t>12</w:t>
      </w:r>
      <w:r>
        <w:rPr/>
        <w:t>个月。</w:t>
      </w:r>
    </w:p>
    <w:p>
      <w:pPr>
        <w:pStyle w:val="BodyText"/>
        <w:spacing w:line="240" w:lineRule="auto" w:before="103"/>
        <w:ind w:left="152" w:right="0"/>
        <w:jc w:val="left"/>
      </w:pPr>
      <w:r>
        <w:rPr/>
        <w:t>注：公司对营业周期不同于</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个月，并以营业周期作为资产和负债的流动性划分标准的，应说明营业周期及确定依据。</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记账本位币为人民币。</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7" w:lineRule="auto"/>
        <w:ind w:left="152"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同一控制下的企业合并</w:t>
      </w:r>
      <w:r>
        <w:rPr>
          <w:w w:val="99"/>
        </w:rPr>
        <w:t> </w:t>
      </w:r>
      <w:r>
        <w:rPr>
          <w:spacing w:val="-2"/>
        </w:rPr>
        <w:t>合并方支付的合并对价及取得的净资产均按账面价值计量，如被合并方是最终控制方以前年度从第三方收购来的，则以被合</w:t>
      </w:r>
      <w:r>
        <w:rPr>
          <w:spacing w:val="-65"/>
        </w:rPr>
        <w:t> </w:t>
      </w:r>
      <w:r>
        <w:rPr>
          <w:spacing w:val="-65"/>
        </w:rPr>
      </w:r>
      <w:r>
        <w:rPr>
          <w:spacing w:val="-1"/>
        </w:rPr>
        <w:t>并方的资产、负债</w:t>
      </w:r>
      <w:r>
        <w:rPr>
          <w:rFonts w:ascii="Times New Roman" w:hAnsi="Times New Roman" w:cs="Times New Roman" w:eastAsia="Times New Roman" w:hint="default"/>
          <w:spacing w:val="-1"/>
        </w:rPr>
        <w:t>(</w:t>
      </w:r>
      <w:r>
        <w:rPr>
          <w:spacing w:val="-1"/>
        </w:rPr>
        <w:t>包括最终控制方收购被合并方而形成的商誉</w:t>
      </w:r>
      <w:r>
        <w:rPr>
          <w:rFonts w:ascii="Times New Roman" w:hAnsi="Times New Roman" w:cs="Times New Roman" w:eastAsia="Times New Roman" w:hint="default"/>
          <w:spacing w:val="-1"/>
        </w:rPr>
        <w:t>)</w:t>
      </w:r>
      <w:r>
        <w:rPr>
          <w:spacing w:val="-1"/>
        </w:rPr>
        <w:t>在最终控制方合并财务报表中的账面价值为基础。合并方取</w:t>
      </w:r>
      <w:r>
        <w:rPr>
          <w:spacing w:val="-60"/>
        </w:rPr>
        <w:t> </w:t>
      </w:r>
      <w:r>
        <w:rPr>
          <w:spacing w:val="-60"/>
        </w:rPr>
      </w:r>
      <w:r>
        <w:rPr/>
        <w:t>得的净资产账面价值与支付的合并对价账面价值的差额，调整资本公积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不足以冲减的，调</w:t>
      </w:r>
      <w:r>
        <w:rPr>
          <w:w w:val="99"/>
        </w:rPr>
        <w:t> </w:t>
      </w:r>
      <w:r>
        <w:rPr>
          <w:spacing w:val="-2"/>
        </w:rPr>
        <w:t>整留存收益。为进行企业合并发生的直接相关费用于发生时计入当期损益。为企业合并而发行权益性证券或债务性证券的交</w:t>
      </w:r>
      <w:r>
        <w:rPr>
          <w:spacing w:val="-64"/>
        </w:rPr>
        <w:t> </w:t>
      </w:r>
      <w:r>
        <w:rPr>
          <w:spacing w:val="-64"/>
        </w:rPr>
      </w:r>
      <w:r>
        <w:rPr/>
        <w:t>易费用，计入权益性证券或债务性证券的初始确认金额。</w:t>
      </w:r>
    </w:p>
    <w:p>
      <w:pPr>
        <w:pStyle w:val="BodyText"/>
        <w:spacing w:line="314" w:lineRule="auto" w:before="26"/>
        <w:ind w:left="152"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非同一控制下的企业合并</w:t>
      </w:r>
      <w:r>
        <w:rPr>
          <w:w w:val="99"/>
        </w:rPr>
        <w:t> </w:t>
      </w:r>
      <w:r>
        <w:rPr>
          <w:spacing w:val="-2"/>
          <w:w w:val="99"/>
        </w:rPr>
        <w:t>购买方发生的合并成本及在合并中取得的可辨认净资产按购买日的公允价值计量。合并成本大于合并中取得的被购买方于购</w:t>
      </w:r>
      <w:r>
        <w:rPr>
          <w:spacing w:val="-64"/>
          <w:w w:val="99"/>
        </w:rPr>
        <w:t> </w:t>
      </w:r>
      <w:r>
        <w:rPr>
          <w:spacing w:val="-64"/>
          <w:w w:val="99"/>
        </w:rPr>
      </w:r>
      <w:r>
        <w:rPr>
          <w:spacing w:val="-2"/>
        </w:rPr>
        <w:t>买日可辨认净资产公允价值份额的差额，确认为商誉；合并成本小于合并中取得的被购买方可辨认净资产公允价值份额的差</w:t>
      </w:r>
      <w:r>
        <w:rPr>
          <w:spacing w:val="-65"/>
        </w:rPr>
        <w:t> </w:t>
      </w:r>
      <w:r>
        <w:rPr>
          <w:spacing w:val="-65"/>
        </w:rPr>
      </w:r>
      <w:r>
        <w:rPr>
          <w:spacing w:val="-2"/>
        </w:rPr>
        <w:t>额，计入当期损益。为进行企业合并发生的直接相关费用于发生时计入当期损益。为企业合并而发行权益性证券或债务性证</w:t>
      </w:r>
      <w:r>
        <w:rPr>
          <w:spacing w:val="-67"/>
        </w:rPr>
        <w:t> </w:t>
      </w:r>
      <w:r>
        <w:rPr>
          <w:spacing w:val="-67"/>
        </w:rPr>
      </w:r>
      <w:r>
        <w:rPr/>
        <w:t>券的交易费用，计入权益性证券或债务性证券的初始确认金额。</w:t>
      </w: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152" w:right="0"/>
        <w:jc w:val="left"/>
      </w:pPr>
      <w:r>
        <w:rPr/>
        <w:t>编制合并财务报表时，合并范围包括本公司及全部子公司。 </w:t>
      </w:r>
      <w:r>
        <w:rPr>
          <w:spacing w:val="-2"/>
        </w:rPr>
        <w:t>从取得子公司的实际控制权之日起，本集团开始将其纳入合并范围；从丧失实际控制权之日起停止纳入合并范围。对于同一</w:t>
      </w:r>
      <w:r>
        <w:rPr>
          <w:spacing w:val="-63"/>
        </w:rPr>
        <w:t> </w:t>
      </w:r>
      <w:r>
        <w:rPr>
          <w:spacing w:val="-63"/>
        </w:rPr>
      </w:r>
      <w:r>
        <w:rPr>
          <w:spacing w:val="-2"/>
        </w:rPr>
        <w:t>控制下企业合并取得的子公司，自其与本公司同受最终控制方控制之日起纳入本公司合并范围，并将其在合并日前实现的净</w:t>
      </w:r>
      <w:r>
        <w:rPr>
          <w:spacing w:val="-64"/>
        </w:rPr>
        <w:t> </w:t>
      </w:r>
      <w:r>
        <w:rPr>
          <w:spacing w:val="-64"/>
        </w:rPr>
      </w:r>
      <w:r>
        <w:rPr/>
        <w:t>利润在合并利润表中单列项目反映。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3"/>
        </w:rPr>
        <w:t> </w:t>
      </w:r>
      <w:r>
        <w:rPr>
          <w:spacing w:val="-63"/>
        </w:rPr>
      </w:r>
      <w:r>
        <w:rPr/>
        <w:t>进行调整。 </w:t>
      </w:r>
      <w:r>
        <w:rPr>
          <w:spacing w:val="-2"/>
        </w:rPr>
        <w:t>集团内所有重大往来余额、交易及未实现利润在合并财务报表编制时予以抵销。子公司的股东权益、当期净损益及综合收益</w:t>
      </w:r>
      <w:r>
        <w:rPr>
          <w:spacing w:val="-63"/>
        </w:rPr>
        <w:t> </w:t>
      </w:r>
      <w:r>
        <w:rPr>
          <w:spacing w:val="-63"/>
        </w:rPr>
      </w:r>
      <w:r>
        <w:rPr>
          <w:spacing w:val="-2"/>
        </w:rPr>
        <w:t>中不属于本公司所拥有的部分分别作为少数股东权益、少数股东损益及归属于少数股东的综合收益总额在合并财务报表中股</w:t>
      </w:r>
      <w:r>
        <w:rPr>
          <w:spacing w:val="-64"/>
        </w:rPr>
        <w:t> </w:t>
      </w:r>
      <w:r>
        <w:rPr>
          <w:spacing w:val="-64"/>
        </w:rPr>
      </w:r>
      <w:r>
        <w:rPr>
          <w:spacing w:val="-2"/>
        </w:rPr>
        <w:t>东权益、净利润及综合收益总额项下单独列示。本公司向子公司出售资产所发生的未实现内部交易损益，全额抵销归属于母</w:t>
      </w:r>
      <w:r>
        <w:rPr>
          <w:spacing w:val="-63"/>
        </w:rPr>
        <w:t> </w:t>
      </w:r>
      <w:r>
        <w:rPr>
          <w:spacing w:val="-63"/>
        </w:rPr>
      </w:r>
      <w:r>
        <w:rPr>
          <w:spacing w:val="-2"/>
        </w:rPr>
        <w:t>公司股东的净利润；子公司向本公司出售资产所发生的未实现内部交易损益，按本公司对该子公司的分配比例在归属于母公</w:t>
      </w:r>
      <w:r>
        <w:rPr>
          <w:spacing w:val="-64"/>
        </w:rPr>
        <w:t> </w:t>
      </w:r>
      <w:r>
        <w:rPr>
          <w:spacing w:val="-64"/>
        </w:rPr>
      </w:r>
      <w:r>
        <w:rPr>
          <w:spacing w:val="-2"/>
        </w:rPr>
        <w:t>司股东的净利润和少数股东损益之间分配抵销。子公司之间出售资产所发生的未实现内部交易损益，按照母公司对出售方子</w:t>
      </w:r>
      <w:r>
        <w:rPr>
          <w:spacing w:val="-64"/>
        </w:rPr>
        <w:t> </w:t>
      </w:r>
      <w:r>
        <w:rPr>
          <w:spacing w:val="-64"/>
        </w:rPr>
      </w:r>
      <w:r>
        <w:rPr/>
        <w:t>公司的分配比例在归属于母公司股东的净利润和少数股东损益之间分配抵销。 如果以本集团为会计主体与以本公司或子公司为会计主体对同一交易的认定不同时，从本集团的角度对该交易予以调整。</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现金及现金等价物是指库存现金，可随时用于支付的存款，以及持有的期限短、流动性强、易于转换为已知金额现金、价值</w:t>
      </w:r>
    </w:p>
    <w:p>
      <w:pPr>
        <w:spacing w:after="0" w:line="240" w:lineRule="auto"/>
        <w:jc w:val="left"/>
        <w:sectPr>
          <w:headerReference w:type="default" r:id="rId41"/>
          <w:pgSz w:w="11910" w:h="16840"/>
          <w:pgMar w:header="1078" w:footer="976" w:top="1960" w:bottom="1160" w:left="980" w:right="980"/>
        </w:sectPr>
      </w:pPr>
    </w:p>
    <w:p>
      <w:pPr>
        <w:pStyle w:val="BodyText"/>
        <w:spacing w:line="240" w:lineRule="auto" w:before="8"/>
        <w:ind w:left="152" w:right="0"/>
        <w:jc w:val="left"/>
      </w:pPr>
      <w:r>
        <w:rPr/>
        <w:t>变动风险很小的投资。</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152" w:right="455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外币交易</w:t>
      </w:r>
      <w:r>
        <w:rPr>
          <w:w w:val="99"/>
        </w:rPr>
        <w:t> </w:t>
      </w:r>
      <w:r>
        <w:rPr/>
        <w:t>外币交易按交易发生日的即期汇率将外币金额折算为人民币入账。</w:t>
      </w:r>
    </w:p>
    <w:p>
      <w:pPr>
        <w:pStyle w:val="BodyText"/>
        <w:spacing w:line="316" w:lineRule="auto" w:before="31"/>
        <w:ind w:left="152" w:right="153"/>
        <w:jc w:val="both"/>
      </w:pPr>
      <w:r>
        <w:rPr>
          <w:spacing w:val="-2"/>
        </w:rPr>
        <w:t>于资产负债表日，外币货币性项目采用资产负债表日的即期汇率折算为人民币。为购建符合借款费用资本化条件的资产而借</w:t>
      </w:r>
      <w:r>
        <w:rPr>
          <w:spacing w:val="-64"/>
        </w:rPr>
        <w:t> </w:t>
      </w:r>
      <w:r>
        <w:rPr>
          <w:spacing w:val="-64"/>
        </w:rPr>
      </w:r>
      <w:r>
        <w:rPr>
          <w:spacing w:val="-2"/>
        </w:rPr>
        <w:t>入的外币专门借款产生的汇兑差额在资本化期间内予以资本化；其他汇兑差额直接计入当期损益。以历史成本计量的外币非</w:t>
      </w:r>
      <w:r>
        <w:rPr>
          <w:spacing w:val="-64"/>
        </w:rPr>
        <w:t> </w:t>
      </w:r>
      <w:r>
        <w:rPr>
          <w:spacing w:val="-64"/>
        </w:rPr>
      </w:r>
      <w:r>
        <w:rPr/>
        <w:t>货币性项目，于资产负债表日采用交易发生日的即期汇率折算。汇率变动对现金的影响额，在现金流量表中单独列示。</w:t>
      </w:r>
    </w:p>
    <w:p>
      <w:pPr>
        <w:pStyle w:val="BodyText"/>
        <w:spacing w:line="314" w:lineRule="auto" w:before="19"/>
        <w:ind w:left="152"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外币财务报表的折算</w:t>
      </w:r>
      <w:r>
        <w:rPr>
          <w:w w:val="99"/>
        </w:rPr>
        <w:t> </w:t>
      </w:r>
      <w:r>
        <w:rPr>
          <w:spacing w:val="-2"/>
        </w:rPr>
        <w:t>境外经营的资产负债表中的资产和负债项目，采用资产负债表日的即期汇率折算，股东权益中除未分配利润项目外，其他项</w:t>
      </w:r>
      <w:r>
        <w:rPr>
          <w:spacing w:val="-64"/>
        </w:rPr>
        <w:t> </w:t>
      </w:r>
      <w:r>
        <w:rPr>
          <w:spacing w:val="-64"/>
        </w:rPr>
      </w:r>
      <w:r>
        <w:rPr>
          <w:spacing w:val="-2"/>
        </w:rPr>
        <w:t>目采用发生时的即期汇率折算。境外经营的利润表中的收入与费用项目，采用交易发生日的即期汇率折算。上述折算产生的</w:t>
      </w:r>
      <w:r>
        <w:rPr>
          <w:spacing w:val="-64"/>
        </w:rPr>
        <w:t> </w:t>
      </w:r>
      <w:r>
        <w:rPr>
          <w:spacing w:val="-64"/>
        </w:rPr>
      </w:r>
      <w:r>
        <w:rPr>
          <w:spacing w:val="-2"/>
        </w:rPr>
        <w:t>外币报表折算差额，计入其他综合收益。境外经营的现金流量项目，采用现金流量发生日的即期汇率折算。汇率变动对现金</w:t>
      </w:r>
      <w:r>
        <w:rPr>
          <w:spacing w:val="-66"/>
        </w:rPr>
        <w:t> </w:t>
      </w:r>
      <w:r>
        <w:rPr>
          <w:spacing w:val="-66"/>
        </w:rPr>
      </w:r>
      <w:r>
        <w:rPr/>
        <w:t>的影响额，在现金流量表中单独列示。</w:t>
      </w:r>
    </w:p>
    <w:p>
      <w:pPr>
        <w:pStyle w:val="BodyText"/>
        <w:spacing w:line="316" w:lineRule="auto" w:before="61"/>
        <w:ind w:left="152" w:right="0"/>
        <w:jc w:val="left"/>
      </w:pPr>
      <w:r>
        <w:rPr>
          <w:spacing w:val="-2"/>
        </w:rPr>
        <w:t>注：说明发生外币交易时折算汇率的确定方法、在资产负债表日外币货币性项目采用的折算方法、汇兑损益的处理方法以及</w:t>
      </w:r>
      <w:r>
        <w:rPr>
          <w:spacing w:val="-63"/>
        </w:rPr>
        <w:t> </w:t>
      </w:r>
      <w:r>
        <w:rPr>
          <w:spacing w:val="-63"/>
        </w:rPr>
      </w:r>
      <w:r>
        <w:rPr/>
        <w:t>外币报表折算的会计处理方法。</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7"/>
        </w:rPr>
        <w:t> </w:t>
      </w:r>
      <w:r>
        <w:rPr/>
        <w:t>金融资产</w:t>
      </w:r>
    </w:p>
    <w:p>
      <w:pPr>
        <w:pStyle w:val="BodyText"/>
        <w:spacing w:line="314" w:lineRule="auto" w:before="63"/>
        <w:ind w:left="152" w:right="0"/>
        <w:jc w:val="left"/>
      </w:pPr>
      <w:r>
        <w:rPr>
          <w:rFonts w:ascii="Times New Roman" w:hAnsi="Times New Roman" w:cs="Times New Roman" w:eastAsia="Times New Roman" w:hint="default"/>
        </w:rPr>
        <w:t>(i)</w:t>
      </w:r>
      <w:r>
        <w:rPr>
          <w:rFonts w:ascii="Times New Roman" w:hAnsi="Times New Roman" w:cs="Times New Roman" w:eastAsia="Times New Roman" w:hint="default"/>
          <w:spacing w:val="10"/>
        </w:rPr>
        <w:t> </w:t>
      </w:r>
      <w:r>
        <w:rPr/>
        <w:t>金融资产分类</w:t>
      </w:r>
      <w:r>
        <w:rPr>
          <w:w w:val="99"/>
        </w:rPr>
        <w:t> </w:t>
      </w:r>
      <w:r>
        <w:rPr>
          <w:spacing w:val="-2"/>
        </w:rPr>
        <w:t>金融资产于初始确认时分类为：以公允价值计量且其变动计入当期损益的金融资产、应收款项、可供出售金融资产和持有至</w:t>
      </w:r>
      <w:r>
        <w:rPr>
          <w:spacing w:val="-62"/>
        </w:rPr>
        <w:t> </w:t>
      </w:r>
      <w:r>
        <w:rPr>
          <w:spacing w:val="-62"/>
        </w:rPr>
      </w:r>
      <w:r>
        <w:rPr/>
        <w:t>到期投资。金融资产的分类取决于本集团对金融资产的持有意图和持有能力。</w:t>
      </w:r>
      <w:r>
        <w:rPr>
          <w:w w:val="99"/>
        </w:rPr>
        <w:t> </w:t>
      </w:r>
      <w:r>
        <w:rPr/>
        <w:t>以公允价值计量且其变动计入当期损益的金融资产</w:t>
      </w:r>
      <w:r>
        <w:rPr>
          <w:w w:val="99"/>
        </w:rPr>
        <w:t> </w:t>
      </w:r>
      <w:r>
        <w:rPr/>
        <w:t>以公允价值计量且其变动计入当期损益的金融资产包括持有目的为短期内出售的金融资产。</w:t>
      </w:r>
    </w:p>
    <w:p>
      <w:pPr>
        <w:pStyle w:val="BodyText"/>
        <w:spacing w:line="316" w:lineRule="auto" w:before="20"/>
        <w:ind w:left="152" w:right="3294"/>
        <w:jc w:val="left"/>
      </w:pPr>
      <w:r>
        <w:rPr/>
        <w:t>应收款项 应收款项是指在活跃市场中没有报价、回收金额固定或可确定的非衍生金融资产。 可供出售金融资产</w:t>
      </w:r>
    </w:p>
    <w:p>
      <w:pPr>
        <w:pStyle w:val="BodyText"/>
        <w:spacing w:line="316" w:lineRule="auto" w:before="19"/>
        <w:ind w:left="152" w:right="0"/>
        <w:jc w:val="left"/>
      </w:pPr>
      <w:r>
        <w:rPr>
          <w:spacing w:val="-2"/>
        </w:rPr>
        <w:t>可供出售金融资产包括初始确认时即被指定为可供出售的非衍生金融资产及未被划分为其他类的金融资产。自资产负债表日</w:t>
      </w:r>
      <w:r>
        <w:rPr>
          <w:spacing w:val="-64"/>
        </w:rPr>
        <w:t> </w:t>
      </w:r>
      <w:r>
        <w:rPr>
          <w:spacing w:val="-64"/>
        </w:rPr>
      </w:r>
      <w:r>
        <w:rPr/>
        <w:t>起</w:t>
      </w:r>
      <w:r>
        <w:rPr>
          <w:rFonts w:ascii="Times New Roman" w:hAnsi="Times New Roman" w:cs="Times New Roman" w:eastAsia="Times New Roman" w:hint="default"/>
        </w:rPr>
        <w:t>12</w:t>
      </w:r>
      <w:r>
        <w:rPr/>
        <w:t>个月内将出售的可供出售金融资产在资产负债表中列示为其他流动资产。</w:t>
      </w:r>
    </w:p>
    <w:p>
      <w:pPr>
        <w:pStyle w:val="BodyText"/>
        <w:spacing w:line="312" w:lineRule="auto"/>
        <w:ind w:left="152" w:right="0"/>
        <w:jc w:val="left"/>
      </w:pPr>
      <w:r>
        <w:rPr/>
        <w:t>持有至到期投资 </w:t>
      </w:r>
      <w:r>
        <w:rPr>
          <w:spacing w:val="-2"/>
        </w:rPr>
        <w:t>持有至到期投资是指到期日固定、回收金额固定或可确定，且管理层有明确意图和能力持有至到期的非衍生金融资产。取得</w:t>
      </w:r>
      <w:r>
        <w:rPr>
          <w:spacing w:val="-65"/>
        </w:rPr>
        <w:t> </w:t>
      </w:r>
      <w:r>
        <w:rPr>
          <w:spacing w:val="-65"/>
        </w:rPr>
      </w:r>
      <w:r>
        <w:rPr>
          <w:spacing w:val="-1"/>
        </w:rPr>
        <w:t>时期限超过</w:t>
      </w:r>
      <w:r>
        <w:rPr>
          <w:rFonts w:ascii="Times New Roman" w:hAnsi="Times New Roman" w:cs="Times New Roman" w:eastAsia="Times New Roman" w:hint="default"/>
          <w:spacing w:val="-1"/>
        </w:rPr>
        <w:t>12</w:t>
      </w:r>
      <w:r>
        <w:rPr>
          <w:spacing w:val="-1"/>
        </w:rPr>
        <w:t>个月但自资产负债表日起</w:t>
      </w:r>
      <w:r>
        <w:rPr>
          <w:rFonts w:ascii="Times New Roman" w:hAnsi="Times New Roman" w:cs="Times New Roman" w:eastAsia="Times New Roman" w:hint="default"/>
          <w:spacing w:val="-1"/>
        </w:rPr>
        <w:t>12</w:t>
      </w:r>
      <w:r>
        <w:rPr>
          <w:spacing w:val="-1"/>
        </w:rPr>
        <w:t>个月</w:t>
      </w:r>
      <w:r>
        <w:rPr>
          <w:rFonts w:ascii="Times New Roman" w:hAnsi="Times New Roman" w:cs="Times New Roman" w:eastAsia="Times New Roman" w:hint="default"/>
          <w:spacing w:val="-1"/>
        </w:rPr>
        <w:t>(</w:t>
      </w:r>
      <w:r>
        <w:rPr>
          <w:spacing w:val="-1"/>
        </w:rPr>
        <w:t>含</w:t>
      </w:r>
      <w:r>
        <w:rPr>
          <w:rFonts w:ascii="Times New Roman" w:hAnsi="Times New Roman" w:cs="Times New Roman" w:eastAsia="Times New Roman" w:hint="default"/>
          <w:spacing w:val="-1"/>
        </w:rPr>
        <w:t>12</w:t>
      </w:r>
      <w:r>
        <w:rPr>
          <w:spacing w:val="-1"/>
        </w:rPr>
        <w:t>个月</w:t>
      </w:r>
      <w:r>
        <w:rPr>
          <w:rFonts w:ascii="Times New Roman" w:hAnsi="Times New Roman" w:cs="Times New Roman" w:eastAsia="Times New Roman" w:hint="default"/>
          <w:spacing w:val="-1"/>
        </w:rPr>
        <w:t>)</w:t>
      </w:r>
      <w:r>
        <w:rPr>
          <w:spacing w:val="-1"/>
        </w:rPr>
        <w:t>内到期的持有至到期投资，列示为一年内到期的非流动资产；取得</w:t>
      </w:r>
      <w:r>
        <w:rPr>
          <w:spacing w:val="-56"/>
        </w:rPr>
        <w:t> </w:t>
      </w:r>
      <w:r>
        <w:rPr>
          <w:spacing w:val="-56"/>
        </w:rPr>
      </w:r>
      <w:r>
        <w:rPr/>
        <w:t>时期限在</w:t>
      </w:r>
      <w:r>
        <w:rPr>
          <w:rFonts w:ascii="Times New Roman" w:hAnsi="Times New Roman" w:cs="Times New Roman" w:eastAsia="Times New Roman" w:hint="default"/>
        </w:rPr>
        <w:t>12</w:t>
      </w:r>
      <w:r>
        <w:rPr/>
        <w:t>个月之内</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的持有至到期投资，列示为其他流动资产。</w:t>
      </w:r>
    </w:p>
    <w:p>
      <w:pPr>
        <w:pStyle w:val="BodyText"/>
        <w:spacing w:line="316" w:lineRule="auto" w:before="3"/>
        <w:ind w:left="152" w:right="0"/>
        <w:jc w:val="left"/>
      </w:pPr>
      <w:r>
        <w:rPr>
          <w:rFonts w:ascii="Times New Roman" w:hAnsi="Times New Roman" w:cs="Times New Roman" w:eastAsia="Times New Roman" w:hint="default"/>
        </w:rPr>
        <w:t>(ii)</w:t>
      </w:r>
      <w:r>
        <w:rPr>
          <w:rFonts w:ascii="Times New Roman" w:hAnsi="Times New Roman" w:cs="Times New Roman" w:eastAsia="Times New Roman" w:hint="default"/>
          <w:spacing w:val="9"/>
        </w:rPr>
        <w:t> </w:t>
      </w:r>
      <w:r>
        <w:rPr/>
        <w:t>确认和计量</w:t>
      </w:r>
      <w:r>
        <w:rPr>
          <w:w w:val="99"/>
        </w:rPr>
        <w:t> </w:t>
      </w:r>
      <w:r>
        <w:rPr>
          <w:spacing w:val="-2"/>
        </w:rPr>
        <w:t>金融资产于本集团成为金融工具合同的一方时，按公允价值在资产负债表内确认。以公允价值计量且其变动计入当期损益的</w:t>
      </w:r>
      <w:r>
        <w:rPr>
          <w:spacing w:val="-65"/>
        </w:rPr>
        <w:t> </w:t>
      </w:r>
      <w:r>
        <w:rPr>
          <w:spacing w:val="-65"/>
        </w:rPr>
      </w:r>
      <w:r>
        <w:rPr/>
        <w:t>金融资产，取得时发生的相关交易费用计入当期损益；其他金融资产的相关交易费用计入初始确认金额。</w:t>
      </w:r>
      <w:r>
        <w:rPr>
          <w:w w:val="99"/>
        </w:rPr>
        <w:t> </w:t>
      </w:r>
      <w:r>
        <w:rPr>
          <w:spacing w:val="-2"/>
          <w:w w:val="99"/>
        </w:rPr>
        <w:t>以公允价值计量且其变动计入当期损益的金融资产和可供出售金融资产按照公允价值进行后续计量，但在活跃市场中没有报</w:t>
      </w:r>
      <w:r>
        <w:rPr>
          <w:spacing w:val="-64"/>
          <w:w w:val="99"/>
        </w:rPr>
        <w:t> </w:t>
      </w:r>
      <w:r>
        <w:rPr>
          <w:spacing w:val="-64"/>
          <w:w w:val="99"/>
        </w:rPr>
      </w:r>
      <w:r>
        <w:rPr>
          <w:spacing w:val="-2"/>
        </w:rPr>
        <w:t>价且其公允价值不能可靠计量的权益工具投资，按照成本计量；应收款项以及持有至到期投资采用实际利率法，以摊余成本</w:t>
      </w:r>
      <w:r>
        <w:rPr>
          <w:spacing w:val="-64"/>
        </w:rPr>
        <w:t> </w:t>
      </w:r>
      <w:r>
        <w:rPr>
          <w:spacing w:val="-64"/>
        </w:rPr>
      </w:r>
      <w:r>
        <w:rPr/>
        <w:t>计量。</w:t>
      </w:r>
      <w:r>
        <w:rPr>
          <w:w w:val="99"/>
        </w:rPr>
        <w:t> </w:t>
      </w:r>
      <w:r>
        <w:rPr>
          <w:spacing w:val="-2"/>
          <w:w w:val="99"/>
        </w:rPr>
        <w:t>以公允价值计量且其变动计入当期损益的金融资产的公允价值变动作为公允价值变动损益计入当期损益；在资产持有期间所</w:t>
      </w:r>
      <w:r>
        <w:rPr>
          <w:spacing w:val="-64"/>
          <w:w w:val="99"/>
        </w:rPr>
        <w:t> </w:t>
      </w:r>
      <w:r>
        <w:rPr>
          <w:spacing w:val="-64"/>
          <w:w w:val="99"/>
        </w:rPr>
      </w:r>
      <w:r>
        <w:rPr/>
        <w:t>取得的利息或现金股利以及处置时产生的处置损益计入当期损益。</w:t>
      </w:r>
      <w:r>
        <w:rPr>
          <w:w w:val="99"/>
        </w:rPr>
        <w:t> </w:t>
      </w:r>
      <w:r>
        <w:rPr>
          <w:spacing w:val="-2"/>
        </w:rPr>
        <w:t>除减值损失及外币货币性金融资产形成的汇兑损益外，可供出售金融资产公允价值变动直接计入股东权益，待该金融资产终</w:t>
      </w:r>
    </w:p>
    <w:p>
      <w:pPr>
        <w:spacing w:after="0" w:line="316" w:lineRule="auto"/>
        <w:jc w:val="left"/>
        <w:sectPr>
          <w:footerReference w:type="default" r:id="rId42"/>
          <w:pgSz w:w="11910" w:h="16840"/>
          <w:pgMar w:footer="976" w:header="1078" w:top="1960" w:bottom="1160" w:left="980" w:right="980"/>
          <w:pgNumType w:start="81"/>
        </w:sectPr>
      </w:pPr>
    </w:p>
    <w:p>
      <w:pPr>
        <w:pStyle w:val="BodyText"/>
        <w:spacing w:line="316" w:lineRule="auto" w:before="8"/>
        <w:ind w:left="152" w:right="94"/>
        <w:jc w:val="left"/>
      </w:pPr>
      <w:r>
        <w:rPr>
          <w:spacing w:val="-2"/>
        </w:rPr>
        <w:t>止确认时，原直接计入权益的公允价值变动累计额转入当期损益。可供出售债务工具投资在持有期间按实际利率法计算的利</w:t>
      </w:r>
      <w:r>
        <w:rPr>
          <w:spacing w:val="-64"/>
        </w:rPr>
        <w:t> </w:t>
      </w:r>
      <w:r>
        <w:rPr>
          <w:spacing w:val="-64"/>
        </w:rPr>
      </w:r>
      <w:r>
        <w:rPr/>
        <w:t>息，以及被投资单位已宣告发放的与可供出售权益工具投资相关的现金股利，作为投资收益计入当期损益。</w:t>
      </w:r>
    </w:p>
    <w:p>
      <w:pPr>
        <w:pStyle w:val="BodyText"/>
        <w:spacing w:line="314" w:lineRule="auto" w:before="19"/>
        <w:ind w:left="152" w:right="94"/>
        <w:jc w:val="left"/>
      </w:pPr>
      <w:r>
        <w:rPr>
          <w:rFonts w:ascii="Times New Roman" w:hAnsi="Times New Roman" w:cs="Times New Roman" w:eastAsia="Times New Roman" w:hint="default"/>
        </w:rPr>
        <w:t>(iii)</w:t>
      </w:r>
      <w:r>
        <w:rPr>
          <w:rFonts w:ascii="Times New Roman" w:hAnsi="Times New Roman" w:cs="Times New Roman" w:eastAsia="Times New Roman" w:hint="default"/>
          <w:spacing w:val="10"/>
        </w:rPr>
        <w:t> </w:t>
      </w:r>
      <w:r>
        <w:rPr/>
        <w:t>金融资产减值</w:t>
      </w:r>
      <w:r>
        <w:rPr>
          <w:w w:val="99"/>
        </w:rPr>
        <w:t> </w:t>
      </w:r>
      <w:r>
        <w:rPr>
          <w:spacing w:val="-2"/>
        </w:rPr>
        <w:t>除以公允价值计量且其变动计入当期损益的金融资产外，本集团于资产负债表日对金融资产的账面价值进行检查，如果有客</w:t>
      </w:r>
      <w:r>
        <w:rPr>
          <w:spacing w:val="-65"/>
        </w:rPr>
        <w:t> </w:t>
      </w:r>
      <w:r>
        <w:rPr>
          <w:spacing w:val="-65"/>
        </w:rPr>
      </w:r>
      <w:r>
        <w:rPr/>
        <w:t>观证据表明某项金融资产发生减值的，计提减值准备。</w:t>
      </w:r>
      <w:r>
        <w:rPr>
          <w:w w:val="99"/>
        </w:rPr>
        <w:t> </w:t>
      </w:r>
      <w:r>
        <w:rPr>
          <w:spacing w:val="-2"/>
        </w:rPr>
        <w:t>表明金融资产发生减值的客观证据，是指金融资产初始确认后实际发生的、对该金融资产的预计未来现金流量有影响，且本</w:t>
      </w:r>
      <w:r>
        <w:rPr>
          <w:spacing w:val="-64"/>
        </w:rPr>
        <w:t> </w:t>
      </w:r>
      <w:r>
        <w:rPr>
          <w:spacing w:val="-64"/>
        </w:rPr>
      </w:r>
      <w:r>
        <w:rPr/>
        <w:t>集团能够对该影响进行可靠计量的事项。</w:t>
      </w:r>
      <w:r>
        <w:rPr>
          <w:w w:val="99"/>
        </w:rPr>
        <w:t> </w:t>
      </w:r>
      <w:r>
        <w:rPr>
          <w:spacing w:val="-2"/>
          <w:w w:val="99"/>
        </w:rPr>
        <w:t>表明可供出售权益工具投资发生减值的客观证据包括权益工具投资的公允价值发生严重或非暂时性下跌。本集团于资产负债</w:t>
      </w:r>
      <w:r>
        <w:rPr>
          <w:spacing w:val="-64"/>
          <w:w w:val="99"/>
        </w:rPr>
        <w:t> </w:t>
      </w:r>
      <w:r>
        <w:rPr>
          <w:spacing w:val="-64"/>
          <w:w w:val="99"/>
        </w:rPr>
      </w:r>
      <w:r>
        <w:rPr/>
        <w:t>表日对各项可供出售权益工具投资单独进行检查，若该权益工具投资于资产负债表日的公允价值低于其初始投资成本超过</w:t>
      </w:r>
      <w:r>
        <w:rPr>
          <w:w w:val="99"/>
        </w:rPr>
        <w:t> </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或低于其初始投资成本持续时间超过一年</w:t>
      </w:r>
      <w:r>
        <w:rPr>
          <w:rFonts w:ascii="Times New Roman" w:hAnsi="Times New Roman" w:cs="Times New Roman" w:eastAsia="Times New Roman" w:hint="default"/>
          <w:spacing w:val="-2"/>
        </w:rPr>
        <w:t>(</w:t>
      </w:r>
      <w:r>
        <w:rPr>
          <w:spacing w:val="-2"/>
        </w:rPr>
        <w:t>含一年</w:t>
      </w:r>
      <w:r>
        <w:rPr>
          <w:rFonts w:ascii="Times New Roman" w:hAnsi="Times New Roman" w:cs="Times New Roman" w:eastAsia="Times New Roman" w:hint="default"/>
          <w:spacing w:val="-2"/>
        </w:rPr>
        <w:t>)</w:t>
      </w:r>
      <w:r>
        <w:rPr>
          <w:spacing w:val="-2"/>
        </w:rPr>
        <w:t>的，则表明其发生减值；若该权益工具投资于资产负债表日的</w:t>
      </w:r>
      <w:r>
        <w:rPr>
          <w:spacing w:val="-58"/>
        </w:rPr>
        <w:t> </w:t>
      </w:r>
      <w:r>
        <w:rPr>
          <w:spacing w:val="-58"/>
        </w:rPr>
      </w:r>
      <w:r>
        <w:rPr/>
        <w:t>公允价值低于其初始投资成本超过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的，本集团会综合考虑其他相关因素诸如价格波动率等，判</w:t>
      </w:r>
      <w:r>
        <w:rPr>
          <w:w w:val="99"/>
        </w:rPr>
        <w:t> </w:t>
      </w:r>
      <w:r>
        <w:rPr/>
        <w:t>断该权益工具投资是否发生减值。本集团以加权平均法计算可供出售权益工具投资的初始投资成本。</w:t>
      </w:r>
      <w:r>
        <w:rPr>
          <w:w w:val="99"/>
        </w:rPr>
        <w:t> </w:t>
      </w: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现值低于账面价值的差额，</w:t>
      </w:r>
      <w:r>
        <w:rPr>
          <w:w w:val="99"/>
        </w:rPr>
        <w:t> </w:t>
      </w:r>
      <w:r>
        <w:rPr>
          <w:spacing w:val="-2"/>
        </w:rPr>
        <w:t>计提减值准备。如果有客观证据表明该金融资产价值已恢复，且客观上与确认该损失后发生的事项有关，原确认的减值损失</w:t>
      </w:r>
      <w:r>
        <w:rPr>
          <w:spacing w:val="-64"/>
        </w:rPr>
        <w:t> </w:t>
      </w:r>
      <w:r>
        <w:rPr>
          <w:spacing w:val="-64"/>
        </w:rPr>
      </w:r>
      <w:r>
        <w:rPr/>
        <w:t>予以转回，计入当期损益。</w:t>
      </w:r>
      <w:r>
        <w:rPr>
          <w:w w:val="99"/>
        </w:rPr>
        <w:t> </w:t>
      </w:r>
      <w:r>
        <w:rPr>
          <w:spacing w:val="-2"/>
          <w:w w:val="99"/>
        </w:rPr>
        <w:t>以公允价值计量的可供出售金融资产发生减值时，原直接计入股东权益的因公允价值下降形成的累计损失予以转出并计入减</w:t>
      </w:r>
      <w:r>
        <w:rPr>
          <w:spacing w:val="-64"/>
          <w:w w:val="99"/>
        </w:rPr>
        <w:t> </w:t>
      </w:r>
      <w:r>
        <w:rPr>
          <w:spacing w:val="-64"/>
          <w:w w:val="99"/>
        </w:rPr>
      </w:r>
      <w:r>
        <w:rPr>
          <w:spacing w:val="-4"/>
          <w:w w:val="99"/>
        </w:rPr>
        <w:t>值损失。对已确认减值损失的可供出售债务工具投资，在期后公允价值上升且客观上与确认原减值损失后发生的事项有关的，</w:t>
      </w:r>
      <w:r>
        <w:rPr>
          <w:spacing w:val="-42"/>
          <w:w w:val="99"/>
        </w:rPr>
        <w:t> </w:t>
      </w:r>
      <w:r>
        <w:rPr>
          <w:spacing w:val="-42"/>
          <w:w w:val="99"/>
        </w:rPr>
      </w:r>
      <w:r>
        <w:rPr>
          <w:spacing w:val="-2"/>
        </w:rPr>
        <w:t>原确认的减值损失予以转回并计入当期损益。对已确认减值损失的可供出售权益工具投资，期后公允价值上升直接计入股东</w:t>
      </w:r>
      <w:r>
        <w:rPr>
          <w:spacing w:val="-65"/>
        </w:rPr>
        <w:t> </w:t>
      </w:r>
      <w:r>
        <w:rPr>
          <w:spacing w:val="-65"/>
        </w:rPr>
      </w:r>
      <w:r>
        <w:rPr/>
        <w:t>权益。</w:t>
      </w:r>
      <w:r>
        <w:rPr>
          <w:w w:val="99"/>
        </w:rPr>
        <w:t> </w:t>
      </w:r>
      <w:r>
        <w:rPr>
          <w:spacing w:val="-2"/>
          <w:w w:val="99"/>
        </w:rPr>
        <w:t>以成本计量的可供出售金融资产发生减值时，将其账面价值与按照类似金融资产当时市场收益率对未来现金流量折现确定的</w:t>
      </w:r>
      <w:r>
        <w:rPr>
          <w:spacing w:val="-64"/>
          <w:w w:val="99"/>
        </w:rPr>
        <w:t> </w:t>
      </w:r>
      <w:r>
        <w:rPr>
          <w:spacing w:val="-64"/>
          <w:w w:val="99"/>
        </w:rPr>
      </w:r>
      <w:r>
        <w:rPr/>
        <w:t>现值之间的差额，确认为减值损失，计入当期损益。已发生的减值损失以后期间不再转回。</w:t>
      </w:r>
    </w:p>
    <w:p>
      <w:pPr>
        <w:pStyle w:val="BodyText"/>
        <w:spacing w:line="240" w:lineRule="auto" w:before="20"/>
        <w:ind w:left="152" w:right="661"/>
        <w:jc w:val="left"/>
      </w:pPr>
      <w:r>
        <w:rPr>
          <w:rFonts w:ascii="Times New Roman" w:hAnsi="Times New Roman" w:cs="Times New Roman" w:eastAsia="Times New Roman" w:hint="default"/>
        </w:rPr>
        <w:t>(iv)  </w:t>
      </w:r>
      <w:r>
        <w:rPr>
          <w:rFonts w:ascii="Times New Roman" w:hAnsi="Times New Roman" w:cs="Times New Roman" w:eastAsia="Times New Roman" w:hint="default"/>
          <w:spacing w:val="7"/>
        </w:rPr>
        <w:t> </w:t>
      </w:r>
      <w:r>
        <w:rPr/>
        <w:t>金融资产的终止确认</w:t>
      </w:r>
    </w:p>
    <w:p>
      <w:pPr>
        <w:pStyle w:val="BodyText"/>
        <w:spacing w:line="312" w:lineRule="auto" w:before="63"/>
        <w:ind w:left="152" w:right="94"/>
        <w:jc w:val="left"/>
      </w:pPr>
      <w:r>
        <w:rPr/>
        <w:t>金融资产满足下列条件之一的，予以终止确认：</w:t>
      </w:r>
      <w:r>
        <w:rPr>
          <w:rFonts w:ascii="Times New Roman" w:hAnsi="Times New Roman" w:cs="Times New Roman" w:eastAsia="Times New Roman" w:hint="default"/>
        </w:rPr>
        <w:t>(1) </w:t>
      </w:r>
      <w:r>
        <w:rPr/>
        <w:t>收取该金融资产现金流量的合同权利终止；</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该金融资产已转移，且 本集团将金融资产所有权上几乎所有的风险和报酬转移给转入方；或者</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该金融资产已转移，虽然本集团既没有转移也没 有保留金融资产所有权上几乎所有的风险和报酬，但是放弃了对该金融资产控制。 </w:t>
      </w:r>
      <w:r>
        <w:rPr>
          <w:spacing w:val="-4"/>
        </w:rPr>
        <w:t>金融资产终止确认时，其账面价值与收到的对价以及原直接计入股东权益的公允价值变动累计额之和的差额，计入当期损益。</w:t>
      </w:r>
      <w:r>
        <w:rPr>
          <w:spacing w:val="-44"/>
        </w:rPr>
        <w:t> </w:t>
      </w:r>
      <w:r>
        <w:rPr>
          <w:spacing w:val="-44"/>
        </w:rPr>
      </w: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金融负债 </w:t>
      </w:r>
      <w:r>
        <w:rPr>
          <w:spacing w:val="-2"/>
        </w:rPr>
        <w:t>金融负债于初始确认时分类为以公允价值计量且其变动计入当期损益的金融负债和其他金融负债。本集团的金融负债主要为</w:t>
      </w:r>
      <w:r>
        <w:rPr>
          <w:spacing w:val="-64"/>
        </w:rPr>
        <w:t> </w:t>
      </w:r>
      <w:r>
        <w:rPr>
          <w:spacing w:val="-64"/>
        </w:rPr>
      </w:r>
      <w:r>
        <w:rPr/>
        <w:t>其他金融负债，包括应付款项、借款及应付债券等。 应付款项包括应付账款、其他应付款等，以公允价值进行初始计量，并采用实际利率法按摊余成本进行后续计量。</w:t>
      </w:r>
      <w:r>
        <w:rPr/>
        <w:t> 借款及应付债券按其公允价值扣除交易费用后的金额进行初始计量，并采用实际利率法按摊余成本进行后续计量。 其他金融负债期限在一年以下</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的，列示为流动负债；期限在一年以上但自资产负债表日起一年内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 列示为一年内到期的非流动负债；其余列示为非流动负债。 </w:t>
      </w:r>
      <w:r>
        <w:rPr>
          <w:spacing w:val="-2"/>
        </w:rPr>
        <w:t>当金融负债的现时义务全部或部分已经解除时，终止确认该金融负债或义务已解除的部分。终止确认部分的账面价值与支付</w:t>
      </w:r>
      <w:r>
        <w:rPr>
          <w:spacing w:val="-64"/>
        </w:rPr>
        <w:t> </w:t>
      </w:r>
      <w:r>
        <w:rPr>
          <w:spacing w:val="-64"/>
        </w:rPr>
      </w:r>
      <w:r>
        <w:rPr/>
        <w:t>的对价之间的差额，计入当期损益。</w:t>
      </w:r>
    </w:p>
    <w:p>
      <w:pPr>
        <w:pStyle w:val="BodyText"/>
        <w:spacing w:line="314" w:lineRule="auto" w:before="23"/>
        <w:ind w:left="152" w:right="9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8"/>
        </w:rPr>
        <w:t> </w:t>
      </w:r>
      <w:r>
        <w:rPr/>
        <w:t>金融工具的公允价值确定</w:t>
      </w:r>
      <w:r>
        <w:rPr>
          <w:w w:val="99"/>
        </w:rPr>
        <w:t>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值。在估值时，本集团采用在当前情况下适用并且有足够可利用数据和其他信息支持的估值技术，选择与市场参与者在相关</w:t>
      </w:r>
      <w:r>
        <w:rPr>
          <w:spacing w:val="-67"/>
        </w:rPr>
        <w:t> </w:t>
      </w:r>
      <w:r>
        <w:rPr>
          <w:spacing w:val="-67"/>
        </w:rPr>
      </w:r>
      <w:r>
        <w:rPr>
          <w:spacing w:val="-2"/>
        </w:rPr>
        <w:t>资产或负债的交易中所考虑的资产或负债特征相一致的输入值，并尽可能优先使用相关可观察输入值。在相关可观察输入值</w:t>
      </w:r>
      <w:r>
        <w:rPr>
          <w:spacing w:val="-65"/>
        </w:rPr>
        <w:t> </w:t>
      </w:r>
      <w:r>
        <w:rPr>
          <w:spacing w:val="-65"/>
        </w:rPr>
      </w:r>
      <w:r>
        <w:rPr/>
        <w:t>无法取得或取得不切实可行的情况下，使用不可观察输入值。</w:t>
      </w:r>
    </w:p>
    <w:p>
      <w:pPr>
        <w:pStyle w:val="BodyText"/>
        <w:spacing w:line="316" w:lineRule="auto" w:before="61"/>
        <w:ind w:left="152" w:right="94"/>
        <w:jc w:val="left"/>
      </w:pPr>
      <w:r>
        <w:rPr>
          <w:spacing w:val="-2"/>
        </w:rPr>
        <w:t>注：说明金融工具的分类、确认依据和计量方法，金融资产转移的确认依据和计量方法，金融负债终止确认条件，金融资产</w:t>
      </w:r>
      <w:r>
        <w:rPr>
          <w:spacing w:val="-67"/>
        </w:rPr>
        <w:t> </w:t>
      </w:r>
      <w:r>
        <w:rPr>
          <w:spacing w:val="-67"/>
        </w:rPr>
      </w:r>
      <w:r>
        <w:rPr/>
        <w:t>和金融负债的公允价值确定方法，金融资产（此处不含应收款项）减值的测试方法及会计处理方法。</w:t>
      </w:r>
    </w:p>
    <w:p>
      <w:pPr>
        <w:spacing w:after="0" w:line="316" w:lineRule="auto"/>
        <w:jc w:val="left"/>
        <w:sectPr>
          <w:pgSz w:w="11910" w:h="16840"/>
          <w:pgMar w:header="1078" w:footer="976" w:top="1960" w:bottom="1160" w:left="980" w:right="940"/>
        </w:sectPr>
      </w:pPr>
    </w:p>
    <w:p>
      <w:pPr>
        <w:pStyle w:val="Heading3"/>
        <w:spacing w:line="286" w:lineRule="exact"/>
        <w:ind w:right="0"/>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）单项金额重大并单独计提坏账准备的应收款项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元。</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）按信用风险特征组合计提坏账准备的应收款项</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：根据业务性质和客户的信用风险评估情况，认定信用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风险不重大的应收款项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：除组合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以外的应收款项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left="152" w:right="0"/>
        <w:jc w:val="left"/>
      </w:pPr>
      <w:r>
        <w:rPr/>
        <w:t>组合中，采用账龄分析法计提坏账准备的：</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组合中，采用余额百分比法计提坏账准备的：</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组合中，采用其他方法计提坏账准备的：</w:t>
      </w:r>
    </w:p>
    <w:p>
      <w:pPr>
        <w:pStyle w:val="BodyText"/>
        <w:spacing w:line="240" w:lineRule="auto" w:before="115"/>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1078" w:footer="976" w:top="1960" w:bottom="1160" w:left="980" w:right="980"/>
        </w:sectPr>
      </w:pPr>
    </w:p>
    <w:p>
      <w:pPr>
        <w:pStyle w:val="Heading3"/>
        <w:spacing w:line="286" w:lineRule="exact"/>
        <w:ind w:right="661"/>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存在客观证据表明本集团将无法按应收款项的原有条款收回 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66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left="152" w:right="6754"/>
        <w:jc w:val="left"/>
      </w:pPr>
      <w:r>
        <w:rPr/>
        <w:t>公司是否需要遵守特殊行业的披露要求 否</w:t>
      </w:r>
    </w:p>
    <w:p>
      <w:pPr>
        <w:pStyle w:val="BodyText"/>
        <w:spacing w:line="307" w:lineRule="auto" w:before="29"/>
        <w:ind w:left="152" w:right="459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分类</w:t>
      </w:r>
      <w:r>
        <w:rPr>
          <w:w w:val="99"/>
        </w:rPr>
        <w:t> </w:t>
      </w:r>
      <w:r>
        <w:rPr/>
        <w:t>存货包括库存商品和低值易耗品，按成本与可变现净值孰低计量。</w:t>
      </w:r>
      <w:r>
        <w:rPr>
          <w:w w:val="99"/>
        </w:rPr>
        <w:t> </w:t>
      </w: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发出存货的计价方法</w:t>
      </w:r>
      <w:r>
        <w:rPr>
          <w:w w:val="99"/>
        </w:rPr>
        <w:t> </w:t>
      </w:r>
      <w:r>
        <w:rPr/>
        <w:t>存货发出时的成本按移动加权平均法核算。</w:t>
      </w:r>
    </w:p>
    <w:p>
      <w:pPr>
        <w:pStyle w:val="BodyText"/>
        <w:spacing w:line="309" w:lineRule="auto" w:before="26"/>
        <w:ind w:left="152" w:right="9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8"/>
        </w:rPr>
        <w:t> </w:t>
      </w:r>
      <w:r>
        <w:rPr/>
        <w:t>存货可变现净值的确定依据及存货跌价准备的计提方法</w:t>
      </w:r>
      <w:r>
        <w:rPr>
          <w:w w:val="99"/>
        </w:rPr>
        <w:t> </w:t>
      </w:r>
      <w:r>
        <w:rPr>
          <w:spacing w:val="-2"/>
        </w:rPr>
        <w:t>存货跌价准备按存货成本高于其可变现净值的差额计提。可变现净值按日常活动中，以存货的估计售价减去至完工时估计将</w:t>
      </w:r>
      <w:r>
        <w:rPr>
          <w:spacing w:val="-65"/>
        </w:rPr>
        <w:t> </w:t>
      </w:r>
      <w:r>
        <w:rPr>
          <w:spacing w:val="-65"/>
        </w:rPr>
      </w:r>
      <w:r>
        <w:rPr/>
        <w:t>要发生的成本、估计的销售费用以及相关税费后的金额确定。</w:t>
      </w:r>
    </w:p>
    <w:p>
      <w:pPr>
        <w:pStyle w:val="BodyText"/>
        <w:spacing w:line="300" w:lineRule="auto" w:before="24"/>
        <w:ind w:left="152" w:right="6241"/>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9"/>
        </w:rPr>
        <w:t> </w:t>
      </w:r>
      <w:r>
        <w:rPr/>
        <w:t>本集团的存货盘存制度采用永续盘存制。</w:t>
      </w:r>
      <w:r>
        <w:rPr>
          <w:w w:val="99"/>
        </w:rPr>
        <w:t> </w:t>
      </w:r>
      <w:r>
        <w:rPr>
          <w:rFonts w:ascii="Times New Roman" w:hAnsi="Times New Roman" w:cs="Times New Roman" w:eastAsia="Times New Roman" w:hint="default"/>
        </w:rPr>
        <w:t>(e)</w:t>
      </w:r>
      <w:r>
        <w:rPr>
          <w:rFonts w:ascii="Times New Roman" w:hAnsi="Times New Roman" w:cs="Times New Roman" w:eastAsia="Times New Roman" w:hint="default"/>
          <w:spacing w:val="8"/>
        </w:rPr>
        <w:t> </w:t>
      </w:r>
      <w:r>
        <w:rPr/>
        <w:t>低值易耗品的摊销方法</w:t>
      </w:r>
      <w:r>
        <w:rPr>
          <w:w w:val="99"/>
        </w:rPr>
        <w:t> </w:t>
      </w:r>
      <w:r>
        <w:rPr/>
        <w:t>低值易耗品领用时采用分次摊销法摊销。</w:t>
      </w:r>
    </w:p>
    <w:p>
      <w:pPr>
        <w:spacing w:line="240" w:lineRule="auto" w:before="8"/>
        <w:rPr>
          <w:rFonts w:ascii="宋体" w:hAnsi="宋体" w:cs="宋体" w:eastAsia="宋体" w:hint="default"/>
          <w:sz w:val="18"/>
          <w:szCs w:val="18"/>
        </w:rPr>
      </w:pPr>
    </w:p>
    <w:p>
      <w:pPr>
        <w:pStyle w:val="Heading3"/>
        <w:spacing w:line="240" w:lineRule="auto"/>
        <w:ind w:right="661"/>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left="152" w:right="94"/>
        <w:jc w:val="left"/>
      </w:pPr>
      <w:r>
        <w:rPr/>
        <w:t>长期股权投资包括：本公司对子公司的长期股权投资；本集团对合营企业和联营企业的长期股权投资。 </w:t>
      </w:r>
      <w:r>
        <w:rPr>
          <w:spacing w:val="-2"/>
        </w:rPr>
        <w:t>子公司为本公司能够对其实施控制的被投资单位。合营企业为本集团通过单独主体达成，能够与其他方实施共同控制，且基</w:t>
      </w:r>
      <w:r>
        <w:rPr>
          <w:spacing w:val="-62"/>
        </w:rPr>
        <w:t> </w:t>
      </w:r>
      <w:r>
        <w:rPr>
          <w:spacing w:val="-62"/>
        </w:rPr>
      </w:r>
      <w:r>
        <w:rPr>
          <w:spacing w:val="-2"/>
        </w:rPr>
        <w:t>于法律形式、合同条款及其他事实与情况仅对其净资产享有权利的合营安排。联营企业为本集团能够对其财务和经营决策具</w:t>
      </w:r>
      <w:r>
        <w:rPr>
          <w:spacing w:val="-64"/>
        </w:rPr>
        <w:t> </w:t>
      </w:r>
      <w:r>
        <w:rPr>
          <w:spacing w:val="-64"/>
        </w:rPr>
      </w:r>
      <w:r>
        <w:rPr/>
        <w:t>有重大影响的被投资单位。 </w:t>
      </w:r>
      <w:r>
        <w:rPr>
          <w:spacing w:val="-2"/>
        </w:rPr>
        <w:t>对子公司的投资，在公司财务报表中按照成本法确定的金额列示，在编制合并财务报表时按权益法调整后进行合并；对合营</w:t>
      </w:r>
      <w:r>
        <w:rPr>
          <w:spacing w:val="-63"/>
        </w:rPr>
        <w:t> </w:t>
      </w:r>
      <w:r>
        <w:rPr>
          <w:spacing w:val="-63"/>
        </w:rPr>
      </w:r>
      <w:r>
        <w:rPr/>
        <w:t>企业和联营企业投资采用权益法核算。</w:t>
      </w:r>
    </w:p>
    <w:p>
      <w:pPr>
        <w:pStyle w:val="BodyText"/>
        <w:spacing w:line="314" w:lineRule="auto" w:before="19"/>
        <w:ind w:left="152" w:right="9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投资成本确定</w:t>
      </w:r>
      <w:r>
        <w:rPr>
          <w:w w:val="99"/>
        </w:rPr>
        <w:t> </w:t>
      </w:r>
      <w:r>
        <w:rPr>
          <w:spacing w:val="-2"/>
        </w:rPr>
        <w:t>对于企业合并形成的长期股权投资：同一控制下企业合并取得的长期股权投资，在合并日按照被合并方所有者权益在最终控</w:t>
      </w:r>
      <w:r>
        <w:rPr>
          <w:spacing w:val="-65"/>
        </w:rPr>
        <w:t> </w:t>
      </w:r>
      <w:r>
        <w:rPr>
          <w:spacing w:val="-65"/>
        </w:rPr>
      </w:r>
      <w:r>
        <w:rPr>
          <w:spacing w:val="-2"/>
        </w:rPr>
        <w:t>制方合并财务报表中的账面价值的份额作为投资成本；非同一控制下企业合并取得的长期股权投资，按照合并成本作为长期</w:t>
      </w:r>
      <w:r>
        <w:rPr>
          <w:spacing w:val="-65"/>
        </w:rPr>
        <w:t> </w:t>
      </w:r>
      <w:r>
        <w:rPr>
          <w:spacing w:val="-65"/>
        </w:rPr>
      </w:r>
      <w:r>
        <w:rPr/>
        <w:t>股权投资的投资成本。</w:t>
      </w:r>
      <w:r>
        <w:rPr>
          <w:w w:val="99"/>
        </w:rPr>
        <w:t> </w:t>
      </w:r>
      <w:r>
        <w:rPr>
          <w:spacing w:val="-2"/>
        </w:rPr>
        <w:t>对于以企业合并以外的其他方式取得的长期股权投资：支付现金取得的长期股权投资，按照实际支付的购买价款作为初始投</w:t>
      </w:r>
      <w:r>
        <w:rPr>
          <w:spacing w:val="-65"/>
        </w:rPr>
        <w:t> </w:t>
      </w:r>
      <w:r>
        <w:rPr>
          <w:spacing w:val="-65"/>
        </w:rPr>
      </w:r>
      <w:r>
        <w:rPr/>
        <w:t>资成本；发行权益性证券取得的长期股权投资，以发行权益性证券的公允价值作为初始投资成本。</w:t>
      </w:r>
    </w:p>
    <w:p>
      <w:pPr>
        <w:pStyle w:val="BodyText"/>
        <w:spacing w:line="314" w:lineRule="auto" w:before="20"/>
        <w:ind w:left="152" w:right="9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后续计量及损益确认方法</w:t>
      </w:r>
      <w:r>
        <w:rPr>
          <w:w w:val="99"/>
        </w:rPr>
        <w:t> </w:t>
      </w:r>
      <w:r>
        <w:rPr>
          <w:spacing w:val="-2"/>
        </w:rPr>
        <w:t>采用成本法核算的长期股权投资，按照初始投资成本计量，被投资单位宣告分派的现金股利或利润，确认为投资收益计入当</w:t>
      </w:r>
      <w:r>
        <w:rPr>
          <w:spacing w:val="-66"/>
        </w:rPr>
        <w:t> </w:t>
      </w:r>
      <w:r>
        <w:rPr>
          <w:spacing w:val="-66"/>
        </w:rPr>
      </w:r>
      <w:r>
        <w:rPr/>
        <w:t>期损益。</w:t>
      </w:r>
      <w:r>
        <w:rPr>
          <w:w w:val="99"/>
        </w:rPr>
        <w:t> </w:t>
      </w:r>
      <w:r>
        <w:rPr>
          <w:spacing w:val="-2"/>
        </w:rPr>
        <w:t>采用权益法核算的长期股权投资，初始投资成本大于投资时应享有被投资单位可辨认净资产公允价值份额的，以初始投资成</w:t>
      </w:r>
      <w:r>
        <w:rPr>
          <w:spacing w:val="-64"/>
        </w:rPr>
        <w:t> </w:t>
      </w:r>
      <w:r>
        <w:rPr>
          <w:spacing w:val="-64"/>
        </w:rPr>
      </w:r>
      <w:r>
        <w:rPr>
          <w:spacing w:val="-4"/>
          <w:w w:val="99"/>
        </w:rPr>
        <w:t>本作为长期股权投资成本；初始投资成本小于投资时应享有被投资单位可辨认净资产公允价值份额的，其差额计入当期损益，</w:t>
      </w:r>
      <w:r>
        <w:rPr>
          <w:spacing w:val="-44"/>
          <w:w w:val="99"/>
        </w:rPr>
        <w:t> </w:t>
      </w:r>
      <w:r>
        <w:rPr>
          <w:spacing w:val="-44"/>
          <w:w w:val="99"/>
        </w:rPr>
      </w:r>
      <w:r>
        <w:rPr/>
        <w:t>并相应调增长期股权投资成本。</w:t>
      </w:r>
    </w:p>
    <w:p>
      <w:pPr>
        <w:spacing w:after="0" w:line="314" w:lineRule="auto"/>
        <w:jc w:val="left"/>
        <w:sectPr>
          <w:pgSz w:w="11910" w:h="16840"/>
          <w:pgMar w:header="1078" w:footer="976" w:top="1960" w:bottom="1160" w:left="980" w:right="940"/>
        </w:sectPr>
      </w:pPr>
    </w:p>
    <w:p>
      <w:pPr>
        <w:pStyle w:val="BodyText"/>
        <w:spacing w:line="316" w:lineRule="auto" w:before="8"/>
        <w:ind w:left="152" w:right="94"/>
        <w:jc w:val="left"/>
      </w:pPr>
      <w:r>
        <w:rPr>
          <w:spacing w:val="-2"/>
        </w:rPr>
        <w:t>采用权益法核算的长期股权投资，本集团按应享有或应分担的被投资单位的净损益份额确认当期投资损益。确认被投资单位</w:t>
      </w:r>
      <w:r>
        <w:rPr>
          <w:spacing w:val="-64"/>
        </w:rPr>
        <w:t> </w:t>
      </w:r>
      <w:r>
        <w:rPr>
          <w:spacing w:val="-64"/>
        </w:rPr>
      </w:r>
      <w:r>
        <w:rPr>
          <w:spacing w:val="-2"/>
        </w:rPr>
        <w:t>发生的净亏损，以长期股权投资的账面价值以及其他实质上构成对被投资单位净投资的长期权益减记至零为限，但本集团负</w:t>
      </w:r>
      <w:r>
        <w:rPr>
          <w:spacing w:val="-64"/>
        </w:rPr>
        <w:t> </w:t>
      </w:r>
      <w:r>
        <w:rPr>
          <w:spacing w:val="-64"/>
        </w:rPr>
      </w:r>
      <w:r>
        <w:rPr>
          <w:spacing w:val="-2"/>
        </w:rPr>
        <w:t>有承担额外损失义务且符合预计负债确认条件的，继续确认预计将承担的损失金额。被投资单位除净损益、其他综合收益和</w:t>
      </w:r>
      <w:r>
        <w:rPr>
          <w:spacing w:val="-61"/>
        </w:rPr>
        <w:t> </w:t>
      </w:r>
      <w:r>
        <w:rPr>
          <w:spacing w:val="-61"/>
        </w:rPr>
      </w:r>
      <w:r>
        <w:rPr>
          <w:spacing w:val="-2"/>
        </w:rPr>
        <w:t>利润分配以外所有者权益的其他变动，调整长期股权投资的账面价值并计入资本公积。被投资单位分派的利润或现金股利于</w:t>
      </w:r>
      <w:r>
        <w:rPr>
          <w:spacing w:val="-64"/>
        </w:rPr>
        <w:t> </w:t>
      </w:r>
      <w:r>
        <w:rPr>
          <w:spacing w:val="-64"/>
        </w:rPr>
      </w:r>
      <w:r>
        <w:rPr>
          <w:spacing w:val="-2"/>
        </w:rPr>
        <w:t>宣告分派时按照本集团应分得的部分，相应减少长期股权投资的账面价值。本集团与被投资单位之间未实现的内部交易损益</w:t>
      </w:r>
      <w:r>
        <w:rPr>
          <w:spacing w:val="-64"/>
        </w:rPr>
        <w:t> </w:t>
      </w:r>
      <w:r>
        <w:rPr>
          <w:spacing w:val="-64"/>
        </w:rPr>
      </w:r>
      <w:r>
        <w:rPr/>
        <w:t>按照持股比例计算归属于本集团的部分，予以抵销，在此基础上确认投资损益。本集团与被投资单位发生的内部交易损失， 其中属于资产减值损失的部分，相应的未实现损失不予抵销。</w:t>
      </w:r>
    </w:p>
    <w:p>
      <w:pPr>
        <w:pStyle w:val="BodyText"/>
        <w:spacing w:line="314" w:lineRule="auto" w:before="19"/>
        <w:ind w:left="152" w:right="9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8"/>
        </w:rPr>
        <w:t> </w:t>
      </w:r>
      <w:r>
        <w:rPr/>
        <w:t>确定对被投资单位具有控制、共同控制、重大影响的依据</w:t>
      </w:r>
      <w:r>
        <w:rPr>
          <w:w w:val="99"/>
        </w:rPr>
        <w:t> </w:t>
      </w:r>
      <w:r>
        <w:rPr>
          <w:spacing w:val="-2"/>
        </w:rPr>
        <w:t>控制是指拥有对被投资单位的权力，通过参与被投资单位的相关活动而享有可变回报，并且有能力运用对被投资单位的权力</w:t>
      </w:r>
      <w:r>
        <w:rPr>
          <w:spacing w:val="-64"/>
        </w:rPr>
        <w:t> </w:t>
      </w:r>
      <w:r>
        <w:rPr>
          <w:spacing w:val="-64"/>
        </w:rPr>
      </w:r>
      <w:r>
        <w:rPr/>
        <w:t>影响其回报金额。</w:t>
      </w:r>
      <w:r>
        <w:rPr>
          <w:w w:val="99"/>
        </w:rPr>
        <w:t> </w:t>
      </w:r>
      <w:r>
        <w:rPr>
          <w:spacing w:val="-2"/>
          <w:w w:val="99"/>
        </w:rPr>
        <w:t>共同控制是指按照相关约定对某项安排所共有的控制，并且该安排的相关活动必须经过本集团及分享控制权的其他参与方一</w:t>
      </w:r>
      <w:r>
        <w:rPr>
          <w:spacing w:val="-64"/>
          <w:w w:val="99"/>
        </w:rPr>
        <w:t> </w:t>
      </w:r>
      <w:r>
        <w:rPr>
          <w:spacing w:val="-64"/>
          <w:w w:val="99"/>
        </w:rPr>
      </w:r>
      <w:r>
        <w:rPr/>
        <w:t>致同意后才能决策。</w:t>
      </w:r>
      <w:r>
        <w:rPr>
          <w:w w:val="99"/>
        </w:rPr>
        <w:t> </w:t>
      </w:r>
      <w:r>
        <w:rPr>
          <w:spacing w:val="-2"/>
          <w:w w:val="99"/>
        </w:rPr>
        <w:t>重大影响是指对被投资单位的财务和经营政策有参与决策的权力，但并不能够控制或者与其他方一起共同控制这些政策的制</w:t>
      </w:r>
      <w:r>
        <w:rPr>
          <w:spacing w:val="-64"/>
          <w:w w:val="99"/>
        </w:rPr>
        <w:t> </w:t>
      </w:r>
      <w:r>
        <w:rPr>
          <w:spacing w:val="-64"/>
          <w:w w:val="99"/>
        </w:rPr>
      </w:r>
      <w:r>
        <w:rPr/>
        <w:t>定。</w:t>
      </w:r>
    </w:p>
    <w:p>
      <w:pPr>
        <w:pStyle w:val="BodyText"/>
        <w:spacing w:line="300" w:lineRule="auto" w:before="20"/>
        <w:ind w:left="152" w:right="634"/>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9"/>
        </w:rPr>
        <w:t> </w:t>
      </w:r>
      <w:r>
        <w:rPr/>
        <w:t>长期股权投资减值</w:t>
      </w:r>
      <w:r>
        <w:rPr>
          <w:w w:val="99"/>
        </w:rPr>
        <w:t> </w:t>
      </w:r>
      <w:r>
        <w:rPr/>
        <w:t>对子公司、合营企业、联营企业的长期股权投资，当其可收回金额低于其账面价值时，账面价值减记至可收回金额。</w:t>
      </w:r>
    </w:p>
    <w:p>
      <w:pPr>
        <w:pStyle w:val="BodyText"/>
        <w:spacing w:line="240" w:lineRule="auto" w:before="72"/>
        <w:ind w:left="152" w:right="661"/>
        <w:jc w:val="left"/>
      </w:pPr>
      <w:r>
        <w:rPr/>
        <w:t>注：说明共同控制、重要影响的判断标准，长期股权投资的初始投资成本确定、后续计量及损益确认方法。</w:t>
      </w:r>
    </w:p>
    <w:p>
      <w:pPr>
        <w:spacing w:line="240" w:lineRule="auto" w:before="1"/>
        <w:rPr>
          <w:rFonts w:ascii="宋体" w:hAnsi="宋体" w:cs="宋体" w:eastAsia="宋体" w:hint="default"/>
          <w:sz w:val="22"/>
          <w:szCs w:val="22"/>
        </w:rPr>
      </w:pPr>
    </w:p>
    <w:p>
      <w:pPr>
        <w:pStyle w:val="Heading3"/>
        <w:spacing w:line="240" w:lineRule="auto"/>
        <w:ind w:right="661"/>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66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left="152" w:right="190"/>
        <w:jc w:val="both"/>
      </w:pPr>
      <w:r>
        <w:rPr>
          <w:spacing w:val="-2"/>
        </w:rPr>
        <w:t>固定资产包括办公设备、运输工具、电子设备等。固定资产在与其有关的经济利益很可能流入本集团、且其成本能够可靠计</w:t>
      </w:r>
      <w:r>
        <w:rPr>
          <w:spacing w:val="-64"/>
        </w:rPr>
        <w:t> </w:t>
      </w:r>
      <w:r>
        <w:rPr>
          <w:spacing w:val="-64"/>
        </w:rPr>
      </w:r>
      <w:r>
        <w:rPr>
          <w:spacing w:val="-2"/>
        </w:rPr>
        <w:t>量时予以确认。与固定资产有关的后续支出，在与其有关的经济利益很可能流入本集团且其成本能够可靠计量时，计入固定</w:t>
      </w:r>
      <w:r>
        <w:rPr>
          <w:spacing w:val="-63"/>
        </w:rPr>
        <w:t> </w:t>
      </w:r>
      <w:r>
        <w:rPr>
          <w:spacing w:val="-63"/>
        </w:rPr>
      </w:r>
      <w:r>
        <w:rPr/>
        <w:t>资产成本；对于被替换的部分，终止确认其账面价值；所有其他后续支出于发生时计入当期损益。</w:t>
      </w:r>
    </w:p>
    <w:p>
      <w:pPr>
        <w:spacing w:line="240" w:lineRule="auto" w:before="7"/>
        <w:rPr>
          <w:rFonts w:ascii="宋体" w:hAnsi="宋体" w:cs="宋体" w:eastAsia="宋体" w:hint="default"/>
          <w:sz w:val="17"/>
          <w:szCs w:val="17"/>
        </w:rPr>
      </w:pPr>
    </w:p>
    <w:p>
      <w:pPr>
        <w:pStyle w:val="Heading3"/>
        <w:spacing w:line="240" w:lineRule="auto"/>
        <w:ind w:right="661"/>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left="152" w:right="6754"/>
        <w:jc w:val="left"/>
      </w:pPr>
      <w:r>
        <w:rPr/>
        <w:t>公司是否需要遵守特殊行业的披露要求 否</w:t>
      </w:r>
    </w:p>
    <w:p>
      <w:pPr>
        <w:pStyle w:val="BodyText"/>
        <w:spacing w:line="316" w:lineRule="auto" w:before="27"/>
        <w:ind w:left="152" w:right="190"/>
        <w:jc w:val="both"/>
      </w:pPr>
      <w:r>
        <w:rPr>
          <w:spacing w:val="-2"/>
        </w:rPr>
        <w:t>在建工程按实际发生的成本计量。实际成本包括建筑成本、安装成本、符合资本化条件的借款费用以及其他为使在建工程达</w:t>
      </w:r>
      <w:r>
        <w:rPr>
          <w:spacing w:val="-65"/>
        </w:rPr>
        <w:t> </w:t>
      </w:r>
      <w:r>
        <w:rPr>
          <w:spacing w:val="-65"/>
        </w:rPr>
      </w:r>
      <w:r>
        <w:rPr>
          <w:spacing w:val="-2"/>
        </w:rPr>
        <w:t>到预定可使用状态所发生的必要支出。在建工程在达到预定可使用状态时，转入固定资产并自次月起开始计提折旧。当在建</w:t>
      </w:r>
      <w:r>
        <w:rPr>
          <w:spacing w:val="-63"/>
        </w:rPr>
        <w:t> </w:t>
      </w:r>
      <w:r>
        <w:rPr>
          <w:spacing w:val="-63"/>
        </w:rPr>
      </w:r>
      <w:r>
        <w:rPr/>
        <w:t>工程的可收回金额低于其账面价值时，账面价值减记至可收回金额。</w:t>
      </w:r>
    </w:p>
    <w:p>
      <w:pPr>
        <w:spacing w:after="0" w:line="316" w:lineRule="auto"/>
        <w:jc w:val="both"/>
        <w:sectPr>
          <w:pgSz w:w="11910" w:h="16840"/>
          <w:pgMar w:header="1078" w:footer="976" w:top="1960" w:bottom="1160" w:left="980" w:right="940"/>
        </w:sectPr>
      </w:pPr>
    </w:p>
    <w:p>
      <w:pPr>
        <w:pStyle w:val="Heading3"/>
        <w:spacing w:line="286" w:lineRule="exact"/>
        <w:ind w:right="0"/>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152" w:right="0"/>
        <w:jc w:val="left"/>
      </w:pPr>
      <w:r>
        <w:rPr>
          <w:spacing w:val="-2"/>
        </w:rPr>
        <w:t>本集团发生的可直接归属于需要经过相当长时间的购建活动才能达到预定可使用状态之资产的购建的借款费用，在资产支出</w:t>
      </w:r>
      <w:r>
        <w:rPr>
          <w:spacing w:val="-64"/>
        </w:rPr>
        <w:t> </w:t>
      </w:r>
      <w:r>
        <w:rPr>
          <w:spacing w:val="-64"/>
        </w:rPr>
      </w:r>
      <w:r>
        <w:rPr>
          <w:spacing w:val="-2"/>
        </w:rPr>
        <w:t>及借款费用已经发生、为使资产达到预定可使用状态所必要的购建活动已经开始时，开始资本化并计入该资产的成本。当购</w:t>
      </w:r>
      <w:r>
        <w:rPr>
          <w:spacing w:val="-63"/>
        </w:rPr>
        <w:t> </w:t>
      </w:r>
      <w:r>
        <w:rPr>
          <w:spacing w:val="-63"/>
        </w:rPr>
      </w:r>
      <w:r>
        <w:rPr>
          <w:spacing w:val="-2"/>
        </w:rPr>
        <w:t>建的资产达到预定可使用状态时停止资本化，其后发生的借款费用计入当期损益。如果资产的购建活动发生非正常中断，并</w:t>
      </w:r>
      <w:r>
        <w:rPr>
          <w:spacing w:val="-63"/>
        </w:rPr>
        <w:t> </w:t>
      </w:r>
      <w:r>
        <w:rPr>
          <w:spacing w:val="-63"/>
        </w:rPr>
      </w:r>
      <w:r>
        <w:rPr/>
        <w:t>且中断时间连续超过</w:t>
      </w:r>
      <w:r>
        <w:rPr>
          <w:rFonts w:ascii="Times New Roman" w:hAnsi="Times New Roman" w:cs="Times New Roman" w:eastAsia="Times New Roman" w:hint="default"/>
        </w:rPr>
        <w:t>3</w:t>
      </w:r>
      <w:r>
        <w:rPr/>
        <w:t>个月，暂停借款费用的资本化，直至资产的购建活动重新开始。 </w:t>
      </w:r>
      <w:r>
        <w:rPr>
          <w:spacing w:val="-2"/>
        </w:rPr>
        <w:t>对于为购建符合资本化条件的资产而借入的专门借款，以专门借款当期实际发生的利息费用减去尚未动用的借款资金存入银</w:t>
      </w:r>
      <w:r>
        <w:rPr>
          <w:spacing w:val="-64"/>
        </w:rPr>
        <w:t> </w:t>
      </w:r>
      <w:r>
        <w:rPr>
          <w:spacing w:val="-64"/>
        </w:rPr>
      </w:r>
      <w:r>
        <w:rPr/>
        <w:t>行取得的利息收入或进行暂时性投资取得的投资收益后的金额确定专门借款借款费用的资本化金额。 </w:t>
      </w:r>
      <w:r>
        <w:rPr>
          <w:spacing w:val="-2"/>
        </w:rPr>
        <w:t>对于为购建符合资本化条件的资产而占用的一般借款，按照累计资产支出超过专门借款部分的资本支出加权平均数乘以所占</w:t>
      </w:r>
      <w:r>
        <w:rPr>
          <w:spacing w:val="-64"/>
        </w:rPr>
        <w:t> </w:t>
      </w:r>
      <w:r>
        <w:rPr>
          <w:spacing w:val="-64"/>
        </w:rPr>
      </w:r>
      <w:r>
        <w:rPr>
          <w:spacing w:val="-2"/>
        </w:rPr>
        <w:t>用一般借款的加权平均实际利率计算确定一般借款借款费用的资本化金额。实际利率为将借款在预期存续期间或适用的更短</w:t>
      </w:r>
      <w:r>
        <w:rPr>
          <w:spacing w:val="-64"/>
        </w:rPr>
        <w:t> </w:t>
      </w:r>
      <w:r>
        <w:rPr>
          <w:spacing w:val="-64"/>
        </w:rPr>
      </w:r>
      <w:r>
        <w:rPr/>
        <w:t>期间内的未来现金流量折现为该借款初始确认金额所使用的利率。</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left="152" w:right="6714"/>
        <w:jc w:val="left"/>
      </w:pPr>
      <w:r>
        <w:rPr/>
        <w:t>公司是否需要遵守特殊行业的披露要求 否</w:t>
      </w:r>
    </w:p>
    <w:p>
      <w:pPr>
        <w:pStyle w:val="BodyText"/>
        <w:spacing w:line="316" w:lineRule="auto" w:before="25"/>
        <w:ind w:left="152" w:right="149"/>
        <w:jc w:val="both"/>
      </w:pPr>
      <w:r>
        <w:rPr>
          <w:spacing w:val="-2"/>
        </w:rPr>
        <w:t>无形资产包括软件、外观设计专利、合同权利及授权资质等，以成本计量，并于取得无形资产时分析判断其使用寿命。使用</w:t>
      </w:r>
      <w:r>
        <w:rPr>
          <w:spacing w:val="-67"/>
        </w:rPr>
        <w:t> </w:t>
      </w:r>
      <w:r>
        <w:rPr>
          <w:spacing w:val="-67"/>
        </w:rPr>
      </w:r>
      <w:r>
        <w:rPr>
          <w:spacing w:val="-2"/>
        </w:rPr>
        <w:t>寿命为有限的，自无形资产可供使用时起，采用能反映与该资产有关的经济利益的预期实现方式的摊销方法，在预计使用年</w:t>
      </w:r>
      <w:r>
        <w:rPr>
          <w:spacing w:val="-62"/>
        </w:rPr>
        <w:t> </w:t>
      </w:r>
      <w:r>
        <w:rPr>
          <w:spacing w:val="-62"/>
        </w:rPr>
      </w:r>
      <w:r>
        <w:rPr/>
        <w:t>限内摊销；无法可靠确定预期实现方式的，采用直线法摊销；使用寿命不确定的无形资产，不作摊销。</w:t>
      </w:r>
    </w:p>
    <w:p>
      <w:pPr>
        <w:pStyle w:val="BodyText"/>
        <w:spacing w:line="240" w:lineRule="auto" w:before="19"/>
        <w:ind w:left="152"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7"/>
        </w:rPr>
        <w:t> </w:t>
      </w:r>
      <w:r>
        <w:rPr/>
        <w:t>使用寿命有限的无形资产摊销方法</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2768"/>
        <w:gridCol w:w="2765"/>
        <w:gridCol w:w="2765"/>
      </w:tblGrid>
      <w:tr>
        <w:trPr>
          <w:trHeight w:val="348" w:hRule="exact"/>
        </w:trPr>
        <w:tc>
          <w:tcPr>
            <w:tcW w:w="2768" w:type="dxa"/>
            <w:tcBorders>
              <w:top w:val="single" w:sz="6" w:space="0" w:color="000000"/>
              <w:left w:val="single" w:sz="6"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6" w:hRule="exact"/>
        </w:trPr>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宋体" w:hAnsi="宋体" w:cs="宋体" w:eastAsia="宋体" w:hint="default"/>
                <w:sz w:val="18"/>
                <w:szCs w:val="18"/>
              </w:rPr>
              <w:t>年</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外观设计专利</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合同权利及授权资质</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09" w:lineRule="auto" w:before="8"/>
        <w:ind w:left="152" w:right="221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定期复核使用寿命和摊销方法</w:t>
      </w:r>
      <w:r>
        <w:rPr>
          <w:w w:val="99"/>
        </w:rPr>
        <w:t> </w:t>
      </w:r>
      <w:r>
        <w:rPr/>
        <w:t>对使用寿命有限的无形资产的预计使用寿命及摊销方法于每年年度终了进行复核并作适当调整。</w:t>
      </w:r>
      <w:r>
        <w:rPr>
          <w:w w:val="99"/>
        </w:rPr>
        <w:t> </w:t>
      </w:r>
      <w:r>
        <w:rPr>
          <w:rFonts w:ascii="Times New Roman" w:hAnsi="Times New Roman" w:cs="Times New Roman" w:eastAsia="Times New Roman" w:hint="default"/>
        </w:rPr>
        <w:t>(c)  </w:t>
      </w:r>
      <w:r>
        <w:rPr>
          <w:rFonts w:ascii="Times New Roman" w:hAnsi="Times New Roman" w:cs="Times New Roman" w:eastAsia="Times New Roman" w:hint="default"/>
          <w:spacing w:val="7"/>
        </w:rPr>
        <w:t> </w:t>
      </w:r>
      <w:r>
        <w:rPr/>
        <w:t>无形资产减值</w:t>
      </w:r>
    </w:p>
    <w:p>
      <w:pPr>
        <w:pStyle w:val="BodyText"/>
        <w:spacing w:line="338" w:lineRule="auto" w:before="5"/>
        <w:ind w:left="152" w:right="0"/>
        <w:jc w:val="left"/>
      </w:pPr>
      <w:r>
        <w:rPr/>
        <w:t>当无形资产的可收回金额低于其账面价值时，账面价值减记至可收回金额。 </w:t>
      </w:r>
      <w:r>
        <w:rPr>
          <w:spacing w:val="-2"/>
        </w:rPr>
        <w:t>注：说明无形资产的计价方法。使用寿命有限的无形资产，说明其使用寿命估计情况。使用寿命不确定的无形资产，说明其</w:t>
      </w:r>
      <w:r>
        <w:rPr>
          <w:spacing w:val="-67"/>
        </w:rPr>
        <w:t> </w:t>
      </w:r>
      <w:r>
        <w:rPr>
          <w:spacing w:val="-67"/>
        </w:rPr>
      </w:r>
      <w:r>
        <w:rPr/>
        <w:t>使用寿命不确定的判断依据以及对其使用寿命进行复核的程序。</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152" w:right="0"/>
        <w:jc w:val="left"/>
      </w:pPr>
      <w:r>
        <w:rPr>
          <w:spacing w:val="-2"/>
        </w:rPr>
        <w:t>内部研究开发项目支出根据其性质以及研发活动最终形成无形资产是否具有较大不确定性，被分为研究阶段支出和开发阶段</w:t>
      </w:r>
      <w:r>
        <w:rPr>
          <w:spacing w:val="-64"/>
        </w:rPr>
        <w:t> </w:t>
      </w:r>
      <w:r>
        <w:rPr>
          <w:spacing w:val="-64"/>
        </w:rPr>
      </w:r>
      <w:r>
        <w:rPr/>
        <w:t>支出。</w:t>
      </w:r>
    </w:p>
    <w:p>
      <w:pPr>
        <w:pStyle w:val="BodyText"/>
        <w:spacing w:line="316" w:lineRule="auto" w:before="19"/>
        <w:ind w:left="369" w:right="2034" w:hanging="217"/>
        <w:jc w:val="left"/>
      </w:pPr>
      <w:r>
        <w:rPr/>
        <w:t>研究阶段的支出，于发生时计入当期损益；开发阶段的支出，同时满足下列条件的，予以资本化： 完成该无形资产以使其能够使用或出售在技术上具有可行性； 管理层具有完成该无形资产并使用或出售的意图；</w:t>
      </w:r>
    </w:p>
    <w:p>
      <w:pPr>
        <w:pStyle w:val="BodyText"/>
        <w:spacing w:line="316" w:lineRule="auto" w:before="18"/>
        <w:ind w:left="369" w:right="1277"/>
        <w:jc w:val="left"/>
      </w:pPr>
      <w:r>
        <w:rPr/>
        <w:t>能够证明该无形资产将如何产生经济利益； 有足够的技术、财务资源和其他资源支持，以完成该无形资产的开发，并有能力使用或出售该无形资产；</w:t>
      </w:r>
    </w:p>
    <w:p>
      <w:pPr>
        <w:spacing w:after="0" w:line="316" w:lineRule="auto"/>
        <w:jc w:val="left"/>
        <w:sectPr>
          <w:pgSz w:w="11910" w:h="16840"/>
          <w:pgMar w:header="1078" w:footer="976" w:top="1960" w:bottom="1160" w:left="980" w:right="980"/>
        </w:sectPr>
      </w:pPr>
    </w:p>
    <w:p>
      <w:pPr>
        <w:pStyle w:val="BodyText"/>
        <w:spacing w:line="316" w:lineRule="auto" w:before="8"/>
        <w:ind w:left="152" w:right="94" w:firstLine="216"/>
        <w:jc w:val="left"/>
      </w:pPr>
      <w:r>
        <w:rPr/>
        <w:t>归属于该无形资产开发阶段的支出能够可靠地计量。 </w:t>
      </w:r>
      <w:r>
        <w:rPr>
          <w:spacing w:val="-4"/>
        </w:rPr>
        <w:t>不满足上述条件的开发阶段的支出，于发生时计入当期损益。以前期间已计入损益的开发支出不在以后期间重新确认为资产。</w:t>
      </w:r>
      <w:r>
        <w:rPr>
          <w:spacing w:val="-44"/>
        </w:rPr>
        <w:t> </w:t>
      </w:r>
      <w:r>
        <w:rPr>
          <w:spacing w:val="-44"/>
        </w:rPr>
      </w:r>
      <w:r>
        <w:rPr/>
        <w:t>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661"/>
        <w:jc w:val="left"/>
        <w:rPr>
          <w:b w:val="0"/>
          <w:bCs w:val="0"/>
        </w:rPr>
      </w:pPr>
      <w:r>
        <w:rPr>
          <w:rFonts w:ascii="Times New Roman" w:hAnsi="Times New Roman" w:cs="Times New Roman" w:eastAsia="Times New Roman" w:hint="default"/>
        </w:rPr>
        <w:t>17</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152" w:right="94"/>
        <w:jc w:val="left"/>
      </w:pPr>
      <w:r>
        <w:rPr>
          <w:spacing w:val="-2"/>
        </w:rPr>
        <w:t>固定资产、在建工程、使用寿命有限的无形资产及对子公司、合营企业、联营企业的长期股权投资等，于资产负债表日存在</w:t>
      </w:r>
      <w:r>
        <w:rPr>
          <w:spacing w:val="-66"/>
        </w:rPr>
        <w:t> </w:t>
      </w:r>
      <w:r>
        <w:rPr>
          <w:spacing w:val="-66"/>
        </w:rPr>
      </w:r>
      <w:r>
        <w:rPr>
          <w:spacing w:val="-2"/>
        </w:rPr>
        <w:t>减值迹象的，进行减值测试；尚未达到可使用状态的无形资产，无论是否存在减值迹象，至少每年进行减值测试。减值测试</w:t>
      </w:r>
      <w:r>
        <w:rPr>
          <w:spacing w:val="-67"/>
        </w:rPr>
        <w:t> </w:t>
      </w:r>
      <w:r>
        <w:rPr>
          <w:spacing w:val="-67"/>
        </w:rPr>
      </w:r>
      <w:r>
        <w:rPr>
          <w:spacing w:val="-2"/>
        </w:rPr>
        <w:t>结果表明资产的可收回金额低于其账面价值的，按其差额计提减值准备并计入减值损失。可收回金额为资产的公允价值减去</w:t>
      </w:r>
      <w:r>
        <w:rPr>
          <w:spacing w:val="-64"/>
        </w:rPr>
        <w:t> </w:t>
      </w:r>
      <w:r>
        <w:rPr>
          <w:spacing w:val="-64"/>
        </w:rPr>
      </w:r>
      <w:r>
        <w:rPr>
          <w:spacing w:val="-2"/>
        </w:rPr>
        <w:t>处置费用后的净额与资产预计未来现金流量的现值两者之间的较高者。资产减值准备按单项资产为基础计算并确认，如果难</w:t>
      </w:r>
      <w:r>
        <w:rPr>
          <w:spacing w:val="-64"/>
        </w:rPr>
        <w:t> </w:t>
      </w:r>
      <w:r>
        <w:rPr>
          <w:spacing w:val="-64"/>
        </w:rPr>
      </w:r>
      <w:r>
        <w:rPr>
          <w:spacing w:val="-2"/>
        </w:rPr>
        <w:t>以对单项资产的可收回金额进行估计的，以该资产所属的资产组确定资产组的可收回金额。资产组是能够独立产生现金流入</w:t>
      </w:r>
      <w:r>
        <w:rPr>
          <w:spacing w:val="-64"/>
        </w:rPr>
        <w:t> </w:t>
      </w:r>
      <w:r>
        <w:rPr>
          <w:spacing w:val="-64"/>
        </w:rPr>
      </w:r>
      <w:r>
        <w:rPr/>
        <w:t>的最小资产组合。 </w:t>
      </w:r>
      <w:r>
        <w:rPr>
          <w:spacing w:val="-2"/>
        </w:rPr>
        <w:t>在财务报表中单独列示的商誉，无论是否存在减值迹象，至少每年进行减值测试。减值测试时，商誉的账面价值分摊至预期</w:t>
      </w:r>
      <w:r>
        <w:rPr>
          <w:spacing w:val="-64"/>
        </w:rPr>
        <w:t> </w:t>
      </w:r>
      <w:r>
        <w:rPr>
          <w:spacing w:val="-64"/>
        </w:rPr>
      </w:r>
      <w:r>
        <w:rPr>
          <w:spacing w:val="-2"/>
        </w:rPr>
        <w:t>从企业合并的协同效应中受益的资产组或资产组组合。测试结果表明包含分摊的商誉的资产组或资产组组合的可收回金额低</w:t>
      </w:r>
      <w:r>
        <w:rPr>
          <w:spacing w:val="-64"/>
        </w:rPr>
        <w:t> </w:t>
      </w:r>
      <w:r>
        <w:rPr>
          <w:spacing w:val="-64"/>
        </w:rPr>
      </w:r>
      <w:r>
        <w:rPr>
          <w:spacing w:val="-2"/>
        </w:rPr>
        <w:t>于其账面价值的，确认相应的减值损失。减值损失金额先抵减分摊至该资产组或资产组组合的商誉的账面价值，再根据资产</w:t>
      </w:r>
      <w:r>
        <w:rPr>
          <w:spacing w:val="-63"/>
        </w:rPr>
        <w:t> </w:t>
      </w:r>
      <w:r>
        <w:rPr>
          <w:spacing w:val="-63"/>
        </w:rPr>
      </w:r>
      <w:r>
        <w:rPr/>
        <w:t>组或资产组组合中除商誉以外的其他各项资产的账面价值所占比重，按比例抵减其他各项资产的账面价值。 上述资产减值损失一经确认，以后期间不予转回价值得以恢复的部分。</w:t>
      </w:r>
    </w:p>
    <w:p>
      <w:pPr>
        <w:spacing w:line="240" w:lineRule="auto" w:before="9"/>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152" w:right="94"/>
        <w:jc w:val="left"/>
      </w:pPr>
      <w:r>
        <w:rPr/>
        <w:t>长期待摊费用包括经营租入固定资产改良及其他已经发生但应由本期和以后各期负担的、分摊期限在一年以上的各项费用， 按预计受益期间分期平均摊销，并以实际支出减去累计摊销后的净额列示。</w:t>
      </w:r>
    </w:p>
    <w:p>
      <w:pPr>
        <w:spacing w:line="240" w:lineRule="auto" w:before="9"/>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19</w:t>
      </w:r>
      <w:r>
        <w:rPr/>
        <w:t>、职工薪酬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66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152" w:right="190"/>
        <w:jc w:val="both"/>
      </w:pPr>
      <w:r>
        <w:rPr>
          <w:spacing w:val="-2"/>
        </w:rPr>
        <w:t>短期薪酬包括工资、奖金、津贴和补贴、职工福利费、医疗保险费、工伤保险费、生育保险费、住房公积金、工会和教育经</w:t>
      </w:r>
      <w:r>
        <w:rPr>
          <w:spacing w:val="-65"/>
        </w:rPr>
        <w:t> </w:t>
      </w:r>
      <w:r>
        <w:rPr>
          <w:spacing w:val="-65"/>
        </w:rPr>
      </w:r>
      <w:r>
        <w:rPr>
          <w:spacing w:val="-2"/>
        </w:rPr>
        <w:t>费、短期带薪缺勤等。本集团在职工提供服务的会计期间，将实际发生的短期薪酬确认为负债，并计入当期损益或相关资产</w:t>
      </w:r>
      <w:r>
        <w:rPr>
          <w:spacing w:val="-64"/>
        </w:rPr>
        <w:t> </w:t>
      </w:r>
      <w:r>
        <w:rPr>
          <w:spacing w:val="-64"/>
        </w:rPr>
      </w:r>
      <w:r>
        <w:rPr/>
        <w:t>成本。其中，非货币性福利按照公允价值计量。</w:t>
      </w:r>
    </w:p>
    <w:p>
      <w:pPr>
        <w:spacing w:line="240" w:lineRule="auto" w:before="9"/>
        <w:rPr>
          <w:rFonts w:ascii="宋体" w:hAnsi="宋体" w:cs="宋体" w:eastAsia="宋体" w:hint="default"/>
          <w:sz w:val="17"/>
          <w:szCs w:val="17"/>
        </w:rPr>
      </w:pPr>
    </w:p>
    <w:p>
      <w:pPr>
        <w:pStyle w:val="Heading3"/>
        <w:spacing w:line="240" w:lineRule="auto"/>
        <w:ind w:right="661"/>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left="152" w:right="192"/>
        <w:jc w:val="both"/>
      </w:pPr>
      <w:r>
        <w:rPr>
          <w:spacing w:val="-2"/>
        </w:rPr>
        <w:t>本集团将离职后福利计划分类为设定提存计划和设定受益计划。设定提存计划是本集团向独立的基金缴存固定费用后，不再</w:t>
      </w:r>
      <w:r>
        <w:rPr>
          <w:spacing w:val="-63"/>
        </w:rPr>
        <w:t> </w:t>
      </w:r>
      <w:r>
        <w:rPr>
          <w:spacing w:val="-63"/>
        </w:rPr>
      </w:r>
      <w:r>
        <w:rPr>
          <w:spacing w:val="-2"/>
        </w:rPr>
        <w:t>承担进一步支付义务的离职后福利计划；设定受益计划是除设定提存计划以外的离职后福利计划。于报告期内，本集团的离</w:t>
      </w:r>
      <w:r>
        <w:rPr>
          <w:spacing w:val="-66"/>
        </w:rPr>
        <w:t> </w:t>
      </w:r>
      <w:r>
        <w:rPr>
          <w:spacing w:val="-66"/>
        </w:rPr>
      </w:r>
      <w:r>
        <w:rPr/>
        <w:t>职后福利主要是为员工缴纳的基本养老保险和失业保险，均属于设定提存计划。</w:t>
      </w:r>
    </w:p>
    <w:p>
      <w:pPr>
        <w:pStyle w:val="BodyText"/>
        <w:spacing w:line="316" w:lineRule="auto" w:before="17"/>
        <w:ind w:left="152" w:right="94"/>
        <w:jc w:val="left"/>
      </w:pPr>
      <w:r>
        <w:rPr/>
        <w:t>基本养老保险 </w:t>
      </w:r>
      <w:r>
        <w:rPr>
          <w:spacing w:val="-2"/>
        </w:rPr>
        <w:t>本集团职工参加了由当地劳动和社会保障部门组织实施的社会基本养老保险。本集团以当地规定的社会基本养老保险缴纳基</w:t>
      </w:r>
      <w:r>
        <w:rPr>
          <w:spacing w:val="-64"/>
        </w:rPr>
        <w:t> </w:t>
      </w:r>
      <w:r>
        <w:rPr>
          <w:spacing w:val="-64"/>
        </w:rPr>
      </w:r>
      <w:r>
        <w:rPr>
          <w:spacing w:val="-2"/>
        </w:rPr>
        <w:t>数和比例，按月向当地社会基本养老保险经办机构缴纳养老保险费。职工退休后，当地劳动及社会保障部门有责任向已退休</w:t>
      </w:r>
      <w:r>
        <w:rPr>
          <w:spacing w:val="-66"/>
        </w:rPr>
        <w:t> </w:t>
      </w:r>
      <w:r>
        <w:rPr>
          <w:spacing w:val="-66"/>
        </w:rPr>
      </w:r>
      <w:r>
        <w:rPr>
          <w:spacing w:val="-2"/>
        </w:rPr>
        <w:t>员工支付社会基本养老金。本集团在职工提供服务的会计期间，将根据上述社保规定计算应缴纳的金额确认为负债，并计入</w:t>
      </w:r>
      <w:r>
        <w:rPr>
          <w:spacing w:val="-62"/>
        </w:rPr>
        <w:t> </w:t>
      </w:r>
      <w:r>
        <w:rPr>
          <w:spacing w:val="-62"/>
        </w:rPr>
      </w:r>
      <w:r>
        <w:rPr/>
        <w:t>当期损益或相关资产成本。</w:t>
      </w:r>
    </w:p>
    <w:p>
      <w:pPr>
        <w:spacing w:after="0" w:line="316" w:lineRule="auto"/>
        <w:jc w:val="left"/>
        <w:sectPr>
          <w:pgSz w:w="11910" w:h="16840"/>
          <w:pgMar w:header="1078" w:footer="976" w:top="1960" w:bottom="1160" w:left="980" w:right="940"/>
        </w:sectPr>
      </w:pPr>
    </w:p>
    <w:p>
      <w:pPr>
        <w:pStyle w:val="Heading3"/>
        <w:spacing w:line="286" w:lineRule="exact"/>
        <w:ind w:right="66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152" w:right="94"/>
        <w:jc w:val="left"/>
      </w:pPr>
      <w:r>
        <w:rPr>
          <w:spacing w:val="-2"/>
        </w:rPr>
        <w:t>本集团在职工劳动合同到期之前解除与职工的劳动关系、或者为鼓励职工自愿接受裁减而提出给予补偿，在本集团不能单方</w:t>
      </w:r>
      <w:r>
        <w:rPr>
          <w:spacing w:val="-64"/>
        </w:rPr>
        <w:t> </w:t>
      </w:r>
      <w:r>
        <w:rPr>
          <w:spacing w:val="-64"/>
        </w:rPr>
      </w:r>
      <w:r>
        <w:rPr>
          <w:spacing w:val="-2"/>
        </w:rPr>
        <w:t>面撤回解除劳动关系计划或裁减建议时和确认与涉及支付辞退福利的重组相关的成本费用时两者孰早日，确认因解除与职工</w:t>
      </w:r>
      <w:r>
        <w:rPr>
          <w:spacing w:val="-64"/>
        </w:rPr>
        <w:t> </w:t>
      </w:r>
      <w:r>
        <w:rPr>
          <w:spacing w:val="-64"/>
        </w:rPr>
      </w:r>
      <w:r>
        <w:rPr/>
        <w:t>的劳动关系给予补偿而产生的负债，同时计入当期损益。 预期在资产负债表日起一年内需支付的辞退福利，列示为流动负债。</w:t>
      </w:r>
    </w:p>
    <w:p>
      <w:pPr>
        <w:spacing w:line="240" w:lineRule="auto" w:before="9"/>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20</w:t>
      </w:r>
      <w:r>
        <w:rPr/>
        <w:t>、股份支付</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left="152" w:right="190"/>
        <w:jc w:val="both"/>
      </w:pPr>
      <w:r>
        <w:rPr>
          <w:spacing w:val="-2"/>
        </w:rPr>
        <w:t>本集团为换取职工服务实施了以权益结算的股份支付，并以股份支付所授予的权益工具的公允价值计量。权益工具的公允价</w:t>
      </w:r>
      <w:r>
        <w:rPr>
          <w:spacing w:val="-64"/>
        </w:rPr>
        <w:t> </w:t>
      </w:r>
      <w:r>
        <w:rPr>
          <w:spacing w:val="-64"/>
        </w:rPr>
      </w:r>
      <w:r>
        <w:rPr>
          <w:spacing w:val="-2"/>
        </w:rPr>
        <w:t>值参考以收益法评估的授予日的公司股东权益的公允价值计算。本集团在等待期内的每个资产负债表日，以对可行权权益工</w:t>
      </w:r>
      <w:r>
        <w:rPr>
          <w:spacing w:val="-64"/>
        </w:rPr>
        <w:t> </w:t>
      </w:r>
      <w:r>
        <w:rPr>
          <w:spacing w:val="-64"/>
        </w:rPr>
      </w:r>
      <w:r>
        <w:rPr>
          <w:spacing w:val="-2"/>
        </w:rPr>
        <w:t>具数量的最佳估计为基础，按照权益工具在授予日的公允价值，将当期取得的服务计入相关资产成本或当期费用，同时计入</w:t>
      </w:r>
      <w:r>
        <w:rPr>
          <w:spacing w:val="-63"/>
        </w:rPr>
        <w:t> </w:t>
      </w:r>
      <w:r>
        <w:rPr>
          <w:spacing w:val="-63"/>
        </w:rPr>
      </w:r>
      <w:r>
        <w:rPr/>
        <w:t>资本公积中的其他资本公积。</w:t>
      </w:r>
    </w:p>
    <w:p>
      <w:pPr>
        <w:spacing w:line="240" w:lineRule="auto" w:before="7"/>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left="152" w:right="6754"/>
        <w:jc w:val="left"/>
      </w:pPr>
      <w:r>
        <w:rPr/>
        <w:t>公司是否需要遵守特殊行业的披露要求 否</w:t>
      </w:r>
    </w:p>
    <w:p>
      <w:pPr>
        <w:pStyle w:val="BodyText"/>
        <w:spacing w:line="316" w:lineRule="auto" w:before="25"/>
        <w:ind w:left="152" w:right="94"/>
        <w:jc w:val="left"/>
      </w:pPr>
      <w:r>
        <w:rPr>
          <w:spacing w:val="-2"/>
        </w:rPr>
        <w:t>收入的金额按照本集团在日常经营活动中销售商品和提供劳务时，已收或应收合同或协议价款的公允价值确定。收入按扣除</w:t>
      </w:r>
      <w:r>
        <w:rPr>
          <w:spacing w:val="-64"/>
        </w:rPr>
        <w:t> </w:t>
      </w:r>
      <w:r>
        <w:rPr>
          <w:spacing w:val="-64"/>
        </w:rPr>
      </w:r>
      <w:r>
        <w:rPr/>
        <w:t>销售折让及销售退回的净额列示。 </w:t>
      </w:r>
      <w:r>
        <w:rPr>
          <w:spacing w:val="-2"/>
        </w:rPr>
        <w:t>与交易相关的经济利益很可能流入本集团，相关的收入能够可靠计量且满足下列各项经营活动的特定收入确认标准时，确认</w:t>
      </w:r>
      <w:r>
        <w:rPr>
          <w:spacing w:val="-64"/>
        </w:rPr>
        <w:t> </w:t>
      </w:r>
      <w:r>
        <w:rPr>
          <w:spacing w:val="-64"/>
        </w:rPr>
      </w:r>
      <w:r>
        <w:rPr/>
        <w:t>相关的收入：</w:t>
      </w:r>
    </w:p>
    <w:p>
      <w:pPr>
        <w:pStyle w:val="BodyText"/>
        <w:spacing w:line="314" w:lineRule="auto" w:before="19"/>
        <w:ind w:left="152" w:right="9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提供维修劳务</w:t>
      </w:r>
      <w:r>
        <w:rPr>
          <w:w w:val="99"/>
        </w:rPr>
        <w:t> </w:t>
      </w:r>
      <w:r>
        <w:rPr>
          <w:spacing w:val="-2"/>
        </w:rPr>
        <w:t>本集团根据手机厂商授权的维修服务协议，对在相关手机保修期内进行的售后维修，按照协议确定的价格向厂商收取维修服</w:t>
      </w:r>
      <w:r>
        <w:rPr>
          <w:spacing w:val="-65"/>
        </w:rPr>
        <w:t> </w:t>
      </w:r>
      <w:r>
        <w:rPr>
          <w:spacing w:val="-65"/>
        </w:rPr>
      </w:r>
      <w:r>
        <w:rPr>
          <w:spacing w:val="-2"/>
        </w:rPr>
        <w:t>务费。根据服务协议之规定，本集团和厂商定期核对已完成的保修期内服务量信息及其他支持资料，本集团于维修劳务完成</w:t>
      </w:r>
      <w:r>
        <w:rPr>
          <w:spacing w:val="-66"/>
        </w:rPr>
        <w:t> </w:t>
      </w:r>
      <w:r>
        <w:rPr>
          <w:spacing w:val="-66"/>
        </w:rPr>
      </w:r>
      <w:r>
        <w:rPr/>
        <w:t>之时，确认保修期内维修收入。</w:t>
      </w:r>
      <w:r>
        <w:rPr>
          <w:w w:val="99"/>
        </w:rPr>
        <w:t> </w:t>
      </w:r>
      <w:r>
        <w:rPr>
          <w:spacing w:val="-2"/>
        </w:rPr>
        <w:t>对在相关厂商商品保修期外的手机维修服务，本集团直接向消费者提供保外维修服务后，收取现金价款，于劳务完成时，确</w:t>
      </w:r>
      <w:r>
        <w:rPr>
          <w:spacing w:val="-65"/>
        </w:rPr>
        <w:t> </w:t>
      </w:r>
      <w:r>
        <w:rPr>
          <w:spacing w:val="-65"/>
        </w:rPr>
      </w:r>
      <w:r>
        <w:rPr/>
        <w:t>认收入。</w:t>
      </w:r>
    </w:p>
    <w:p>
      <w:pPr>
        <w:pStyle w:val="BodyText"/>
        <w:spacing w:line="312" w:lineRule="auto" w:before="20"/>
        <w:ind w:left="152" w:right="9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销售商品</w:t>
      </w:r>
      <w:r>
        <w:rPr>
          <w:w w:val="99"/>
        </w:rPr>
        <w:t> </w:t>
      </w:r>
      <w:r>
        <w:rPr>
          <w:spacing w:val="-2"/>
        </w:rPr>
        <w:t>本集团在全国地区通过实体店和电子商务平台销售二手机及手机保护壳、移动电源、蓝牙耳机和数据线等手机配件商品。通</w:t>
      </w:r>
      <w:r>
        <w:rPr>
          <w:spacing w:val="-67"/>
        </w:rPr>
        <w:t> </w:t>
      </w:r>
      <w:r>
        <w:rPr>
          <w:spacing w:val="-67"/>
        </w:rPr>
      </w:r>
      <w:r>
        <w:rPr>
          <w:spacing w:val="-2"/>
          <w:w w:val="99"/>
        </w:rPr>
        <w:t>过实体店的销售商品收入于本集团销售商品给客户时确认。通过电子商务平台的销售商品收入于存货的风险及回报转移至客</w:t>
      </w:r>
      <w:r>
        <w:rPr>
          <w:spacing w:val="-64"/>
          <w:w w:val="99"/>
        </w:rPr>
        <w:t> </w:t>
      </w:r>
      <w:r>
        <w:rPr>
          <w:spacing w:val="-64"/>
          <w:w w:val="99"/>
        </w:rPr>
      </w:r>
      <w:r>
        <w:rPr/>
        <w:t>户时</w:t>
      </w:r>
      <w:r>
        <w:rPr>
          <w:rFonts w:ascii="Times New Roman" w:hAnsi="Times New Roman" w:cs="Times New Roman" w:eastAsia="Times New Roman" w:hint="default"/>
        </w:rPr>
        <w:t>(</w:t>
      </w:r>
      <w:r>
        <w:rPr/>
        <w:t>即客户签收货品时</w:t>
      </w:r>
      <w:r>
        <w:rPr>
          <w:rFonts w:ascii="Times New Roman" w:hAnsi="Times New Roman" w:cs="Times New Roman" w:eastAsia="Times New Roman" w:hint="default"/>
        </w:rPr>
        <w:t>)</w:t>
      </w:r>
      <w:r>
        <w:rPr/>
        <w:t>确认。</w:t>
      </w:r>
    </w:p>
    <w:p>
      <w:pPr>
        <w:pStyle w:val="BodyText"/>
        <w:spacing w:line="314" w:lineRule="auto" w:before="3"/>
        <w:ind w:left="152" w:right="9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8"/>
        </w:rPr>
        <w:t> </w:t>
      </w:r>
      <w:r>
        <w:rPr/>
        <w:t>提供增值服务</w:t>
      </w:r>
      <w:r>
        <w:rPr>
          <w:w w:val="99"/>
        </w:rPr>
        <w:t> </w:t>
      </w:r>
      <w:r>
        <w:rPr>
          <w:spacing w:val="-2"/>
        </w:rPr>
        <w:t>本集团还面向消费者提供手机保障等增值服务。手机保障服务收入在满足下列所有条件时确认：与消费者签订保障协议并承</w:t>
      </w:r>
      <w:r>
        <w:rPr>
          <w:spacing w:val="-65"/>
        </w:rPr>
        <w:t> </w:t>
      </w:r>
      <w:r>
        <w:rPr>
          <w:spacing w:val="-65"/>
        </w:rPr>
      </w:r>
      <w:r>
        <w:rPr/>
        <w:t>担相应合同责任；与保障协议相关的经济利益很可能流入；与保障协议相关的收入能够可靠地计量。</w:t>
      </w:r>
      <w:r>
        <w:rPr>
          <w:w w:val="99"/>
        </w:rPr>
        <w:t> </w:t>
      </w:r>
      <w:r>
        <w:rPr/>
        <w:t>于资产负债表日，本集团对在保障协议覆盖的服务期间内未到期部分的保障收入计提未到期责任准备金，确认为递延收入，</w:t>
      </w:r>
      <w:r>
        <w:rPr>
          <w:w w:val="99"/>
        </w:rPr>
        <w:t> </w:t>
      </w:r>
      <w:r>
        <w:rPr/>
        <w:t>记录在其他流动负债科目，待收入确认条件满足时，在保障协议服务覆盖的期间按月摊销确认营业收入。</w:t>
      </w:r>
    </w:p>
    <w:p>
      <w:pPr>
        <w:pStyle w:val="BodyText"/>
        <w:spacing w:line="300" w:lineRule="auto" w:before="20"/>
        <w:ind w:left="152" w:right="7654"/>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9"/>
        </w:rPr>
        <w:t> </w:t>
      </w:r>
      <w:r>
        <w:rPr/>
        <w:t>其他收入</w:t>
      </w:r>
      <w:r>
        <w:rPr>
          <w:w w:val="99"/>
        </w:rPr>
        <w:t> </w:t>
      </w:r>
      <w:r>
        <w:rPr/>
        <w:t>对合作商提供管理咨询服务</w:t>
      </w:r>
    </w:p>
    <w:p>
      <w:pPr>
        <w:pStyle w:val="BodyText"/>
        <w:spacing w:line="316" w:lineRule="auto" w:before="31"/>
        <w:ind w:left="152" w:right="94"/>
        <w:jc w:val="left"/>
      </w:pPr>
      <w:r>
        <w:rPr>
          <w:spacing w:val="-2"/>
        </w:rPr>
        <w:t>本集团与若干合作门店签订业务合作协议，授权合作门店在协议规定的范围内使用本集团的商标、服务标记、商号等，在统</w:t>
      </w:r>
      <w:r>
        <w:rPr>
          <w:spacing w:val="-66"/>
        </w:rPr>
        <w:t> </w:t>
      </w:r>
      <w:r>
        <w:rPr>
          <w:spacing w:val="-66"/>
        </w:rPr>
      </w:r>
      <w:r>
        <w:rPr>
          <w:spacing w:val="-2"/>
        </w:rPr>
        <w:t>一商业形象下开展业务。本集团定期收取管理咨询服务费。管理咨询服务收入在满足下列所有条件时确认：业务合作协议成</w:t>
      </w:r>
      <w:r>
        <w:rPr>
          <w:spacing w:val="-63"/>
        </w:rPr>
        <w:t> </w:t>
      </w:r>
      <w:r>
        <w:rPr>
          <w:spacing w:val="-63"/>
        </w:rPr>
      </w:r>
      <w:r>
        <w:rPr/>
        <w:t>立并承担相应合同责任；与业务合作协议相关的经济利益很可能流入；与业务合作协议相关的收入能够可靠地计量。</w:t>
      </w:r>
      <w:r>
        <w:rPr/>
        <w:t> 让渡资产使用权</w:t>
      </w:r>
    </w:p>
    <w:p>
      <w:pPr>
        <w:spacing w:after="0" w:line="316" w:lineRule="auto"/>
        <w:jc w:val="left"/>
        <w:sectPr>
          <w:pgSz w:w="11910" w:h="16840"/>
          <w:pgMar w:header="1078" w:footer="976" w:top="1960" w:bottom="1160" w:left="980" w:right="940"/>
        </w:sectPr>
      </w:pPr>
    </w:p>
    <w:p>
      <w:pPr>
        <w:pStyle w:val="BodyText"/>
        <w:spacing w:line="316" w:lineRule="auto" w:before="8"/>
        <w:ind w:left="152" w:right="3874"/>
        <w:jc w:val="left"/>
      </w:pPr>
      <w:r>
        <w:rPr/>
        <w:t>利息收入按照其他方使用本集团货币资金的时间，采用实际利率计算确定。 经营租赁的租金收入在租赁期内按照直线法确认。</w:t>
      </w:r>
    </w:p>
    <w:p>
      <w:pPr>
        <w:spacing w:line="240" w:lineRule="auto" w:before="9"/>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66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）与资产相关的政府补助判断依据及会计处理方法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152" w:right="94"/>
        <w:jc w:val="left"/>
      </w:pPr>
      <w:r>
        <w:rPr/>
        <w:t>政府补助为本集团从政府无偿取得的货币性资产或非货币性资产，包括税费返还、财政补贴等。 </w:t>
      </w:r>
      <w:r>
        <w:rPr>
          <w:spacing w:val="-2"/>
        </w:rPr>
        <w:t>政府补助在本集团能够满足其所附的条件并且能够收到时，予以确认。政府补助为货币性资产的，按照收到或应收的金额计</w:t>
      </w:r>
      <w:r>
        <w:rPr>
          <w:spacing w:val="-63"/>
        </w:rPr>
        <w:t> </w:t>
      </w:r>
      <w:r>
        <w:rPr>
          <w:spacing w:val="-63"/>
        </w:rPr>
      </w:r>
      <w:r>
        <w:rPr/>
        <w:t>量。政府补助为非货币性资产的，按照公允价值计量；公允价值不能可靠取得的，按照名义金额计量。</w:t>
      </w:r>
      <w:r>
        <w:rPr/>
        <w:t> 与资产相关的政府补助，是指本集团取得的、用于购建或以其他方式形成长期资产的政府补助。</w:t>
      </w:r>
    </w:p>
    <w:p>
      <w:pPr>
        <w:pStyle w:val="BodyText"/>
        <w:spacing w:line="309" w:lineRule="auto" w:before="19"/>
        <w:ind w:left="152" w:right="9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适用于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日以前的政府补助</w:t>
      </w:r>
      <w:r>
        <w:rPr>
          <w:w w:val="99"/>
        </w:rPr>
        <w:t> </w:t>
      </w:r>
      <w:r>
        <w:rPr>
          <w:spacing w:val="-2"/>
        </w:rPr>
        <w:t>与资产相关的政府补助，确认为递延收益，并在相关资产使用寿命内平均分配，计入当期损益。按照名义金额计量的政府补</w:t>
      </w:r>
      <w:r>
        <w:rPr>
          <w:spacing w:val="-66"/>
        </w:rPr>
        <w:t> </w:t>
      </w:r>
      <w:r>
        <w:rPr>
          <w:spacing w:val="-66"/>
        </w:rPr>
      </w:r>
      <w:r>
        <w:rPr/>
        <w:t>助，直接计入当期损益。</w:t>
      </w:r>
    </w:p>
    <w:p>
      <w:pPr>
        <w:pStyle w:val="BodyText"/>
        <w:spacing w:line="309" w:lineRule="auto" w:before="24"/>
        <w:ind w:left="152" w:right="9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适用于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日存在及以后新增的政府补助</w:t>
      </w:r>
      <w:r>
        <w:rPr>
          <w:w w:val="99"/>
        </w:rPr>
        <w:t> </w:t>
      </w:r>
      <w:r>
        <w:rPr>
          <w:spacing w:val="-2"/>
        </w:rPr>
        <w:t>与资产相关的政府补助，冲减相关资产的账面价值，或确认为递延收益并在相关资产使用寿命内按照合理、系统的方法分摊</w:t>
      </w:r>
      <w:r>
        <w:rPr>
          <w:spacing w:val="-64"/>
        </w:rPr>
        <w:t> </w:t>
      </w:r>
      <w:r>
        <w:rPr>
          <w:spacing w:val="-64"/>
        </w:rPr>
      </w:r>
      <w:r>
        <w:rPr/>
        <w:t>计入损益。</w:t>
      </w:r>
    </w:p>
    <w:p>
      <w:pPr>
        <w:spacing w:line="240" w:lineRule="auto" w:before="1"/>
        <w:rPr>
          <w:rFonts w:ascii="宋体" w:hAnsi="宋体" w:cs="宋体" w:eastAsia="宋体" w:hint="default"/>
          <w:sz w:val="18"/>
          <w:szCs w:val="18"/>
        </w:rPr>
      </w:pPr>
    </w:p>
    <w:p>
      <w:pPr>
        <w:pStyle w:val="Heading3"/>
        <w:spacing w:line="240" w:lineRule="auto"/>
        <w:ind w:right="661"/>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661"/>
        <w:jc w:val="left"/>
      </w:pPr>
      <w:r>
        <w:rPr/>
        <w:t>与收益相关的政府补助，是指除与资产相关的政府补助之外的政府补助。</w:t>
      </w:r>
    </w:p>
    <w:p>
      <w:pPr>
        <w:pStyle w:val="BodyText"/>
        <w:spacing w:line="309" w:lineRule="auto" w:before="76"/>
        <w:ind w:left="152" w:right="9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适用于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日以前的政府补助</w:t>
      </w:r>
      <w:r>
        <w:rPr>
          <w:w w:val="99"/>
        </w:rPr>
        <w:t> </w:t>
      </w:r>
      <w:r>
        <w:rPr>
          <w:spacing w:val="-2"/>
        </w:rPr>
        <w:t>与收益相关的政府补助，用于补偿以后期间的相关费用或损失的，确认为递延收益，并在确认相关费用的期间，计入当期损</w:t>
      </w:r>
      <w:r>
        <w:rPr>
          <w:spacing w:val="-65"/>
        </w:rPr>
        <w:t> </w:t>
      </w:r>
      <w:r>
        <w:rPr>
          <w:spacing w:val="-65"/>
        </w:rPr>
      </w:r>
      <w:r>
        <w:rPr/>
        <w:t>益；用于补偿已发生的相关费用或损失的，直接计入当期损益。</w:t>
      </w:r>
    </w:p>
    <w:p>
      <w:pPr>
        <w:pStyle w:val="BodyText"/>
        <w:spacing w:line="314" w:lineRule="auto" w:before="24"/>
        <w:ind w:left="152" w:right="9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适用于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日存在及以后新增的政府补助</w:t>
      </w:r>
      <w:r>
        <w:rPr>
          <w:w w:val="99"/>
        </w:rPr>
        <w:t> </w:t>
      </w:r>
      <w:r>
        <w:rPr>
          <w:spacing w:val="-2"/>
        </w:rPr>
        <w:t>与收益相关的政府补助，用于补偿以后期间的相关成本费用或损失的，确认为递延收益，并在确认相关成本费用或损失的期</w:t>
      </w:r>
      <w:r>
        <w:rPr>
          <w:spacing w:val="-66"/>
        </w:rPr>
        <w:t> </w:t>
      </w:r>
      <w:r>
        <w:rPr>
          <w:spacing w:val="-66"/>
        </w:rPr>
      </w:r>
      <w:r>
        <w:rPr>
          <w:spacing w:val="-2"/>
        </w:rPr>
        <w:t>间，计入当期损益或冲减相关成本，用于补偿已发生的相关费用或损失的，直接计入当期损益或冲减相关成本；对同类政府</w:t>
      </w:r>
      <w:r>
        <w:rPr>
          <w:spacing w:val="-65"/>
        </w:rPr>
        <w:t> </w:t>
      </w:r>
      <w:r>
        <w:rPr>
          <w:spacing w:val="-65"/>
        </w:rPr>
      </w:r>
      <w:r>
        <w:rPr/>
        <w:t>补助采用相同的列报方式，将与日常活动相关的纳入营业利润，将与日常活动无关的计入营业外收支。</w:t>
      </w:r>
      <w:r>
        <w:rPr>
          <w:w w:val="99"/>
        </w:rPr>
        <w:t> </w:t>
      </w:r>
      <w:r>
        <w:rPr>
          <w:spacing w:val="-2"/>
        </w:rPr>
        <w:t>本集团收到的政策性优惠利率贷款，以实际收到的借款金额作为借款的入账价值，按照借款本金和该政策性优惠利率计算相</w:t>
      </w:r>
      <w:r>
        <w:rPr>
          <w:spacing w:val="-65"/>
        </w:rPr>
        <w:t> </w:t>
      </w:r>
      <w:r>
        <w:rPr>
          <w:spacing w:val="-65"/>
        </w:rPr>
      </w:r>
      <w:r>
        <w:rPr/>
        <w:t>关借款费用。直接收取的财政贴息，冲减相关借款费用。</w:t>
      </w:r>
    </w:p>
    <w:p>
      <w:pPr>
        <w:spacing w:line="240" w:lineRule="auto" w:before="11"/>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4" w:lineRule="auto"/>
        <w:ind w:left="152" w:right="94"/>
        <w:jc w:val="left"/>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计算确认。对于按照税法规 定能够于以后年度抵减应纳税所得额的可抵扣亏损，确认相应的递延所得税资产。对于商誉的初始确认产生的暂时性差异， 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 </w:t>
      </w:r>
      <w:r>
        <w:rPr>
          <w:spacing w:val="-2"/>
        </w:rPr>
        <w:t>资产或负债的初始确认形成的暂时性差异，不确认相应的递延所得税资产和递延所得税负债。于资产负债表日，递延所得税</w:t>
      </w:r>
      <w:r>
        <w:rPr>
          <w:spacing w:val="-66"/>
        </w:rPr>
        <w:t> </w:t>
      </w:r>
      <w:r>
        <w:rPr>
          <w:spacing w:val="-66"/>
        </w:rPr>
      </w:r>
      <w:r>
        <w:rPr/>
        <w:t>资产和递延所得税负债，按照预期收回该资产或清偿该负债期间的适用税率计量。 递延所得税资产的确认以很可能取得用来抵扣可抵扣暂时性差异、可抵扣亏损和税款抵减的应纳税所得额为限。 </w:t>
      </w:r>
      <w:r>
        <w:rPr>
          <w:spacing w:val="-2"/>
        </w:rPr>
        <w:t>对与子公司、联营企业及合营企业投资相关的应纳税暂时性差异，确认递延所得税负债，除非本集团能够控制该暂时性差异</w:t>
      </w:r>
      <w:r>
        <w:rPr>
          <w:spacing w:val="-64"/>
        </w:rPr>
        <w:t> </w:t>
      </w:r>
      <w:r>
        <w:rPr>
          <w:spacing w:val="-64"/>
        </w:rPr>
      </w:r>
      <w:r>
        <w:rPr>
          <w:spacing w:val="-2"/>
        </w:rPr>
        <w:t>转回的时间且该暂时性差异在可预见的未来很可能不会转回。对与子公司、联营企业及合营企业投资相关的可抵扣暂时性差</w:t>
      </w:r>
      <w:r>
        <w:rPr>
          <w:spacing w:val="-64"/>
        </w:rPr>
        <w:t> </w:t>
      </w:r>
      <w:r>
        <w:rPr>
          <w:spacing w:val="-64"/>
        </w:rPr>
      </w:r>
      <w:r>
        <w:rPr>
          <w:spacing w:val="-2"/>
        </w:rPr>
        <w:t>异，当该暂时性差异在可预见的未来很可能转回且未来很可能获得用来抵扣可抵扣暂时性差异的应纳税所得额时，确认递延</w:t>
      </w:r>
      <w:r>
        <w:rPr>
          <w:spacing w:val="-64"/>
        </w:rPr>
        <w:t> </w:t>
      </w:r>
      <w:r>
        <w:rPr>
          <w:spacing w:val="-64"/>
        </w:rPr>
      </w:r>
      <w:r>
        <w:rPr/>
        <w:t>所得税资产。</w:t>
      </w:r>
    </w:p>
    <w:p>
      <w:pPr>
        <w:spacing w:after="0" w:line="314" w:lineRule="auto"/>
        <w:jc w:val="left"/>
        <w:sectPr>
          <w:footerReference w:type="default" r:id="rId43"/>
          <w:pgSz w:w="11910" w:h="16840"/>
          <w:pgMar w:footer="956" w:header="1078" w:top="1960" w:bottom="1140" w:left="980" w:right="940"/>
          <w:pgNumType w:start="89"/>
        </w:sectPr>
      </w:pPr>
    </w:p>
    <w:p>
      <w:pPr>
        <w:pStyle w:val="BodyText"/>
        <w:spacing w:line="316" w:lineRule="auto" w:before="8"/>
        <w:ind w:left="152" w:right="1894"/>
        <w:jc w:val="left"/>
      </w:pPr>
      <w:r>
        <w:rPr/>
        <w:t>同时满足下列条件的递延所得税资产和递延所得税负债以抵销后的净额列示： 递延所得税资产和递延所得税负债与同一税收征管部门对本集团内同一纳税主体征收的所得税相关； 本集团内该纳税主体拥有以净额结算当期所得税资产及当期所得税负债的法定权利。</w:t>
      </w:r>
    </w:p>
    <w:p>
      <w:pPr>
        <w:spacing w:line="240" w:lineRule="auto" w:before="9"/>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24</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66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152" w:right="2254"/>
        <w:jc w:val="left"/>
      </w:pPr>
      <w:r>
        <w:rPr/>
        <w:t>实质上转移了与资产所有权有关的全部风险和报酬的租赁为融资租赁。其他的租赁为经营租赁。 经营租赁的租金支出在租赁期内按照直线法计入相关资产成本或当期损益。 经营租赁的租金收入在租赁期内按照直线法确认。</w:t>
      </w:r>
    </w:p>
    <w:p>
      <w:pPr>
        <w:spacing w:line="240" w:lineRule="auto" w:before="10"/>
        <w:rPr>
          <w:rFonts w:ascii="宋体" w:hAnsi="宋体" w:cs="宋体" w:eastAsia="宋体" w:hint="default"/>
          <w:sz w:val="17"/>
          <w:szCs w:val="17"/>
        </w:rPr>
      </w:pPr>
    </w:p>
    <w:p>
      <w:pPr>
        <w:pStyle w:val="Heading3"/>
        <w:spacing w:line="240" w:lineRule="auto"/>
        <w:ind w:right="66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152" w:right="193"/>
        <w:jc w:val="both"/>
      </w:pPr>
      <w:r>
        <w:rPr>
          <w:spacing w:val="-2"/>
        </w:rPr>
        <w:t>以租赁资产的公允价值与最低租赁付款额的现值两者中较低者作为租入资产的入账价值，租入资产的入账价值与最低租赁付</w:t>
      </w:r>
      <w:r>
        <w:rPr>
          <w:spacing w:val="-64"/>
        </w:rPr>
        <w:t> </w:t>
      </w:r>
      <w:r>
        <w:rPr>
          <w:spacing w:val="-64"/>
        </w:rPr>
      </w:r>
      <w:r>
        <w:rPr>
          <w:spacing w:val="-2"/>
        </w:rPr>
        <w:t>款额之间的差额作为未确认融资费用，在租赁期内按实际利率法摊销。最低租赁付款额扣除未确认融资费用后的余额作为长</w:t>
      </w:r>
      <w:r>
        <w:rPr>
          <w:spacing w:val="-64"/>
        </w:rPr>
        <w:t> </w:t>
      </w:r>
      <w:r>
        <w:rPr>
          <w:spacing w:val="-64"/>
        </w:rPr>
      </w:r>
      <w:r>
        <w:rPr/>
        <w:t>期应付款列示。</w:t>
      </w:r>
    </w:p>
    <w:p>
      <w:pPr>
        <w:spacing w:line="240" w:lineRule="auto" w:before="9"/>
        <w:rPr>
          <w:rFonts w:ascii="宋体" w:hAnsi="宋体" w:cs="宋体" w:eastAsia="宋体" w:hint="default"/>
          <w:sz w:val="17"/>
          <w:szCs w:val="17"/>
        </w:rPr>
      </w:pPr>
    </w:p>
    <w:p>
      <w:pPr>
        <w:pStyle w:val="Heading3"/>
        <w:spacing w:line="240" w:lineRule="auto"/>
        <w:ind w:right="661"/>
        <w:jc w:val="left"/>
        <w:rPr>
          <w:b w:val="0"/>
          <w:bCs w:val="0"/>
        </w:rPr>
      </w:pPr>
      <w:r>
        <w:rPr>
          <w:rFonts w:ascii="Times New Roman" w:hAnsi="Times New Roman" w:cs="Times New Roman" w:eastAsia="Times New Roman" w:hint="default"/>
        </w:rPr>
        <w:t>25</w:t>
      </w:r>
      <w:r>
        <w:rPr/>
        <w:t>、其他重要的会计政策和会计估计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152" w:right="454"/>
        <w:jc w:val="left"/>
      </w:pPr>
      <w:r>
        <w:rPr/>
        <w:t>重要会计估计和判断 本集团根据历史经验和其他因素，包括对未来事项的合理预期，对所采用的重要会计估计和关键判断进行持续的评价。 重要会计估计及其关键假设 下列重要会计估计及关键假设存在会导致下一会计年度资产和负债的账面价值出现重大调整的重要风险：</w:t>
      </w:r>
    </w:p>
    <w:p>
      <w:pPr>
        <w:pStyle w:val="BodyText"/>
        <w:spacing w:line="314" w:lineRule="auto" w:before="19"/>
        <w:ind w:left="152" w:right="94"/>
        <w:jc w:val="left"/>
      </w:pPr>
      <w:r>
        <w:rPr>
          <w:rFonts w:ascii="Times New Roman" w:hAnsi="Times New Roman" w:cs="Times New Roman" w:eastAsia="Times New Roman" w:hint="default"/>
        </w:rPr>
        <w:t>(i)</w:t>
      </w:r>
      <w:r>
        <w:rPr>
          <w:rFonts w:ascii="Times New Roman" w:hAnsi="Times New Roman" w:cs="Times New Roman" w:eastAsia="Times New Roman" w:hint="default"/>
          <w:spacing w:val="10"/>
        </w:rPr>
        <w:t> </w:t>
      </w:r>
      <w:r>
        <w:rPr/>
        <w:t>商誉减值准备的会计估计</w:t>
      </w:r>
      <w:r>
        <w:rPr>
          <w:w w:val="99"/>
        </w:rPr>
        <w:t> </w:t>
      </w:r>
      <w:r>
        <w:rPr>
          <w:spacing w:val="-2"/>
        </w:rPr>
        <w:t>本集团每年对商誉进行减值测试。包含商誉的资产组和资产组组合的可收回金额为其预计未来现金流量的现值，其计算需要</w:t>
      </w:r>
      <w:r>
        <w:rPr>
          <w:spacing w:val="-65"/>
        </w:rPr>
        <w:t> </w:t>
      </w:r>
      <w:r>
        <w:rPr>
          <w:spacing w:val="-65"/>
        </w:rPr>
      </w:r>
      <w:r>
        <w:rPr/>
        <w:t>采用会计估计。</w:t>
      </w:r>
      <w:r>
        <w:rPr>
          <w:w w:val="99"/>
        </w:rPr>
        <w:t> </w:t>
      </w:r>
      <w:r>
        <w:rPr/>
        <w:t>如果管理层对资产组和资产组组合未来现金流量计算中采用的毛利率进行修订，且修订后的毛利率低于目前采用的毛利率，</w:t>
      </w:r>
      <w:r>
        <w:rPr>
          <w:w w:val="99"/>
        </w:rPr>
        <w:t> </w:t>
      </w:r>
      <w:r>
        <w:rPr/>
        <w:t>则本集团需对商誉增加计提减值准备。</w:t>
      </w:r>
      <w:r>
        <w:rPr>
          <w:w w:val="99"/>
        </w:rPr>
        <w:t> </w:t>
      </w:r>
      <w:r>
        <w:rPr>
          <w:spacing w:val="-2"/>
        </w:rPr>
        <w:t>如果管理层对应用于现金流量折现的税前折现率进行重新修订，且修订后的税前折现率高于目前采用的折现率，则本集团需</w:t>
      </w:r>
      <w:r>
        <w:rPr>
          <w:spacing w:val="-65"/>
        </w:rPr>
        <w:t> </w:t>
      </w:r>
      <w:r>
        <w:rPr>
          <w:spacing w:val="-65"/>
        </w:rPr>
      </w:r>
      <w:r>
        <w:rPr/>
        <w:t>对商誉增加计提减值准备。</w:t>
      </w:r>
      <w:r>
        <w:rPr>
          <w:w w:val="99"/>
        </w:rPr>
        <w:t> </w:t>
      </w:r>
      <w:r>
        <w:rPr/>
        <w:t>如果实际毛利率高于或实际税前折现率低于管理层的估计，本集团不能转回原已计提的商誉减值损失。</w:t>
      </w:r>
    </w:p>
    <w:p>
      <w:pPr>
        <w:pStyle w:val="BodyText"/>
        <w:spacing w:line="314" w:lineRule="auto" w:before="20"/>
        <w:ind w:left="152" w:right="94"/>
        <w:jc w:val="left"/>
      </w:pPr>
      <w:r>
        <w:rPr>
          <w:rFonts w:ascii="Times New Roman" w:hAnsi="Times New Roman" w:cs="Times New Roman" w:eastAsia="Times New Roman" w:hint="default"/>
        </w:rPr>
        <w:t>(ii)</w:t>
      </w:r>
      <w:r>
        <w:rPr>
          <w:rFonts w:ascii="Times New Roman" w:hAnsi="Times New Roman" w:cs="Times New Roman" w:eastAsia="Times New Roman" w:hint="default"/>
          <w:spacing w:val="9"/>
        </w:rPr>
        <w:t> </w:t>
      </w:r>
      <w:r>
        <w:rPr/>
        <w:t>所得税及递延所得税</w:t>
      </w:r>
      <w:r>
        <w:rPr>
          <w:w w:val="99"/>
        </w:rPr>
        <w:t> </w:t>
      </w:r>
      <w:r>
        <w:rPr>
          <w:spacing w:val="-2"/>
        </w:rPr>
        <w:t>本集团在多个地区缴纳企业所得税。在正常的经营活动中，部分交易和事项的最终税务处理存在不确定性。在计提各个地区</w:t>
      </w:r>
      <w:r>
        <w:rPr>
          <w:spacing w:val="-66"/>
        </w:rPr>
        <w:t> </w:t>
      </w:r>
      <w:r>
        <w:rPr>
          <w:spacing w:val="-66"/>
        </w:rPr>
      </w:r>
      <w:r>
        <w:rPr>
          <w:spacing w:val="-2"/>
        </w:rPr>
        <w:t>的所得税费用时，本集团需要作出重大判断。如果这些税务事项的最终认定结果与最初入账的金额存在差异，该差异将对作</w:t>
      </w:r>
      <w:r>
        <w:rPr>
          <w:spacing w:val="-62"/>
        </w:rPr>
        <w:t> </w:t>
      </w:r>
      <w:r>
        <w:rPr>
          <w:spacing w:val="-62"/>
        </w:rPr>
      </w:r>
      <w:r>
        <w:rPr/>
        <w:t>出上述最终认定期间的所得税费用和递延所得税的金额产生影响。</w:t>
      </w:r>
      <w:r>
        <w:rPr>
          <w:w w:val="99"/>
        </w:rPr>
        <w:t> </w:t>
      </w:r>
      <w:r>
        <w:rPr>
          <w:spacing w:val="-2"/>
        </w:rPr>
        <w:t>若管理层认为未来很有可能出现应纳税所得额，并可用作抵扣可抵扣暂时性差异或可抵扣亏损，则确认与该可抵扣暂时性差</w:t>
      </w:r>
      <w:r>
        <w:rPr>
          <w:spacing w:val="-65"/>
        </w:rPr>
        <w:t> </w:t>
      </w:r>
      <w:r>
        <w:rPr>
          <w:spacing w:val="-65"/>
        </w:rPr>
      </w:r>
      <w:r>
        <w:rPr>
          <w:spacing w:val="-2"/>
        </w:rPr>
        <w:t>异及可抵扣亏损有关的递延所得税资产。当预期的金额与原先估计有差异，则该差异将会影响于估计改变的期间内递延所得</w:t>
      </w:r>
      <w:r>
        <w:rPr>
          <w:spacing w:val="-65"/>
        </w:rPr>
        <w:t> </w:t>
      </w:r>
      <w:r>
        <w:rPr>
          <w:spacing w:val="-65"/>
        </w:rPr>
      </w:r>
      <w:r>
        <w:rPr/>
        <w:t>税资产及所得税费用的确认。</w:t>
      </w:r>
    </w:p>
    <w:p>
      <w:pPr>
        <w:pStyle w:val="BodyText"/>
        <w:spacing w:line="312" w:lineRule="auto" w:before="20"/>
        <w:ind w:left="152" w:right="94"/>
        <w:jc w:val="left"/>
      </w:pPr>
      <w:r>
        <w:rPr>
          <w:rFonts w:ascii="Times New Roman" w:hAnsi="Times New Roman" w:cs="Times New Roman" w:eastAsia="Times New Roman" w:hint="default"/>
        </w:rPr>
        <w:t>(iii)</w:t>
      </w:r>
      <w:r>
        <w:rPr>
          <w:rFonts w:ascii="Times New Roman" w:hAnsi="Times New Roman" w:cs="Times New Roman" w:eastAsia="Times New Roman" w:hint="default"/>
          <w:spacing w:val="10"/>
        </w:rPr>
        <w:t> </w:t>
      </w:r>
      <w:r>
        <w:rPr/>
        <w:t>应收款项的坏账准备</w:t>
      </w:r>
      <w:r>
        <w:rPr>
          <w:w w:val="99"/>
        </w:rPr>
        <w:t> </w:t>
      </w:r>
      <w:r>
        <w:rPr>
          <w:spacing w:val="-2"/>
        </w:rPr>
        <w:t>本集团以应收款项的可收回性为判断基础，确认坏账准备。当存在迹象表明应收款项无法收回时需要确认坏账准备。坏账准</w:t>
      </w:r>
      <w:r>
        <w:rPr>
          <w:spacing w:val="-66"/>
        </w:rPr>
        <w:t> </w:t>
      </w:r>
      <w:r>
        <w:rPr>
          <w:spacing w:val="-66"/>
        </w:rPr>
      </w:r>
      <w:r>
        <w:rPr>
          <w:spacing w:val="-2"/>
        </w:rPr>
        <w:t>备的确认需要运用判断和估计。如重新估计结果与现有估计存在差异，该差异将会影响估计改变期间的应收款项账面价值及</w:t>
      </w:r>
      <w:r>
        <w:rPr>
          <w:spacing w:val="-64"/>
        </w:rPr>
        <w:t> </w:t>
      </w:r>
      <w:r>
        <w:rPr>
          <w:spacing w:val="-64"/>
        </w:rPr>
      </w:r>
      <w:r>
        <w:rPr/>
        <w:t>资产减值损失。</w:t>
      </w:r>
    </w:p>
    <w:p>
      <w:pPr>
        <w:spacing w:after="0" w:line="312" w:lineRule="auto"/>
        <w:jc w:val="left"/>
        <w:sectPr>
          <w:pgSz w:w="11910" w:h="16840"/>
          <w:pgMar w:header="1078" w:footer="956" w:top="1960" w:bottom="1160" w:left="980" w:right="940"/>
        </w:sectPr>
      </w:pPr>
    </w:p>
    <w:p>
      <w:pPr>
        <w:pStyle w:val="Heading3"/>
        <w:spacing w:line="286" w:lineRule="exact"/>
        <w:ind w:right="661"/>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66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52"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若干与本集团政府补助相关的披露信息 已根据《企业会计准则第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 补助》编制。比较财务报表中的相关信 息根据该准则未进行调整。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5"/>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日召开的第二届董事会第 十七次会议审议通过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94"/>
              <w:jc w:val="left"/>
              <w:rPr>
                <w:rFonts w:ascii="宋体" w:hAnsi="宋体" w:cs="宋体" w:eastAsia="宋体" w:hint="default"/>
                <w:sz w:val="18"/>
                <w:szCs w:val="18"/>
              </w:rPr>
            </w:pPr>
            <w:r>
              <w:rPr>
                <w:rFonts w:ascii="宋体" w:hAnsi="宋体" w:cs="宋体" w:eastAsia="宋体" w:hint="default"/>
                <w:sz w:val="18"/>
                <w:szCs w:val="18"/>
              </w:rPr>
              <w:t>无影响金额，不适用受影响的报表项目 名称</w:t>
            </w:r>
          </w:p>
        </w:tc>
      </w:tr>
      <w:tr>
        <w:trPr>
          <w:trHeight w:val="102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本集团将</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年度处置固定资产产生的 利得和损失计入资产处置收益项目。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年度的比较财务报表已相应调整。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日召开的第二届董事会第 十七次会议审议通过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8"/>
        <w:ind w:left="152" w:right="192"/>
        <w:jc w:val="both"/>
        <w:rPr>
          <w:rFonts w:ascii="宋体" w:hAnsi="宋体" w:cs="宋体" w:eastAsia="宋体" w:hint="default"/>
        </w:rPr>
      </w:pPr>
      <w:r>
        <w:rPr>
          <w:spacing w:val="-2"/>
        </w:rPr>
        <w:t>财政部于</w:t>
      </w:r>
      <w:r>
        <w:rPr>
          <w:rFonts w:ascii="Times New Roman" w:hAnsi="Times New Roman" w:cs="Times New Roman" w:eastAsia="Times New Roman" w:hint="default"/>
          <w:spacing w:val="-2"/>
        </w:rPr>
        <w:t>2017</w:t>
      </w:r>
      <w:r>
        <w:rPr>
          <w:spacing w:val="-2"/>
        </w:rPr>
        <w:t>年颁布了《企业会计准则第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持有待售的非流动资产、处置组和终止经营》、修订后的《企业会计准则</w:t>
      </w:r>
      <w:r>
        <w:rPr>
          <w:spacing w:val="-62"/>
        </w:rPr>
        <w:t> </w:t>
      </w:r>
      <w:r>
        <w:rPr>
          <w:spacing w:val="-62"/>
        </w:rPr>
      </w:r>
      <w:r>
        <w:rPr>
          <w:spacing w:val="-1"/>
        </w:rPr>
        <w:t>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政府补助》和《关于修订印发一般企业财务报表格式的通知》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，本集团已采用上述准则和通</w:t>
      </w:r>
      <w:r>
        <w:rPr>
          <w:spacing w:val="-57"/>
        </w:rPr>
        <w:t> </w:t>
      </w:r>
      <w:r>
        <w:rPr>
          <w:spacing w:val="-57"/>
        </w:rPr>
      </w:r>
      <w:r>
        <w:rPr/>
        <w:t>知编制</w:t>
      </w:r>
      <w:r>
        <w:rPr>
          <w:rFonts w:ascii="Times New Roman" w:hAnsi="Times New Roman" w:cs="Times New Roman" w:eastAsia="Times New Roman" w:hint="default"/>
        </w:rPr>
        <w:t>2017</w:t>
      </w:r>
      <w:r>
        <w:rPr/>
        <w:t>年度财务报表，对本集团财务报表的影响列示如下：</w:t>
      </w:r>
      <w:r>
        <w:rPr>
          <w:rFonts w:ascii="宋体" w:hAnsi="宋体" w:cs="宋体" w:eastAsia="宋体" w:hint="default"/>
        </w:rPr>
        <w:t> </w:t>
      </w:r>
    </w:p>
    <w:p>
      <w:pPr>
        <w:spacing w:line="240" w:lineRule="auto" w:before="3"/>
        <w:rPr>
          <w:rFonts w:ascii="宋体" w:hAnsi="宋体" w:cs="宋体" w:eastAsia="宋体" w:hint="default"/>
          <w:sz w:val="24"/>
          <w:szCs w:val="24"/>
        </w:rPr>
      </w:pPr>
    </w:p>
    <w:tbl>
      <w:tblPr>
        <w:tblW w:w="0" w:type="auto"/>
        <w:jc w:val="left"/>
        <w:tblInd w:w="150" w:type="dxa"/>
        <w:tblLayout w:type="fixed"/>
        <w:tblCellMar>
          <w:top w:w="0" w:type="dxa"/>
          <w:left w:w="0" w:type="dxa"/>
          <w:bottom w:w="0" w:type="dxa"/>
          <w:right w:w="0" w:type="dxa"/>
        </w:tblCellMar>
        <w:tblLook w:val="01E0"/>
      </w:tblPr>
      <w:tblGrid>
        <w:gridCol w:w="3349"/>
        <w:gridCol w:w="2688"/>
        <w:gridCol w:w="3598"/>
      </w:tblGrid>
      <w:tr>
        <w:trPr>
          <w:trHeight w:val="346"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借</w:t>
            </w:r>
            <w:r>
              <w:rPr>
                <w:rFonts w:ascii="Times New Roman" w:hAnsi="Times New Roman" w:cs="Times New Roman" w:eastAsia="Times New Roman" w:hint="default"/>
                <w:sz w:val="18"/>
                <w:szCs w:val="18"/>
              </w:rPr>
              <w:t>/(</w:t>
            </w:r>
            <w:r>
              <w:rPr>
                <w:rFonts w:ascii="宋体" w:hAnsi="宋体" w:cs="宋体" w:eastAsia="宋体" w:hint="default"/>
                <w:sz w:val="18"/>
                <w:szCs w:val="18"/>
              </w:rPr>
              <w:t>贷</w:t>
            </w:r>
            <w:r>
              <w:rPr>
                <w:rFonts w:ascii="Times New Roman" w:hAnsi="Times New Roman" w:cs="Times New Roman" w:eastAsia="Times New Roman" w:hint="default"/>
                <w:sz w:val="18"/>
                <w:szCs w:val="18"/>
              </w:rPr>
              <w:t>)</w:t>
            </w:r>
          </w:p>
        </w:tc>
      </w:tr>
      <w:tr>
        <w:trPr>
          <w:trHeight w:val="348" w:hRule="exact"/>
        </w:trPr>
        <w:tc>
          <w:tcPr>
            <w:tcW w:w="3349" w:type="dxa"/>
            <w:vMerge w:val="restart"/>
            <w:tcBorders>
              <w:top w:val="single" w:sz="6" w:space="0" w:color="000000"/>
              <w:left w:val="single" w:sz="6" w:space="0" w:color="000000"/>
              <w:right w:val="single" w:sz="6" w:space="0" w:color="000000"/>
            </w:tcBorders>
          </w:tcPr>
          <w:p>
            <w:pPr>
              <w:pStyle w:val="TableParagraph"/>
              <w:spacing w:line="300" w:lineRule="auto" w:before="17"/>
              <w:ind w:left="48" w:right="41" w:hanging="3"/>
              <w:jc w:val="center"/>
              <w:rPr>
                <w:rFonts w:ascii="宋体" w:hAnsi="宋体" w:cs="宋体" w:eastAsia="宋体" w:hint="default"/>
                <w:sz w:val="18"/>
                <w:szCs w:val="18"/>
              </w:rPr>
            </w:pPr>
            <w:r>
              <w:rPr>
                <w:rFonts w:ascii="宋体" w:hAnsi="宋体" w:cs="宋体" w:eastAsia="宋体" w:hint="default"/>
                <w:sz w:val="18"/>
                <w:szCs w:val="18"/>
              </w:rPr>
              <w:t>本集团将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年度处置固定资产产生的利 得和损失计入资产处置收益项目。</w:t>
            </w:r>
            <w:r>
              <w:rPr>
                <w:rFonts w:ascii="Times New Roman" w:hAnsi="Times New Roman" w:cs="Times New Roman" w:eastAsia="Times New Roman" w:hint="default"/>
                <w:sz w:val="18"/>
                <w:szCs w:val="18"/>
              </w:rPr>
              <w:t>2016</w:t>
            </w:r>
            <w:r>
              <w:rPr>
                <w:rFonts w:ascii="宋体" w:hAnsi="宋体" w:cs="宋体" w:eastAsia="宋体" w:hint="default"/>
                <w:sz w:val="18"/>
                <w:szCs w:val="18"/>
              </w:rPr>
              <w:t>年 度的比较财务报表已相应调整。</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资产处置损失</w:t>
            </w:r>
          </w:p>
        </w:tc>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7"/>
              <w:jc w:val="center"/>
              <w:rPr>
                <w:rFonts w:ascii="Times New Roman" w:hAnsi="Times New Roman" w:cs="Times New Roman" w:eastAsia="Times New Roman" w:hint="default"/>
                <w:sz w:val="18"/>
                <w:szCs w:val="18"/>
              </w:rPr>
            </w:pPr>
            <w:r>
              <w:rPr>
                <w:rFonts w:ascii="Times New Roman"/>
                <w:sz w:val="18"/>
              </w:rPr>
              <w:t>156,706.93</w:t>
            </w:r>
          </w:p>
        </w:tc>
      </w:tr>
      <w:tr>
        <w:trPr>
          <w:trHeight w:val="346" w:hRule="exact"/>
        </w:trPr>
        <w:tc>
          <w:tcPr>
            <w:tcW w:w="3349" w:type="dxa"/>
            <w:vMerge/>
            <w:tcBorders>
              <w:left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7"/>
              <w:jc w:val="center"/>
              <w:rPr>
                <w:rFonts w:ascii="Times New Roman" w:hAnsi="Times New Roman" w:cs="Times New Roman" w:eastAsia="Times New Roman" w:hint="default"/>
                <w:sz w:val="18"/>
                <w:szCs w:val="18"/>
              </w:rPr>
            </w:pPr>
            <w:r>
              <w:rPr>
                <w:rFonts w:ascii="Times New Roman"/>
                <w:sz w:val="18"/>
              </w:rPr>
              <w:t>95,007.04</w:t>
            </w:r>
          </w:p>
        </w:tc>
      </w:tr>
      <w:tr>
        <w:trPr>
          <w:trHeight w:val="348" w:hRule="exact"/>
        </w:trPr>
        <w:tc>
          <w:tcPr>
            <w:tcW w:w="3349" w:type="dxa"/>
            <w:vMerge/>
            <w:tcBorders>
              <w:left w:val="single" w:sz="6"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(251,713.97)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661"/>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52"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661"/>
        <w:jc w:val="left"/>
        <w:rPr>
          <w:b w:val="0"/>
          <w:bCs w:val="0"/>
        </w:rPr>
      </w:pPr>
      <w:r>
        <w:rPr>
          <w:rFonts w:ascii="Times New Roman" w:hAnsi="Times New Roman" w:cs="Times New Roman" w:eastAsia="Times New Roman" w:hint="default"/>
        </w:rPr>
        <w:t>27</w:t>
      </w:r>
      <w:r>
        <w:rPr/>
        <w:t>、其他</w:t>
      </w:r>
      <w:r>
        <w:rPr>
          <w:b w:val="0"/>
          <w:bCs w:val="0"/>
        </w:rPr>
      </w:r>
    </w:p>
    <w:p>
      <w:pPr>
        <w:spacing w:line="240" w:lineRule="auto" w:before="1"/>
        <w:rPr>
          <w:rFonts w:ascii="Microsoft JhengHei" w:hAnsi="Microsoft JhengHei" w:cs="Microsoft JhengHei" w:eastAsia="Microsoft JhengHei" w:hint="default"/>
          <w:b/>
          <w:bCs/>
          <w:sz w:val="16"/>
          <w:szCs w:val="16"/>
        </w:rPr>
      </w:pPr>
    </w:p>
    <w:p>
      <w:pPr>
        <w:spacing w:line="283" w:lineRule="auto" w:before="0"/>
        <w:ind w:left="152" w:right="5494"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其他非流动资产</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宋体" w:hAnsi="宋体" w:cs="宋体" w:eastAsia="宋体" w:hint="default"/>
          <w:sz w:val="18"/>
          <w:szCs w:val="18"/>
        </w:rPr>
        <w:t>其他非流动资产为预付软件采购款等长期资产预付款。</w:t>
      </w:r>
    </w:p>
    <w:p>
      <w:pPr>
        <w:spacing w:line="240" w:lineRule="auto" w:before="11"/>
        <w:rPr>
          <w:rFonts w:ascii="宋体" w:hAnsi="宋体" w:cs="宋体" w:eastAsia="宋体" w:hint="default"/>
          <w:sz w:val="22"/>
          <w:szCs w:val="22"/>
        </w:rPr>
      </w:pPr>
    </w:p>
    <w:p>
      <w:pPr>
        <w:pStyle w:val="BodyText"/>
        <w:spacing w:line="300" w:lineRule="auto"/>
        <w:ind w:left="152" w:right="94"/>
        <w:jc w:val="left"/>
      </w:pPr>
      <w:r>
        <w:rPr>
          <w:rFonts w:ascii="Microsoft JhengHei" w:hAnsi="Microsoft JhengHei" w:cs="Microsoft JhengHei" w:eastAsia="Microsoft JhengHei" w:hint="default"/>
          <w:b/>
          <w:bCs/>
        </w:rPr>
        <w:t>商誉</w:t>
      </w:r>
      <w:r>
        <w:rPr>
          <w:rFonts w:ascii="Microsoft JhengHei" w:hAnsi="Microsoft JhengHei" w:cs="Microsoft JhengHei" w:eastAsia="Microsoft JhengHei" w:hint="default"/>
          <w:b/>
          <w:bCs/>
          <w:spacing w:val="-41"/>
        </w:rPr>
        <w:t> </w:t>
      </w:r>
      <w:r>
        <w:rPr/>
        <w:t>因非同一控制下企业合并形成的商誉，其初始成本是合并成本大于合并中取得的被购买方可辨认净资产公允价值份额的差</w:t>
      </w:r>
      <w:r>
        <w:rPr>
          <w:spacing w:val="-11"/>
        </w:rPr>
        <w:t> </w:t>
      </w:r>
      <w:r>
        <w:rPr>
          <w:spacing w:val="-11"/>
        </w:rPr>
      </w:r>
      <w:r>
        <w:rPr/>
        <w:t>额。</w:t>
      </w:r>
    </w:p>
    <w:p>
      <w:pPr>
        <w:pStyle w:val="BodyText"/>
        <w:spacing w:line="316" w:lineRule="auto" w:before="31"/>
        <w:ind w:left="152" w:right="94"/>
        <w:jc w:val="left"/>
      </w:pPr>
      <w:r>
        <w:rPr/>
        <w:t>本集团对商誉不摊销，以成本减累计减值准备后在资产负债表内列示。商誉在其相关资产组或资产组组合处置时予以转出， 计入当期损益。</w:t>
      </w:r>
    </w:p>
    <w:p>
      <w:pPr>
        <w:spacing w:line="240" w:lineRule="auto" w:before="12"/>
        <w:rPr>
          <w:rFonts w:ascii="宋体" w:hAnsi="宋体" w:cs="宋体" w:eastAsia="宋体" w:hint="default"/>
          <w:sz w:val="20"/>
          <w:szCs w:val="20"/>
        </w:rPr>
      </w:pPr>
    </w:p>
    <w:p>
      <w:pPr>
        <w:pStyle w:val="BodyText"/>
        <w:spacing w:line="283" w:lineRule="auto"/>
        <w:ind w:left="152" w:right="6034"/>
        <w:jc w:val="left"/>
      </w:pPr>
      <w:r>
        <w:rPr>
          <w:rFonts w:ascii="Microsoft JhengHei" w:hAnsi="Microsoft JhengHei" w:cs="Microsoft JhengHei" w:eastAsia="Microsoft JhengHei" w:hint="default"/>
          <w:b/>
          <w:bCs/>
        </w:rPr>
        <w:t>股利分配 </w:t>
      </w:r>
      <w:r>
        <w:rPr/>
        <w:t>现金股利于股东大会批准的当期，确认为负债。</w:t>
      </w:r>
    </w:p>
    <w:p>
      <w:pPr>
        <w:spacing w:after="0" w:line="283" w:lineRule="auto"/>
        <w:jc w:val="left"/>
        <w:sectPr>
          <w:pgSz w:w="11910" w:h="16840"/>
          <w:pgMar w:header="1078" w:footer="956" w:top="1960" w:bottom="1160" w:left="980" w:right="940"/>
        </w:sectPr>
      </w:pPr>
    </w:p>
    <w:p>
      <w:pPr>
        <w:spacing w:line="240" w:lineRule="auto" w:before="1"/>
        <w:rPr>
          <w:rFonts w:ascii="宋体" w:hAnsi="宋体" w:cs="宋体" w:eastAsia="宋体" w:hint="default"/>
          <w:sz w:val="21"/>
          <w:szCs w:val="21"/>
        </w:rPr>
      </w:pPr>
    </w:p>
    <w:p>
      <w:pPr>
        <w:pStyle w:val="BodyText"/>
        <w:spacing w:line="312" w:lineRule="exact" w:before="5"/>
        <w:ind w:left="152" w:right="94"/>
        <w:jc w:val="left"/>
      </w:pPr>
      <w:r>
        <w:rPr>
          <w:rFonts w:ascii="Microsoft JhengHei" w:hAnsi="Microsoft JhengHei" w:cs="Microsoft JhengHei" w:eastAsia="Microsoft JhengHei" w:hint="default"/>
          <w:b/>
          <w:bCs/>
        </w:rPr>
        <w:t>分部信息 </w:t>
      </w:r>
      <w:r>
        <w:rPr/>
        <w:t>本集团以内部组织结构、管理要求、内部报告制度为依据确定经营分部，以经营分部为基础确定报告分部并披露分部信息。 经营分部是指本集团内同时满足下列条件的组成部分：</w:t>
      </w:r>
      <w:r>
        <w:rPr>
          <w:rFonts w:ascii="Times New Roman" w:hAnsi="Times New Roman" w:cs="Times New Roman" w:eastAsia="Times New Roman" w:hint="default"/>
        </w:rPr>
        <w:t>(1)</w:t>
      </w:r>
      <w:r>
        <w:rPr/>
        <w:t>该组成部分能够在日常活动中产生收入、发生费用；</w:t>
      </w:r>
      <w:r>
        <w:rPr>
          <w:rFonts w:ascii="Times New Roman" w:hAnsi="Times New Roman" w:cs="Times New Roman" w:eastAsia="Times New Roman" w:hint="default"/>
        </w:rPr>
        <w:t>(2)</w:t>
      </w:r>
      <w:r>
        <w:rPr/>
        <w:t>本集团管</w:t>
      </w:r>
      <w:r>
        <w:rPr>
          <w:spacing w:val="-55"/>
        </w:rPr>
        <w:t> </w:t>
      </w:r>
      <w:r>
        <w:rPr>
          <w:spacing w:val="-55"/>
        </w:rPr>
      </w:r>
      <w:r>
        <w:rPr>
          <w:spacing w:val="-1"/>
        </w:rPr>
        <w:t>理层能够定期评价该组成部分的经营成果，以决定向其配置资源、评价其业绩；</w:t>
      </w:r>
      <w:r>
        <w:rPr>
          <w:rFonts w:ascii="Times New Roman" w:hAnsi="Times New Roman" w:cs="Times New Roman" w:eastAsia="Times New Roman" w:hint="default"/>
          <w:spacing w:val="-1"/>
        </w:rPr>
        <w:t>(3)</w:t>
      </w:r>
      <w:r>
        <w:rPr>
          <w:spacing w:val="-1"/>
        </w:rPr>
        <w:t>本集团能够取得该组成部分的财务状况、</w:t>
      </w:r>
      <w:r>
        <w:rPr>
          <w:spacing w:val="-58"/>
        </w:rPr>
        <w:t> </w:t>
      </w:r>
      <w:r>
        <w:rPr>
          <w:spacing w:val="-58"/>
        </w:rPr>
      </w:r>
      <w:r>
        <w:rPr>
          <w:spacing w:val="-2"/>
        </w:rPr>
        <w:t>经营成果和现金流量等有关会计信息。两个或多个经营分部具有相似的经济特征，并且满足一定条件的，则可合并为一个经</w:t>
      </w:r>
      <w:r>
        <w:rPr>
          <w:spacing w:val="-63"/>
        </w:rPr>
        <w:t> </w:t>
      </w:r>
      <w:r>
        <w:rPr>
          <w:spacing w:val="-63"/>
        </w:rPr>
      </w:r>
      <w:r>
        <w:rPr/>
        <w:t>营分部。</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Heading2"/>
        <w:spacing w:line="240" w:lineRule="auto"/>
        <w:ind w:left="152" w:right="661"/>
        <w:jc w:val="left"/>
        <w:rPr>
          <w:b w:val="0"/>
          <w:bCs w:val="0"/>
        </w:rPr>
      </w:pPr>
      <w:r>
        <w:rPr/>
        <w:t>六、税项</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49"/>
              <w:ind w:left="17"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缴纳的增值税、营业税及消费税税额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left="152" w:right="661"/>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北京百邦优保电子科技有限责任公司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北京华延睿信技术服务有限公司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石家庄市百华悦邦电子科技有限公司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保定市百邦电子科技有限公司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山东百邦电子科技有限公司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青岛百邦电子科技有限公司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临沂百联商贸有限公司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上海百华悦邦电子科技有限公司榆林分公司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福州百邦电子科技有限公司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上海百华悦邦电子科技有限公司深圳分公司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上海百华悦邦电子科技有限公司陕西分公司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1078" w:footer="956" w:top="19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15" w:hRule="exact"/>
        </w:trPr>
        <w:tc>
          <w:tcPr>
            <w:tcW w:w="47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上海百华悦邦电子科技有限公司成都分公司</w:t>
            </w:r>
          </w:p>
        </w:tc>
        <w:tc>
          <w:tcPr>
            <w:tcW w:w="47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长春市百华悦邦电子科技有限公司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南京百嘉翰邦电子科技有限公司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扬州百邦电子科技有限公司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扬州百邦电子科技有限公司徐州分公司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镇江百邦电子科技有限公司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南通百华悦邦电子科技有限公司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上海百华悦邦电子科技有限公司芜湖分公司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上海百华悦邦电子科技有限公司蚌埠分公司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上海百华悦邦电子科技有限公司马鞍山分公司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上海百华悦邦电子科技有限公司重庆分公司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上海闪电蜂电子商务有限公司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上海百华悦邦电子科技有限公司淄博分公司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上海百华悦邦电子科技有限公司宁波第二分公司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上海百华悦邦电子科技有限公司衢州分公司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上海百华悦邦电子科技有限公司枣庄分公司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上海百华悦邦电子科技有限公司乐清分公司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上海百华悦邦电子科技有限公司西宁分公司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上海百华悦邦电子科技有限公司嘉兴分公司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上海百华悦邦电子科技有限公司泰安分公司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上海百华悦邦电子科技有限公司余姚分公司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上海百华悦邦电子科技有限公司金华分公司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上海百华悦邦电子科技有限公司温岭分公司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上海百华悦邦电子科技有限公司台州路桥分公司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上海百华悦邦电子科技有限公司滨海新区分公司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上海百华悦邦电子科技有限公司聊城分公司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上海百华悦邦电子科技有限公司莱芜分公司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上海百华悦邦电子科技有限公司乌鲁木齐分公司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上海百华悦邦电子科技有限公司桐乡分公司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上海百华悦邦电子科技有限公司兰州分公司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上海百华悦邦电子科技有限公司天津分公司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上海百华悦邦电子科技有限公司武汉分公司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上海百华悦邦电子科技有限公司厦门分公司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headerReference w:type="default" r:id="rId44"/>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15" w:hRule="exact"/>
        </w:trPr>
        <w:tc>
          <w:tcPr>
            <w:tcW w:w="47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上海百华悦邦电子科技有限公司义乌分公司</w:t>
            </w:r>
          </w:p>
        </w:tc>
        <w:tc>
          <w:tcPr>
            <w:tcW w:w="47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上海百华悦邦电子科技有限公司丽水分公司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上海百华悦邦电子科技有限公司南通分公司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上海百华悦邦电子科技有限公司三明分公司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上海百华悦邦电子科技有限公司龙岩新罗分公司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上海百华悦邦电子科技有限公司莆田分公司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上海百华悦邦电子科技有限公司霸州分公司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上海百华悦邦电子科技有限公司慈溪分公司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上海百华悦邦电子科技有限公司海宁分公司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上海百华悦邦电子科技有限公司萧山分公司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上海百华悦邦电子科技有限公司湖州分公司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上海百华悦邦电子科技有限公司宁波分公司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上海百华悦邦电子科技有限公司东营分公司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上海百华悦邦电子科技有限公司绍兴分公司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上海百华悦邦电子科技有限公司晋江分公司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上海百华悦邦电子科技有限公司菏泽分公司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上海百华悦邦电子科技有限公司烟台分公司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上海百华悦邦电子科技有限公司温州鹿城分公司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上海百华悦邦电子科技有限公司深圳龙岗分公司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上海百华悦邦电子科技有限公司德州分公司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上海百华悦邦电子科技有限公司杭州江干分公司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上海百华悦邦电子科技有限公司顺德分公司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上海百华悦邦电子科技有限公司镇江分公司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上海百华悦邦电子科技有限公司威海分公司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北京百华悦邦信息服务有限公司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上海百华悦邦电子科技有限公司无锡分公司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上海百华悦邦电子科技有限公司秦皇岛分公司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上海百华悦邦电子科技有限公司唐山分公司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上海百华悦邦电子科技有限公司太仓分公司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上海百华悦邦电子科技有限公司瑞安分公司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上海百华悦邦电子科技有限公司绍兴柯桥分公司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上海百华悦邦电子科技有限公司徐州分公司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上海百华悦邦电子科技有限公司日照分公司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headerReference w:type="default" r:id="rId45"/>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15" w:hRule="exact"/>
        </w:trPr>
        <w:tc>
          <w:tcPr>
            <w:tcW w:w="47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上海百华悦邦电子科技有限公司曲阜分公司</w:t>
            </w:r>
          </w:p>
        </w:tc>
        <w:tc>
          <w:tcPr>
            <w:tcW w:w="47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上海百华悦邦电子科技有限公司淮安分公司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上海百华悦邦电子科技有限公司邢台分公司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上海百华悦邦电子科技有限公司潍坊分公司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上海百华悦邦电子科技有限公司吴江分公司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上海百华悦邦电子科技有限公司大连银座分公司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上海百华悦邦电子科技有限公司扬州分公司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上海百华悦邦电子科技有限公司滨州分公司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上海百华悦邦电子科技有限公司郑州分公司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上海百华悦邦电子科技有限公司承德分公司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上海百华悦邦电子科技有限公司沧州分公司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上海百华悦邦电子科技有限公司漳州分公司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上海百华悦邦电子科技有限公司长春分公司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上海百华悦邦电子科技有限公司临沂分公司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上海百华悦邦电子科技有限公司临沂沂蒙路分公司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上海百华悦邦电子科技有限公司福州分公司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上海百华悦邦电子科技有限公司杭州上城分公司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上海百华悦邦电子科技有限公司杭州下城分公司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上海百华悦邦电子科技有限公司杭州文晖分公司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上海百华悦邦电子科技有限公司常熟分公司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上海百华悦邦电子科技有限公司苏州分公司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上海百华悦邦电子科技有限公司廊坊分公司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上海百华悦邦电子科技有限公司常州莱蒙分公司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上海百华悦邦电子科技有限公司常州新惠分公司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上海百华悦邦电子科技有限公司银川分公司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上海百华悦邦电子科技有限公司张家口分公司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上海百华悦邦电子科技有限公司如皋分公司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上海百华悦邦电子科技有限公司丹阳分公司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上海百华悦邦电子科技有限公司宜兴万达分公司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上海百华悦邦电子科技有限公司江阴分公司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上海百华悦邦电子科技有限公司大连高新万达分公司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上海百华悦邦电子科技有限公司济南华强分公司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上海百华悦邦电子科技有限公司海门分公司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15" w:hRule="exact"/>
        </w:trPr>
        <w:tc>
          <w:tcPr>
            <w:tcW w:w="47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上海百华悦邦电子科技有限公司泉州分公司</w:t>
            </w:r>
          </w:p>
        </w:tc>
        <w:tc>
          <w:tcPr>
            <w:tcW w:w="47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上海百华悦邦电子科技有限公司广州第一分公司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上海百华悦邦电子科技有限公司青岛分公司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上海百华悦邦电子科技有限公司石家庄东方分公司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上海百华悦邦电子科技有限公司邯郸日月城分公司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上海百华悦邦电子科技有限公司邯郸千禧分公司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上海百华悦邦电子科技有限公司广州第二分公司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上海百华悦邦电子科技有限公司南京分公司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上海百华悦邦电子科技有限公司沈阳分公司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上海百华悦邦电子科技有限公司济宁分公司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上海百华悦邦电子科技有限公司保定分公司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上海百华悦邦电子科技有限公司石家庄分公司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上海百华悦邦电子科技有限公司广州第三分公司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上海百华悦邦电子科技有限公司济南五龙潭分公司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上海百华悦邦电子科技有限公司昆山分公司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上海百华悦邦电子科技有限公司张家港分公司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上海百华悦邦电子科技有限公司北京第二分公司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上海百华悦邦电子科技有限公司北京第四分公司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上海百华悦邦电子科技有限公司北京第五分公司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上海百华悦邦电子科技有限公司北京第六分公司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上海百华悦邦电子科技有限公司北京第一分公司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上海百华悦邦电子科技有限公司呼和浩特分公司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根据国家税务总局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日颁布的《关于贯彻落实进一步扩大小型微利企业减半征收企业所得税范围有关问题的公告</w:t>
      </w:r>
    </w:p>
    <w:p>
      <w:pPr>
        <w:pStyle w:val="BodyText"/>
        <w:spacing w:line="300" w:lineRule="auto" w:before="63"/>
        <w:ind w:left="152" w:right="146"/>
        <w:jc w:val="left"/>
      </w:pP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61</w:t>
      </w:r>
      <w:r>
        <w:rPr>
          <w:spacing w:val="-1"/>
        </w:rPr>
        <w:t>号》中的规定，自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w:t>
      </w:r>
      <w:r>
        <w:rPr>
          <w:spacing w:val="-1"/>
        </w:rPr>
        <w:t>日起，本集团若干下属分子公司年纳税所得额低于</w:t>
      </w:r>
      <w:r>
        <w:rPr>
          <w:rFonts w:ascii="Times New Roman" w:hAnsi="Times New Roman" w:cs="Times New Roman" w:eastAsia="Times New Roman" w:hint="default"/>
          <w:spacing w:val="-1"/>
        </w:rPr>
        <w:t>30</w:t>
      </w:r>
      <w:r>
        <w:rPr>
          <w:spacing w:val="-1"/>
        </w:rPr>
        <w:t>万元、且独立进行核算缴纳</w:t>
      </w:r>
      <w:r>
        <w:rPr>
          <w:w w:val="99"/>
        </w:rPr>
        <w:t> </w:t>
      </w:r>
      <w:r>
        <w:rPr/>
        <w:t>所得税，其所得额减按</w:t>
      </w:r>
      <w:r>
        <w:rPr>
          <w:rFonts w:ascii="Times New Roman" w:hAnsi="Times New Roman" w:cs="Times New Roman" w:eastAsia="Times New Roman" w:hint="default"/>
        </w:rPr>
        <w:t>50%</w:t>
      </w:r>
      <w:r>
        <w:rPr/>
        <w:t>计入应纳税所得额，并按</w:t>
      </w:r>
      <w:r>
        <w:rPr>
          <w:rFonts w:ascii="Times New Roman" w:hAnsi="Times New Roman" w:cs="Times New Roman" w:eastAsia="Times New Roman" w:hint="default"/>
        </w:rPr>
        <w:t>20%</w:t>
      </w:r>
      <w:r>
        <w:rPr/>
        <w:t>税率缴纳企业所得税。</w:t>
      </w:r>
      <w:r>
        <w:rPr>
          <w:w w:val="99"/>
        </w:rPr>
        <w:t> </w:t>
      </w:r>
      <w:r>
        <w:rPr/>
        <w:t>本集团及下属子公司的手机维修业务收入、商品销售业务收入适用</w:t>
      </w:r>
      <w:r>
        <w:rPr>
          <w:rFonts w:ascii="Times New Roman" w:hAnsi="Times New Roman" w:cs="Times New Roman" w:eastAsia="Times New Roman" w:hint="default"/>
        </w:rPr>
        <w:t>17%</w:t>
      </w:r>
      <w:r>
        <w:rPr/>
        <w:t>、</w:t>
      </w:r>
      <w:r>
        <w:rPr>
          <w:rFonts w:ascii="Times New Roman" w:hAnsi="Times New Roman" w:cs="Times New Roman" w:eastAsia="Times New Roman" w:hint="default"/>
        </w:rPr>
        <w:t>6%</w:t>
      </w:r>
      <w:r>
        <w:rPr/>
        <w:t>及</w:t>
      </w:r>
      <w:r>
        <w:rPr>
          <w:rFonts w:ascii="Times New Roman" w:hAnsi="Times New Roman" w:cs="Times New Roman" w:eastAsia="Times New Roman" w:hint="default"/>
        </w:rPr>
        <w:t>2%</w:t>
      </w:r>
      <w:r>
        <w:rPr/>
        <w:t>的增值税税率。</w:t>
      </w:r>
      <w:r>
        <w:rPr>
          <w:w w:val="99"/>
        </w:rPr>
        <w:t> </w:t>
      </w:r>
      <w:r>
        <w:rPr/>
        <w:t>根据财政部、国家税务总局颁布的《财政部、国家税务总局关于全面推开营业税改征增值税试点的通知》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[2016]36</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spacing w:val="-2"/>
        </w:rPr>
        <w:t>及相关规定，自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日起，本集团以下下属子公司的增值业务收入由以前适用营业税</w:t>
      </w:r>
      <w:r>
        <w:rPr>
          <w:rFonts w:ascii="Times New Roman" w:hAnsi="Times New Roman" w:cs="Times New Roman" w:eastAsia="Times New Roman" w:hint="default"/>
          <w:spacing w:val="-2"/>
        </w:rPr>
        <w:t>(</w:t>
      </w:r>
      <w:r>
        <w:rPr>
          <w:spacing w:val="-2"/>
        </w:rPr>
        <w:t>税率为</w:t>
      </w:r>
      <w:r>
        <w:rPr>
          <w:rFonts w:ascii="Times New Roman" w:hAnsi="Times New Roman" w:cs="Times New Roman" w:eastAsia="Times New Roman" w:hint="default"/>
          <w:spacing w:val="-2"/>
        </w:rPr>
        <w:t>5%)</w:t>
      </w:r>
      <w:r>
        <w:rPr>
          <w:spacing w:val="-2"/>
        </w:rPr>
        <w:t>改为适用增值税，税</w:t>
      </w:r>
      <w:r>
        <w:rPr>
          <w:spacing w:val="-57"/>
        </w:rPr>
        <w:t> </w:t>
      </w:r>
      <w:r>
        <w:rPr>
          <w:spacing w:val="-57"/>
        </w:rPr>
      </w:r>
      <w:r>
        <w:rPr/>
        <w:t>率为</w:t>
      </w:r>
      <w:r>
        <w:rPr>
          <w:rFonts w:ascii="Times New Roman" w:hAnsi="Times New Roman" w:cs="Times New Roman" w:eastAsia="Times New Roman" w:hint="default"/>
        </w:rPr>
        <w:t>6%</w:t>
      </w:r>
      <w:r>
        <w:rPr/>
        <w:t>：</w:t>
      </w:r>
    </w:p>
    <w:p>
      <w:pPr>
        <w:pStyle w:val="BodyText"/>
        <w:spacing w:line="316" w:lineRule="auto" w:before="13"/>
        <w:ind w:left="152" w:right="6894"/>
        <w:jc w:val="left"/>
      </w:pPr>
      <w:r>
        <w:rPr/>
        <w:t>石家庄市百华悦邦电子科技有限公司 临沂百联商贸有限公司</w:t>
      </w:r>
    </w:p>
    <w:p>
      <w:pPr>
        <w:spacing w:after="0" w:line="316" w:lineRule="auto"/>
        <w:jc w:val="left"/>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
        <w:ind w:left="152" w:right="7434"/>
        <w:jc w:val="left"/>
      </w:pPr>
      <w:r>
        <w:rPr/>
        <w:t>济宁百邦电子科技有限公司 福州百邦电子科技有限公司 邯郸市百邦电子科技有限公司 保定市百邦电子科技有限公司 廊坊市百邦电子有限公司 沧州市百邦电子科技有限公司 秦皇岛百邦电子科技有限公司</w:t>
      </w:r>
    </w:p>
    <w:p>
      <w:pPr>
        <w:spacing w:line="240" w:lineRule="auto" w:before="0"/>
        <w:rPr>
          <w:rFonts w:ascii="宋体" w:hAnsi="宋体" w:cs="宋体" w:eastAsia="宋体" w:hint="default"/>
          <w:sz w:val="15"/>
          <w:szCs w:val="15"/>
        </w:rPr>
      </w:pPr>
    </w:p>
    <w:p>
      <w:pPr>
        <w:pStyle w:val="Heading2"/>
        <w:spacing w:line="240" w:lineRule="auto"/>
        <w:ind w:left="152"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814,752.80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500,213.31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93,961,234.81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5,964,708.68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94,775,987.61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6,944,921.99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4,935.28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159,639.79</w:t>
            </w:r>
          </w:p>
        </w:tc>
      </w:tr>
    </w:tbl>
    <w:p>
      <w:pPr>
        <w:pStyle w:val="BodyText"/>
        <w:spacing w:line="240" w:lineRule="auto" w:before="49"/>
        <w:ind w:left="152" w:right="0"/>
        <w:jc w:val="left"/>
      </w:pPr>
      <w:r>
        <w:rPr/>
        <w:t>其他说明</w:t>
      </w:r>
    </w:p>
    <w:p>
      <w:pPr>
        <w:pStyle w:val="BodyText"/>
        <w:spacing w:line="300" w:lineRule="auto" w:before="117"/>
        <w:ind w:left="152" w:right="144"/>
        <w:jc w:val="left"/>
      </w:pP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w:t>
      </w:r>
      <w:r>
        <w:rPr>
          <w:rFonts w:ascii="Times New Roman" w:hAnsi="Times New Roman" w:cs="Times New Roman" w:eastAsia="Times New Roman" w:hint="default"/>
        </w:rPr>
        <w:t>480,000.00</w:t>
      </w:r>
      <w:r>
        <w:rPr/>
        <w:t>元为本集团下属子公司由于未决法律诉讼而冻结的银行账户资金。上述法律诉 讼已于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月经审判决完毕，因此该冻结银行账户资金已解除冻结。</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其中：债务工具投资</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其中：债务工具投资</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15" w:hRule="exact"/>
        </w:trPr>
        <w:tc>
          <w:tcPr>
            <w:tcW w:w="31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10" w:space="0" w:color="000000"/>
              <w:left w:val="single" w:sz="4" w:space="0" w:color="000000"/>
              <w:bottom w:val="single" w:sz="4" w:space="0" w:color="000000"/>
              <w:right w:val="single" w:sz="4" w:space="0" w:color="000000"/>
            </w:tcBorders>
          </w:tcPr>
          <w:p>
            <w:pP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10,584,9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95.62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10,584,9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10,584,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995.62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10,584,99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42,975,6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56.89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9,255.65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42,966,40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64,065,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174.30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85.82%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5,278.68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64,059,895.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53,560,6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52.51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10,594,2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51.27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19.78%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42,966,40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74,650,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169.92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10,590,27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4.30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64,059,895.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pStyle w:val="BodyText"/>
        <w:spacing w:line="240" w:lineRule="auto" w:before="49"/>
        <w:ind w:left="152" w:right="-20"/>
        <w:jc w:val="left"/>
      </w:pPr>
      <w:r>
        <w:rPr/>
        <w:t>期末单项金额重大并单项计提坏账准备的应收账款：</w:t>
      </w:r>
    </w:p>
    <w:p>
      <w:pPr>
        <w:pStyle w:val="BodyText"/>
        <w:spacing w:line="240" w:lineRule="auto" w:before="117"/>
        <w:ind w:left="1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2"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10,584,995.62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10,584,995.62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 </w:t>
            </w:r>
            <w:r>
              <w:rPr>
                <w:rFonts w:ascii="宋体" w:hAnsi="宋体" w:cs="宋体" w:eastAsia="宋体" w:hint="default"/>
                <w:sz w:val="18"/>
                <w:szCs w:val="18"/>
              </w:rPr>
              <w:t>应收客户一之款项为</w:t>
            </w:r>
            <w:r>
              <w:rPr>
                <w:rFonts w:ascii="宋体" w:hAnsi="宋体" w:cs="宋体" w:eastAsia="宋体" w:hint="default"/>
                <w:sz w:val="18"/>
                <w:szCs w:val="18"/>
              </w:rPr>
              <w:t> </w:t>
            </w:r>
            <w:r>
              <w:rPr>
                <w:rFonts w:ascii="Times New Roman" w:hAnsi="Times New Roman" w:cs="Times New Roman" w:eastAsia="Times New Roman" w:hint="default"/>
                <w:sz w:val="18"/>
                <w:szCs w:val="18"/>
              </w:rPr>
              <w:t>10,584,995.62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元，客户</w:t>
            </w:r>
          </w:p>
          <w:p>
            <w:pPr>
              <w:pStyle w:val="TableParagraph"/>
              <w:spacing w:line="314" w:lineRule="auto" w:before="5"/>
              <w:ind w:left="24" w:right="19"/>
              <w:jc w:val="left"/>
              <w:rPr>
                <w:rFonts w:ascii="宋体" w:hAnsi="宋体" w:cs="宋体" w:eastAsia="宋体" w:hint="default"/>
                <w:sz w:val="18"/>
                <w:szCs w:val="18"/>
              </w:rPr>
            </w:pPr>
            <w:r>
              <w:rPr>
                <w:rFonts w:ascii="宋体" w:hAnsi="宋体" w:cs="宋体" w:eastAsia="宋体" w:hint="default"/>
                <w:sz w:val="18"/>
                <w:szCs w:val="18"/>
              </w:rPr>
              <w:t>一自</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年下半年起未 履行上述应收款项的支 付义务，其款项拖欠一 年以上，本集团与其已 无业务往来，本集团认 为该应收款项难以收 回，因此全额计提坏账 准备。</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4"/>
        <w:gridCol w:w="1914"/>
      </w:tblGrid>
      <w:tr>
        <w:trPr>
          <w:trHeight w:val="415" w:hRule="exact"/>
        </w:trPr>
        <w:tc>
          <w:tcPr>
            <w:tcW w:w="191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850" w:right="0"/>
              <w:jc w:val="left"/>
              <w:rPr>
                <w:rFonts w:ascii="Times New Roman" w:hAnsi="Times New Roman" w:cs="Times New Roman" w:eastAsia="Times New Roman" w:hint="default"/>
                <w:sz w:val="18"/>
                <w:szCs w:val="18"/>
              </w:rPr>
            </w:pPr>
            <w:r>
              <w:rPr>
                <w:rFonts w:ascii="Times New Roman"/>
                <w:sz w:val="18"/>
              </w:rPr>
              <w:t>10,584,995.62</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847" w:right="0"/>
              <w:jc w:val="left"/>
              <w:rPr>
                <w:rFonts w:ascii="Times New Roman" w:hAnsi="Times New Roman" w:cs="Times New Roman" w:eastAsia="Times New Roman" w:hint="default"/>
                <w:sz w:val="18"/>
                <w:szCs w:val="18"/>
              </w:rPr>
            </w:pPr>
            <w:r>
              <w:rPr>
                <w:rFonts w:ascii="Times New Roman"/>
                <w:sz w:val="18"/>
              </w:rPr>
              <w:t>10,584,995.62</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92" w:footer="956" w:top="1080" w:bottom="1140" w:left="980" w:right="980"/>
        </w:sectPr>
      </w:pPr>
    </w:p>
    <w:p>
      <w:pPr>
        <w:pStyle w:val="BodyText"/>
        <w:spacing w:line="240" w:lineRule="auto" w:before="49"/>
        <w:ind w:left="152" w:right="-20"/>
        <w:jc w:val="left"/>
      </w:pPr>
      <w:r>
        <w:rPr/>
        <w:t>组合中，按账龄分析法计提坏账准备的应收账款：</w:t>
      </w:r>
    </w:p>
    <w:p>
      <w:pPr>
        <w:pStyle w:val="BodyText"/>
        <w:spacing w:line="240" w:lineRule="auto" w:before="115"/>
        <w:ind w:left="1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2"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22,969,222.04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三个月到一年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3,470.07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23,038,623.40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3,470.07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2,685.58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23,058,251.34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9,255.65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bl>
    <w:p>
      <w:pPr>
        <w:pStyle w:val="BodyText"/>
        <w:spacing w:line="240" w:lineRule="auto" w:before="49"/>
        <w:ind w:left="152" w:right="0"/>
        <w:jc w:val="left"/>
      </w:pPr>
      <w:r>
        <w:rPr/>
        <w:t>组合中，采用余额百分比法计提坏账准备的应收账款：</w:t>
      </w:r>
    </w:p>
    <w:p>
      <w:pPr>
        <w:pStyle w:val="BodyText"/>
        <w:spacing w:line="240" w:lineRule="auto" w:before="117"/>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本期计提坏账准备金额</w:t>
      </w:r>
      <w:r>
        <w:rPr>
          <w:spacing w:val="-47"/>
        </w:rPr>
        <w:t> </w:t>
      </w:r>
      <w:r>
        <w:rPr>
          <w:rFonts w:ascii="Times New Roman" w:hAnsi="Times New Roman" w:cs="Times New Roman" w:eastAsia="Times New Roman" w:hint="default"/>
        </w:rPr>
        <w:t>7,514.29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3,537.32</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57" w:lineRule="auto" w:before="44"/>
        <w:ind w:left="152" w:right="-20"/>
        <w:jc w:val="left"/>
      </w:pPr>
      <w:r>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2"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845"/>
        <w:gridCol w:w="1752"/>
        <w:gridCol w:w="1702"/>
        <w:gridCol w:w="1193"/>
        <w:gridCol w:w="1752"/>
        <w:gridCol w:w="2415"/>
      </w:tblGrid>
      <w:tr>
        <w:trPr>
          <w:trHeight w:val="661" w:hRule="exact"/>
        </w:trPr>
        <w:tc>
          <w:tcPr>
            <w:tcW w:w="845"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与本集团关系</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17" w:right="326" w:hanging="89"/>
              <w:jc w:val="left"/>
              <w:rPr>
                <w:rFonts w:ascii="宋体" w:hAnsi="宋体" w:cs="宋体" w:eastAsia="宋体" w:hint="default"/>
                <w:sz w:val="18"/>
                <w:szCs w:val="18"/>
              </w:rPr>
            </w:pPr>
            <w:r>
              <w:rPr>
                <w:rFonts w:ascii="宋体" w:hAnsi="宋体" w:cs="宋体" w:eastAsia="宋体" w:hint="default"/>
                <w:sz w:val="18"/>
                <w:szCs w:val="18"/>
              </w:rPr>
              <w:t>占应收账款余 额总额比例</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18,570,830.55</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90" w:right="0"/>
              <w:jc w:val="left"/>
              <w:rPr>
                <w:rFonts w:ascii="Times New Roman" w:hAnsi="Times New Roman" w:cs="Times New Roman" w:eastAsia="Times New Roman" w:hint="default"/>
                <w:sz w:val="18"/>
                <w:szCs w:val="18"/>
              </w:rPr>
            </w:pPr>
            <w:r>
              <w:rPr>
                <w:rFonts w:ascii="Times New Roman"/>
                <w:sz w:val="18"/>
              </w:rPr>
              <w:t>34.67%</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10,584,995.62</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二年以内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90" w:right="0"/>
              <w:jc w:val="left"/>
              <w:rPr>
                <w:rFonts w:ascii="Times New Roman" w:hAnsi="Times New Roman" w:cs="Times New Roman" w:eastAsia="Times New Roman" w:hint="default"/>
                <w:sz w:val="18"/>
                <w:szCs w:val="18"/>
              </w:rPr>
            </w:pPr>
            <w:r>
              <w:rPr>
                <w:rFonts w:ascii="Times New Roman"/>
                <w:sz w:val="18"/>
              </w:rPr>
              <w:t>19.76%</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10,584,995.62</w:t>
            </w:r>
          </w:p>
        </w:tc>
      </w:tr>
      <w:tr>
        <w:trPr>
          <w:trHeight w:val="346"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6,057,250.00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95" w:right="0"/>
              <w:jc w:val="left"/>
              <w:rPr>
                <w:rFonts w:ascii="Times New Roman" w:hAnsi="Times New Roman" w:cs="Times New Roman" w:eastAsia="Times New Roman" w:hint="default"/>
                <w:sz w:val="18"/>
                <w:szCs w:val="18"/>
              </w:rPr>
            </w:pPr>
            <w:r>
              <w:rPr>
                <w:rFonts w:ascii="Times New Roman"/>
                <w:sz w:val="18"/>
              </w:rPr>
              <w:t>11.31%</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3,278,225.00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35" w:right="0"/>
              <w:jc w:val="left"/>
              <w:rPr>
                <w:rFonts w:ascii="Times New Roman" w:hAnsi="Times New Roman" w:cs="Times New Roman" w:eastAsia="Times New Roman" w:hint="default"/>
                <w:sz w:val="18"/>
                <w:szCs w:val="18"/>
              </w:rPr>
            </w:pPr>
            <w:r>
              <w:rPr>
                <w:rFonts w:ascii="Times New Roman"/>
                <w:sz w:val="18"/>
              </w:rPr>
              <w:t>6.12%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2,844,840.00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5" w:right="0"/>
              <w:jc w:val="left"/>
              <w:rPr>
                <w:rFonts w:ascii="Times New Roman" w:hAnsi="Times New Roman" w:cs="Times New Roman" w:eastAsia="Times New Roman" w:hint="default"/>
                <w:sz w:val="18"/>
                <w:szCs w:val="18"/>
              </w:rPr>
            </w:pPr>
            <w:r>
              <w:rPr>
                <w:rFonts w:ascii="Times New Roman"/>
                <w:sz w:val="18"/>
              </w:rPr>
              <w:t>5.31%</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41,336,141.17</w:t>
            </w:r>
          </w:p>
        </w:tc>
        <w:tc>
          <w:tcPr>
            <w:tcW w:w="1193"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90" w:right="0"/>
              <w:jc w:val="left"/>
              <w:rPr>
                <w:rFonts w:ascii="Times New Roman" w:hAnsi="Times New Roman" w:cs="Times New Roman" w:eastAsia="Times New Roman" w:hint="default"/>
                <w:sz w:val="18"/>
                <w:szCs w:val="18"/>
              </w:rPr>
            </w:pPr>
            <w:r>
              <w:rPr>
                <w:rFonts w:ascii="Times New Roman"/>
                <w:sz w:val="18"/>
              </w:rPr>
              <w:t>77.17%</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10,584,995.62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845"/>
        <w:gridCol w:w="1752"/>
        <w:gridCol w:w="1702"/>
        <w:gridCol w:w="1193"/>
        <w:gridCol w:w="1752"/>
        <w:gridCol w:w="2415"/>
      </w:tblGrid>
      <w:tr>
        <w:trPr>
          <w:trHeight w:val="660" w:hRule="exact"/>
        </w:trPr>
        <w:tc>
          <w:tcPr>
            <w:tcW w:w="845"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与本集团关系</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17" w:right="326" w:hanging="89"/>
              <w:jc w:val="left"/>
              <w:rPr>
                <w:rFonts w:ascii="宋体" w:hAnsi="宋体" w:cs="宋体" w:eastAsia="宋体" w:hint="default"/>
                <w:sz w:val="18"/>
                <w:szCs w:val="18"/>
              </w:rPr>
            </w:pPr>
            <w:r>
              <w:rPr>
                <w:rFonts w:ascii="宋体" w:hAnsi="宋体" w:cs="宋体" w:eastAsia="宋体" w:hint="default"/>
                <w:sz w:val="18"/>
                <w:szCs w:val="18"/>
              </w:rPr>
              <w:t>占应收账款余 额总额比例</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18,570,830.55</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90" w:right="0"/>
              <w:jc w:val="left"/>
              <w:rPr>
                <w:rFonts w:ascii="Times New Roman" w:hAnsi="Times New Roman" w:cs="Times New Roman" w:eastAsia="Times New Roman" w:hint="default"/>
                <w:sz w:val="18"/>
                <w:szCs w:val="18"/>
              </w:rPr>
            </w:pPr>
            <w:r>
              <w:rPr>
                <w:rFonts w:ascii="Times New Roman"/>
                <w:sz w:val="18"/>
              </w:rPr>
              <w:t>34.67%</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10,584,995.62</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90" w:right="0"/>
              <w:jc w:val="left"/>
              <w:rPr>
                <w:rFonts w:ascii="Times New Roman" w:hAnsi="Times New Roman" w:cs="Times New Roman" w:eastAsia="Times New Roman" w:hint="default"/>
                <w:sz w:val="18"/>
                <w:szCs w:val="18"/>
              </w:rPr>
            </w:pPr>
            <w:r>
              <w:rPr>
                <w:rFonts w:ascii="Times New Roman"/>
                <w:sz w:val="18"/>
              </w:rPr>
              <w:t>19.76%</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10,584,995.62</w:t>
            </w:r>
          </w:p>
        </w:tc>
      </w:tr>
      <w:tr>
        <w:trPr>
          <w:trHeight w:val="34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6,057,250.00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95" w:right="0"/>
              <w:jc w:val="left"/>
              <w:rPr>
                <w:rFonts w:ascii="Times New Roman" w:hAnsi="Times New Roman" w:cs="Times New Roman" w:eastAsia="Times New Roman" w:hint="default"/>
                <w:sz w:val="18"/>
                <w:szCs w:val="18"/>
              </w:rPr>
            </w:pPr>
            <w:r>
              <w:rPr>
                <w:rFonts w:ascii="Times New Roman"/>
                <w:sz w:val="18"/>
              </w:rPr>
              <w:t>11.31%</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3,278,225.00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5" w:right="0"/>
              <w:jc w:val="left"/>
              <w:rPr>
                <w:rFonts w:ascii="Times New Roman" w:hAnsi="Times New Roman" w:cs="Times New Roman" w:eastAsia="Times New Roman" w:hint="default"/>
                <w:sz w:val="18"/>
                <w:szCs w:val="18"/>
              </w:rPr>
            </w:pPr>
            <w:r>
              <w:rPr>
                <w:rFonts w:ascii="Times New Roman"/>
                <w:sz w:val="18"/>
              </w:rPr>
              <w:t>6.12%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2,844,840.00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35" w:right="0"/>
              <w:jc w:val="left"/>
              <w:rPr>
                <w:rFonts w:ascii="Times New Roman" w:hAnsi="Times New Roman" w:cs="Times New Roman" w:eastAsia="Times New Roman" w:hint="default"/>
                <w:sz w:val="18"/>
                <w:szCs w:val="18"/>
              </w:rPr>
            </w:pPr>
            <w:r>
              <w:rPr>
                <w:rFonts w:ascii="Times New Roman"/>
                <w:sz w:val="18"/>
              </w:rPr>
              <w:t>5.31%</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9" w:hRule="exact"/>
        </w:trPr>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41,336,141.17</w:t>
            </w:r>
          </w:p>
        </w:tc>
        <w:tc>
          <w:tcPr>
            <w:tcW w:w="1193" w:type="dxa"/>
            <w:tcBorders>
              <w:top w:val="single" w:sz="6" w:space="0" w:color="000000"/>
              <w:left w:val="single" w:sz="6" w:space="0" w:color="000000"/>
              <w:bottom w:val="single" w:sz="6" w:space="0" w:color="000000"/>
              <w:right w:val="single" w:sz="6" w:space="0" w:color="000000"/>
            </w:tcBorders>
          </w:tcPr>
          <w:p>
            <w:pP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90" w:right="0"/>
              <w:jc w:val="left"/>
              <w:rPr>
                <w:rFonts w:ascii="Times New Roman" w:hAnsi="Times New Roman" w:cs="Times New Roman" w:eastAsia="Times New Roman" w:hint="default"/>
                <w:sz w:val="18"/>
                <w:szCs w:val="18"/>
              </w:rPr>
            </w:pPr>
            <w:r>
              <w:rPr>
                <w:rFonts w:ascii="Times New Roman"/>
                <w:sz w:val="18"/>
              </w:rPr>
              <w:t>77.17%</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10,584,995.62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5"/>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5,325,067.38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2,283,803.04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5,325,067.38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2,283,803.04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4"/>
          <w:szCs w:val="14"/>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035"/>
        <w:gridCol w:w="1580"/>
        <w:gridCol w:w="1651"/>
        <w:gridCol w:w="1421"/>
        <w:gridCol w:w="2050"/>
        <w:gridCol w:w="1922"/>
      </w:tblGrid>
      <w:tr>
        <w:trPr>
          <w:trHeight w:val="658"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与本集团关系</w:t>
            </w:r>
            <w:r>
              <w:rPr>
                <w:rFonts w:ascii="宋体" w:hAnsi="宋体" w:cs="宋体" w:eastAsia="宋体" w:hint="default"/>
                <w:sz w:val="18"/>
                <w:szCs w:val="18"/>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861"/>
              <w:jc w:val="left"/>
              <w:rPr>
                <w:rFonts w:ascii="宋体" w:hAnsi="宋体" w:cs="宋体" w:eastAsia="宋体" w:hint="default"/>
                <w:sz w:val="18"/>
                <w:szCs w:val="18"/>
              </w:rPr>
            </w:pPr>
            <w:r>
              <w:rPr>
                <w:rFonts w:ascii="宋体" w:hAnsi="宋体" w:cs="宋体" w:eastAsia="宋体" w:hint="default"/>
                <w:sz w:val="18"/>
                <w:szCs w:val="18"/>
              </w:rPr>
              <w:t>占应收账款余</w:t>
            </w:r>
            <w:r>
              <w:rPr>
                <w:rFonts w:ascii="宋体" w:hAnsi="宋体" w:cs="宋体" w:eastAsia="宋体" w:hint="default"/>
                <w:sz w:val="18"/>
                <w:szCs w:val="18"/>
              </w:rPr>
              <w:t> </w:t>
            </w:r>
            <w:r>
              <w:rPr>
                <w:rFonts w:ascii="宋体" w:hAnsi="宋体" w:cs="宋体" w:eastAsia="宋体" w:hint="default"/>
                <w:sz w:val="18"/>
                <w:szCs w:val="18"/>
              </w:rPr>
              <w:t>额总额比例</w:t>
            </w:r>
            <w:r>
              <w:rPr>
                <w:rFonts w:ascii="宋体" w:hAnsi="宋体" w:cs="宋体" w:eastAsia="宋体" w:hint="default"/>
                <w:sz w:val="18"/>
                <w:szCs w:val="18"/>
              </w:rPr>
              <w:t> </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49"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1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1,984,130.71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 </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37.26% </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r>
      <w:tr>
        <w:trPr>
          <w:trHeight w:val="346"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2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1,080,000.00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 </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20.28% </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r>
        <w:trPr>
          <w:trHeight w:val="348"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3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467,965.00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 </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8.79% </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r>
      <w:tr>
        <w:trPr>
          <w:trHeight w:val="348"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4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371,183.64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 </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6.97% </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r>
        <w:trPr>
          <w:trHeight w:val="346"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5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243,461.32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 </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4.57% </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r>
        <w:trPr>
          <w:trHeight w:val="348"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4,146,740.67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77.87% </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footerReference w:type="default" r:id="rId46"/>
          <w:pgSz w:w="11910" w:h="16840"/>
          <w:pgMar w:footer="976" w:header="892" w:top="1080" w:bottom="1160" w:left="980" w:right="980"/>
        </w:sectPr>
      </w:pPr>
    </w:p>
    <w:p>
      <w:pPr>
        <w:pStyle w:val="Heading3"/>
        <w:spacing w:line="286" w:lineRule="exact"/>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11,064,51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11,064,51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11,053,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877.74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11,053,877.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11,064,51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1.10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11,064,51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1.10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11,053,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877.74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11,053,877.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1910" w:h="16840"/>
          <w:pgMar w:header="1078" w:footer="956" w:top="1960" w:bottom="1140" w:left="980" w:right="980"/>
          <w:pgNumType w:start="101"/>
        </w:sectPr>
      </w:pPr>
    </w:p>
    <w:p>
      <w:pPr>
        <w:pStyle w:val="BodyText"/>
        <w:spacing w:line="240" w:lineRule="auto" w:before="49"/>
        <w:ind w:left="152" w:right="-20"/>
        <w:jc w:val="left"/>
      </w:pPr>
      <w:r>
        <w:rPr/>
        <w:t>期末单项金额重大并单项计提坏账准备的其他应收款：</w:t>
      </w:r>
    </w:p>
    <w:p>
      <w:pPr>
        <w:pStyle w:val="BodyText"/>
        <w:spacing w:line="340" w:lineRule="auto" w:before="115"/>
        <w:ind w:left="15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left="1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2"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851,479.56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851,479.56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2393"/>
        <w:gridCol w:w="2393"/>
        <w:gridCol w:w="2393"/>
        <w:gridCol w:w="2393"/>
      </w:tblGrid>
      <w:tr>
        <w:trPr>
          <w:trHeight w:val="415" w:hRule="exact"/>
        </w:trPr>
        <w:tc>
          <w:tcPr>
            <w:tcW w:w="239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1550" w:right="0"/>
              <w:jc w:val="left"/>
              <w:rPr>
                <w:rFonts w:ascii="Times New Roman" w:hAnsi="Times New Roman" w:cs="Times New Roman" w:eastAsia="Times New Roman" w:hint="default"/>
                <w:sz w:val="18"/>
                <w:szCs w:val="18"/>
              </w:rPr>
            </w:pPr>
            <w:r>
              <w:rPr>
                <w:rFonts w:ascii="Times New Roman"/>
                <w:sz w:val="18"/>
              </w:rPr>
              <w:t>851,479.56</w:t>
            </w:r>
          </w:p>
        </w:tc>
        <w:tc>
          <w:tcPr>
            <w:tcW w:w="2393" w:type="dxa"/>
            <w:tcBorders>
              <w:top w:val="single" w:sz="10" w:space="0" w:color="000000"/>
              <w:left w:val="single" w:sz="4" w:space="0" w:color="000000"/>
              <w:bottom w:val="single" w:sz="4" w:space="0" w:color="000000"/>
              <w:right w:val="single" w:sz="4" w:space="0" w:color="000000"/>
            </w:tcBorders>
          </w:tcPr>
          <w:p>
            <w:pPr/>
          </w:p>
        </w:tc>
        <w:tc>
          <w:tcPr>
            <w:tcW w:w="2393" w:type="dxa"/>
            <w:tcBorders>
              <w:top w:val="single" w:sz="10"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组合中，采用余额百分比法计提坏账准备的其他应收款：</w:t>
      </w:r>
    </w:p>
    <w:p>
      <w:pPr>
        <w:pStyle w:val="BodyText"/>
        <w:spacing w:line="340" w:lineRule="auto" w:before="115"/>
        <w:ind w:left="152"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押金及保证金，代垫款项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11,064,511.10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11,053,877.74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11,064,511.10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11,053,877.74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1,399,119.27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641,258.38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3,335,377.65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30.15%</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left="152" w:right="6534"/>
        <w:jc w:val="left"/>
      </w:pPr>
      <w:r>
        <w:rPr/>
        <w:t>公司是否需要遵守房地产行业的披露要求 否</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9"/>
          <w:pgSz w:w="11910" w:h="16840"/>
          <w:pgMar w:header="892" w:footer="95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15" w:hRule="exact"/>
        </w:trPr>
        <w:tc>
          <w:tcPr>
            <w:tcW w:w="13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11,305,186.56</w:t>
            </w: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11,305,186.56</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6,249,171.90</w:t>
            </w: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6,249,171.90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901,093.61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901,093.61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641,945.50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641,945.50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12,206,280.17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12,206,280.17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6,891,117.40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6,891,117.40</w:t>
            </w:r>
          </w:p>
        </w:tc>
      </w:tr>
    </w:tbl>
    <w:p>
      <w:pPr>
        <w:pStyle w:val="BodyText"/>
        <w:spacing w:line="338" w:lineRule="auto" w:before="49"/>
        <w:ind w:left="152"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left="152"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left="152"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18,554,716.97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9,854,716.97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6,025,977.27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7,352,087.80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预付管理咨询费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1,127,511.36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388,301.89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587,349.08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674,769.88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65,175.57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101,900.80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44,277,562.00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355,978.08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525,722.67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26,716,708.33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63,175,062.01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3" w:hRule="exact"/>
        </w:trPr>
        <w:tc>
          <w:tcPr>
            <w:tcW w:w="191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14" w:space="0" w:color="D2D2D2"/>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1,951,356.30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3,759,576.94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16,821,427.62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22,532,360.86</w:t>
            </w:r>
          </w:p>
        </w:tc>
      </w:tr>
    </w:tbl>
    <w:p>
      <w:pPr>
        <w:spacing w:after="0" w:line="240" w:lineRule="auto"/>
        <w:jc w:val="left"/>
        <w:rPr>
          <w:rFonts w:ascii="Times New Roman" w:hAnsi="Times New Roman" w:cs="Times New Roman" w:eastAsia="Times New Roman" w:hint="default"/>
          <w:sz w:val="18"/>
          <w:szCs w:val="18"/>
        </w:rPr>
        <w:sectPr>
          <w:headerReference w:type="default" r:id="rId50"/>
          <w:pgSz w:w="11910" w:h="16840"/>
          <w:pgMar w:header="892" w:footer="956"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15" w:hRule="exact"/>
        </w:trPr>
        <w:tc>
          <w:tcPr>
            <w:tcW w:w="191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10" w:space="0" w:color="000000"/>
              <w:left w:val="single" w:sz="4" w:space="0" w:color="000000"/>
              <w:bottom w:val="single" w:sz="4" w:space="0" w:color="000000"/>
              <w:right w:val="single" w:sz="4" w:space="0" w:color="000000"/>
            </w:tcBorders>
          </w:tcPr>
          <w:p>
            <w:pPr/>
          </w:p>
        </w:tc>
        <w:tc>
          <w:tcPr>
            <w:tcW w:w="1916" w:type="dxa"/>
            <w:tcBorders>
              <w:top w:val="single" w:sz="10" w:space="0" w:color="000000"/>
              <w:left w:val="single" w:sz="4" w:space="0" w:color="000000"/>
              <w:bottom w:val="single" w:sz="4" w:space="0" w:color="000000"/>
              <w:right w:val="single" w:sz="4" w:space="0" w:color="000000"/>
            </w:tcBorders>
          </w:tcPr>
          <w:p>
            <w:pPr/>
          </w:p>
        </w:tc>
        <w:tc>
          <w:tcPr>
            <w:tcW w:w="1913" w:type="dxa"/>
            <w:tcBorders>
              <w:top w:val="single" w:sz="10" w:space="0" w:color="000000"/>
              <w:left w:val="single" w:sz="4" w:space="0" w:color="000000"/>
              <w:bottom w:val="single" w:sz="4" w:space="0" w:color="000000"/>
              <w:right w:val="single" w:sz="4" w:space="0" w:color="000000"/>
            </w:tcBorders>
          </w:tcPr>
          <w:p>
            <w:pPr/>
          </w:p>
        </w:tc>
        <w:tc>
          <w:tcPr>
            <w:tcW w:w="1916"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73,661.31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3,221,362.40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3,295,023.71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512,065.16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261,382.00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1,266,763.24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2,040,210.40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1,512,952.45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3,498,194.94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18,776,026.78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23,787,174.17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1,671,566.73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1,227,853.64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12,739,956.96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15,639,377.33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98,623.10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665,321.66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2,516,284.19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3,280,228.95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457,087.32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237,527.83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1,116,679.48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1,811,294.63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1,313,102.51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1,655,647.47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14,139,561.67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17,108,311.65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199,849.94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1,842,547.47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4,636,465.11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6,678,862.52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279,789.57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2,531,723.30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4,081,470.66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6,892,983.53</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81" w:lineRule="exact"/>
        <w:ind w:right="0"/>
        <w:jc w:val="left"/>
        <w:rPr>
          <w:b w:val="0"/>
          <w:bCs w:val="0"/>
        </w:rPr>
      </w:pPr>
      <w:r>
        <w:rPr>
          <w:rFonts w:ascii="Times New Roman" w:hAnsi="Times New Roman" w:cs="Times New Roman" w:eastAsia="Times New Roman" w:hint="default"/>
        </w:rPr>
        <w:t>9</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left="1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6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1"/>
              <w:ind w:left="499" w:right="50" w:hanging="452"/>
              <w:jc w:val="left"/>
              <w:rPr>
                <w:rFonts w:ascii="宋体" w:hAnsi="宋体" w:cs="宋体" w:eastAsia="宋体" w:hint="default"/>
                <w:sz w:val="18"/>
                <w:szCs w:val="18"/>
              </w:rPr>
            </w:pPr>
            <w:r>
              <w:rPr>
                <w:rFonts w:ascii="宋体" w:hAnsi="宋体" w:cs="宋体" w:eastAsia="宋体" w:hint="default"/>
                <w:sz w:val="18"/>
                <w:szCs w:val="18"/>
              </w:rPr>
              <w:t>合同权利及授权 资质</w:t>
            </w:r>
          </w:p>
        </w:tc>
        <w:tc>
          <w:tcPr>
            <w:tcW w:w="1366" w:type="dxa"/>
            <w:vMerge w:val="restart"/>
            <w:tcBorders>
              <w:top w:val="single" w:sz="4" w:space="0" w:color="000000"/>
              <w:left w:val="single" w:sz="13"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vMerge/>
            <w:tcBorders>
              <w:left w:val="single" w:sz="10" w:space="0" w:color="D2D2D2"/>
              <w:right w:val="single" w:sz="4" w:space="0" w:color="000000"/>
            </w:tcBorders>
            <w:shd w:val="clear" w:color="auto" w:fill="E0FFFF"/>
          </w:tcPr>
          <w:p>
            <w:pPr/>
          </w:p>
        </w:tc>
        <w:tc>
          <w:tcPr>
            <w:tcW w:w="1369" w:type="dxa"/>
            <w:vMerge/>
            <w:tcBorders>
              <w:left w:val="single" w:sz="4" w:space="0" w:color="000000"/>
              <w:right w:val="single" w:sz="4" w:space="0" w:color="000000"/>
            </w:tcBorders>
            <w:shd w:val="clear" w:color="auto" w:fill="E0FFFF"/>
          </w:tcPr>
          <w:p>
            <w:pPr/>
          </w:p>
        </w:tc>
        <w:tc>
          <w:tcPr>
            <w:tcW w:w="1366" w:type="dxa"/>
            <w:vMerge/>
            <w:tcBorders>
              <w:left w:val="single" w:sz="13" w:space="0" w:color="E0FFFF"/>
              <w:right w:val="single" w:sz="4" w:space="0" w:color="000000"/>
            </w:tcBorders>
            <w:shd w:val="clear" w:color="auto" w:fill="D2D2D2"/>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10" w:space="0" w:color="D2D2D2"/>
              <w:bottom w:val="single" w:sz="4" w:space="0" w:color="000000"/>
              <w:right w:val="single" w:sz="4" w:space="0" w:color="000000"/>
            </w:tcBorders>
            <w:shd w:val="clear" w:color="auto" w:fill="E0FFFF"/>
          </w:tcPr>
          <w:p>
            <w:pPr/>
          </w:p>
        </w:tc>
        <w:tc>
          <w:tcPr>
            <w:tcW w:w="1369" w:type="dxa"/>
            <w:vMerge/>
            <w:tcBorders>
              <w:left w:val="single" w:sz="4" w:space="0" w:color="000000"/>
              <w:bottom w:val="single" w:sz="4" w:space="0" w:color="000000"/>
              <w:right w:val="single" w:sz="4" w:space="0" w:color="000000"/>
            </w:tcBorders>
            <w:shd w:val="clear" w:color="auto" w:fill="E0FFFF"/>
          </w:tcPr>
          <w:p>
            <w:pPr/>
          </w:p>
        </w:tc>
        <w:tc>
          <w:tcPr>
            <w:tcW w:w="1366" w:type="dxa"/>
            <w:vMerge/>
            <w:tcBorders>
              <w:left w:val="single" w:sz="13" w:space="0" w:color="E0FFFF"/>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24,441,865.52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82,668,000.00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107,109,865.52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108,490.57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3,549,104.69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3,657,595.26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r>
              <w:rPr>
                <w:rFonts w:ascii="宋体" w:hAnsi="宋体" w:cs="宋体" w:eastAsia="宋体" w:hint="default"/>
                <w:sz w:val="18"/>
                <w:szCs w:val="18"/>
              </w:rPr>
              <w:t> 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5,536,412.20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183,053.37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5,719,465.57</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5,644,902.77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28,174,023.58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82,668,000.00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116,486,926.35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7,444,481.70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77,650,975.00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85,095,456.70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1,396,157.56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4,096,944.00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5,017,025.00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10,510,126.56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1,396,157.56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11,541,425.70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82,668,000.00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95,605,583.26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15" w:hRule="exact"/>
        </w:trPr>
        <w:tc>
          <w:tcPr>
            <w:tcW w:w="136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9"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4,248,745.21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16,632,597.88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20,881,343.09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16,997,383.82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5,017,025.00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22,014,408.82</w:t>
            </w:r>
          </w:p>
        </w:tc>
      </w:tr>
    </w:tbl>
    <w:p>
      <w:pPr>
        <w:pStyle w:val="BodyText"/>
        <w:spacing w:line="240" w:lineRule="auto" w:before="49"/>
        <w:ind w:left="152"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2" w:hRule="exact"/>
        </w:trPr>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10"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vMerge w:val="restart"/>
            <w:tcBorders>
              <w:top w:val="single" w:sz="4" w:space="0" w:color="000000"/>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tcBorders>
              <w:left w:val="single" w:sz="10" w:space="0" w:color="D2D2D2"/>
              <w:right w:val="single" w:sz="10"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10" w:space="0" w:color="D2D2D2"/>
              <w:right w:val="single" w:sz="10"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10"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产品外观及 实用新型设 计项目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4,273,882.41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1,262,529.79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5,536,412.20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系统建</w:t>
            </w:r>
            <w:r>
              <w:rPr>
                <w:rFonts w:ascii="宋体" w:hAnsi="宋体" w:cs="宋体" w:eastAsia="宋体" w:hint="default"/>
                <w:w w:val="99"/>
                <w:sz w:val="18"/>
                <w:szCs w:val="18"/>
              </w:rPr>
              <w:t> </w:t>
            </w:r>
            <w:r>
              <w:rPr>
                <w:rFonts w:ascii="宋体" w:hAnsi="宋体" w:cs="宋体" w:eastAsia="宋体" w:hint="default"/>
                <w:sz w:val="18"/>
                <w:szCs w:val="18"/>
              </w:rPr>
              <w:t>设项目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183,053.37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183,053.37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4,456,935.78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1,262,529.79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5,719,465.57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其他说明</w:t>
      </w:r>
    </w:p>
    <w:p>
      <w:pPr>
        <w:pStyle w:val="BodyText"/>
        <w:spacing w:line="240" w:lineRule="auto" w:before="115"/>
        <w:ind w:left="152" w:right="0"/>
        <w:jc w:val="left"/>
      </w:pPr>
      <w:r>
        <w:rPr/>
        <w:t>本期新增开发支出</w:t>
      </w:r>
      <w:r>
        <w:rPr>
          <w:spacing w:val="-47"/>
        </w:rPr>
        <w:t> </w:t>
      </w:r>
      <w:r>
        <w:rPr>
          <w:rFonts w:ascii="Times New Roman" w:hAnsi="Times New Roman" w:cs="Times New Roman" w:eastAsia="Times New Roman" w:hint="default"/>
        </w:rPr>
        <w:t>1,262,529.79 </w:t>
      </w:r>
      <w:r>
        <w:rPr/>
        <w:t>元及</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年度新增开发支出</w:t>
      </w:r>
      <w:r>
        <w:rPr>
          <w:spacing w:val="-50"/>
        </w:rPr>
        <w:t> </w:t>
      </w:r>
      <w:r>
        <w:rPr>
          <w:rFonts w:ascii="Times New Roman" w:hAnsi="Times New Roman" w:cs="Times New Roman" w:eastAsia="Times New Roman" w:hint="default"/>
        </w:rPr>
        <w:t>4,456,935.78 </w:t>
      </w:r>
      <w:r>
        <w:rPr/>
        <w:t>元均于本期确认为无形资产。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11</w:t>
      </w:r>
      <w:r>
        <w:rPr/>
        <w:t>、商誉</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headerReference w:type="default" r:id="rId51"/>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73" w:hRule="exact"/>
        </w:trPr>
        <w:tc>
          <w:tcPr>
            <w:tcW w:w="1367" w:type="dxa"/>
            <w:vMerge w:val="restart"/>
            <w:tcBorders>
              <w:top w:val="single" w:sz="10" w:space="0" w:color="000000"/>
              <w:left w:val="single" w:sz="4" w:space="0" w:color="000000"/>
              <w:right w:val="single" w:sz="4" w:space="0" w:color="000000"/>
            </w:tcBorders>
            <w:shd w:val="clear" w:color="auto" w:fill="D2D2D2"/>
          </w:tcPr>
          <w:p>
            <w:pPr>
              <w:pStyle w:val="TableParagraph"/>
              <w:spacing w:line="316" w:lineRule="auto" w:before="56"/>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10"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10" w:space="0" w:color="000000"/>
              <w:left w:val="single" w:sz="4" w:space="0" w:color="000000"/>
              <w:bottom w:val="nil" w:sz="6" w:space="0" w:color="auto"/>
              <w:right w:val="single" w:sz="4" w:space="0" w:color="000000"/>
            </w:tcBorders>
            <w:shd w:val="clear" w:color="auto" w:fill="D2D2D2"/>
          </w:tcPr>
          <w:p>
            <w:pPr/>
          </w:p>
        </w:tc>
      </w:tr>
      <w:tr>
        <w:trPr>
          <w:trHeight w:val="157" w:hRule="exact"/>
        </w:trPr>
        <w:tc>
          <w:tcPr>
            <w:tcW w:w="1367"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2" w:space="0" w:color="D2D2D2"/>
              <w:right w:val="single" w:sz="13" w:space="0" w:color="D2D2D2"/>
            </w:tcBorders>
            <w:shd w:val="clear" w:color="auto" w:fill="E0FFFF"/>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12" w:space="0" w:color="D2D2D2"/>
              <w:right w:val="single" w:sz="10" w:space="0" w:color="D2D2D2"/>
            </w:tcBorders>
            <w:shd w:val="clear" w:color="auto" w:fill="E0FFFF"/>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7"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2D2D2"/>
              <w:right w:val="single" w:sz="13" w:space="0" w:color="D2D2D2"/>
            </w:tcBorders>
            <w:shd w:val="clear" w:color="auto" w:fill="E0FFFF"/>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tcBorders>
              <w:left w:val="single" w:sz="12" w:space="0" w:color="D2D2D2"/>
              <w:right w:val="single" w:sz="10" w:space="0" w:color="D2D2D2"/>
            </w:tcBorders>
            <w:shd w:val="clear" w:color="auto" w:fill="E0FFFF"/>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13" w:space="0" w:color="D2D2D2"/>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12" w:space="0" w:color="D2D2D2"/>
              <w:bottom w:val="single" w:sz="4" w:space="0" w:color="000000"/>
              <w:right w:val="single" w:sz="10" w:space="0" w:color="D2D2D2"/>
            </w:tcBorders>
            <w:shd w:val="clear" w:color="auto" w:fill="E0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上海百华悦邦电 子科技有限公司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25,695,430.44</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25,695,430.44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61" w:firstLine="91"/>
              <w:jc w:val="left"/>
              <w:rPr>
                <w:rFonts w:ascii="宋体" w:hAnsi="宋体" w:cs="宋体" w:eastAsia="宋体" w:hint="default"/>
                <w:sz w:val="18"/>
                <w:szCs w:val="18"/>
              </w:rPr>
            </w:pPr>
            <w:r>
              <w:rPr>
                <w:rFonts w:ascii="宋体" w:hAnsi="宋体" w:cs="宋体" w:eastAsia="宋体" w:hint="default"/>
                <w:sz w:val="18"/>
                <w:szCs w:val="18"/>
              </w:rPr>
              <w:t>广州百邦电子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1,358,476.61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1,358,476.61</w:t>
            </w:r>
          </w:p>
        </w:tc>
      </w:tr>
      <w:tr>
        <w:trPr>
          <w:trHeight w:val="196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上海百华悦邦电 子科技有限公司 威海分公司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 公司名为威海百 邦电子有限公 司</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1,173,709.00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1,173,709.00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28,227,616.05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28,227,616.05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0"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FFFFFF"/>
            </w:tcBorders>
            <w:shd w:val="clear" w:color="auto" w:fill="D2D2D2"/>
          </w:tcPr>
          <w:p>
            <w:pPr/>
          </w:p>
        </w:tc>
        <w:tc>
          <w:tcPr>
            <w:tcW w:w="2734"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67"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FFFFFF"/>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2" w:space="0" w:color="D2D2D2"/>
              <w:right w:val="single" w:sz="13" w:space="0" w:color="D2D2D2"/>
            </w:tcBorders>
            <w:shd w:val="clear" w:color="auto" w:fill="E0FFFF"/>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12" w:space="0" w:color="D2D2D2"/>
              <w:right w:val="single" w:sz="10" w:space="0" w:color="D2D2D2"/>
            </w:tcBorders>
            <w:shd w:val="clear" w:color="auto" w:fill="E0FFFF"/>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7"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tcBorders>
              <w:left w:val="single" w:sz="12" w:space="0" w:color="D2D2D2"/>
              <w:right w:val="single" w:sz="13" w:space="0" w:color="D2D2D2"/>
            </w:tcBorders>
            <w:shd w:val="clear" w:color="auto" w:fill="E0FFFF"/>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tcBorders>
              <w:left w:val="single" w:sz="12" w:space="0" w:color="D2D2D2"/>
              <w:right w:val="single" w:sz="10" w:space="0" w:color="D2D2D2"/>
            </w:tcBorders>
            <w:shd w:val="clear" w:color="auto" w:fill="E0FFFF"/>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13" w:space="0" w:color="D2D2D2"/>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12" w:space="0" w:color="D2D2D2"/>
              <w:bottom w:val="single" w:sz="4" w:space="0" w:color="000000"/>
              <w:right w:val="single" w:sz="10" w:space="0" w:color="D2D2D2"/>
            </w:tcBorders>
            <w:shd w:val="clear" w:color="auto" w:fill="E0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上海百华悦邦电 子科技有限公司 威海分公司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 公司名为威海百 邦电子有限公 司</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1,173,709.00</w:t>
            </w:r>
          </w:p>
        </w:tc>
        <w:tc>
          <w:tcPr>
            <w:tcW w:w="1368" w:type="dxa"/>
            <w:tcBorders>
              <w:top w:val="single" w:sz="45" w:space="0" w:color="D2D2D2"/>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1,173,709.00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1,173,709.00</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1,173,709.00</w:t>
            </w:r>
          </w:p>
        </w:tc>
      </w:tr>
    </w:tbl>
    <w:p>
      <w:pPr>
        <w:pStyle w:val="BodyText"/>
        <w:spacing w:line="357" w:lineRule="auto" w:before="49"/>
        <w:ind w:left="152" w:right="5094"/>
        <w:jc w:val="left"/>
      </w:pPr>
      <w:r>
        <w:rPr/>
        <w:t>说明商誉减值测试过程、参数及商誉减值损失的确认方法： 分摊至本集团资产组和资产组组合的商誉汇总如下：</w:t>
      </w:r>
    </w:p>
    <w:tbl>
      <w:tblPr>
        <w:tblW w:w="0" w:type="auto"/>
        <w:jc w:val="left"/>
        <w:tblInd w:w="193" w:type="dxa"/>
        <w:tblLayout w:type="fixed"/>
        <w:tblCellMar>
          <w:top w:w="0" w:type="dxa"/>
          <w:left w:w="0" w:type="dxa"/>
          <w:bottom w:w="0" w:type="dxa"/>
          <w:right w:w="0" w:type="dxa"/>
        </w:tblCellMar>
        <w:tblLook w:val="01E0"/>
      </w:tblPr>
      <w:tblGrid>
        <w:gridCol w:w="2355"/>
        <w:gridCol w:w="3119"/>
        <w:gridCol w:w="3085"/>
      </w:tblGrid>
      <w:tr>
        <w:trPr>
          <w:trHeight w:val="427" w:hRule="exact"/>
        </w:trPr>
        <w:tc>
          <w:tcPr>
            <w:tcW w:w="2355" w:type="dxa"/>
            <w:tcBorders>
              <w:top w:val="single" w:sz="6" w:space="0" w:color="000000"/>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27"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手机维修业务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27,053,907.05</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27,053,907.05</w:t>
            </w:r>
          </w:p>
        </w:tc>
      </w:tr>
    </w:tbl>
    <w:p>
      <w:pPr>
        <w:pStyle w:val="BodyText"/>
        <w:spacing w:line="316" w:lineRule="auto" w:before="70"/>
        <w:ind w:left="152" w:right="0"/>
        <w:jc w:val="left"/>
      </w:pPr>
      <w:r>
        <w:rPr>
          <w:spacing w:val="-2"/>
        </w:rPr>
        <w:t>资产组和资产组组合的可收回金额是依据管理层批准的五年期预算，采用现金流量预测方法计算。超过该五年期的现金流量</w:t>
      </w:r>
      <w:r>
        <w:rPr>
          <w:spacing w:val="-64"/>
        </w:rPr>
        <w:t> </w:t>
      </w:r>
      <w:r>
        <w:rPr>
          <w:spacing w:val="-64"/>
        </w:rPr>
      </w:r>
      <w:r>
        <w:rPr/>
        <w:t>采用以下所述的估计增长率作出推算。</w:t>
      </w:r>
    </w:p>
    <w:p>
      <w:pPr>
        <w:pStyle w:val="BodyText"/>
        <w:spacing w:line="240" w:lineRule="auto" w:before="57"/>
        <w:ind w:left="152" w:right="0"/>
        <w:jc w:val="left"/>
      </w:pPr>
      <w:r>
        <w:rPr/>
        <w:t>采用未来现金流量折现方法的主要假设：</w:t>
      </w:r>
    </w:p>
    <w:p>
      <w:pPr>
        <w:spacing w:line="240" w:lineRule="auto" w:before="4"/>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2429"/>
        <w:gridCol w:w="2881"/>
        <w:gridCol w:w="3452"/>
      </w:tblGrid>
      <w:tr>
        <w:trPr>
          <w:trHeight w:val="427" w:hRule="exact"/>
        </w:trPr>
        <w:tc>
          <w:tcPr>
            <w:tcW w:w="2429" w:type="dxa"/>
            <w:tcBorders>
              <w:top w:val="single" w:sz="6" w:space="0" w:color="000000"/>
              <w:left w:val="single" w:sz="6" w:space="0" w:color="000000"/>
              <w:bottom w:val="single" w:sz="6" w:space="0" w:color="000000"/>
              <w:right w:val="single" w:sz="6" w:space="0" w:color="000000"/>
            </w:tcBorders>
          </w:tcPr>
          <w:p>
            <w:pPr/>
          </w:p>
        </w:tc>
        <w:tc>
          <w:tcPr>
            <w:tcW w:w="63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手机维修业务</w:t>
            </w:r>
          </w:p>
        </w:tc>
      </w:tr>
      <w:tr>
        <w:trPr>
          <w:trHeight w:val="427" w:hRule="exact"/>
        </w:trPr>
        <w:tc>
          <w:tcPr>
            <w:tcW w:w="2429" w:type="dxa"/>
            <w:tcBorders>
              <w:top w:val="single" w:sz="6" w:space="0" w:color="000000"/>
              <w:left w:val="single" w:sz="6" w:space="0" w:color="000000"/>
              <w:bottom w:val="single" w:sz="6" w:space="0" w:color="000000"/>
              <w:right w:val="single" w:sz="6" w:space="0" w:color="000000"/>
            </w:tcBorders>
          </w:tcPr>
          <w:p>
            <w:pP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75" w:type="dxa"/>
        <w:tblLayout w:type="fixed"/>
        <w:tblCellMar>
          <w:top w:w="0" w:type="dxa"/>
          <w:left w:w="0" w:type="dxa"/>
          <w:bottom w:w="0" w:type="dxa"/>
          <w:right w:w="0" w:type="dxa"/>
        </w:tblCellMar>
        <w:tblLook w:val="01E0"/>
      </w:tblPr>
      <w:tblGrid>
        <w:gridCol w:w="2433"/>
        <w:gridCol w:w="2881"/>
        <w:gridCol w:w="3452"/>
        <w:gridCol w:w="874"/>
      </w:tblGrid>
      <w:tr>
        <w:trPr>
          <w:trHeight w:val="442" w:hRule="exact"/>
        </w:trPr>
        <w:tc>
          <w:tcPr>
            <w:tcW w:w="2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增长率</w:t>
            </w:r>
          </w:p>
        </w:tc>
        <w:tc>
          <w:tcPr>
            <w:tcW w:w="28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3.00%-5.00%</w:t>
            </w:r>
          </w:p>
        </w:tc>
        <w:tc>
          <w:tcPr>
            <w:tcW w:w="34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3.00% -</w:t>
            </w:r>
            <w:r>
              <w:rPr>
                <w:rFonts w:ascii="Times New Roman"/>
                <w:spacing w:val="-3"/>
                <w:sz w:val="18"/>
              </w:rPr>
              <w:t> </w:t>
            </w:r>
            <w:r>
              <w:rPr>
                <w:rFonts w:ascii="Times New Roman"/>
                <w:sz w:val="18"/>
              </w:rPr>
              <w:t>5.00%</w:t>
            </w:r>
          </w:p>
        </w:tc>
        <w:tc>
          <w:tcPr>
            <w:tcW w:w="874" w:type="dxa"/>
            <w:vMerge w:val="restart"/>
            <w:tcBorders>
              <w:top w:val="single" w:sz="6" w:space="0" w:color="000000"/>
              <w:left w:val="single" w:sz="6" w:space="0" w:color="000000"/>
              <w:right w:val="nil" w:sz="6" w:space="0" w:color="auto"/>
            </w:tcBorders>
          </w:tcPr>
          <w:p>
            <w:pPr/>
          </w:p>
        </w:tc>
      </w:tr>
      <w:tr>
        <w:trPr>
          <w:trHeight w:val="427"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36.00%-40.00%</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36.00% -</w:t>
            </w:r>
            <w:r>
              <w:rPr>
                <w:rFonts w:ascii="Times New Roman"/>
                <w:spacing w:val="-3"/>
                <w:sz w:val="18"/>
              </w:rPr>
              <w:t> </w:t>
            </w:r>
            <w:r>
              <w:rPr>
                <w:rFonts w:ascii="Times New Roman"/>
                <w:sz w:val="18"/>
              </w:rPr>
              <w:t>40.00%</w:t>
            </w:r>
          </w:p>
        </w:tc>
        <w:tc>
          <w:tcPr>
            <w:tcW w:w="874" w:type="dxa"/>
            <w:vMerge/>
            <w:tcBorders>
              <w:left w:val="single" w:sz="6" w:space="0" w:color="000000"/>
              <w:right w:val="nil" w:sz="6" w:space="0" w:color="auto"/>
            </w:tcBorders>
          </w:tcPr>
          <w:p>
            <w:pPr/>
          </w:p>
        </w:tc>
      </w:tr>
      <w:tr>
        <w:trPr>
          <w:trHeight w:val="427"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15.00%-16.00%</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15.00% -</w:t>
            </w:r>
            <w:r>
              <w:rPr>
                <w:rFonts w:ascii="Times New Roman"/>
                <w:spacing w:val="-3"/>
                <w:sz w:val="18"/>
              </w:rPr>
              <w:t> </w:t>
            </w:r>
            <w:r>
              <w:rPr>
                <w:rFonts w:ascii="Times New Roman"/>
                <w:sz w:val="18"/>
              </w:rPr>
              <w:t>16.00%</w:t>
            </w:r>
          </w:p>
        </w:tc>
        <w:tc>
          <w:tcPr>
            <w:tcW w:w="874" w:type="dxa"/>
            <w:vMerge/>
            <w:tcBorders>
              <w:left w:val="single" w:sz="6" w:space="0" w:color="000000"/>
              <w:bottom w:val="nil" w:sz="6" w:space="0" w:color="auto"/>
              <w:right w:val="nil" w:sz="6" w:space="0" w:color="auto"/>
            </w:tcBorders>
          </w:tcPr>
          <w:p>
            <w:pPr/>
          </w:p>
        </w:tc>
      </w:tr>
    </w:tbl>
    <w:p>
      <w:pPr>
        <w:pStyle w:val="BodyText"/>
        <w:spacing w:line="316" w:lineRule="auto" w:before="49"/>
        <w:ind w:left="152" w:right="151"/>
        <w:jc w:val="both"/>
      </w:pPr>
      <w:r>
        <w:rPr>
          <w:spacing w:val="-2"/>
        </w:rPr>
        <w:t>管理层所采用的加权平均增长率与行业报告所载的预测数据一致，不超过各产品的长期平均增长率。管理层根据历史经验及</w:t>
      </w:r>
      <w:r>
        <w:rPr>
          <w:spacing w:val="-64"/>
        </w:rPr>
        <w:t> </w:t>
      </w:r>
      <w:r>
        <w:rPr>
          <w:spacing w:val="-64"/>
        </w:rPr>
      </w:r>
      <w:r>
        <w:rPr>
          <w:spacing w:val="-2"/>
        </w:rPr>
        <w:t>对市场发展的预测确定预算毛利率，并采用能够反映相关资产组和资产组组合的特定风险的税前利率为折现率。上述假设用</w:t>
      </w:r>
      <w:r>
        <w:rPr>
          <w:spacing w:val="-63"/>
        </w:rPr>
        <w:t> </w:t>
      </w:r>
      <w:r>
        <w:rPr>
          <w:spacing w:val="-63"/>
        </w:rPr>
      </w:r>
      <w:r>
        <w:rPr/>
        <w:t>以分析该业务分部内各资产组和资产组组合的可收回金额。</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8,733,717.75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11,871,008.06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4,877,720.49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15,295,983.46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2,163,695.09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334,711.52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1,828,983.57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8,733,717.75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14,034,703.15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5,212,432.01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17,124,967.03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441,135.31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110,283.83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5,278.68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1,319.67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17,401,343.58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4,350,335.90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18,390,906.02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4,584,196.18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8,318,423.77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2,079,605.94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8,032,713.52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2,008,178.38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递延及预收手机保障业 务款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2,901,117.27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725,279.32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2,751,412.54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687,853.14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递延门店贴膜业务款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1,747,581.49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436,895.37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递延会员卡服务款及合 作门店管理费收入款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1,141,725.19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285,431.30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2,273,651.14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568,412.79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预提风险准备金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1,099,624.94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274,906.24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31,951,326.61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7,987,831.66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32,553,586.84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8,124,866.40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18" w:hRule="exact"/>
        </w:trPr>
        <w:tc>
          <w:tcPr>
            <w:tcW w:w="1901" w:type="dxa"/>
            <w:tcBorders>
              <w:top w:val="single" w:sz="10"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10"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10"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5,017,025.00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1,254,256.25</w:t>
            </w: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5,017,025.00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1,254,256.25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7,987,831.66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8,124,866.40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1,254,256.25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1,950,289.73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4,670,708.72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1,950,289.73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4,670,708.72</w:t>
            </w:r>
          </w:p>
        </w:tc>
      </w:tr>
    </w:tbl>
    <w:p>
      <w:pPr>
        <w:pStyle w:val="BodyText"/>
        <w:spacing w:line="316" w:lineRule="auto" w:before="49"/>
        <w:ind w:left="152" w:right="0"/>
        <w:jc w:val="left"/>
      </w:pPr>
      <w:r>
        <w:rPr>
          <w:spacing w:val="-2"/>
        </w:rPr>
        <w:t>注：列示由于未来能否获得足够的应纳税所得额具有不确定性，因此没有确认为递延所得税资产的可抵扣暂时性差异和可抵</w:t>
      </w:r>
      <w:r>
        <w:rPr>
          <w:spacing w:val="-64"/>
        </w:rPr>
        <w:t> </w:t>
      </w:r>
      <w:r>
        <w:rPr>
          <w:spacing w:val="-64"/>
        </w:rPr>
      </w:r>
      <w:r>
        <w:rPr/>
        <w:t>扣亏损。</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384,836.00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877,552.00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629,740.90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1,280,496.34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182,531.95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2,512,660.38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2"/>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15" w:hRule="exact"/>
        </w:trPr>
        <w:tc>
          <w:tcPr>
            <w:tcW w:w="23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753,180.88</w:t>
            </w:r>
          </w:p>
        </w:tc>
        <w:tc>
          <w:tcPr>
            <w:tcW w:w="2393" w:type="dxa"/>
            <w:tcBorders>
              <w:top w:val="single" w:sz="10" w:space="0" w:color="000000"/>
              <w:left w:val="single" w:sz="4" w:space="0" w:color="000000"/>
              <w:bottom w:val="single" w:sz="4" w:space="0" w:color="000000"/>
              <w:right w:val="single" w:sz="4" w:space="0" w:color="000000"/>
            </w:tcBorders>
          </w:tcPr>
          <w:p>
            <w:pPr/>
          </w:p>
        </w:tc>
        <w:tc>
          <w:tcPr>
            <w:tcW w:w="2393"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1,950,289.73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4,670,708.72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、其他非流动资产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预付软件采购款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888,331.00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购买商标款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1,688,331.00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）应付账款列示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10,718,363.53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1,888,412.50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906,793.51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11,004,360.65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2,795,206.01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16</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）预收款项列示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门店预收保外业务款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3,200,456.36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5,613,514.99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预收保障类业务款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2,209,184.82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1,896,550.48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1,302,387.37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3,115,907.59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10,625,973.06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53"/>
          <w:pgSz w:w="11910" w:h="16840"/>
          <w:pgMar w:footer="976" w:header="892" w:top="1080" w:bottom="1160" w:left="980" w:right="98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15" w:hRule="exact"/>
        </w:trPr>
        <w:tc>
          <w:tcPr>
            <w:tcW w:w="18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13,010,828.77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122,464,334.26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125,976,769.29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9,498,393.74</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105,252.68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14,258,072.06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14,279,110.17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84,214.57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13,116,081.45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136,722,406.32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140,255,879.46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9,582,608.31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12,129,958.12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106,123,778.88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109,616,671.56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8,637,065.44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1,050,477.42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1,050,477.42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7,228,266.57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7,221,861.33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35,658.57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6,211,454.68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6,204,834.78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24,434.45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2,469.40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465,901.44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465,592.76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2,778.08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8,969.38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550,910.45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551,433.79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8,446.04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-37,328.67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7,252,199.37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7,234,268.81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-19,398.11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888,945.99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809,612.02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853,490.17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845,067.84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13,010,828.77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122,464,334.26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125,976,769.29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9,498,393.74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96,778.29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13,300,804.34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13,319,403.56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1" w:right="0"/>
              <w:jc w:val="left"/>
              <w:rPr>
                <w:rFonts w:ascii="Times New Roman" w:hAnsi="Times New Roman" w:cs="Times New Roman" w:eastAsia="Times New Roman" w:hint="default"/>
                <w:sz w:val="18"/>
                <w:szCs w:val="18"/>
              </w:rPr>
            </w:pPr>
            <w:r>
              <w:rPr>
                <w:rFonts w:ascii="Times New Roman"/>
                <w:sz w:val="18"/>
              </w:rPr>
              <w:t>78,179.07</w:t>
            </w:r>
          </w:p>
        </w:tc>
      </w:tr>
    </w:tbl>
    <w:p>
      <w:pPr>
        <w:spacing w:after="0" w:line="240" w:lineRule="auto"/>
        <w:jc w:val="left"/>
        <w:rPr>
          <w:rFonts w:ascii="Times New Roman" w:hAnsi="Times New Roman" w:cs="Times New Roman" w:eastAsia="Times New Roman" w:hint="default"/>
          <w:sz w:val="18"/>
          <w:szCs w:val="18"/>
        </w:rPr>
        <w:sectPr>
          <w:headerReference w:type="default" r:id="rId54"/>
          <w:pgSz w:w="11910" w:h="16840"/>
          <w:pgMar w:header="892" w:footer="97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15" w:hRule="exact"/>
        </w:trPr>
        <w:tc>
          <w:tcPr>
            <w:tcW w:w="19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w w:val="95"/>
                <w:sz w:val="18"/>
              </w:rPr>
              <w:t>8,474.39</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957,267.72</w:t>
            </w:r>
          </w:p>
        </w:tc>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959,706.61</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w w:val="95"/>
                <w:sz w:val="18"/>
              </w:rPr>
              <w:t>6,035.50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14,258,072.06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14,279,110.17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84,214.57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2,961,562.23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3,624,579.31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12,244,929.09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20,485,802.49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404,925.14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463,780.44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340,937.06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339,747.62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319,963.58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361,507.33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11,726.54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16,273,076.17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25,287,143.73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19</w:t>
      </w:r>
      <w:r>
        <w:rPr/>
        <w:t>、其他应付款</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）按款项性质列示其他应付款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11,488,556.81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23,251,910.61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8,076,821.10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4,111,681.13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应退顾客款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市场风险准备金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1,099,624.94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22,489,371.11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29,753,296.68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8,864,268.05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向合作门店和经销商所收的押金</w:t>
            </w:r>
          </w:p>
        </w:tc>
      </w:tr>
    </w:tbl>
    <w:p>
      <w:pPr>
        <w:spacing w:after="0" w:line="240" w:lineRule="auto"/>
        <w:jc w:val="left"/>
        <w:rPr>
          <w:rFonts w:ascii="宋体" w:hAnsi="宋体" w:cs="宋体" w:eastAsia="宋体" w:hint="default"/>
          <w:sz w:val="18"/>
          <w:szCs w:val="18"/>
        </w:rPr>
        <w:sectPr>
          <w:pgSz w:w="11910" w:h="16840"/>
          <w:pgMar w:header="892" w:footer="97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3190"/>
        <w:gridCol w:w="3204"/>
        <w:gridCol w:w="3167"/>
      </w:tblGrid>
      <w:tr>
        <w:trPr>
          <w:trHeight w:val="415" w:hRule="exact"/>
        </w:trPr>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10" w:space="0" w:color="000000"/>
              <w:left w:val="single" w:sz="4" w:space="0" w:color="000000"/>
              <w:bottom w:val="single" w:sz="4" w:space="0" w:color="000000"/>
              <w:right w:val="single" w:sz="13" w:space="0" w:color="D2D2D2"/>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8,864,268.05</w:t>
            </w:r>
          </w:p>
        </w:tc>
        <w:tc>
          <w:tcPr>
            <w:tcW w:w="31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52"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20</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递延手机保障业务款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2,676,063.16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854,862.06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递延贴膜套餐业务款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1,747,581.49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递延会员卡服务款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1,141,725.19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2,273,651.14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68,361.34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5,633,731.18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3,128,513.20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21</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40,731,500.00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40,731,500.00</w:t>
            </w:r>
          </w:p>
        </w:tc>
      </w:tr>
    </w:tbl>
    <w:p>
      <w:pPr>
        <w:pStyle w:val="BodyText"/>
        <w:spacing w:line="240" w:lineRule="auto" w:before="49"/>
        <w:ind w:left="152" w:right="0"/>
        <w:jc w:val="left"/>
      </w:pPr>
      <w:r>
        <w:rPr/>
        <w:t>根据全国中小企业股份转让系统有限责任公司于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 </w:t>
      </w:r>
      <w:r>
        <w:rPr/>
        <w:t>日签发的股转系统函</w:t>
      </w:r>
      <w:r>
        <w:rPr>
          <w:rFonts w:ascii="Times New Roman" w:hAnsi="Times New Roman" w:cs="Times New Roman" w:eastAsia="Times New Roman" w:hint="default"/>
        </w:rPr>
        <w:t>[2014]1040</w:t>
      </w:r>
      <w:r>
        <w:rPr>
          <w:rFonts w:ascii="Times New Roman" w:hAnsi="Times New Roman" w:cs="Times New Roman" w:eastAsia="Times New Roman" w:hint="default"/>
          <w:spacing w:val="1"/>
        </w:rPr>
        <w:t> </w:t>
      </w:r>
      <w:r>
        <w:rPr>
          <w:spacing w:val="-6"/>
        </w:rPr>
        <w:t>号文《关于同意北京百华悦</w:t>
      </w:r>
    </w:p>
    <w:p>
      <w:pPr>
        <w:pStyle w:val="BodyText"/>
        <w:spacing w:line="300" w:lineRule="auto" w:before="63"/>
        <w:ind w:left="152" w:right="147"/>
        <w:jc w:val="left"/>
      </w:pPr>
      <w:r>
        <w:rPr>
          <w:spacing w:val="-2"/>
        </w:rPr>
        <w:t>邦科技股份有限公司股票在全国中小企业股份转让系统挂牌的函》，由于本公司申请挂牌时股东人数未超过</w:t>
      </w:r>
      <w:r>
        <w:rPr>
          <w:spacing w:val="-40"/>
        </w:rPr>
        <w:t> </w:t>
      </w:r>
      <w:r>
        <w:rPr>
          <w:rFonts w:ascii="Times New Roman" w:hAnsi="Times New Roman" w:cs="Times New Roman" w:eastAsia="Times New Roman" w:hint="default"/>
          <w:spacing w:val="-1"/>
        </w:rPr>
        <w:t>200</w:t>
      </w:r>
      <w:r>
        <w:rPr>
          <w:rFonts w:ascii="Times New Roman" w:hAnsi="Times New Roman" w:cs="Times New Roman" w:eastAsia="Times New Roman" w:hint="default"/>
          <w:spacing w:val="4"/>
        </w:rPr>
        <w:t> </w:t>
      </w:r>
      <w:r>
        <w:rPr>
          <w:spacing w:val="-1"/>
        </w:rPr>
        <w:t>人，按规定</w:t>
      </w:r>
      <w:r>
        <w:rPr/>
        <w:t> 被豁免核准本公司股票公开转让。</w:t>
      </w:r>
    </w:p>
    <w:p>
      <w:pPr>
        <w:pStyle w:val="BodyText"/>
        <w:spacing w:line="240" w:lineRule="auto" w:before="72"/>
        <w:ind w:left="152" w:right="0"/>
        <w:jc w:val="left"/>
        <w:rPr>
          <w:rFonts w:ascii="Times New Roman" w:hAnsi="Times New Roman" w:cs="Times New Roman" w:eastAsia="Times New Roman" w:hint="default"/>
        </w:rPr>
      </w:pPr>
      <w:r>
        <w:rPr/>
        <w:t>于</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月，根据股东大会决议，股东大会批准本公司以</w:t>
      </w:r>
      <w:r>
        <w:rPr>
          <w:spacing w:val="-52"/>
        </w:rPr>
        <w:t> </w:t>
      </w:r>
      <w:r>
        <w:rPr>
          <w:rFonts w:ascii="Times New Roman" w:hAnsi="Times New Roman" w:cs="Times New Roman" w:eastAsia="Times New Roman" w:hint="default"/>
        </w:rPr>
        <w:t>7.50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股的价格向公司主要董事、管理层及核心员工共计</w:t>
      </w:r>
      <w:r>
        <w:rPr>
          <w:spacing w:val="-53"/>
        </w:rPr>
        <w:t> </w:t>
      </w:r>
      <w:r>
        <w:rPr>
          <w:rFonts w:ascii="Times New Roman" w:hAnsi="Times New Roman" w:cs="Times New Roman" w:eastAsia="Times New Roman" w:hint="default"/>
        </w:rPr>
        <w:t>103</w:t>
      </w:r>
    </w:p>
    <w:p>
      <w:pPr>
        <w:pStyle w:val="BodyText"/>
        <w:spacing w:line="300" w:lineRule="auto" w:before="63"/>
        <w:ind w:left="152" w:right="115"/>
        <w:jc w:val="left"/>
      </w:pPr>
      <w:r>
        <w:rPr/>
        <w:t>人发行</w:t>
      </w:r>
      <w:r>
        <w:rPr>
          <w:spacing w:val="-47"/>
        </w:rPr>
        <w:t> </w:t>
      </w:r>
      <w:r>
        <w:rPr>
          <w:rFonts w:ascii="Times New Roman" w:hAnsi="Times New Roman" w:cs="Times New Roman" w:eastAsia="Times New Roman" w:hint="default"/>
        </w:rPr>
        <w:t>73.15</w:t>
      </w:r>
      <w:r>
        <w:rPr>
          <w:rFonts w:ascii="Times New Roman" w:hAnsi="Times New Roman" w:cs="Times New Roman" w:eastAsia="Times New Roman" w:hint="default"/>
          <w:spacing w:val="-1"/>
        </w:rPr>
        <w:t> </w:t>
      </w:r>
      <w:r>
        <w:rPr/>
        <w:t>万股人民币普通股，本公司注册资本由</w:t>
      </w:r>
      <w:r>
        <w:rPr>
          <w:spacing w:val="-47"/>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1"/>
        </w:rPr>
        <w:t> </w:t>
      </w:r>
      <w:r>
        <w:rPr/>
        <w:t>万元增加至</w:t>
      </w:r>
      <w:r>
        <w:rPr>
          <w:spacing w:val="-47"/>
        </w:rPr>
        <w:t> </w:t>
      </w:r>
      <w:r>
        <w:rPr>
          <w:rFonts w:ascii="Times New Roman" w:hAnsi="Times New Roman" w:cs="Times New Roman" w:eastAsia="Times New Roman" w:hint="default"/>
        </w:rPr>
        <w:t>4,073.15</w:t>
      </w:r>
      <w:r>
        <w:rPr>
          <w:rFonts w:ascii="Times New Roman" w:hAnsi="Times New Roman" w:cs="Times New Roman" w:eastAsia="Times New Roman" w:hint="default"/>
          <w:spacing w:val="-1"/>
        </w:rPr>
        <w:t> </w:t>
      </w:r>
      <w:r>
        <w:rPr/>
        <w:t>万元，新增注册资本由上述</w:t>
      </w:r>
      <w:r>
        <w:rPr>
          <w:spacing w:val="-47"/>
        </w:rPr>
        <w:t> </w:t>
      </w:r>
      <w:r>
        <w:rPr>
          <w:rFonts w:ascii="Times New Roman" w:hAnsi="Times New Roman" w:cs="Times New Roman" w:eastAsia="Times New Roman" w:hint="default"/>
        </w:rPr>
        <w:t>103</w:t>
      </w:r>
      <w:r>
        <w:rPr>
          <w:rFonts w:ascii="Times New Roman" w:hAnsi="Times New Roman" w:cs="Times New Roman" w:eastAsia="Times New Roman" w:hint="default"/>
          <w:spacing w:val="-2"/>
        </w:rPr>
        <w:t> </w:t>
      </w:r>
      <w:r>
        <w:rPr/>
        <w:t>人认缴。 本次增资经立信中联会计师事务所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)(2015)D-0002 </w:t>
      </w:r>
      <w:r>
        <w:rPr/>
        <w:t>号、</w:t>
      </w:r>
      <w:r>
        <w:rPr>
          <w:rFonts w:ascii="Times New Roman" w:hAnsi="Times New Roman" w:cs="Times New Roman" w:eastAsia="Times New Roman" w:hint="default"/>
        </w:rPr>
        <w:t>(2015)D-0003 </w:t>
      </w:r>
      <w:r>
        <w:rPr/>
        <w:t>号、</w:t>
      </w:r>
      <w:r>
        <w:rPr>
          <w:rFonts w:ascii="Times New Roman" w:hAnsi="Times New Roman" w:cs="Times New Roman" w:eastAsia="Times New Roman" w:hint="default"/>
        </w:rPr>
        <w:t>(2015)D-0004</w:t>
      </w:r>
      <w:r>
        <w:rPr>
          <w:rFonts w:ascii="Times New Roman" w:hAnsi="Times New Roman" w:cs="Times New Roman" w:eastAsia="Times New Roman" w:hint="default"/>
          <w:spacing w:val="-6"/>
        </w:rPr>
        <w:t> </w:t>
      </w:r>
      <w:r>
        <w:rPr/>
        <w:t>号验资报告验证。</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22</w:t>
      </w:r>
      <w:r>
        <w:rPr/>
        <w:t>、资本公积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36,585,124.19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36,585,124.19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1,515,894.76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1,515,894.76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38,101,018.95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38,101,018.95</w:t>
            </w:r>
          </w:p>
        </w:tc>
      </w:tr>
    </w:tbl>
    <w:p>
      <w:pPr>
        <w:pStyle w:val="BodyText"/>
        <w:spacing w:line="240" w:lineRule="auto" w:before="49"/>
        <w:ind w:left="152" w:right="0"/>
        <w:jc w:val="left"/>
      </w:pPr>
      <w:r>
        <w:rPr/>
        <w:t>其他说明，包括本期增减变动情况、变动原因说明：</w:t>
      </w:r>
    </w:p>
    <w:p>
      <w:pPr>
        <w:pStyle w:val="BodyText"/>
        <w:spacing w:line="240" w:lineRule="auto" w:before="114"/>
        <w:ind w:left="152" w:right="0"/>
        <w:jc w:val="left"/>
      </w:pPr>
      <w:r>
        <w:rPr>
          <w:rFonts w:ascii="Times New Roman" w:hAnsi="Times New Roman" w:cs="Times New Roman" w:eastAsia="Times New Roman" w:hint="default"/>
        </w:rPr>
        <w:t>2016 </w:t>
      </w:r>
      <w:r>
        <w:rPr/>
        <w:t>年度，其他资本公积的增加来自本集团的股份支付。于</w:t>
      </w:r>
      <w:r>
        <w:rPr>
          <w:spacing w:val="-46"/>
        </w:rPr>
        <w:t> </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月，本集团向公司主要董事、管理层及核心员工共</w:t>
      </w:r>
    </w:p>
    <w:p>
      <w:pPr>
        <w:spacing w:after="0" w:line="240" w:lineRule="auto"/>
        <w:jc w:val="left"/>
        <w:sectPr>
          <w:pgSz w:w="11910" w:h="16840"/>
          <w:pgMar w:header="892" w:footer="97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
        <w:ind w:left="152" w:right="0"/>
        <w:jc w:val="left"/>
      </w:pPr>
      <w:r>
        <w:rPr/>
        <w:t>计</w:t>
      </w:r>
      <w:r>
        <w:rPr>
          <w:spacing w:val="-46"/>
        </w:rPr>
        <w:t> </w:t>
      </w:r>
      <w:r>
        <w:rPr>
          <w:rFonts w:ascii="Times New Roman" w:hAnsi="Times New Roman" w:cs="Times New Roman" w:eastAsia="Times New Roman" w:hint="default"/>
        </w:rPr>
        <w:t>103</w:t>
      </w:r>
      <w:r>
        <w:rPr>
          <w:rFonts w:ascii="Times New Roman" w:hAnsi="Times New Roman" w:cs="Times New Roman" w:eastAsia="Times New Roman" w:hint="default"/>
          <w:spacing w:val="-1"/>
        </w:rPr>
        <w:t> </w:t>
      </w:r>
      <w:r>
        <w:rPr/>
        <w:t>人以</w:t>
      </w:r>
      <w:r>
        <w:rPr>
          <w:spacing w:val="-49"/>
        </w:rPr>
        <w:t> </w:t>
      </w:r>
      <w:r>
        <w:rPr>
          <w:rFonts w:ascii="Times New Roman" w:hAnsi="Times New Roman" w:cs="Times New Roman" w:eastAsia="Times New Roman" w:hint="default"/>
        </w:rPr>
        <w:t>7.50 </w:t>
      </w:r>
      <w:r>
        <w:rPr/>
        <w:t>元</w:t>
      </w:r>
      <w:r>
        <w:rPr>
          <w:rFonts w:ascii="Times New Roman" w:hAnsi="Times New Roman" w:cs="Times New Roman" w:eastAsia="Times New Roman" w:hint="default"/>
        </w:rPr>
        <w:t>/</w:t>
      </w:r>
      <w:r>
        <w:rPr/>
        <w:t>股的价格发行</w:t>
      </w:r>
      <w:r>
        <w:rPr>
          <w:spacing w:val="-46"/>
        </w:rPr>
        <w:t> </w:t>
      </w:r>
      <w:r>
        <w:rPr>
          <w:rFonts w:ascii="Times New Roman" w:hAnsi="Times New Roman" w:cs="Times New Roman" w:eastAsia="Times New Roman" w:hint="default"/>
        </w:rPr>
        <w:t>73.15 </w:t>
      </w:r>
      <w:r>
        <w:rPr/>
        <w:t>万股人民币普通股，用于员工激励。</w:t>
      </w:r>
      <w:r>
        <w:rPr>
          <w:rFonts w:ascii="Times New Roman" w:hAnsi="Times New Roman" w:cs="Times New Roman" w:eastAsia="Times New Roman" w:hint="default"/>
        </w:rPr>
        <w:t>2015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15 </w:t>
      </w:r>
      <w:r>
        <w:rPr/>
        <w:t>日，该等发行方案及股</w:t>
      </w:r>
    </w:p>
    <w:p>
      <w:pPr>
        <w:pStyle w:val="BodyText"/>
        <w:spacing w:line="240" w:lineRule="auto" w:before="63"/>
        <w:ind w:left="152" w:right="0"/>
        <w:jc w:val="left"/>
      </w:pPr>
      <w:r>
        <w:rPr/>
        <w:t>权激励计划经股东大会批准生效。本集团参考</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日经评估的本公司股权价值，确定该股份支付授予日授予员</w:t>
      </w:r>
    </w:p>
    <w:p>
      <w:pPr>
        <w:pStyle w:val="BodyText"/>
        <w:spacing w:line="240" w:lineRule="auto" w:before="63"/>
        <w:ind w:left="152" w:right="0"/>
        <w:jc w:val="left"/>
      </w:pPr>
      <w:r>
        <w:rPr/>
        <w:t>工的股权价值，并于</w:t>
      </w:r>
      <w:r>
        <w:rPr>
          <w:spacing w:val="-1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年度就上述股份支付确认其他资本公积</w:t>
      </w:r>
      <w:r>
        <w:rPr>
          <w:spacing w:val="-51"/>
        </w:rPr>
        <w:t> </w:t>
      </w:r>
      <w:r>
        <w:rPr>
          <w:rFonts w:ascii="Times New Roman" w:hAnsi="Times New Roman" w:cs="Times New Roman" w:eastAsia="Times New Roman" w:hint="default"/>
        </w:rPr>
        <w:t>903,037.86</w:t>
      </w:r>
      <w:r>
        <w:rPr>
          <w:rFonts w:ascii="Times New Roman" w:hAnsi="Times New Roman" w:cs="Times New Roman" w:eastAsia="Times New Roman" w:hint="default"/>
          <w:spacing w:val="-5"/>
        </w:rPr>
        <w:t> </w:t>
      </w:r>
      <w:r>
        <w:rPr/>
        <w:t>元，并确认当期损益</w:t>
      </w:r>
      <w:r>
        <w:rPr>
          <w:spacing w:val="-51"/>
        </w:rPr>
        <w:t> </w:t>
      </w:r>
      <w:r>
        <w:rPr>
          <w:rFonts w:ascii="Times New Roman" w:hAnsi="Times New Roman" w:cs="Times New Roman" w:eastAsia="Times New Roman" w:hint="default"/>
        </w:rPr>
        <w:t>903,037.86</w:t>
      </w:r>
      <w:r>
        <w:rPr>
          <w:rFonts w:ascii="Times New Roman" w:hAnsi="Times New Roman" w:cs="Times New Roman" w:eastAsia="Times New Roman" w:hint="default"/>
          <w:spacing w:val="-5"/>
        </w:rPr>
        <w:t> </w:t>
      </w:r>
      <w:r>
        <w:rPr>
          <w:spacing w:val="-3"/>
        </w:rPr>
        <w:t>元，该股份支</w:t>
      </w:r>
    </w:p>
    <w:p>
      <w:pPr>
        <w:pStyle w:val="BodyText"/>
        <w:spacing w:line="240" w:lineRule="auto" w:before="63"/>
        <w:ind w:left="152" w:right="0"/>
        <w:jc w:val="left"/>
      </w:pPr>
      <w:r>
        <w:rPr/>
        <w:t>付已于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年摊销完毕。</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23</w:t>
      </w:r>
      <w:r>
        <w:rPr/>
        <w:t>、盈余公积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10,825,337.92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1,476,710.74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12,302,048.66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10,825,337.92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1,476,710.74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12,302,048.66</w:t>
            </w:r>
          </w:p>
        </w:tc>
      </w:tr>
    </w:tbl>
    <w:p>
      <w:pPr>
        <w:pStyle w:val="BodyText"/>
        <w:spacing w:line="240" w:lineRule="auto" w:before="49"/>
        <w:ind w:left="152" w:right="0"/>
        <w:jc w:val="both"/>
      </w:pPr>
      <w:r>
        <w:rPr/>
        <w:t>盈余公积说明，包括本期增减变动情况、变动原因说明：</w:t>
      </w:r>
    </w:p>
    <w:p>
      <w:pPr>
        <w:pStyle w:val="BodyText"/>
        <w:spacing w:line="300" w:lineRule="auto" w:before="117"/>
        <w:ind w:left="152" w:right="235"/>
        <w:jc w:val="both"/>
      </w:pPr>
      <w:r>
        <w:rPr/>
        <w:t>根据《中华人民共和国公司法》及本公司章程，本公司按年度净利润的</w:t>
      </w:r>
      <w:r>
        <w:rPr>
          <w:spacing w:val="-46"/>
        </w:rPr>
        <w:t> </w:t>
      </w:r>
      <w:r>
        <w:rPr>
          <w:rFonts w:ascii="Times New Roman" w:hAnsi="Times New Roman" w:cs="Times New Roman" w:eastAsia="Times New Roman" w:hint="default"/>
        </w:rPr>
        <w:t>10%</w:t>
      </w:r>
      <w:r>
        <w:rPr/>
        <w:t>提取法定盈余公积金，当法定盈余公积金累计 额达到注册资本的</w:t>
      </w:r>
      <w:r>
        <w:rPr>
          <w:spacing w:val="-47"/>
        </w:rPr>
        <w:t> </w:t>
      </w:r>
      <w:r>
        <w:rPr>
          <w:rFonts w:ascii="Times New Roman" w:hAnsi="Times New Roman" w:cs="Times New Roman" w:eastAsia="Times New Roman" w:hint="default"/>
        </w:rPr>
        <w:t>50%</w:t>
      </w:r>
      <w:r>
        <w:rPr/>
        <w:t>以上时，可不再提取。法定盈余公积金经批准后可用于弥补亏损，或者增加股本。经董事会决议， 本公司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年按净利润的</w:t>
      </w:r>
      <w:r>
        <w:rPr>
          <w:spacing w:val="-48"/>
        </w:rPr>
        <w:t> </w:t>
      </w:r>
      <w:r>
        <w:rPr>
          <w:rFonts w:ascii="Times New Roman" w:hAnsi="Times New Roman" w:cs="Times New Roman" w:eastAsia="Times New Roman" w:hint="default"/>
        </w:rPr>
        <w:t>10%</w:t>
      </w:r>
      <w:r>
        <w:rPr/>
        <w:t>提取法定盈余公积金</w:t>
      </w:r>
      <w:r>
        <w:rPr>
          <w:spacing w:val="-47"/>
        </w:rPr>
        <w:t> </w:t>
      </w:r>
      <w:r>
        <w:rPr>
          <w:rFonts w:ascii="Times New Roman" w:hAnsi="Times New Roman" w:cs="Times New Roman" w:eastAsia="Times New Roman" w:hint="default"/>
        </w:rPr>
        <w:t>1,476,710.74</w:t>
      </w:r>
      <w:r>
        <w:rPr>
          <w:rFonts w:ascii="Times New Roman" w:hAnsi="Times New Roman" w:cs="Times New Roman" w:eastAsia="Times New Roman" w:hint="default"/>
          <w:spacing w:val="44"/>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w:t>
      </w:r>
      <w:r>
        <w:rPr/>
        <w:t>按净利润的</w:t>
      </w:r>
      <w:r>
        <w:rPr>
          <w:spacing w:val="-50"/>
        </w:rPr>
        <w:t> </w:t>
      </w:r>
      <w:r>
        <w:rPr>
          <w:rFonts w:ascii="Times New Roman" w:hAnsi="Times New Roman" w:cs="Times New Roman" w:eastAsia="Times New Roman" w:hint="default"/>
        </w:rPr>
        <w:t>10%</w:t>
      </w:r>
      <w:r>
        <w:rPr/>
        <w:t>提取，共</w:t>
      </w:r>
      <w:r>
        <w:rPr>
          <w:spacing w:val="-47"/>
        </w:rPr>
        <w:t> </w:t>
      </w:r>
      <w:r>
        <w:rPr>
          <w:rFonts w:ascii="Times New Roman" w:hAnsi="Times New Roman" w:cs="Times New Roman" w:eastAsia="Times New Roman" w:hint="default"/>
        </w:rPr>
        <w:t>4,463,754.58 </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24</w:t>
      </w:r>
      <w:r>
        <w:rPr/>
        <w:t>、未分配利润</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106,067,169.88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87,719,650.98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106,067,169.88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87,719,650.98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39,635,195.46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47,250,173.48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1,476,710.74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4,463,754.58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提取任意盈余公积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提取一般风险准备</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32,585,200.00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24,438,900.00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
        </w:tc>
        <w:tc>
          <w:tcPr>
            <w:tcW w:w="293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111,640,454.60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106,067,169.88</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76" w:top="1080" w:bottom="1160" w:left="980" w:right="980"/>
        </w:sectPr>
      </w:pPr>
    </w:p>
    <w:p>
      <w:pPr>
        <w:pStyle w:val="Heading3"/>
        <w:spacing w:line="286" w:lineRule="exact"/>
        <w:ind w:right="0"/>
        <w:jc w:val="left"/>
        <w:rPr>
          <w:b w:val="0"/>
          <w:bCs w:val="0"/>
        </w:rPr>
      </w:pPr>
      <w:r>
        <w:rPr>
          <w:rFonts w:ascii="Times New Roman" w:hAnsi="Times New Roman" w:cs="Times New Roman" w:eastAsia="Times New Roman" w:hint="default"/>
        </w:rPr>
        <w:t>25</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673,353,366.98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457,465,891.23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645,995,536.96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355,656,109.13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1,770,173.05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242,878.80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2,071,743.64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218,590.91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675,123,540.03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457,708,770.03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648,067,280.60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355,874,700.04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26</w:t>
      </w:r>
      <w:r>
        <w:rPr/>
        <w:t>、税金及附加</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2,774,100.46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3,362,261.55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2,171,230.48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2,712,889.62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69,448.53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763,837.42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1,033,224.19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5,709,168.36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7,177,823.89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27</w:t>
      </w:r>
      <w:r>
        <w:rPr/>
        <w:t>、销售费用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48,737,116.52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41,597,086.73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3,130,176.86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3,933,410.27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2,170,741.24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1,466,812.67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2,004,605.50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2,990,103.00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1,269,619.47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2,122,116.14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989,961.83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246,224.17</w:t>
            </w:r>
          </w:p>
        </w:tc>
      </w:tr>
    </w:tbl>
    <w:p>
      <w:pPr>
        <w:spacing w:after="0" w:line="240" w:lineRule="auto"/>
        <w:jc w:val="right"/>
        <w:rPr>
          <w:rFonts w:ascii="Times New Roman" w:hAnsi="Times New Roman" w:cs="Times New Roman" w:eastAsia="Times New Roman" w:hint="default"/>
          <w:sz w:val="18"/>
          <w:szCs w:val="18"/>
        </w:rPr>
        <w:sectPr>
          <w:headerReference w:type="default" r:id="rId55"/>
          <w:pgSz w:w="11910" w:h="16840"/>
          <w:pgMar w:header="1078" w:footer="976" w:top="19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15" w:hRule="exact"/>
        </w:trPr>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669,321.19</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972,916.40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80,885.48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109,864.39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59,052,428.09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53,438,533.77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28</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58,615,723.96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55,874,099.48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10,510,126.56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16,086,249.37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8,545,364.84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49,185,454.32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8,023,018.24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7,233,820.45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3,196,248.19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3,301,862.92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2,081,325.91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2,598,861.65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1,764,390.80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4,133,968.07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1,278,168.87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1,001,042.45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1,096,482.30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5,236,078.14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679,765.99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1,152,685.29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1,351,099.60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504,615.96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2,293,475.57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903,037.86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2,103,540.48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1,989,225.43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100,618,526.62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153,040,960.60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29</w:t>
      </w:r>
      <w:r>
        <w:rPr/>
        <w:t>、财务费用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102,979.12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69,676.12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2,715,022.86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2,135,156.84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-11,523.30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2,592,702.47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2,053,957.42</w:t>
            </w:r>
          </w:p>
        </w:tc>
      </w:tr>
    </w:tbl>
    <w:p>
      <w:pPr>
        <w:spacing w:after="0" w:line="240" w:lineRule="auto"/>
        <w:jc w:val="right"/>
        <w:rPr>
          <w:rFonts w:ascii="Times New Roman" w:hAnsi="Times New Roman" w:cs="Times New Roman" w:eastAsia="Times New Roman" w:hint="default"/>
          <w:sz w:val="18"/>
          <w:szCs w:val="18"/>
        </w:rPr>
        <w:sectPr>
          <w:headerReference w:type="default" r:id="rId56"/>
          <w:pgSz w:w="11910" w:h="16840"/>
          <w:pgMar w:header="892" w:footer="97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spacing w:line="281" w:lineRule="exact"/>
        <w:ind w:right="0"/>
        <w:jc w:val="left"/>
        <w:rPr>
          <w:b w:val="0"/>
          <w:bCs w:val="0"/>
        </w:rPr>
      </w:pPr>
      <w:r>
        <w:rPr>
          <w:rFonts w:ascii="Times New Roman" w:hAnsi="Times New Roman" w:cs="Times New Roman" w:eastAsia="Times New Roman" w:hint="default"/>
        </w:rPr>
        <w:t>30</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3,976.97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10,579,648.35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3,976.97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10,579,648.35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31</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167,232.83</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888,369.86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1,134,020.22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1,597,092.36</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7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15" w:hRule="exact"/>
        </w:trPr>
        <w:tc>
          <w:tcPr>
            <w:tcW w:w="3462" w:type="dxa"/>
            <w:tcBorders>
              <w:top w:val="single" w:sz="10" w:space="0" w:color="000000"/>
              <w:left w:val="single" w:sz="4" w:space="0" w:color="000000"/>
              <w:bottom w:val="single" w:sz="4" w:space="0" w:color="000000"/>
              <w:right w:val="single" w:sz="4" w:space="0" w:color="000000"/>
            </w:tcBorders>
          </w:tcPr>
          <w:p>
            <w:pPr/>
          </w:p>
        </w:tc>
        <w:tc>
          <w:tcPr>
            <w:tcW w:w="3190" w:type="dxa"/>
            <w:tcBorders>
              <w:top w:val="single" w:sz="10" w:space="0" w:color="000000"/>
              <w:left w:val="single" w:sz="4" w:space="0" w:color="000000"/>
              <w:bottom w:val="single" w:sz="4" w:space="0" w:color="000000"/>
              <w:right w:val="single" w:sz="4" w:space="0" w:color="000000"/>
            </w:tcBorders>
          </w:tcPr>
          <w:p>
            <w:pPr/>
          </w:p>
        </w:tc>
        <w:tc>
          <w:tcPr>
            <w:tcW w:w="2919"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2,022,390.08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1,764,325.19</w:t>
            </w:r>
          </w:p>
        </w:tc>
      </w:tr>
    </w:tbl>
    <w:p>
      <w:pPr>
        <w:pStyle w:val="BodyText"/>
        <w:spacing w:line="240" w:lineRule="auto" w:before="49"/>
        <w:ind w:left="152" w:right="0"/>
        <w:jc w:val="left"/>
      </w:pPr>
      <w:r>
        <w:rPr/>
        <w:t>其他说明：</w:t>
      </w:r>
    </w:p>
    <w:p>
      <w:pPr>
        <w:pStyle w:val="BodyText"/>
        <w:spacing w:line="300" w:lineRule="auto" w:before="115"/>
        <w:ind w:left="152" w:right="134"/>
        <w:jc w:val="left"/>
      </w:pP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w:t>
      </w:r>
      <w:r>
        <w:rPr/>
        <w:t>本集团投资短期银行理财产品之投资收益为</w:t>
      </w:r>
      <w:r>
        <w:rPr>
          <w:rFonts w:ascii="Times New Roman" w:hAnsi="Times New Roman" w:cs="Times New Roman" w:eastAsia="Times New Roman" w:hint="default"/>
        </w:rPr>
        <w:t>1,134,020.22</w:t>
      </w:r>
      <w:r>
        <w:rPr/>
        <w:t>元、本集团投资结构性存款之投资收益为</w:t>
      </w:r>
      <w:r>
        <w:rPr>
          <w:rFonts w:ascii="Times New Roman" w:hAnsi="Times New Roman" w:cs="Times New Roman" w:eastAsia="Times New Roman" w:hint="default"/>
        </w:rPr>
        <w:t>888,369.86</w:t>
      </w:r>
      <w:r>
        <w:rPr/>
        <w:t>元。</w:t>
      </w:r>
      <w:r>
        <w:rPr>
          <w:spacing w:val="-10"/>
        </w:rPr>
        <w:t> </w:t>
      </w:r>
      <w:r>
        <w:rPr>
          <w:rFonts w:ascii="Times New Roman" w:hAnsi="Times New Roman" w:cs="Times New Roman" w:eastAsia="Times New Roman" w:hint="default"/>
        </w:rPr>
        <w:t>(2016</w:t>
      </w:r>
      <w:r>
        <w:rPr/>
        <w:t>年度：短期银行理财产品收益为</w:t>
      </w:r>
      <w:r>
        <w:rPr>
          <w:rFonts w:ascii="Times New Roman" w:hAnsi="Times New Roman" w:cs="Times New Roman" w:eastAsia="Times New Roman" w:hint="default"/>
        </w:rPr>
        <w:t>1,597,092.36</w:t>
      </w:r>
      <w:r>
        <w:rPr/>
        <w:t>元，结构性存款投资收益为</w:t>
      </w:r>
      <w:r>
        <w:rPr>
          <w:rFonts w:ascii="Times New Roman" w:hAnsi="Times New Roman" w:cs="Times New Roman" w:eastAsia="Times New Roman" w:hint="default"/>
        </w:rPr>
        <w:t>0</w:t>
      </w:r>
      <w:r>
        <w:rPr/>
        <w:t>元。</w:t>
      </w:r>
      <w:r>
        <w:rPr>
          <w:rFonts w:ascii="Times New Roman" w:hAnsi="Times New Roman" w:cs="Times New Roman" w:eastAsia="Times New Roman" w:hint="default"/>
        </w:rPr>
        <w:t>) </w:t>
      </w:r>
      <w:r>
        <w:rPr/>
        <w:t>本集团不存在投资收益汇回的重大限制。</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32</w:t>
      </w:r>
      <w:r>
        <w:rPr/>
        <w:t>、资产处置收益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103,345.86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95,007.04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-251,713.97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33</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3,016,600.00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3,016,600.00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罚没利得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269,488.00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380,366.82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269,488.00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602,815.67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432,676.33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602,815.67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3,888,903.67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3,023,043.15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3,888,903.67</w:t>
            </w:r>
          </w:p>
        </w:tc>
      </w:tr>
    </w:tbl>
    <w:p>
      <w:pPr>
        <w:pStyle w:val="BodyText"/>
        <w:spacing w:line="240" w:lineRule="auto" w:before="49"/>
        <w:ind w:left="152" w:right="0"/>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产业专项扶 持项目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2,210,000.00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产业专项扶 持项目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上海市青浦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92" w:footer="97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98" w:hRule="exact"/>
        </w:trPr>
        <w:tc>
          <w:tcPr>
            <w:tcW w:w="1066"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3" w:right="127"/>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3,016,600.00</w:t>
            </w: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2,210,000.00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34</w:t>
      </w:r>
      <w:r>
        <w:rPr/>
        <w:t>、营业外支出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门店关闭损失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631,326.84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1,435,743.81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631,326.84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687,188.54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604,487.27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687,188.54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1,318,515.38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2,040,231.08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1,318,515.38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35</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15,525,555.62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25,222,231.51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-1,117,221.51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-3,980,318.13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14,408,334.11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21,241,913.38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54,043,529.57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13,510,882.39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-282,939.97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
        </w:tc>
      </w:tr>
    </w:tbl>
    <w:p>
      <w:pPr>
        <w:spacing w:after="0"/>
        <w:sectPr>
          <w:pgSz w:w="11910" w:h="16840"/>
          <w:pgMar w:header="892" w:footer="97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15" w:hRule="exact"/>
        </w:trPr>
        <w:tc>
          <w:tcPr>
            <w:tcW w:w="477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424,895.63</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-18,765.25</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353,548.16</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3" w:right="0"/>
              <w:jc w:val="left"/>
              <w:rPr>
                <w:rFonts w:ascii="宋体" w:hAnsi="宋体" w:cs="宋体" w:eastAsia="宋体" w:hint="default"/>
                <w:sz w:val="18"/>
                <w:szCs w:val="18"/>
              </w:rPr>
            </w:pPr>
            <w:r>
              <w:rPr>
                <w:rFonts w:ascii="宋体" w:hAnsi="宋体" w:cs="宋体" w:eastAsia="宋体" w:hint="default"/>
                <w:sz w:val="18"/>
                <w:szCs w:val="18"/>
              </w:rPr>
              <w:t>核销前期确认递延所得税资产的可抵扣亏损</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420,713.15</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14,408,334.11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36</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5,370,665.87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14,107,465.74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产业扶持金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102,979.12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69,676.12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813,043.15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8,621,381.58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17,200,185.01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押金保证金及代垫款项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17,967,007.52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6,395,880.27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8,744,412.03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47,569,982.63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4,110,475.55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4,274,779.32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3,901,651.59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2,467,855.12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3,130,176.86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3,933,410.27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3,034,010.27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6,256,084.21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2,690,694.62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2,135,156.84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1,328,034.60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659,043.16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989,961.83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246,224.17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1,351,099.60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504,615.96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2,293,475.57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395,867.53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1,140,977.88</w:t>
            </w:r>
          </w:p>
        </w:tc>
      </w:tr>
    </w:tbl>
    <w:p>
      <w:pPr>
        <w:spacing w:after="0" w:line="240" w:lineRule="auto"/>
        <w:jc w:val="right"/>
        <w:rPr>
          <w:rFonts w:ascii="Times New Roman" w:hAnsi="Times New Roman" w:cs="Times New Roman" w:eastAsia="Times New Roman" w:hint="default"/>
          <w:sz w:val="18"/>
          <w:szCs w:val="18"/>
        </w:rPr>
        <w:sectPr>
          <w:footerReference w:type="default" r:id="rId57"/>
          <w:pgSz w:w="11910" w:h="16840"/>
          <w:pgMar w:footer="956" w:header="892" w:top="1080" w:bottom="1140" w:left="980" w:right="980"/>
          <w:pgNumType w:start="120"/>
        </w:sectPr>
      </w:pPr>
    </w:p>
    <w:p>
      <w:pPr>
        <w:spacing w:line="240" w:lineRule="auto" w:before="0"/>
        <w:rPr>
          <w:rFonts w:ascii="宋体" w:hAnsi="宋体" w:cs="宋体" w:eastAsia="宋体" w:hint="default"/>
          <w:sz w:val="20"/>
          <w:szCs w:val="20"/>
        </w:rPr>
      </w:pPr>
      <w:r>
        <w:rPr/>
        <w:pict>
          <v:group style="position:absolute;margin-left:223.369995pt;margin-top:505.449982pt;width:151.25pt;height:40.8pt;mso-position-horizontal-relative:page;mso-position-vertical-relative:page;z-index:-829048" coordorigin="4467,10109" coordsize="3025,816">
            <v:group style="position:absolute;left:4478;top:10120;width:2;height:394" coordorigin="4478,10120" coordsize="2,394">
              <v:shape style="position:absolute;left:4478;top:10120;width:2;height:394" coordorigin="4478,10120" coordsize="0,394" path="m4478,10120l4478,10513e" filled="false" stroked="true" strokeweight="1.08pt" strokecolor="#ffffff">
                <v:path arrowok="t"/>
              </v:shape>
            </v:group>
            <v:group style="position:absolute;left:4489;top:10120;width:3003;height:394" coordorigin="4489,10120" coordsize="3003,394">
              <v:shape style="position:absolute;left:4489;top:10120;width:3003;height:394" coordorigin="4489,10120" coordsize="3003,394" path="m4489,10513l7492,10513,7492,10120,4489,10120,4489,10513xe" filled="true" fillcolor="#ffffff" stroked="false">
                <v:path arrowok="t"/>
                <v:fill type="solid"/>
              </v:shape>
            </v:group>
            <v:group style="position:absolute;left:4478;top:10523;width:2;height:392" coordorigin="4478,10523" coordsize="2,392">
              <v:shape style="position:absolute;left:4478;top:10523;width:2;height:392" coordorigin="4478,10523" coordsize="0,392" path="m4478,10523l4478,10914e" filled="false" stroked="true" strokeweight="1.08pt" strokecolor="#ffffff">
                <v:path arrowok="t"/>
              </v:shape>
            </v:group>
            <v:group style="position:absolute;left:4489;top:10523;width:3003;height:392" coordorigin="4489,10523" coordsize="3003,392">
              <v:shape style="position:absolute;left:4489;top:10523;width:3003;height:392" coordorigin="4489,10523" coordsize="3003,392" path="m4489,10914l7492,10914,7492,10523,4489,10523,4489,10914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15"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7,573,429.18</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5,211,533.33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54,971,192.06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83,935,502.37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37</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39,635,195.46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47,250,173.48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3,976.97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10,579,648.35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3,280,228.95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3,968,252.16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10,510,126.56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16,086,249.37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5,212,432.01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4,830,059.93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618,543.13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1,592,450.74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-19,341.27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-11,523.30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-2,022,390.08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-1,764,325.19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137,034.74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-970,103.13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-1,254,256.25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-3,010,215.00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-5,315,162.77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3,645,927.65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10,498,106.41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-5,324,023.25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-15,336,709.92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307,705.52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903,037.86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45,947,783.94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78,083,315.19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15" w:hRule="exact"/>
        </w:trPr>
        <w:tc>
          <w:tcPr>
            <w:tcW w:w="330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tcBorders>
              <w:top w:val="single" w:sz="10" w:space="0" w:color="000000"/>
              <w:left w:val="single" w:sz="10" w:space="0" w:color="D2D2D2"/>
              <w:bottom w:val="single" w:sz="4" w:space="0" w:color="000000"/>
              <w:right w:val="single" w:sz="4" w:space="0" w:color="000000"/>
            </w:tcBorders>
          </w:tcPr>
          <w:p>
            <w:pPr/>
          </w:p>
        </w:tc>
        <w:tc>
          <w:tcPr>
            <w:tcW w:w="3185"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94,775,987.61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6,464,921.99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6,464,921.99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61,409,578.92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88,311,065.62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-54,944,656.93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94,775,987.61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6,464,921.99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814,752.80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500,213.31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93,961,234.81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5,964,708.68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可用于支付的存放中央银行款项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受到限制的其他货币资金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94,775,987.61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6,464,921.99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38</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755.30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4,935.28</w:t>
            </w:r>
          </w:p>
        </w:tc>
      </w:tr>
    </w:tbl>
    <w:p>
      <w:pPr>
        <w:spacing w:after="0" w:line="240" w:lineRule="auto"/>
        <w:jc w:val="right"/>
        <w:rPr>
          <w:rFonts w:ascii="Times New Roman" w:hAnsi="Times New Roman" w:cs="Times New Roman" w:eastAsia="Times New Roman" w:hint="default"/>
          <w:sz w:val="18"/>
          <w:szCs w:val="18"/>
        </w:rPr>
        <w:sectPr>
          <w:headerReference w:type="default" r:id="rId58"/>
          <w:pgSz w:w="11910" w:h="16840"/>
          <w:pgMar w:header="892" w:footer="95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15" w:hRule="exact"/>
        </w:trPr>
        <w:tc>
          <w:tcPr>
            <w:tcW w:w="249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10" w:space="0" w:color="000000"/>
              <w:left w:val="single" w:sz="10" w:space="0" w:color="D2D2D2"/>
              <w:bottom w:val="single" w:sz="4" w:space="0" w:color="000000"/>
              <w:right w:val="single" w:sz="4" w:space="0" w:color="000000"/>
            </w:tcBorders>
          </w:tcPr>
          <w:p>
            <w:pPr/>
          </w:p>
        </w:tc>
        <w:tc>
          <w:tcPr>
            <w:tcW w:w="2391" w:type="dxa"/>
            <w:tcBorders>
              <w:top w:val="single" w:sz="10" w:space="0" w:color="000000"/>
              <w:left w:val="single" w:sz="4" w:space="0" w:color="000000"/>
              <w:bottom w:val="single" w:sz="4" w:space="0" w:color="000000"/>
              <w:right w:val="single" w:sz="4" w:space="0" w:color="000000"/>
            </w:tcBorders>
          </w:tcPr>
          <w:p>
            <w:pPr/>
          </w:p>
        </w:tc>
        <w:tc>
          <w:tcPr>
            <w:tcW w:w="2391"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14" w:lineRule="exact" w:before="30"/>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39</w:t>
      </w:r>
      <w:r>
        <w:rPr/>
        <w:t>、其他</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Heading4"/>
        <w:spacing w:line="240" w:lineRule="auto"/>
        <w:ind w:left="225" w:right="0"/>
        <w:jc w:val="left"/>
        <w:rPr>
          <w:b w:val="0"/>
          <w:bCs w:val="0"/>
        </w:rPr>
      </w:pPr>
      <w:r>
        <w:rPr/>
        <w:t>资产减值准备</w:t>
      </w:r>
      <w:r>
        <w:rPr>
          <w:b w:val="0"/>
          <w:bCs w:val="0"/>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1366"/>
        <w:gridCol w:w="1517"/>
        <w:gridCol w:w="1214"/>
        <w:gridCol w:w="1366"/>
        <w:gridCol w:w="1061"/>
        <w:gridCol w:w="910"/>
        <w:gridCol w:w="1676"/>
      </w:tblGrid>
      <w:tr>
        <w:trPr>
          <w:trHeight w:val="658" w:hRule="exact"/>
        </w:trPr>
        <w:tc>
          <w:tcPr>
            <w:tcW w:w="1366" w:type="dxa"/>
            <w:tcBorders>
              <w:top w:val="single" w:sz="6" w:space="0" w:color="000000"/>
              <w:left w:val="single" w:sz="6" w:space="0" w:color="000000"/>
              <w:bottom w:val="single" w:sz="6" w:space="0" w:color="000000"/>
              <w:right w:val="single" w:sz="6" w:space="0" w:color="000000"/>
            </w:tcBorders>
          </w:tcPr>
          <w:p>
            <w:pPr/>
          </w:p>
        </w:tc>
        <w:tc>
          <w:tcPr>
            <w:tcW w:w="1517" w:type="dxa"/>
            <w:vMerge w:val="restart"/>
            <w:tcBorders>
              <w:top w:val="single" w:sz="6" w:space="0" w:color="000000"/>
              <w:left w:val="single" w:sz="6" w:space="0" w:color="000000"/>
              <w:right w:val="single" w:sz="6"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63"/>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14" w:type="dxa"/>
            <w:vMerge w:val="restart"/>
            <w:tcBorders>
              <w:top w:val="single" w:sz="6" w:space="0" w:color="000000"/>
              <w:left w:val="single" w:sz="6" w:space="0" w:color="000000"/>
              <w:right w:val="single" w:sz="6" w:space="0" w:color="000000"/>
            </w:tcBorders>
          </w:tcPr>
          <w:p>
            <w:pPr>
              <w:pStyle w:val="TableParagraph"/>
              <w:spacing w:line="240" w:lineRule="auto" w:before="17"/>
              <w:ind w:left="23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3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1366" w:type="dxa"/>
            <w:tcBorders>
              <w:top w:val="single" w:sz="6" w:space="0" w:color="000000"/>
              <w:left w:val="single" w:sz="6" w:space="0" w:color="000000"/>
              <w:bottom w:val="single" w:sz="6" w:space="0" w:color="000000"/>
              <w:right w:val="single" w:sz="6" w:space="0" w:color="000000"/>
            </w:tcBorders>
          </w:tcPr>
          <w:p>
            <w:pPr/>
          </w:p>
        </w:tc>
        <w:tc>
          <w:tcPr>
            <w:tcW w:w="1517" w:type="dxa"/>
            <w:vMerge/>
            <w:tcBorders>
              <w:left w:val="single" w:sz="6" w:space="0" w:color="000000"/>
              <w:bottom w:val="single" w:sz="6" w:space="0" w:color="000000"/>
              <w:right w:val="single" w:sz="6" w:space="0" w:color="000000"/>
            </w:tcBorders>
          </w:tcPr>
          <w:p>
            <w:pPr/>
          </w:p>
        </w:tc>
        <w:tc>
          <w:tcPr>
            <w:tcW w:w="1214" w:type="dxa"/>
            <w:vMerge/>
            <w:tcBorders>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366"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366"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366"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5"/>
        <w:rPr>
          <w:rFonts w:ascii="Microsoft JhengHei" w:hAnsi="Microsoft JhengHei" w:cs="Microsoft JhengHei" w:eastAsia="Microsoft JhengHei" w:hint="default"/>
          <w:b/>
          <w:bCs/>
          <w:sz w:val="15"/>
          <w:szCs w:val="15"/>
        </w:rPr>
      </w:pPr>
    </w:p>
    <w:p>
      <w:pPr>
        <w:spacing w:line="300" w:lineRule="exact" w:before="0"/>
        <w:ind w:left="1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费用按性质分类</w:t>
      </w:r>
      <w:r>
        <w:rPr>
          <w:rFonts w:ascii="Microsoft JhengHei" w:hAnsi="Microsoft JhengHei" w:cs="Microsoft JhengHei" w:eastAsia="Microsoft JhengHei" w:hint="default"/>
          <w:sz w:val="18"/>
          <w:szCs w:val="18"/>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2055"/>
        <w:gridCol w:w="3755"/>
        <w:gridCol w:w="3260"/>
      </w:tblGrid>
      <w:tr>
        <w:trPr>
          <w:trHeight w:val="346" w:hRule="exact"/>
        </w:trPr>
        <w:tc>
          <w:tcPr>
            <w:tcW w:w="2055" w:type="dxa"/>
            <w:tcBorders>
              <w:top w:val="single" w:sz="6" w:space="0" w:color="000000"/>
              <w:left w:val="single" w:sz="6" w:space="0" w:color="000000"/>
              <w:bottom w:val="single" w:sz="6" w:space="0" w:color="000000"/>
              <w:right w:val="single" w:sz="6" w:space="0" w:color="000000"/>
            </w:tcBorders>
          </w:tcPr>
          <w:p>
            <w:pP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年度</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宋体" w:hAnsi="宋体" w:cs="宋体" w:eastAsia="宋体" w:hint="default"/>
                <w:sz w:val="20"/>
                <w:szCs w:val="20"/>
              </w:rPr>
              <w:t>年度</w:t>
            </w:r>
          </w:p>
        </w:tc>
      </w:tr>
      <w:tr>
        <w:trPr>
          <w:trHeight w:val="349"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库存商品变动</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386,435,986.86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7"/>
              <w:jc w:val="right"/>
              <w:rPr>
                <w:rFonts w:ascii="Times New Roman" w:hAnsi="Times New Roman" w:cs="Times New Roman" w:eastAsia="Times New Roman" w:hint="default"/>
                <w:sz w:val="20"/>
                <w:szCs w:val="20"/>
              </w:rPr>
            </w:pPr>
            <w:r>
              <w:rPr>
                <w:rFonts w:ascii="Times New Roman"/>
                <w:w w:val="95"/>
                <w:sz w:val="20"/>
              </w:rPr>
              <w:t>278,665,573.93</w:t>
            </w:r>
            <w:r>
              <w:rPr>
                <w:rFonts w:ascii="Times New Roman"/>
                <w:sz w:val="20"/>
              </w:rPr>
            </w:r>
          </w:p>
        </w:tc>
      </w:tr>
      <w:tr>
        <w:trPr>
          <w:trHeight w:val="348"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人工成本</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136,722,406.32</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7"/>
              <w:jc w:val="right"/>
              <w:rPr>
                <w:rFonts w:ascii="Times New Roman" w:hAnsi="Times New Roman" w:cs="Times New Roman" w:eastAsia="Times New Roman" w:hint="default"/>
                <w:sz w:val="20"/>
                <w:szCs w:val="20"/>
              </w:rPr>
            </w:pPr>
            <w:r>
              <w:rPr>
                <w:rFonts w:ascii="Times New Roman"/>
                <w:w w:val="95"/>
                <w:sz w:val="20"/>
              </w:rPr>
              <w:t>133,133,023.45</w:t>
            </w:r>
            <w:r>
              <w:rPr>
                <w:rFonts w:ascii="Times New Roman"/>
                <w:sz w:val="20"/>
              </w:rPr>
            </w:r>
          </w:p>
        </w:tc>
      </w:tr>
      <w:tr>
        <w:trPr>
          <w:trHeight w:val="346"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租赁物管费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39,959,102.62</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48"/>
              <w:jc w:val="right"/>
              <w:rPr>
                <w:rFonts w:ascii="Times New Roman" w:hAnsi="Times New Roman" w:cs="Times New Roman" w:eastAsia="Times New Roman" w:hint="default"/>
                <w:sz w:val="20"/>
                <w:szCs w:val="20"/>
              </w:rPr>
            </w:pPr>
            <w:r>
              <w:rPr>
                <w:rFonts w:ascii="Times New Roman"/>
                <w:w w:val="95"/>
                <w:sz w:val="20"/>
              </w:rPr>
              <w:t>34,181,752.70</w:t>
            </w:r>
            <w:r>
              <w:rPr>
                <w:rFonts w:ascii="Times New Roman"/>
                <w:sz w:val="20"/>
              </w:rPr>
            </w:r>
          </w:p>
        </w:tc>
      </w:tr>
      <w:tr>
        <w:trPr>
          <w:trHeight w:val="348"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无形资产摊销费用</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10,510,126.56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48"/>
              <w:jc w:val="right"/>
              <w:rPr>
                <w:rFonts w:ascii="Times New Roman" w:hAnsi="Times New Roman" w:cs="Times New Roman" w:eastAsia="Times New Roman" w:hint="default"/>
                <w:sz w:val="20"/>
                <w:szCs w:val="20"/>
              </w:rPr>
            </w:pPr>
            <w:r>
              <w:rPr>
                <w:rFonts w:ascii="Times New Roman"/>
                <w:w w:val="95"/>
                <w:sz w:val="20"/>
              </w:rPr>
              <w:t>16,086,249.37</w:t>
            </w:r>
            <w:r>
              <w:rPr>
                <w:rFonts w:ascii="Times New Roman"/>
                <w:sz w:val="20"/>
              </w:rPr>
            </w:r>
          </w:p>
        </w:tc>
      </w:tr>
      <w:tr>
        <w:trPr>
          <w:trHeight w:val="346"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管理咨询费用</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8,545,364.84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48"/>
              <w:jc w:val="right"/>
              <w:rPr>
                <w:rFonts w:ascii="Times New Roman" w:hAnsi="Times New Roman" w:cs="Times New Roman" w:eastAsia="Times New Roman" w:hint="default"/>
                <w:sz w:val="20"/>
                <w:szCs w:val="20"/>
              </w:rPr>
            </w:pPr>
            <w:r>
              <w:rPr>
                <w:rFonts w:ascii="Times New Roman"/>
                <w:w w:val="95"/>
                <w:sz w:val="20"/>
              </w:rPr>
              <w:t>49,185,454.32</w:t>
            </w:r>
            <w:r>
              <w:rPr>
                <w:rFonts w:ascii="Times New Roman"/>
                <w:sz w:val="20"/>
              </w:rPr>
            </w:r>
          </w:p>
        </w:tc>
      </w:tr>
      <w:tr>
        <w:trPr>
          <w:trHeight w:val="348"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装修费摊销</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4,877,720.49</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96"/>
              <w:jc w:val="right"/>
              <w:rPr>
                <w:rFonts w:ascii="Times New Roman" w:hAnsi="Times New Roman" w:cs="Times New Roman" w:eastAsia="Times New Roman" w:hint="default"/>
                <w:sz w:val="20"/>
                <w:szCs w:val="20"/>
              </w:rPr>
            </w:pPr>
            <w:r>
              <w:rPr>
                <w:rFonts w:ascii="Times New Roman"/>
                <w:w w:val="95"/>
                <w:sz w:val="20"/>
              </w:rPr>
              <w:t>4,830,059.93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92" w:footer="956" w:top="108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058"/>
        <w:gridCol w:w="3755"/>
        <w:gridCol w:w="3260"/>
        <w:gridCol w:w="595"/>
      </w:tblGrid>
      <w:tr>
        <w:trPr>
          <w:trHeight w:val="362" w:hRule="exact"/>
        </w:trPr>
        <w:tc>
          <w:tcPr>
            <w:tcW w:w="20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差旅费</w:t>
            </w:r>
          </w:p>
        </w:tc>
        <w:tc>
          <w:tcPr>
            <w:tcW w:w="37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4,110,475.55</w:t>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4,274,779.32</w:t>
            </w:r>
          </w:p>
        </w:tc>
        <w:tc>
          <w:tcPr>
            <w:tcW w:w="595" w:type="dxa"/>
            <w:vMerge w:val="restart"/>
            <w:tcBorders>
              <w:top w:val="single" w:sz="6" w:space="0" w:color="000000"/>
              <w:left w:val="single" w:sz="6" w:space="0" w:color="000000"/>
              <w:right w:val="nil" w:sz="6" w:space="0" w:color="auto"/>
            </w:tcBorders>
          </w:tcPr>
          <w:p>
            <w:pPr/>
          </w:p>
        </w:tc>
      </w:tr>
      <w:tr>
        <w:trPr>
          <w:trHeight w:val="348"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通讯、网络费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3,448,910.11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2,809,665.90</w:t>
            </w:r>
          </w:p>
        </w:tc>
        <w:tc>
          <w:tcPr>
            <w:tcW w:w="595" w:type="dxa"/>
            <w:vMerge/>
            <w:tcBorders>
              <w:left w:val="single" w:sz="6" w:space="0" w:color="000000"/>
              <w:right w:val="nil" w:sz="6" w:space="0" w:color="auto"/>
            </w:tcBorders>
          </w:tcPr>
          <w:p>
            <w:pPr/>
          </w:p>
        </w:tc>
      </w:tr>
      <w:tr>
        <w:trPr>
          <w:trHeight w:val="346"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固定资产折旧费用</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3,280,228.95</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3,968,252.16</w:t>
            </w:r>
          </w:p>
        </w:tc>
        <w:tc>
          <w:tcPr>
            <w:tcW w:w="595" w:type="dxa"/>
            <w:vMerge/>
            <w:tcBorders>
              <w:left w:val="single" w:sz="6" w:space="0" w:color="000000"/>
              <w:right w:val="nil" w:sz="6" w:space="0" w:color="auto"/>
            </w:tcBorders>
          </w:tcPr>
          <w:p>
            <w:pPr/>
          </w:p>
        </w:tc>
      </w:tr>
      <w:tr>
        <w:trPr>
          <w:trHeight w:val="348"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运输邮寄费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3,130,176.86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3,933,410.27</w:t>
            </w:r>
          </w:p>
        </w:tc>
        <w:tc>
          <w:tcPr>
            <w:tcW w:w="595" w:type="dxa"/>
            <w:vMerge/>
            <w:tcBorders>
              <w:left w:val="single" w:sz="6" w:space="0" w:color="000000"/>
              <w:right w:val="nil" w:sz="6" w:space="0" w:color="auto"/>
            </w:tcBorders>
          </w:tcPr>
          <w:p>
            <w:pPr/>
          </w:p>
        </w:tc>
      </w:tr>
      <w:tr>
        <w:trPr>
          <w:trHeight w:val="346"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办公招待费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3,034,010.27</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6,256,084.21</w:t>
            </w:r>
          </w:p>
        </w:tc>
        <w:tc>
          <w:tcPr>
            <w:tcW w:w="595" w:type="dxa"/>
            <w:vMerge/>
            <w:tcBorders>
              <w:left w:val="single" w:sz="6" w:space="0" w:color="000000"/>
              <w:right w:val="nil" w:sz="6" w:space="0" w:color="auto"/>
            </w:tcBorders>
          </w:tcPr>
          <w:p>
            <w:pPr/>
          </w:p>
        </w:tc>
      </w:tr>
      <w:tr>
        <w:trPr>
          <w:trHeight w:val="348"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耗用的低值易耗品</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2,684,371.49</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6,243,333.28</w:t>
            </w:r>
          </w:p>
        </w:tc>
        <w:tc>
          <w:tcPr>
            <w:tcW w:w="595" w:type="dxa"/>
            <w:vMerge/>
            <w:tcBorders>
              <w:left w:val="single" w:sz="6" w:space="0" w:color="000000"/>
              <w:right w:val="nil" w:sz="6" w:space="0" w:color="auto"/>
            </w:tcBorders>
          </w:tcPr>
          <w:p>
            <w:pPr/>
          </w:p>
        </w:tc>
      </w:tr>
      <w:tr>
        <w:trPr>
          <w:trHeight w:val="346"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水电费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1,639,935.38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1,454,062.25</w:t>
            </w:r>
          </w:p>
        </w:tc>
        <w:tc>
          <w:tcPr>
            <w:tcW w:w="595" w:type="dxa"/>
            <w:vMerge/>
            <w:tcBorders>
              <w:left w:val="single" w:sz="6" w:space="0" w:color="000000"/>
              <w:right w:val="nil" w:sz="6" w:space="0" w:color="auto"/>
            </w:tcBorders>
          </w:tcPr>
          <w:p>
            <w:pPr/>
          </w:p>
        </w:tc>
      </w:tr>
      <w:tr>
        <w:trPr>
          <w:trHeight w:val="348"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审计费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1,618,900.00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700,000.00</w:t>
            </w:r>
          </w:p>
        </w:tc>
        <w:tc>
          <w:tcPr>
            <w:tcW w:w="595" w:type="dxa"/>
            <w:vMerge/>
            <w:tcBorders>
              <w:left w:val="single" w:sz="6" w:space="0" w:color="000000"/>
              <w:right w:val="nil" w:sz="6" w:space="0" w:color="auto"/>
            </w:tcBorders>
          </w:tcPr>
          <w:p>
            <w:pPr/>
          </w:p>
        </w:tc>
      </w:tr>
      <w:tr>
        <w:trPr>
          <w:trHeight w:val="348"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保险费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1,096,482.30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5,236,078.14</w:t>
            </w:r>
          </w:p>
        </w:tc>
        <w:tc>
          <w:tcPr>
            <w:tcW w:w="595" w:type="dxa"/>
            <w:vMerge/>
            <w:tcBorders>
              <w:left w:val="single" w:sz="6" w:space="0" w:color="000000"/>
              <w:right w:val="nil" w:sz="6" w:space="0" w:color="auto"/>
            </w:tcBorders>
          </w:tcPr>
          <w:p>
            <w:pPr/>
          </w:p>
        </w:tc>
      </w:tr>
      <w:tr>
        <w:trPr>
          <w:trHeight w:val="346"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市场推广费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1,010,977.94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246,224.17</w:t>
            </w:r>
          </w:p>
        </w:tc>
        <w:tc>
          <w:tcPr>
            <w:tcW w:w="595" w:type="dxa"/>
            <w:vMerge/>
            <w:tcBorders>
              <w:left w:val="single" w:sz="6" w:space="0" w:color="000000"/>
              <w:right w:val="nil" w:sz="6" w:space="0" w:color="auto"/>
            </w:tcBorders>
          </w:tcPr>
          <w:p>
            <w:pPr/>
          </w:p>
        </w:tc>
      </w:tr>
      <w:tr>
        <w:trPr>
          <w:trHeight w:val="349"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培训费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504,615.96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2,293,475.57</w:t>
            </w:r>
          </w:p>
        </w:tc>
        <w:tc>
          <w:tcPr>
            <w:tcW w:w="595" w:type="dxa"/>
            <w:vMerge/>
            <w:tcBorders>
              <w:left w:val="single" w:sz="6" w:space="0" w:color="000000"/>
              <w:right w:val="nil" w:sz="6" w:space="0" w:color="auto"/>
            </w:tcBorders>
          </w:tcPr>
          <w:p>
            <w:pPr/>
          </w:p>
        </w:tc>
      </w:tr>
      <w:tr>
        <w:trPr>
          <w:trHeight w:val="346"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股份支付费用</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903,037.86</w:t>
            </w:r>
          </w:p>
        </w:tc>
        <w:tc>
          <w:tcPr>
            <w:tcW w:w="595" w:type="dxa"/>
            <w:vMerge/>
            <w:tcBorders>
              <w:left w:val="single" w:sz="6" w:space="0" w:color="000000"/>
              <w:right w:val="nil" w:sz="6" w:space="0" w:color="auto"/>
            </w:tcBorders>
          </w:tcPr>
          <w:p>
            <w:pPr/>
          </w:p>
        </w:tc>
      </w:tr>
      <w:tr>
        <w:trPr>
          <w:trHeight w:val="348"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保障业务分出保费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129,809.19</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682,552.81</w:t>
            </w:r>
          </w:p>
        </w:tc>
        <w:tc>
          <w:tcPr>
            <w:tcW w:w="595" w:type="dxa"/>
            <w:vMerge/>
            <w:tcBorders>
              <w:left w:val="single" w:sz="6" w:space="0" w:color="000000"/>
              <w:right w:val="nil" w:sz="6" w:space="0" w:color="auto"/>
            </w:tcBorders>
          </w:tcPr>
          <w:p>
            <w:pPr/>
          </w:p>
        </w:tc>
      </w:tr>
      <w:tr>
        <w:trPr>
          <w:trHeight w:val="348"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其他费用</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4,640,123.05</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7,271,124.77</w:t>
            </w:r>
          </w:p>
        </w:tc>
        <w:tc>
          <w:tcPr>
            <w:tcW w:w="595" w:type="dxa"/>
            <w:vMerge/>
            <w:tcBorders>
              <w:left w:val="single" w:sz="6" w:space="0" w:color="000000"/>
              <w:right w:val="nil" w:sz="6" w:space="0" w:color="auto"/>
            </w:tcBorders>
          </w:tcPr>
          <w:p>
            <w:pPr/>
          </w:p>
        </w:tc>
      </w:tr>
      <w:tr>
        <w:trPr>
          <w:trHeight w:val="349" w:hRule="exact"/>
        </w:trPr>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617,379,724.74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562,354,194.41</w:t>
            </w:r>
          </w:p>
        </w:tc>
        <w:tc>
          <w:tcPr>
            <w:tcW w:w="595" w:type="dxa"/>
            <w:vMerge/>
            <w:tcBorders>
              <w:left w:val="single" w:sz="6" w:space="0" w:color="000000"/>
              <w:bottom w:val="nil" w:sz="6" w:space="0" w:color="auto"/>
              <w:right w:val="nil" w:sz="6" w:space="0" w:color="auto"/>
            </w:tcBorders>
          </w:tcPr>
          <w:p>
            <w:pPr/>
          </w:p>
        </w:tc>
      </w:tr>
    </w:tbl>
    <w:p>
      <w:pPr>
        <w:spacing w:line="240" w:lineRule="auto" w:before="11"/>
        <w:rPr>
          <w:rFonts w:ascii="Microsoft JhengHei" w:hAnsi="Microsoft JhengHei" w:cs="Microsoft JhengHei" w:eastAsia="Microsoft JhengHei" w:hint="default"/>
          <w:b/>
          <w:bCs/>
          <w:sz w:val="15"/>
          <w:szCs w:val="15"/>
        </w:rPr>
      </w:pPr>
    </w:p>
    <w:p>
      <w:pPr>
        <w:spacing w:line="300" w:lineRule="exact" w:before="0"/>
        <w:ind w:left="1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每股收益</w:t>
      </w:r>
      <w:r>
        <w:rPr>
          <w:rFonts w:ascii="Microsoft JhengHei" w:hAnsi="Microsoft JhengHei" w:cs="Microsoft JhengHei" w:eastAsia="Microsoft JhengHei" w:hint="default"/>
          <w:sz w:val="18"/>
          <w:szCs w:val="18"/>
        </w:rPr>
      </w:r>
    </w:p>
    <w:p>
      <w:pPr>
        <w:pStyle w:val="BodyText"/>
        <w:spacing w:line="300" w:lineRule="auto" w:before="56"/>
        <w:ind w:left="152" w:right="167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基本每股收益</w:t>
      </w:r>
      <w:r>
        <w:rPr>
          <w:w w:val="99"/>
        </w:rPr>
        <w:t> </w:t>
      </w:r>
      <w:r>
        <w:rPr/>
        <w:t>基本每股收益以归属于母公司普通股股东的合并净利润除以母公司发行在外普通股的加权平均数计算：</w:t>
      </w:r>
    </w:p>
    <w:tbl>
      <w:tblPr>
        <w:tblW w:w="0" w:type="auto"/>
        <w:jc w:val="left"/>
        <w:tblInd w:w="218" w:type="dxa"/>
        <w:tblLayout w:type="fixed"/>
        <w:tblCellMar>
          <w:top w:w="0" w:type="dxa"/>
          <w:left w:w="0" w:type="dxa"/>
          <w:bottom w:w="0" w:type="dxa"/>
          <w:right w:w="0" w:type="dxa"/>
        </w:tblCellMar>
        <w:tblLook w:val="01E0"/>
      </w:tblPr>
      <w:tblGrid>
        <w:gridCol w:w="5120"/>
        <w:gridCol w:w="1843"/>
        <w:gridCol w:w="1844"/>
      </w:tblGrid>
      <w:tr>
        <w:trPr>
          <w:trHeight w:val="348" w:hRule="exact"/>
        </w:trPr>
        <w:tc>
          <w:tcPr>
            <w:tcW w:w="512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8" w:hRule="exact"/>
        </w:trPr>
        <w:tc>
          <w:tcPr>
            <w:tcW w:w="5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归属于母公司普通股股东的合并净利润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39,635,195.46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47,250,173.48</w:t>
            </w:r>
          </w:p>
        </w:tc>
      </w:tr>
      <w:tr>
        <w:trPr>
          <w:trHeight w:val="346" w:hRule="exact"/>
        </w:trPr>
        <w:tc>
          <w:tcPr>
            <w:tcW w:w="5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left"/>
              <w:rPr>
                <w:rFonts w:ascii="Times New Roman" w:hAnsi="Times New Roman" w:cs="Times New Roman" w:eastAsia="Times New Roman" w:hint="default"/>
                <w:sz w:val="18"/>
                <w:szCs w:val="18"/>
              </w:rPr>
            </w:pPr>
            <w:r>
              <w:rPr>
                <w:rFonts w:ascii="Times New Roman"/>
                <w:sz w:val="18"/>
              </w:rPr>
              <w:t>40,731,500.00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40,731,500.00</w:t>
            </w:r>
          </w:p>
        </w:tc>
      </w:tr>
      <w:tr>
        <w:trPr>
          <w:trHeight w:val="348" w:hRule="exact"/>
        </w:trPr>
        <w:tc>
          <w:tcPr>
            <w:tcW w:w="5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0.97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1.16</w:t>
            </w:r>
          </w:p>
        </w:tc>
      </w:tr>
      <w:tr>
        <w:trPr>
          <w:trHeight w:val="348" w:hRule="exact"/>
        </w:trPr>
        <w:tc>
          <w:tcPr>
            <w:tcW w:w="5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持续经营基本每股收益：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0.97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1.16</w:t>
            </w:r>
          </w:p>
        </w:tc>
      </w:tr>
    </w:tbl>
    <w:p>
      <w:pPr>
        <w:pStyle w:val="BodyText"/>
        <w:spacing w:line="307" w:lineRule="auto" w:before="31"/>
        <w:ind w:left="152"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稀释每股收益</w:t>
      </w:r>
      <w:r>
        <w:rPr>
          <w:w w:val="99"/>
        </w:rPr>
        <w:t> </w:t>
      </w:r>
      <w:r>
        <w:rPr/>
        <w:t>稀释每股收益以根据稀释性潜在普通股调整后的归属于母公司普通股股东的合并净利润除以调整后的本公司发行在外普通</w:t>
      </w:r>
      <w:r>
        <w:rPr>
          <w:spacing w:val="-11"/>
        </w:rPr>
        <w:t> </w:t>
      </w:r>
      <w:r>
        <w:rPr>
          <w:spacing w:val="-11"/>
        </w:rPr>
      </w:r>
      <w:r>
        <w:rPr>
          <w:spacing w:val="-1"/>
        </w:rPr>
        <w:t>股的加权平均数计算。于</w:t>
      </w:r>
      <w:r>
        <w:rPr>
          <w:rFonts w:ascii="Times New Roman" w:hAnsi="Times New Roman" w:cs="Times New Roman" w:eastAsia="Times New Roman" w:hint="default"/>
          <w:spacing w:val="-1"/>
        </w:rPr>
        <w:t>2017</w:t>
      </w:r>
      <w:r>
        <w:rPr>
          <w:spacing w:val="-1"/>
        </w:rPr>
        <w:t>年度，本公司不存在具有稀释性的潜在普通股</w:t>
      </w:r>
      <w:r>
        <w:rPr>
          <w:rFonts w:ascii="Times New Roman" w:hAnsi="Times New Roman" w:cs="Times New Roman" w:eastAsia="Times New Roman" w:hint="default"/>
          <w:spacing w:val="-1"/>
        </w:rPr>
        <w:t>(2016</w:t>
      </w:r>
      <w:r>
        <w:rPr>
          <w:spacing w:val="-1"/>
        </w:rPr>
        <w:t>年度：无</w:t>
      </w:r>
      <w:r>
        <w:rPr>
          <w:rFonts w:ascii="Times New Roman" w:hAnsi="Times New Roman" w:cs="Times New Roman" w:eastAsia="Times New Roman" w:hint="default"/>
          <w:spacing w:val="-1"/>
        </w:rPr>
        <w:t>)</w:t>
      </w:r>
      <w:r>
        <w:rPr>
          <w:spacing w:val="-1"/>
        </w:rPr>
        <w:t>，因此，稀释每股收益等于基本</w:t>
      </w:r>
      <w:r>
        <w:rPr>
          <w:spacing w:val="-59"/>
        </w:rPr>
        <w:t> </w:t>
      </w:r>
      <w:r>
        <w:rPr>
          <w:spacing w:val="-59"/>
        </w:rPr>
      </w:r>
      <w:r>
        <w:rPr/>
        <w:t>每股收益。</w:t>
      </w:r>
    </w:p>
    <w:p>
      <w:pPr>
        <w:spacing w:line="240" w:lineRule="auto" w:before="7"/>
        <w:rPr>
          <w:rFonts w:ascii="宋体" w:hAnsi="宋体" w:cs="宋体" w:eastAsia="宋体" w:hint="default"/>
          <w:sz w:val="15"/>
          <w:szCs w:val="15"/>
        </w:rPr>
      </w:pPr>
    </w:p>
    <w:p>
      <w:pPr>
        <w:pStyle w:val="Heading2"/>
        <w:spacing w:line="240" w:lineRule="auto"/>
        <w:ind w:left="152" w:right="0"/>
        <w:jc w:val="left"/>
        <w:rPr>
          <w:b w:val="0"/>
          <w:bCs w:val="0"/>
        </w:rPr>
      </w:pPr>
      <w:r>
        <w:rPr/>
        <w:t>八、合并范围的变更</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年度，本公司注销杭州百华悦邦电子技术有限公司和天津百华悦邦科技有限公司。</w:t>
      </w:r>
    </w:p>
    <w:p>
      <w:pPr>
        <w:spacing w:after="0" w:line="240" w:lineRule="auto"/>
        <w:jc w:val="left"/>
        <w:sectPr>
          <w:pgSz w:w="11910" w:h="16840"/>
          <w:pgMar w:header="892" w:footer="956"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98" w:lineRule="exact"/>
        <w:ind w:left="152" w:right="0"/>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）企业集团的构成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石家庄市百华悦 邦电子科技有限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北京百邦优保电 子科技有限责任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山东百邦电子科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福州百邦电子科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上海百华悦邦电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通过非同一控制 下的企业合并取 得</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南京百嘉翰邦电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上海闪电蜂电子 商务有限公司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4"/>
              <w:jc w:val="left"/>
              <w:rPr>
                <w:rFonts w:ascii="Times New Roman" w:hAnsi="Times New Roman" w:cs="Times New Roman" w:eastAsia="Times New Roman" w:hint="default"/>
                <w:sz w:val="18"/>
                <w:szCs w:val="18"/>
              </w:rPr>
            </w:pPr>
            <w:r>
              <w:rPr>
                <w:rFonts w:ascii="Times New Roman"/>
                <w:sz w:val="18"/>
              </w:rPr>
              <w:t>Bybon</w:t>
            </w:r>
            <w:r>
              <w:rPr>
                <w:rFonts w:ascii="Times New Roman"/>
                <w:spacing w:val="-4"/>
                <w:sz w:val="18"/>
              </w:rPr>
              <w:t> </w:t>
            </w:r>
            <w:r>
              <w:rPr>
                <w:rFonts w:ascii="Times New Roman"/>
                <w:spacing w:val="-4"/>
                <w:sz w:val="18"/>
              </w:rPr>
            </w:r>
            <w:r>
              <w:rPr>
                <w:rFonts w:ascii="Times New Roman"/>
                <w:sz w:val="18"/>
              </w:rPr>
              <w:t>Investment</w:t>
            </w:r>
            <w:r>
              <w:rPr>
                <w:rFonts w:ascii="Times New Roman"/>
                <w:sz w:val="18"/>
              </w:rPr>
              <w:t> Company</w:t>
            </w:r>
            <w:r>
              <w:rPr>
                <w:rFonts w:ascii="Times New Roman"/>
                <w:spacing w:val="-10"/>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控股投资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保定市百邦电子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青岛百邦电子科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临沂百联商贸有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长春市百华悦邦 电子科技有限公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扬州百邦电子科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892" w:footer="956"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74" w:hRule="exact"/>
        </w:trPr>
        <w:tc>
          <w:tcPr>
            <w:tcW w:w="137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9"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北京华延睿信技 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廊坊市百邦电子 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邢台百邦电子科 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邢台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邢台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淄博百邦电子科 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潍坊百邦电子科 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烟台百邦电子科 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广州百邦电子科 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通过非同一控制 下的企业合并取 得</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大连百华悦邦电 子科技有限公司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沈阳百华悦邦电 子科技有限公司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西安百华悦邦电 子科技有限公司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常州百邦电子科 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通过非同一控制 下的企业合并取 得</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成都闪电蜂星网 络科技有限公司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杭州百华悦邦电 子技术有限公司</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天津百华悦邦科 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沧州市百邦电子 科技有限公司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沧州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沧州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headerReference w:type="default" r:id="rId59"/>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27" w:hRule="exact"/>
        </w:trPr>
        <w:tc>
          <w:tcPr>
            <w:tcW w:w="1371"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56"/>
              <w:ind w:left="24"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镇江百邦电子科 技有限公司</w:t>
            </w:r>
            <w:r>
              <w:rPr>
                <w:rFonts w:ascii="Times New Roman" w:hAnsi="Times New Roman" w:cs="Times New Roman" w:eastAsia="Times New Roman" w:hint="default"/>
                <w:sz w:val="18"/>
                <w:szCs w:val="18"/>
              </w:rPr>
              <w:t>**</w:t>
            </w:r>
          </w:p>
        </w:tc>
        <w:tc>
          <w:tcPr>
            <w:tcW w:w="13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南通百华悦邦电 子科技有限公司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济南闪电蜂星网 络科技有限公司</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北京百华悦邦信 息服务有限公司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pStyle w:val="BodyText"/>
        <w:spacing w:line="357" w:lineRule="auto" w:before="49"/>
        <w:ind w:left="152" w:right="5994"/>
        <w:jc w:val="left"/>
      </w:pPr>
      <w:r>
        <w:rPr/>
        <w:t>在子公司的持股比例不同于表决权比例的说明： 无</w:t>
      </w:r>
    </w:p>
    <w:p>
      <w:pPr>
        <w:pStyle w:val="BodyText"/>
        <w:spacing w:line="357" w:lineRule="auto" w:before="29"/>
        <w:ind w:left="152" w:right="1854"/>
        <w:jc w:val="left"/>
      </w:pPr>
      <w:r>
        <w:rPr/>
        <w:t>持有半数或以下表决权但仍控制被投资单位、以及持有半数以上表决权但不控制被投资单位的依据： 无</w:t>
      </w:r>
    </w:p>
    <w:p>
      <w:pPr>
        <w:pStyle w:val="BodyText"/>
        <w:spacing w:line="360" w:lineRule="auto" w:before="29"/>
        <w:ind w:left="152" w:right="5454"/>
        <w:jc w:val="left"/>
      </w:pPr>
      <w:r>
        <w:rPr/>
        <w:t>对于纳入合并范围的重要的结构化主体，控制的依据： 无</w:t>
      </w:r>
    </w:p>
    <w:p>
      <w:pPr>
        <w:pStyle w:val="BodyText"/>
        <w:spacing w:line="357" w:lineRule="auto" w:before="27"/>
        <w:ind w:left="152" w:right="6714"/>
        <w:jc w:val="left"/>
      </w:pPr>
      <w:r>
        <w:rPr/>
        <w:t>确定公司是代理人还是委托人的依据： 无</w:t>
      </w:r>
    </w:p>
    <w:p>
      <w:pPr>
        <w:pStyle w:val="BodyText"/>
        <w:spacing w:line="240" w:lineRule="auto" w:before="29"/>
        <w:ind w:left="152" w:right="0"/>
        <w:jc w:val="left"/>
      </w:pPr>
      <w:r>
        <w:rPr/>
        <w:t>其他说明：</w:t>
      </w:r>
    </w:p>
    <w:p>
      <w:pPr>
        <w:spacing w:line="271" w:lineRule="auto" w:before="98"/>
        <w:ind w:left="152" w:right="389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上述之子公司于报告期内已经注销。</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上述之子公司于报告期内正在履行注销手续过程中。</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子公司于报告期内更名，原名北京闪电蜂星网络科技有限公司</w:t>
      </w:r>
    </w:p>
    <w:p>
      <w:pPr>
        <w:spacing w:line="240" w:lineRule="auto" w:before="4"/>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十、与金融工具相关的风险</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17"/>
          <w:szCs w:val="17"/>
        </w:rPr>
      </w:pPr>
    </w:p>
    <w:p>
      <w:pPr>
        <w:spacing w:line="285" w:lineRule="auto" w:before="0"/>
        <w:ind w:left="152" w:right="174" w:firstLine="0"/>
        <w:jc w:val="left"/>
        <w:rPr>
          <w:rFonts w:ascii="宋体" w:hAnsi="宋体" w:cs="宋体" w:eastAsia="宋体" w:hint="default"/>
          <w:sz w:val="20"/>
          <w:szCs w:val="20"/>
        </w:rPr>
      </w:pPr>
      <w:r>
        <w:rPr>
          <w:rFonts w:ascii="宋体" w:hAnsi="宋体" w:cs="宋体" w:eastAsia="宋体" w:hint="default"/>
          <w:sz w:val="20"/>
          <w:szCs w:val="20"/>
        </w:rPr>
        <w:t>本集团的经营活动会面临各种金融风险：市场风险</w:t>
      </w:r>
      <w:r>
        <w:rPr>
          <w:rFonts w:ascii="宋体" w:hAnsi="宋体" w:cs="宋体" w:eastAsia="宋体" w:hint="default"/>
          <w:sz w:val="20"/>
          <w:szCs w:val="20"/>
        </w:rPr>
        <w:t>(</w:t>
      </w:r>
      <w:r>
        <w:rPr>
          <w:rFonts w:ascii="宋体" w:hAnsi="宋体" w:cs="宋体" w:eastAsia="宋体" w:hint="default"/>
          <w:sz w:val="20"/>
          <w:szCs w:val="20"/>
        </w:rPr>
        <w:t>主要为外汇风险</w:t>
      </w:r>
      <w:r>
        <w:rPr>
          <w:rFonts w:ascii="宋体" w:hAnsi="宋体" w:cs="宋体" w:eastAsia="宋体" w:hint="default"/>
          <w:sz w:val="20"/>
          <w:szCs w:val="20"/>
        </w:rPr>
        <w:t>)</w:t>
      </w:r>
      <w:r>
        <w:rPr>
          <w:rFonts w:ascii="宋体" w:hAnsi="宋体" w:cs="宋体" w:eastAsia="宋体" w:hint="default"/>
          <w:sz w:val="20"/>
          <w:szCs w:val="20"/>
        </w:rPr>
        <w:t>、信用风险和流动性风险。本集团整体的</w:t>
      </w:r>
      <w:r>
        <w:rPr>
          <w:rFonts w:ascii="宋体" w:hAnsi="宋体" w:cs="宋体" w:eastAsia="宋体" w:hint="default"/>
          <w:w w:val="99"/>
          <w:sz w:val="20"/>
          <w:szCs w:val="20"/>
        </w:rPr>
        <w:t> </w:t>
      </w:r>
      <w:r>
        <w:rPr>
          <w:rFonts w:ascii="宋体" w:hAnsi="宋体" w:cs="宋体" w:eastAsia="宋体" w:hint="default"/>
          <w:sz w:val="20"/>
          <w:szCs w:val="20"/>
        </w:rPr>
        <w:t>风险管理计划针对金融市场的不可预见性，力求减少对本集团财务业绩的潜在不利影响。</w:t>
      </w:r>
      <w:r>
        <w:rPr>
          <w:rFonts w:ascii="宋体" w:hAnsi="宋体" w:cs="宋体" w:eastAsia="宋体" w:hint="default"/>
          <w:sz w:val="20"/>
          <w:szCs w:val="20"/>
        </w:rPr>
        <w:t> </w:t>
      </w:r>
    </w:p>
    <w:p>
      <w:pPr>
        <w:spacing w:line="285" w:lineRule="auto" w:before="12"/>
        <w:ind w:left="152" w:right="174"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99"/>
          <w:sz w:val="20"/>
          <w:szCs w:val="20"/>
        </w:rPr>
        <w:t> </w:t>
      </w:r>
      <w:r>
        <w:rPr>
          <w:rFonts w:ascii="宋体" w:hAnsi="宋体" w:cs="宋体" w:eastAsia="宋体" w:hint="default"/>
          <w:sz w:val="20"/>
          <w:szCs w:val="20"/>
        </w:rPr>
        <w:t>外汇风险</w:t>
      </w:r>
      <w:r>
        <w:rPr>
          <w:rFonts w:ascii="宋体" w:hAnsi="宋体" w:cs="宋体" w:eastAsia="宋体" w:hint="default"/>
          <w:w w:val="99"/>
          <w:sz w:val="20"/>
          <w:szCs w:val="20"/>
        </w:rPr>
        <w:t> </w:t>
      </w:r>
      <w:r>
        <w:rPr>
          <w:rFonts w:ascii="宋体" w:hAnsi="宋体" w:cs="宋体" w:eastAsia="宋体" w:hint="default"/>
          <w:sz w:val="20"/>
          <w:szCs w:val="20"/>
        </w:rPr>
        <w:t>本集团的主要经营位于中国境内，主要业务以人民币结算。本集团已确认的外币资产和负债及未来的外币交易</w:t>
      </w:r>
      <w:r>
        <w:rPr>
          <w:rFonts w:ascii="宋体" w:hAnsi="宋体" w:cs="宋体" w:eastAsia="宋体" w:hint="default"/>
          <w:w w:val="99"/>
          <w:sz w:val="20"/>
          <w:szCs w:val="20"/>
        </w:rPr>
        <w:t> </w:t>
      </w:r>
      <w:r>
        <w:rPr>
          <w:rFonts w:ascii="宋体" w:hAnsi="宋体" w:cs="宋体" w:eastAsia="宋体" w:hint="default"/>
          <w:sz w:val="20"/>
          <w:szCs w:val="20"/>
        </w:rPr>
        <w:t>(</w:t>
      </w:r>
      <w:r>
        <w:rPr>
          <w:rFonts w:ascii="宋体" w:hAnsi="宋体" w:cs="宋体" w:eastAsia="宋体" w:hint="default"/>
          <w:sz w:val="20"/>
          <w:szCs w:val="20"/>
        </w:rPr>
        <w:t>外币资产和负债及外币交易的计价货币为美元</w:t>
      </w:r>
      <w:r>
        <w:rPr>
          <w:rFonts w:ascii="宋体" w:hAnsi="宋体" w:cs="宋体" w:eastAsia="宋体" w:hint="default"/>
          <w:sz w:val="20"/>
          <w:szCs w:val="20"/>
        </w:rPr>
        <w:t>)</w:t>
      </w:r>
      <w:r>
        <w:rPr>
          <w:rFonts w:ascii="宋体" w:hAnsi="宋体" w:cs="宋体" w:eastAsia="宋体" w:hint="default"/>
          <w:sz w:val="20"/>
          <w:szCs w:val="20"/>
        </w:rPr>
        <w:t>存在外汇风险。本集团总部财务部门负责监控集团外币交易和</w:t>
      </w:r>
      <w:r>
        <w:rPr>
          <w:rFonts w:ascii="宋体" w:hAnsi="宋体" w:cs="宋体" w:eastAsia="宋体" w:hint="default"/>
          <w:w w:val="99"/>
          <w:sz w:val="20"/>
          <w:szCs w:val="20"/>
        </w:rPr>
        <w:t> </w:t>
      </w:r>
      <w:r>
        <w:rPr>
          <w:rFonts w:ascii="宋体" w:hAnsi="宋体" w:cs="宋体" w:eastAsia="宋体" w:hint="default"/>
          <w:sz w:val="20"/>
          <w:szCs w:val="20"/>
        </w:rPr>
        <w:t>外币资产及负债的规模，以最大程度降低面临的外汇风险；为此，本集团可能会以签署远期外汇合约或货币互</w:t>
      </w:r>
      <w:r>
        <w:rPr>
          <w:rFonts w:ascii="宋体" w:hAnsi="宋体" w:cs="宋体" w:eastAsia="宋体" w:hint="default"/>
          <w:w w:val="99"/>
          <w:sz w:val="20"/>
          <w:szCs w:val="20"/>
        </w:rPr>
        <w:t> </w:t>
      </w:r>
      <w:r>
        <w:rPr>
          <w:rFonts w:ascii="宋体" w:hAnsi="宋体" w:cs="宋体" w:eastAsia="宋体" w:hint="default"/>
          <w:sz w:val="20"/>
          <w:szCs w:val="20"/>
        </w:rPr>
        <w:t>换合约的方式来达到规避外汇风险的目的。于</w:t>
      </w:r>
      <w:r>
        <w:rPr>
          <w:rFonts w:ascii="宋体" w:hAnsi="宋体" w:cs="宋体" w:eastAsia="宋体" w:hint="default"/>
          <w:sz w:val="20"/>
          <w:szCs w:val="20"/>
        </w:rPr>
        <w:t>2017</w:t>
      </w:r>
      <w:r>
        <w:rPr>
          <w:rFonts w:ascii="宋体" w:hAnsi="宋体" w:cs="宋体" w:eastAsia="宋体" w:hint="default"/>
          <w:sz w:val="20"/>
          <w:szCs w:val="20"/>
        </w:rPr>
        <w:t>年度及</w:t>
      </w:r>
      <w:r>
        <w:rPr>
          <w:rFonts w:ascii="宋体" w:hAnsi="宋体" w:cs="宋体" w:eastAsia="宋体" w:hint="default"/>
          <w:sz w:val="20"/>
          <w:szCs w:val="20"/>
        </w:rPr>
        <w:t>2016</w:t>
      </w:r>
      <w:r>
        <w:rPr>
          <w:rFonts w:ascii="宋体" w:hAnsi="宋体" w:cs="宋体" w:eastAsia="宋体" w:hint="default"/>
          <w:sz w:val="20"/>
          <w:szCs w:val="20"/>
        </w:rPr>
        <w:t>年度，本集团未签署任何远期外汇合约或货币互</w:t>
      </w:r>
      <w:r>
        <w:rPr>
          <w:rFonts w:ascii="宋体" w:hAnsi="宋体" w:cs="宋体" w:eastAsia="宋体" w:hint="default"/>
          <w:w w:val="99"/>
          <w:sz w:val="20"/>
          <w:szCs w:val="20"/>
        </w:rPr>
        <w:t> </w:t>
      </w:r>
      <w:r>
        <w:rPr>
          <w:rFonts w:ascii="宋体" w:hAnsi="宋体" w:cs="宋体" w:eastAsia="宋体" w:hint="default"/>
          <w:sz w:val="20"/>
          <w:szCs w:val="20"/>
        </w:rPr>
        <w:t>换合约。</w:t>
      </w:r>
      <w:r>
        <w:rPr>
          <w:rFonts w:ascii="宋体" w:hAnsi="宋体" w:cs="宋体" w:eastAsia="宋体" w:hint="default"/>
          <w:w w:val="99"/>
          <w:sz w:val="20"/>
          <w:szCs w:val="20"/>
        </w:rPr>
        <w:t> </w:t>
      </w:r>
      <w:r>
        <w:rPr>
          <w:rFonts w:ascii="宋体" w:hAnsi="宋体" w:cs="宋体" w:eastAsia="宋体" w:hint="default"/>
          <w:w w:val="95"/>
          <w:sz w:val="20"/>
          <w:szCs w:val="20"/>
        </w:rPr>
        <w:t>于</w:t>
      </w:r>
      <w:r>
        <w:rPr>
          <w:rFonts w:ascii="宋体" w:hAnsi="宋体" w:cs="宋体" w:eastAsia="宋体" w:hint="default"/>
          <w:w w:val="95"/>
          <w:sz w:val="20"/>
          <w:szCs w:val="20"/>
        </w:rPr>
        <w:t>2017</w:t>
      </w:r>
      <w:r>
        <w:rPr>
          <w:rFonts w:ascii="宋体" w:hAnsi="宋体" w:cs="宋体" w:eastAsia="宋体" w:hint="default"/>
          <w:w w:val="95"/>
          <w:sz w:val="20"/>
          <w:szCs w:val="20"/>
        </w:rPr>
        <w:t>年</w:t>
      </w:r>
      <w:r>
        <w:rPr>
          <w:rFonts w:ascii="宋体" w:hAnsi="宋体" w:cs="宋体" w:eastAsia="宋体" w:hint="default"/>
          <w:w w:val="95"/>
          <w:sz w:val="20"/>
          <w:szCs w:val="20"/>
        </w:rPr>
        <w:t>12</w:t>
      </w:r>
      <w:r>
        <w:rPr>
          <w:rFonts w:ascii="宋体" w:hAnsi="宋体" w:cs="宋体" w:eastAsia="宋体" w:hint="default"/>
          <w:w w:val="95"/>
          <w:sz w:val="20"/>
          <w:szCs w:val="20"/>
        </w:rPr>
        <w:t>月</w:t>
      </w:r>
      <w:r>
        <w:rPr>
          <w:rFonts w:ascii="宋体" w:hAnsi="宋体" w:cs="宋体" w:eastAsia="宋体" w:hint="default"/>
          <w:w w:val="95"/>
          <w:sz w:val="20"/>
          <w:szCs w:val="20"/>
        </w:rPr>
        <w:t>31</w:t>
      </w:r>
      <w:r>
        <w:rPr>
          <w:rFonts w:ascii="宋体" w:hAnsi="宋体" w:cs="宋体" w:eastAsia="宋体" w:hint="default"/>
          <w:w w:val="95"/>
          <w:sz w:val="20"/>
          <w:szCs w:val="20"/>
        </w:rPr>
        <w:t>日及</w:t>
      </w:r>
      <w:r>
        <w:rPr>
          <w:rFonts w:ascii="宋体" w:hAnsi="宋体" w:cs="宋体" w:eastAsia="宋体" w:hint="default"/>
          <w:w w:val="95"/>
          <w:sz w:val="20"/>
          <w:szCs w:val="20"/>
        </w:rPr>
        <w:t>2016</w:t>
      </w:r>
      <w:r>
        <w:rPr>
          <w:rFonts w:ascii="宋体" w:hAnsi="宋体" w:cs="宋体" w:eastAsia="宋体" w:hint="default"/>
          <w:w w:val="95"/>
          <w:sz w:val="20"/>
          <w:szCs w:val="20"/>
        </w:rPr>
        <w:t>年</w:t>
      </w:r>
      <w:r>
        <w:rPr>
          <w:rFonts w:ascii="宋体" w:hAnsi="宋体" w:cs="宋体" w:eastAsia="宋体" w:hint="default"/>
          <w:w w:val="95"/>
          <w:sz w:val="20"/>
          <w:szCs w:val="20"/>
        </w:rPr>
        <w:t>12</w:t>
      </w:r>
      <w:r>
        <w:rPr>
          <w:rFonts w:ascii="宋体" w:hAnsi="宋体" w:cs="宋体" w:eastAsia="宋体" w:hint="default"/>
          <w:w w:val="95"/>
          <w:sz w:val="20"/>
          <w:szCs w:val="20"/>
        </w:rPr>
        <w:t>月</w:t>
      </w:r>
      <w:r>
        <w:rPr>
          <w:rFonts w:ascii="宋体" w:hAnsi="宋体" w:cs="宋体" w:eastAsia="宋体" w:hint="default"/>
          <w:w w:val="95"/>
          <w:sz w:val="20"/>
          <w:szCs w:val="20"/>
        </w:rPr>
        <w:t>31</w:t>
      </w:r>
      <w:r>
        <w:rPr>
          <w:rFonts w:ascii="宋体" w:hAnsi="宋体" w:cs="宋体" w:eastAsia="宋体" w:hint="default"/>
          <w:w w:val="95"/>
          <w:sz w:val="20"/>
          <w:szCs w:val="20"/>
        </w:rPr>
        <w:t>日，本集团内记账本位币为人民币的公司持有的外币金融资产和外币金融负</w:t>
      </w:r>
      <w:r>
        <w:rPr>
          <w:rFonts w:ascii="宋体" w:hAnsi="宋体" w:cs="宋体" w:eastAsia="宋体" w:hint="default"/>
          <w:spacing w:val="89"/>
          <w:w w:val="95"/>
          <w:sz w:val="20"/>
          <w:szCs w:val="20"/>
        </w:rPr>
        <w:t> </w:t>
      </w:r>
      <w:r>
        <w:rPr>
          <w:rFonts w:ascii="宋体" w:hAnsi="宋体" w:cs="宋体" w:eastAsia="宋体" w:hint="default"/>
          <w:spacing w:val="89"/>
          <w:w w:val="95"/>
          <w:sz w:val="20"/>
          <w:szCs w:val="20"/>
        </w:rPr>
      </w:r>
      <w:r>
        <w:rPr>
          <w:rFonts w:ascii="宋体" w:hAnsi="宋体" w:cs="宋体" w:eastAsia="宋体" w:hint="default"/>
          <w:sz w:val="20"/>
          <w:szCs w:val="20"/>
        </w:rPr>
        <w:t>债折算成人民币的金额列示如下：</w:t>
      </w:r>
      <w:r>
        <w:rPr>
          <w:rFonts w:ascii="宋体" w:hAnsi="宋体" w:cs="宋体" w:eastAsia="宋体" w:hint="default"/>
          <w:sz w:val="20"/>
          <w:szCs w:val="20"/>
        </w:rPr>
        <w:t> </w:t>
      </w:r>
    </w:p>
    <w:tbl>
      <w:tblPr>
        <w:tblW w:w="0" w:type="auto"/>
        <w:jc w:val="left"/>
        <w:tblInd w:w="145" w:type="dxa"/>
        <w:tblLayout w:type="fixed"/>
        <w:tblCellMar>
          <w:top w:w="0" w:type="dxa"/>
          <w:left w:w="0" w:type="dxa"/>
          <w:bottom w:w="0" w:type="dxa"/>
          <w:right w:w="0" w:type="dxa"/>
        </w:tblCellMar>
        <w:tblLook w:val="01E0"/>
      </w:tblPr>
      <w:tblGrid>
        <w:gridCol w:w="2292"/>
        <w:gridCol w:w="2065"/>
        <w:gridCol w:w="1990"/>
        <w:gridCol w:w="2019"/>
      </w:tblGrid>
      <w:tr>
        <w:trPr>
          <w:trHeight w:val="346"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60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2" w:right="0"/>
              <w:jc w:val="center"/>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r>
              <w:rPr>
                <w:rFonts w:ascii="宋体" w:hAnsi="宋体" w:cs="宋体" w:eastAsia="宋体" w:hint="default"/>
                <w:sz w:val="20"/>
                <w:szCs w:val="20"/>
              </w:rPr>
              <w:t> </w:t>
            </w:r>
          </w:p>
        </w:tc>
      </w:tr>
      <w:tr>
        <w:trPr>
          <w:trHeight w:val="348"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hAnsi="宋体" w:cs="宋体" w:eastAsia="宋体" w:hint="default"/>
                <w:w w:val="95"/>
                <w:sz w:val="20"/>
                <w:szCs w:val="20"/>
              </w:rPr>
              <w:t>美元项目</w:t>
            </w:r>
            <w:r>
              <w:rPr>
                <w:rFonts w:ascii="宋体" w:hAnsi="宋体" w:cs="宋体" w:eastAsia="宋体" w:hint="default"/>
                <w:sz w:val="20"/>
                <w:szCs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
              <w:jc w:val="right"/>
              <w:rPr>
                <w:rFonts w:ascii="宋体" w:hAnsi="宋体" w:cs="宋体" w:eastAsia="宋体" w:hint="default"/>
                <w:sz w:val="20"/>
                <w:szCs w:val="20"/>
              </w:rPr>
            </w:pPr>
            <w:r>
              <w:rPr>
                <w:rFonts w:ascii="宋体" w:hAnsi="宋体" w:cs="宋体" w:eastAsia="宋体" w:hint="default"/>
                <w:w w:val="95"/>
                <w:sz w:val="20"/>
                <w:szCs w:val="20"/>
              </w:rPr>
              <w:t>其他外币项目</w:t>
            </w:r>
            <w:r>
              <w:rPr>
                <w:rFonts w:ascii="宋体" w:hAnsi="宋体" w:cs="宋体" w:eastAsia="宋体" w:hint="default"/>
                <w:sz w:val="20"/>
                <w:szCs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346"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外币金融资产</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 </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348"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59"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z w:val="20"/>
                <w:szCs w:val="20"/>
              </w:rPr>
              <w:t>货币资金</w:t>
            </w:r>
            <w:r>
              <w:rPr>
                <w:rFonts w:ascii="宋体" w:hAnsi="宋体" w:cs="宋体" w:eastAsia="宋体" w:hint="default"/>
                <w:sz w:val="20"/>
                <w:szCs w:val="20"/>
              </w:rPr>
              <w:t> </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w w:val="99"/>
                <w:sz w:val="20"/>
              </w:rPr>
              <w:t> </w:t>
            </w:r>
            <w:r>
              <w:rPr>
                <w:rFonts w:ascii="宋体"/>
                <w:w w:val="95"/>
                <w:sz w:val="20"/>
              </w:rPr>
              <w:t>4,935.28</w:t>
            </w:r>
            <w:r>
              <w:rPr>
                <w:rFonts w:ascii="宋体"/>
                <w:sz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9"/>
                <w:sz w:val="20"/>
              </w:rPr>
              <w:t>-</w:t>
            </w:r>
            <w:r>
              <w:rPr>
                <w:rFonts w:ascii="宋体"/>
                <w:sz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spacing w:val="1"/>
                <w:w w:val="99"/>
                <w:sz w:val="20"/>
              </w:rPr>
              <w:t> </w:t>
            </w:r>
            <w:r>
              <w:rPr>
                <w:rFonts w:ascii="宋体"/>
                <w:w w:val="95"/>
                <w:sz w:val="20"/>
              </w:rPr>
              <w:t>4,935.28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41" w:type="dxa"/>
        <w:tblLayout w:type="fixed"/>
        <w:tblCellMar>
          <w:top w:w="0" w:type="dxa"/>
          <w:left w:w="0" w:type="dxa"/>
          <w:bottom w:w="0" w:type="dxa"/>
          <w:right w:w="0" w:type="dxa"/>
        </w:tblCellMar>
        <w:tblLook w:val="01E0"/>
      </w:tblPr>
      <w:tblGrid>
        <w:gridCol w:w="2296"/>
        <w:gridCol w:w="2065"/>
        <w:gridCol w:w="1990"/>
        <w:gridCol w:w="2019"/>
        <w:gridCol w:w="1303"/>
      </w:tblGrid>
      <w:tr>
        <w:trPr>
          <w:trHeight w:val="362" w:hRule="exact"/>
        </w:trPr>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0"/>
                <w:szCs w:val="20"/>
              </w:rPr>
            </w:pPr>
            <w:r>
              <w:rPr>
                <w:rFonts w:ascii="宋体" w:hAnsi="宋体" w:cs="宋体" w:eastAsia="宋体" w:hint="default"/>
                <w:sz w:val="20"/>
                <w:szCs w:val="20"/>
              </w:rPr>
              <w:t>外币金融负债</w:t>
            </w:r>
            <w:r>
              <w:rPr>
                <w:rFonts w:ascii="宋体" w:hAnsi="宋体" w:cs="宋体" w:eastAsia="宋体" w:hint="default"/>
                <w:sz w:val="20"/>
                <w:szCs w:val="20"/>
              </w:rPr>
              <w:t> </w:t>
            </w:r>
          </w:p>
        </w:tc>
        <w:tc>
          <w:tcPr>
            <w:tcW w:w="20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32"/>
              <w:jc w:val="right"/>
              <w:rPr>
                <w:rFonts w:ascii="宋体" w:hAnsi="宋体" w:cs="宋体" w:eastAsia="宋体" w:hint="default"/>
                <w:sz w:val="20"/>
                <w:szCs w:val="20"/>
              </w:rPr>
            </w:pPr>
            <w:r>
              <w:rPr>
                <w:rFonts w:ascii="宋体"/>
                <w:w w:val="99"/>
                <w:sz w:val="20"/>
              </w:rPr>
              <w:t>-</w:t>
            </w:r>
            <w:r>
              <w:rPr>
                <w:rFonts w:ascii="宋体"/>
                <w:sz w:val="20"/>
              </w:rPr>
            </w:r>
          </w:p>
        </w:tc>
        <w:tc>
          <w:tcPr>
            <w:tcW w:w="19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0"/>
                <w:szCs w:val="20"/>
              </w:rPr>
            </w:pPr>
            <w:r>
              <w:rPr>
                <w:rFonts w:ascii="宋体"/>
                <w:w w:val="99"/>
                <w:sz w:val="20"/>
              </w:rPr>
              <w:t>-</w:t>
            </w:r>
            <w:r>
              <w:rPr>
                <w:rFonts w:ascii="宋体"/>
                <w:sz w:val="20"/>
              </w:rPr>
            </w:r>
          </w:p>
        </w:tc>
        <w:tc>
          <w:tcPr>
            <w:tcW w:w="20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20"/>
              <w:jc w:val="right"/>
              <w:rPr>
                <w:rFonts w:ascii="宋体" w:hAnsi="宋体" w:cs="宋体" w:eastAsia="宋体" w:hint="default"/>
                <w:sz w:val="20"/>
                <w:szCs w:val="20"/>
              </w:rPr>
            </w:pPr>
            <w:r>
              <w:rPr>
                <w:rFonts w:ascii="宋体"/>
                <w:w w:val="99"/>
                <w:sz w:val="20"/>
              </w:rPr>
              <w:t>-</w:t>
            </w:r>
            <w:r>
              <w:rPr>
                <w:rFonts w:ascii="宋体"/>
                <w:sz w:val="20"/>
              </w:rPr>
            </w:r>
          </w:p>
        </w:tc>
        <w:tc>
          <w:tcPr>
            <w:tcW w:w="1303" w:type="dxa"/>
            <w:vMerge w:val="restart"/>
            <w:tcBorders>
              <w:top w:val="single" w:sz="6" w:space="0" w:color="000000"/>
              <w:left w:val="single" w:sz="6" w:space="0" w:color="000000"/>
              <w:right w:val="nil" w:sz="6" w:space="0" w:color="auto"/>
            </w:tcBorders>
          </w:tcPr>
          <w:p>
            <w:pPr/>
          </w:p>
        </w:tc>
      </w:tr>
      <w:tr>
        <w:trPr>
          <w:trHeight w:val="348" w:hRule="exact"/>
        </w:trPr>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w w:val="99"/>
                <w:sz w:val="20"/>
              </w:rPr>
              <w:t> </w:t>
            </w:r>
            <w:r>
              <w:rPr>
                <w:rFonts w:ascii="宋体"/>
                <w:w w:val="95"/>
                <w:sz w:val="20"/>
              </w:rPr>
              <w:t>4,935.28</w:t>
            </w:r>
            <w:r>
              <w:rPr>
                <w:rFonts w:ascii="宋体"/>
                <w:sz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9"/>
                <w:sz w:val="20"/>
              </w:rPr>
              <w:t>-</w:t>
            </w:r>
            <w:r>
              <w:rPr>
                <w:rFonts w:ascii="宋体"/>
                <w:sz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spacing w:val="1"/>
                <w:w w:val="99"/>
                <w:sz w:val="20"/>
              </w:rPr>
              <w:t> </w:t>
            </w:r>
            <w:r>
              <w:rPr>
                <w:rFonts w:ascii="宋体"/>
                <w:w w:val="95"/>
                <w:sz w:val="20"/>
              </w:rPr>
              <w:t>4,935.28</w:t>
            </w:r>
            <w:r>
              <w:rPr>
                <w:rFonts w:ascii="宋体"/>
                <w:sz w:val="20"/>
              </w:rPr>
            </w:r>
          </w:p>
        </w:tc>
        <w:tc>
          <w:tcPr>
            <w:tcW w:w="1303" w:type="dxa"/>
            <w:vMerge/>
            <w:tcBorders>
              <w:left w:val="single" w:sz="6" w:space="0" w:color="000000"/>
              <w:right w:val="nil" w:sz="6" w:space="0" w:color="auto"/>
            </w:tcBorders>
          </w:tcPr>
          <w:p>
            <w:pPr/>
          </w:p>
        </w:tc>
      </w:tr>
      <w:tr>
        <w:trPr>
          <w:trHeight w:val="346" w:hRule="exact"/>
        </w:trPr>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60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2" w:right="0"/>
              <w:jc w:val="center"/>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r>
              <w:rPr>
                <w:rFonts w:ascii="宋体" w:hAnsi="宋体" w:cs="宋体" w:eastAsia="宋体" w:hint="default"/>
                <w:sz w:val="20"/>
                <w:szCs w:val="20"/>
              </w:rPr>
              <w:t> </w:t>
            </w:r>
          </w:p>
        </w:tc>
        <w:tc>
          <w:tcPr>
            <w:tcW w:w="1303" w:type="dxa"/>
            <w:vMerge/>
            <w:tcBorders>
              <w:left w:val="single" w:sz="6" w:space="0" w:color="000000"/>
              <w:right w:val="nil" w:sz="6" w:space="0" w:color="auto"/>
            </w:tcBorders>
          </w:tcPr>
          <w:p>
            <w:pPr/>
          </w:p>
        </w:tc>
      </w:tr>
      <w:tr>
        <w:trPr>
          <w:trHeight w:val="348" w:hRule="exact"/>
        </w:trPr>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hAnsi="宋体" w:cs="宋体" w:eastAsia="宋体" w:hint="default"/>
                <w:w w:val="95"/>
                <w:sz w:val="20"/>
                <w:szCs w:val="20"/>
              </w:rPr>
              <w:t>美元项目</w:t>
            </w:r>
            <w:r>
              <w:rPr>
                <w:rFonts w:ascii="宋体" w:hAnsi="宋体" w:cs="宋体" w:eastAsia="宋体" w:hint="default"/>
                <w:sz w:val="20"/>
                <w:szCs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
              <w:jc w:val="right"/>
              <w:rPr>
                <w:rFonts w:ascii="宋体" w:hAnsi="宋体" w:cs="宋体" w:eastAsia="宋体" w:hint="default"/>
                <w:sz w:val="20"/>
                <w:szCs w:val="20"/>
              </w:rPr>
            </w:pPr>
            <w:r>
              <w:rPr>
                <w:rFonts w:ascii="宋体" w:hAnsi="宋体" w:cs="宋体" w:eastAsia="宋体" w:hint="default"/>
                <w:w w:val="95"/>
                <w:sz w:val="20"/>
                <w:szCs w:val="20"/>
              </w:rPr>
              <w:t>其他外币项目</w:t>
            </w:r>
            <w:r>
              <w:rPr>
                <w:rFonts w:ascii="宋体" w:hAnsi="宋体" w:cs="宋体" w:eastAsia="宋体" w:hint="default"/>
                <w:sz w:val="20"/>
                <w:szCs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1303" w:type="dxa"/>
            <w:vMerge/>
            <w:tcBorders>
              <w:left w:val="single" w:sz="6" w:space="0" w:color="000000"/>
              <w:right w:val="nil" w:sz="6" w:space="0" w:color="auto"/>
            </w:tcBorders>
          </w:tcPr>
          <w:p>
            <w:pPr/>
          </w:p>
        </w:tc>
      </w:tr>
      <w:tr>
        <w:trPr>
          <w:trHeight w:val="346" w:hRule="exact"/>
        </w:trPr>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外币金融资产</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 </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single" w:sz="6" w:space="0" w:color="000000"/>
            </w:tcBorders>
          </w:tcPr>
          <w:p>
            <w:pPr/>
          </w:p>
        </w:tc>
        <w:tc>
          <w:tcPr>
            <w:tcW w:w="2019" w:type="dxa"/>
            <w:tcBorders>
              <w:top w:val="single" w:sz="6" w:space="0" w:color="000000"/>
              <w:left w:val="single" w:sz="6" w:space="0" w:color="000000"/>
              <w:bottom w:val="single" w:sz="6" w:space="0" w:color="000000"/>
              <w:right w:val="single" w:sz="6" w:space="0" w:color="000000"/>
            </w:tcBorders>
          </w:tcPr>
          <w:p>
            <w:pPr/>
          </w:p>
        </w:tc>
        <w:tc>
          <w:tcPr>
            <w:tcW w:w="1303" w:type="dxa"/>
            <w:vMerge/>
            <w:tcBorders>
              <w:left w:val="single" w:sz="6" w:space="0" w:color="000000"/>
              <w:right w:val="nil" w:sz="6" w:space="0" w:color="auto"/>
            </w:tcBorders>
          </w:tcPr>
          <w:p>
            <w:pPr/>
          </w:p>
        </w:tc>
      </w:tr>
      <w:tr>
        <w:trPr>
          <w:trHeight w:val="348" w:hRule="exact"/>
        </w:trPr>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z w:val="20"/>
                <w:szCs w:val="20"/>
              </w:rPr>
              <w:t>货币资金</w:t>
            </w:r>
            <w:r>
              <w:rPr>
                <w:rFonts w:ascii="宋体" w:hAnsi="宋体" w:cs="宋体" w:eastAsia="宋体" w:hint="default"/>
                <w:sz w:val="20"/>
                <w:szCs w:val="20"/>
              </w:rPr>
              <w:t> </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spacing w:val="1"/>
                <w:w w:val="99"/>
                <w:sz w:val="20"/>
              </w:rPr>
              <w:t> </w:t>
            </w:r>
            <w:r>
              <w:rPr>
                <w:rFonts w:ascii="宋体"/>
                <w:w w:val="95"/>
                <w:sz w:val="20"/>
              </w:rPr>
              <w:t>159,639.79</w:t>
            </w:r>
            <w:r>
              <w:rPr>
                <w:rFonts w:ascii="宋体"/>
                <w:sz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9"/>
                <w:sz w:val="20"/>
              </w:rPr>
              <w:t>-</w:t>
            </w:r>
            <w:r>
              <w:rPr>
                <w:rFonts w:ascii="宋体"/>
                <w:sz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
              <w:jc w:val="right"/>
              <w:rPr>
                <w:rFonts w:ascii="宋体" w:hAnsi="宋体" w:cs="宋体" w:eastAsia="宋体" w:hint="default"/>
                <w:sz w:val="20"/>
                <w:szCs w:val="20"/>
              </w:rPr>
            </w:pPr>
            <w:r>
              <w:rPr>
                <w:rFonts w:ascii="宋体"/>
                <w:spacing w:val="1"/>
                <w:w w:val="99"/>
                <w:sz w:val="20"/>
              </w:rPr>
              <w:t> </w:t>
            </w:r>
            <w:r>
              <w:rPr>
                <w:rFonts w:ascii="宋体"/>
                <w:w w:val="95"/>
                <w:sz w:val="20"/>
              </w:rPr>
              <w:t>159,639.79</w:t>
            </w:r>
            <w:r>
              <w:rPr>
                <w:rFonts w:ascii="宋体"/>
                <w:sz w:val="20"/>
              </w:rPr>
            </w:r>
          </w:p>
        </w:tc>
        <w:tc>
          <w:tcPr>
            <w:tcW w:w="1303" w:type="dxa"/>
            <w:vMerge/>
            <w:tcBorders>
              <w:left w:val="single" w:sz="6" w:space="0" w:color="000000"/>
              <w:right w:val="nil" w:sz="6" w:space="0" w:color="auto"/>
            </w:tcBorders>
          </w:tcPr>
          <w:p>
            <w:pPr/>
          </w:p>
        </w:tc>
      </w:tr>
      <w:tr>
        <w:trPr>
          <w:trHeight w:val="346" w:hRule="exact"/>
        </w:trPr>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外币金融负债</w:t>
            </w:r>
            <w:r>
              <w:rPr>
                <w:rFonts w:ascii="宋体" w:hAnsi="宋体" w:cs="宋体" w:eastAsia="宋体" w:hint="default"/>
                <w:sz w:val="20"/>
                <w:szCs w:val="20"/>
              </w:rPr>
              <w:t> </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2"/>
              <w:jc w:val="right"/>
              <w:rPr>
                <w:rFonts w:ascii="宋体" w:hAnsi="宋体" w:cs="宋体" w:eastAsia="宋体" w:hint="default"/>
                <w:sz w:val="20"/>
                <w:szCs w:val="20"/>
              </w:rPr>
            </w:pPr>
            <w:r>
              <w:rPr>
                <w:rFonts w:ascii="宋体"/>
                <w:w w:val="99"/>
                <w:sz w:val="20"/>
              </w:rPr>
              <w:t>-</w:t>
            </w:r>
            <w:r>
              <w:rPr>
                <w:rFonts w:ascii="宋体"/>
                <w:sz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9"/>
                <w:sz w:val="20"/>
              </w:rPr>
              <w:t>-</w:t>
            </w:r>
            <w:r>
              <w:rPr>
                <w:rFonts w:ascii="宋体"/>
                <w:sz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0"/>
              <w:jc w:val="right"/>
              <w:rPr>
                <w:rFonts w:ascii="宋体" w:hAnsi="宋体" w:cs="宋体" w:eastAsia="宋体" w:hint="default"/>
                <w:sz w:val="20"/>
                <w:szCs w:val="20"/>
              </w:rPr>
            </w:pPr>
            <w:r>
              <w:rPr>
                <w:rFonts w:ascii="宋体"/>
                <w:w w:val="99"/>
                <w:sz w:val="20"/>
              </w:rPr>
              <w:t>-</w:t>
            </w:r>
            <w:r>
              <w:rPr>
                <w:rFonts w:ascii="宋体"/>
                <w:sz w:val="20"/>
              </w:rPr>
            </w:r>
          </w:p>
        </w:tc>
        <w:tc>
          <w:tcPr>
            <w:tcW w:w="1303" w:type="dxa"/>
            <w:vMerge/>
            <w:tcBorders>
              <w:left w:val="single" w:sz="6" w:space="0" w:color="000000"/>
              <w:right w:val="nil" w:sz="6" w:space="0" w:color="auto"/>
            </w:tcBorders>
          </w:tcPr>
          <w:p>
            <w:pPr/>
          </w:p>
        </w:tc>
      </w:tr>
      <w:tr>
        <w:trPr>
          <w:trHeight w:val="348" w:hRule="exact"/>
        </w:trPr>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spacing w:val="1"/>
                <w:w w:val="99"/>
                <w:sz w:val="20"/>
              </w:rPr>
              <w:t> </w:t>
            </w:r>
            <w:r>
              <w:rPr>
                <w:rFonts w:ascii="宋体"/>
                <w:w w:val="95"/>
                <w:sz w:val="20"/>
              </w:rPr>
              <w:t>159,639.79</w:t>
            </w:r>
            <w:r>
              <w:rPr>
                <w:rFonts w:ascii="宋体"/>
                <w:sz w:val="20"/>
              </w:rPr>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9"/>
                <w:sz w:val="20"/>
              </w:rPr>
              <w:t>-</w:t>
            </w:r>
            <w:r>
              <w:rPr>
                <w:rFonts w:ascii="宋体"/>
                <w:sz w:val="20"/>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
              <w:jc w:val="right"/>
              <w:rPr>
                <w:rFonts w:ascii="宋体" w:hAnsi="宋体" w:cs="宋体" w:eastAsia="宋体" w:hint="default"/>
                <w:sz w:val="20"/>
                <w:szCs w:val="20"/>
              </w:rPr>
            </w:pPr>
            <w:r>
              <w:rPr>
                <w:rFonts w:ascii="宋体"/>
                <w:spacing w:val="1"/>
                <w:w w:val="99"/>
                <w:sz w:val="20"/>
              </w:rPr>
              <w:t> </w:t>
            </w:r>
            <w:r>
              <w:rPr>
                <w:rFonts w:ascii="宋体"/>
                <w:w w:val="95"/>
                <w:sz w:val="20"/>
              </w:rPr>
              <w:t>159,639.79</w:t>
            </w:r>
            <w:r>
              <w:rPr>
                <w:rFonts w:ascii="宋体"/>
                <w:sz w:val="20"/>
              </w:rPr>
            </w:r>
          </w:p>
        </w:tc>
        <w:tc>
          <w:tcPr>
            <w:tcW w:w="1303" w:type="dxa"/>
            <w:vMerge/>
            <w:tcBorders>
              <w:left w:val="single" w:sz="6" w:space="0" w:color="000000"/>
              <w:bottom w:val="nil" w:sz="6" w:space="0" w:color="auto"/>
              <w:right w:val="nil" w:sz="6" w:space="0" w:color="auto"/>
            </w:tcBorders>
          </w:tcPr>
          <w:p>
            <w:pPr/>
          </w:p>
        </w:tc>
      </w:tr>
    </w:tbl>
    <w:p>
      <w:pPr>
        <w:spacing w:line="285" w:lineRule="auto" w:before="0"/>
        <w:ind w:left="152" w:right="94" w:firstLine="0"/>
        <w:jc w:val="left"/>
        <w:rPr>
          <w:rFonts w:ascii="宋体" w:hAnsi="宋体" w:cs="宋体" w:eastAsia="宋体" w:hint="default"/>
          <w:sz w:val="20"/>
          <w:szCs w:val="20"/>
        </w:rPr>
      </w:pPr>
      <w:r>
        <w:rPr>
          <w:rFonts w:ascii="宋体" w:hAnsi="宋体" w:cs="宋体" w:eastAsia="宋体" w:hint="default"/>
          <w:spacing w:val="-1"/>
          <w:w w:val="95"/>
          <w:sz w:val="20"/>
          <w:szCs w:val="20"/>
        </w:rPr>
        <w:t>于</w:t>
      </w:r>
      <w:r>
        <w:rPr>
          <w:rFonts w:ascii="宋体" w:hAnsi="宋体" w:cs="宋体" w:eastAsia="宋体" w:hint="default"/>
          <w:spacing w:val="-1"/>
          <w:w w:val="95"/>
          <w:sz w:val="20"/>
          <w:szCs w:val="20"/>
        </w:rPr>
        <w:t>2017</w:t>
      </w:r>
      <w:r>
        <w:rPr>
          <w:rFonts w:ascii="宋体" w:hAnsi="宋体" w:cs="宋体" w:eastAsia="宋体" w:hint="default"/>
          <w:spacing w:val="-1"/>
          <w:w w:val="95"/>
          <w:sz w:val="20"/>
          <w:szCs w:val="20"/>
        </w:rPr>
        <w:t>年</w:t>
      </w:r>
      <w:r>
        <w:rPr>
          <w:rFonts w:ascii="宋体" w:hAnsi="宋体" w:cs="宋体" w:eastAsia="宋体" w:hint="default"/>
          <w:spacing w:val="-1"/>
          <w:w w:val="95"/>
          <w:sz w:val="20"/>
          <w:szCs w:val="20"/>
        </w:rPr>
        <w:t>12</w:t>
      </w:r>
      <w:r>
        <w:rPr>
          <w:rFonts w:ascii="宋体" w:hAnsi="宋体" w:cs="宋体" w:eastAsia="宋体" w:hint="default"/>
          <w:spacing w:val="-1"/>
          <w:w w:val="95"/>
          <w:sz w:val="20"/>
          <w:szCs w:val="20"/>
        </w:rPr>
        <w:t>月</w:t>
      </w:r>
      <w:r>
        <w:rPr>
          <w:rFonts w:ascii="宋体" w:hAnsi="宋体" w:cs="宋体" w:eastAsia="宋体" w:hint="default"/>
          <w:spacing w:val="-1"/>
          <w:w w:val="95"/>
          <w:sz w:val="20"/>
          <w:szCs w:val="20"/>
        </w:rPr>
        <w:t>31</w:t>
      </w:r>
      <w:r>
        <w:rPr>
          <w:rFonts w:ascii="宋体" w:hAnsi="宋体" w:cs="宋体" w:eastAsia="宋体" w:hint="default"/>
          <w:spacing w:val="-1"/>
          <w:w w:val="95"/>
          <w:sz w:val="20"/>
          <w:szCs w:val="20"/>
        </w:rPr>
        <w:t>日，对于本集团各类美元金融资产和美元金融负债，如果人民币对美元升值或贬值</w:t>
      </w:r>
      <w:r>
        <w:rPr>
          <w:rFonts w:ascii="宋体" w:hAnsi="宋体" w:cs="宋体" w:eastAsia="宋体" w:hint="default"/>
          <w:spacing w:val="-1"/>
          <w:w w:val="95"/>
          <w:sz w:val="20"/>
          <w:szCs w:val="20"/>
        </w:rPr>
        <w:t>10%</w:t>
      </w:r>
      <w:r>
        <w:rPr>
          <w:rFonts w:ascii="宋体" w:hAnsi="宋体" w:cs="宋体" w:eastAsia="宋体" w:hint="default"/>
          <w:spacing w:val="-1"/>
          <w:w w:val="95"/>
          <w:sz w:val="20"/>
          <w:szCs w:val="20"/>
        </w:rPr>
        <w:t>，其他因</w:t>
      </w:r>
      <w:r>
        <w:rPr>
          <w:rFonts w:ascii="宋体" w:hAnsi="宋体" w:cs="宋体" w:eastAsia="宋体" w:hint="default"/>
          <w:spacing w:val="89"/>
          <w:w w:val="95"/>
          <w:sz w:val="20"/>
          <w:szCs w:val="20"/>
        </w:rPr>
        <w:t> </w:t>
      </w:r>
      <w:r>
        <w:rPr>
          <w:rFonts w:ascii="宋体" w:hAnsi="宋体" w:cs="宋体" w:eastAsia="宋体" w:hint="default"/>
          <w:spacing w:val="89"/>
          <w:w w:val="95"/>
          <w:sz w:val="20"/>
          <w:szCs w:val="20"/>
        </w:rPr>
      </w:r>
      <w:r>
        <w:rPr>
          <w:rFonts w:ascii="宋体" w:hAnsi="宋体" w:cs="宋体" w:eastAsia="宋体" w:hint="default"/>
          <w:sz w:val="20"/>
          <w:szCs w:val="20"/>
        </w:rPr>
        <w:t>素保持不变，则本集团将减少或增加净利润约</w:t>
      </w:r>
      <w:r>
        <w:rPr>
          <w:rFonts w:ascii="宋体" w:hAnsi="宋体" w:cs="宋体" w:eastAsia="宋体" w:hint="default"/>
          <w:sz w:val="20"/>
          <w:szCs w:val="20"/>
        </w:rPr>
        <w:t>493.53</w:t>
      </w:r>
      <w:r>
        <w:rPr>
          <w:rFonts w:ascii="宋体" w:hAnsi="宋体" w:cs="宋体" w:eastAsia="宋体" w:hint="default"/>
          <w:sz w:val="20"/>
          <w:szCs w:val="20"/>
        </w:rPr>
        <w:t>元</w:t>
      </w:r>
      <w:r>
        <w:rPr>
          <w:rFonts w:ascii="宋体" w:hAnsi="宋体" w:cs="宋体" w:eastAsia="宋体" w:hint="default"/>
          <w:sz w:val="20"/>
          <w:szCs w:val="20"/>
        </w:rPr>
        <w:t>(2016</w:t>
      </w:r>
      <w:r>
        <w:rPr>
          <w:rFonts w:ascii="宋体" w:hAnsi="宋体" w:cs="宋体" w:eastAsia="宋体" w:hint="default"/>
          <w:sz w:val="20"/>
          <w:szCs w:val="20"/>
        </w:rPr>
        <w:t>年：</w:t>
      </w:r>
      <w:r>
        <w:rPr>
          <w:rFonts w:ascii="宋体" w:hAnsi="宋体" w:cs="宋体" w:eastAsia="宋体" w:hint="default"/>
          <w:sz w:val="20"/>
          <w:szCs w:val="20"/>
        </w:rPr>
        <w:t>15,963.98</w:t>
      </w:r>
      <w:r>
        <w:rPr>
          <w:rFonts w:ascii="宋体" w:hAnsi="宋体" w:cs="宋体" w:eastAsia="宋体" w:hint="default"/>
          <w:sz w:val="20"/>
          <w:szCs w:val="20"/>
        </w:rPr>
        <w:t>元</w:t>
      </w:r>
      <w:r>
        <w:rPr>
          <w:rFonts w:ascii="宋体" w:hAnsi="宋体" w:cs="宋体" w:eastAsia="宋体" w:hint="default"/>
          <w:sz w:val="20"/>
          <w:szCs w:val="20"/>
        </w:rPr>
        <w:t>)</w:t>
      </w:r>
      <w:r>
        <w:rPr>
          <w:rFonts w:ascii="宋体" w:hAnsi="宋体" w:cs="宋体" w:eastAsia="宋体" w:hint="default"/>
          <w:sz w:val="20"/>
          <w:szCs w:val="20"/>
        </w:rPr>
        <w:t>，减少或增加其他综合收益约</w:t>
      </w:r>
      <w:r>
        <w:rPr>
          <w:rFonts w:ascii="宋体" w:hAnsi="宋体" w:cs="宋体" w:eastAsia="宋体" w:hint="default"/>
          <w:w w:val="99"/>
          <w:sz w:val="20"/>
          <w:szCs w:val="20"/>
        </w:rPr>
        <w:t> </w:t>
      </w:r>
      <w:r>
        <w:rPr>
          <w:rFonts w:ascii="宋体" w:hAnsi="宋体" w:cs="宋体" w:eastAsia="宋体" w:hint="default"/>
          <w:sz w:val="20"/>
          <w:szCs w:val="20"/>
        </w:rPr>
        <w:t>493.53</w:t>
      </w:r>
      <w:r>
        <w:rPr>
          <w:rFonts w:ascii="宋体" w:hAnsi="宋体" w:cs="宋体" w:eastAsia="宋体" w:hint="default"/>
          <w:sz w:val="20"/>
          <w:szCs w:val="20"/>
        </w:rPr>
        <w:t>元</w:t>
      </w:r>
      <w:r>
        <w:rPr>
          <w:rFonts w:ascii="宋体" w:hAnsi="宋体" w:cs="宋体" w:eastAsia="宋体" w:hint="default"/>
          <w:sz w:val="20"/>
          <w:szCs w:val="20"/>
        </w:rPr>
        <w:t>(2016</w:t>
      </w:r>
      <w:r>
        <w:rPr>
          <w:rFonts w:ascii="宋体" w:hAnsi="宋体" w:cs="宋体" w:eastAsia="宋体" w:hint="default"/>
          <w:sz w:val="20"/>
          <w:szCs w:val="20"/>
        </w:rPr>
        <w:t>年：</w:t>
      </w:r>
      <w:r>
        <w:rPr>
          <w:rFonts w:ascii="宋体" w:hAnsi="宋体" w:cs="宋体" w:eastAsia="宋体" w:hint="default"/>
          <w:sz w:val="20"/>
          <w:szCs w:val="20"/>
        </w:rPr>
        <w:t>15,963.98</w:t>
      </w:r>
      <w:r>
        <w:rPr>
          <w:rFonts w:ascii="宋体" w:hAnsi="宋体" w:cs="宋体" w:eastAsia="宋体" w:hint="default"/>
          <w:sz w:val="20"/>
          <w:szCs w:val="20"/>
        </w:rPr>
        <w:t>元</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p>
      <w:pPr>
        <w:spacing w:line="285" w:lineRule="auto" w:before="12"/>
        <w:ind w:left="152" w:right="94"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99"/>
          <w:sz w:val="20"/>
          <w:szCs w:val="20"/>
        </w:rPr>
        <w:t> </w:t>
      </w:r>
      <w:r>
        <w:rPr>
          <w:rFonts w:ascii="宋体" w:hAnsi="宋体" w:cs="宋体" w:eastAsia="宋体" w:hint="default"/>
          <w:sz w:val="20"/>
          <w:szCs w:val="20"/>
        </w:rPr>
        <w:t>信用风险</w:t>
      </w:r>
      <w:r>
        <w:rPr>
          <w:rFonts w:ascii="宋体" w:hAnsi="宋体" w:cs="宋体" w:eastAsia="宋体" w:hint="default"/>
          <w:w w:val="99"/>
          <w:sz w:val="20"/>
          <w:szCs w:val="20"/>
        </w:rPr>
        <w:t> </w:t>
      </w:r>
      <w:r>
        <w:rPr>
          <w:rFonts w:ascii="宋体" w:hAnsi="宋体" w:cs="宋体" w:eastAsia="宋体" w:hint="default"/>
          <w:sz w:val="20"/>
          <w:szCs w:val="20"/>
        </w:rPr>
        <w:t>本集团对信用风险按组合分类进行管理。信用风险主要产生于银行存款、应收账款和其他应收款。</w:t>
      </w:r>
      <w:r>
        <w:rPr>
          <w:rFonts w:ascii="宋体" w:hAnsi="宋体" w:cs="宋体" w:eastAsia="宋体" w:hint="default"/>
          <w:w w:val="99"/>
          <w:sz w:val="20"/>
          <w:szCs w:val="20"/>
        </w:rPr>
        <w:t> </w:t>
      </w:r>
      <w:r>
        <w:rPr>
          <w:rFonts w:ascii="宋体" w:hAnsi="宋体" w:cs="宋体" w:eastAsia="宋体" w:hint="default"/>
          <w:sz w:val="20"/>
          <w:szCs w:val="20"/>
        </w:rPr>
        <w:t>本集团银行存款主要存放于国有银行和其他大中型上市银行，本集团认为其不存在重大的信用风险，不会产生</w:t>
      </w:r>
      <w:r>
        <w:rPr>
          <w:rFonts w:ascii="宋体" w:hAnsi="宋体" w:cs="宋体" w:eastAsia="宋体" w:hint="default"/>
          <w:w w:val="99"/>
          <w:sz w:val="20"/>
          <w:szCs w:val="20"/>
        </w:rPr>
        <w:t> </w:t>
      </w:r>
      <w:r>
        <w:rPr>
          <w:rFonts w:ascii="宋体" w:hAnsi="宋体" w:cs="宋体" w:eastAsia="宋体" w:hint="default"/>
          <w:sz w:val="20"/>
          <w:szCs w:val="20"/>
        </w:rPr>
        <w:t>因对方单位违约而导致的任何重大损失。</w:t>
      </w:r>
      <w:r>
        <w:rPr>
          <w:rFonts w:ascii="宋体" w:hAnsi="宋体" w:cs="宋体" w:eastAsia="宋体" w:hint="default"/>
          <w:w w:val="99"/>
          <w:sz w:val="20"/>
          <w:szCs w:val="20"/>
        </w:rPr>
        <w:t> </w:t>
      </w:r>
      <w:r>
        <w:rPr>
          <w:rFonts w:ascii="宋体" w:hAnsi="宋体" w:cs="宋体" w:eastAsia="宋体" w:hint="default"/>
          <w:spacing w:val="-1"/>
          <w:w w:val="95"/>
          <w:sz w:val="20"/>
          <w:szCs w:val="20"/>
        </w:rPr>
        <w:t>此外，对于应收账款和其他应收款，本集团设定相关政策以控制信用风险敞口。本集团基于对客户的财务状况、</w:t>
      </w:r>
      <w:r>
        <w:rPr>
          <w:rFonts w:ascii="宋体" w:hAnsi="宋体" w:cs="宋体" w:eastAsia="宋体" w:hint="default"/>
          <w:spacing w:val="85"/>
          <w:w w:val="95"/>
          <w:sz w:val="20"/>
          <w:szCs w:val="20"/>
        </w:rPr>
        <w:t> </w:t>
      </w:r>
      <w:r>
        <w:rPr>
          <w:rFonts w:ascii="宋体" w:hAnsi="宋体" w:cs="宋体" w:eastAsia="宋体" w:hint="default"/>
          <w:spacing w:val="85"/>
          <w:w w:val="95"/>
          <w:sz w:val="20"/>
          <w:szCs w:val="20"/>
        </w:rPr>
      </w:r>
      <w:r>
        <w:rPr>
          <w:rFonts w:ascii="宋体" w:hAnsi="宋体" w:cs="宋体" w:eastAsia="宋体" w:hint="default"/>
          <w:spacing w:val="-1"/>
          <w:w w:val="95"/>
          <w:sz w:val="20"/>
          <w:szCs w:val="20"/>
        </w:rPr>
        <w:t>从第三方获取担保的可能性、信用记录及其他因素诸如目前市场状况等评估客户的信用资质并设置相应信用期。</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sz w:val="20"/>
          <w:szCs w:val="20"/>
        </w:rPr>
        <w:t>本集团会定期对客户信用记录进行监控，对于信用记录不良的客户，本集团会采用书面催款、缩短信用期或取</w:t>
      </w:r>
      <w:r>
        <w:rPr>
          <w:rFonts w:ascii="宋体" w:hAnsi="宋体" w:cs="宋体" w:eastAsia="宋体" w:hint="default"/>
          <w:w w:val="99"/>
          <w:sz w:val="20"/>
          <w:szCs w:val="20"/>
        </w:rPr>
        <w:t> </w:t>
      </w:r>
      <w:r>
        <w:rPr>
          <w:rFonts w:ascii="宋体" w:hAnsi="宋体" w:cs="宋体" w:eastAsia="宋体" w:hint="default"/>
          <w:sz w:val="20"/>
          <w:szCs w:val="20"/>
        </w:rPr>
        <w:t>消信用期等方式，以确保本集团的整体信用风险在可控的范围内。</w:t>
      </w:r>
      <w:r>
        <w:rPr>
          <w:rFonts w:ascii="宋体" w:hAnsi="宋体" w:cs="宋体" w:eastAsia="宋体" w:hint="default"/>
          <w:sz w:val="20"/>
          <w:szCs w:val="20"/>
        </w:rPr>
        <w:t> </w:t>
      </w:r>
    </w:p>
    <w:p>
      <w:pPr>
        <w:spacing w:line="285" w:lineRule="auto" w:before="12"/>
        <w:ind w:left="152" w:right="94"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99"/>
          <w:sz w:val="20"/>
          <w:szCs w:val="20"/>
        </w:rPr>
        <w:t> </w:t>
      </w:r>
      <w:r>
        <w:rPr>
          <w:rFonts w:ascii="宋体" w:hAnsi="宋体" w:cs="宋体" w:eastAsia="宋体" w:hint="default"/>
          <w:sz w:val="20"/>
          <w:szCs w:val="20"/>
        </w:rPr>
        <w:t>流动性风险</w:t>
      </w:r>
      <w:r>
        <w:rPr>
          <w:rFonts w:ascii="宋体" w:hAnsi="宋体" w:cs="宋体" w:eastAsia="宋体" w:hint="default"/>
          <w:w w:val="99"/>
          <w:sz w:val="20"/>
          <w:szCs w:val="20"/>
        </w:rPr>
        <w:t> </w:t>
      </w:r>
      <w:r>
        <w:rPr>
          <w:rFonts w:ascii="宋体" w:hAnsi="宋体" w:cs="宋体" w:eastAsia="宋体" w:hint="default"/>
          <w:w w:val="95"/>
          <w:sz w:val="20"/>
          <w:szCs w:val="20"/>
        </w:rPr>
        <w:t>本集团内各子公司负责其自身的现金流量预测。总部财务部门在汇总各子公司现金流量预测的基础上，在集团</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层面持续监控短期和长期的资金需求，以确保维持充裕的现金储备和可供随时变现的有价证券；同时持续监控</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是否符合借款协议的规定，从主要金融机构获得提供足够备用资金的承诺，以满足短期和长期的资金需求。</w:t>
      </w:r>
      <w:r>
        <w:rPr>
          <w:rFonts w:ascii="宋体" w:hAnsi="宋体" w:cs="宋体" w:eastAsia="宋体" w:hint="default"/>
          <w:w w:val="99"/>
          <w:sz w:val="20"/>
          <w:szCs w:val="20"/>
        </w:rPr>
        <w:t> </w:t>
      </w:r>
      <w:r>
        <w:rPr>
          <w:rFonts w:ascii="宋体" w:hAnsi="宋体" w:cs="宋体" w:eastAsia="宋体" w:hint="default"/>
          <w:sz w:val="20"/>
          <w:szCs w:val="20"/>
        </w:rPr>
        <w:t>于资产负债表日，本集团各项金融负债以未折现的合同现金流量按到期日列示如下：</w:t>
      </w:r>
      <w:r>
        <w:rPr>
          <w:rFonts w:ascii="宋体" w:hAnsi="宋体" w:cs="宋体" w:eastAsia="宋体" w:hint="default"/>
          <w:sz w:val="20"/>
          <w:szCs w:val="20"/>
        </w:rPr>
        <w:t> </w:t>
      </w:r>
    </w:p>
    <w:tbl>
      <w:tblPr>
        <w:tblW w:w="0" w:type="auto"/>
        <w:jc w:val="left"/>
        <w:tblInd w:w="145" w:type="dxa"/>
        <w:tblLayout w:type="fixed"/>
        <w:tblCellMar>
          <w:top w:w="0" w:type="dxa"/>
          <w:left w:w="0" w:type="dxa"/>
          <w:bottom w:w="0" w:type="dxa"/>
          <w:right w:w="0" w:type="dxa"/>
        </w:tblCellMar>
        <w:tblLook w:val="01E0"/>
      </w:tblPr>
      <w:tblGrid>
        <w:gridCol w:w="1380"/>
        <w:gridCol w:w="1767"/>
        <w:gridCol w:w="1152"/>
        <w:gridCol w:w="1145"/>
        <w:gridCol w:w="1157"/>
        <w:gridCol w:w="1673"/>
      </w:tblGrid>
      <w:tr>
        <w:trPr>
          <w:trHeight w:val="348"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689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7" w:right="0"/>
              <w:jc w:val="center"/>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r>
              <w:rPr>
                <w:rFonts w:ascii="宋体" w:hAnsi="宋体" w:cs="宋体" w:eastAsia="宋体" w:hint="default"/>
                <w:sz w:val="20"/>
                <w:szCs w:val="20"/>
              </w:rPr>
              <w:t> </w:t>
            </w:r>
          </w:p>
        </w:tc>
      </w:tr>
      <w:tr>
        <w:trPr>
          <w:trHeight w:val="346"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
              <w:jc w:val="right"/>
              <w:rPr>
                <w:rFonts w:ascii="宋体" w:hAnsi="宋体" w:cs="宋体" w:eastAsia="宋体" w:hint="default"/>
                <w:sz w:val="20"/>
                <w:szCs w:val="20"/>
              </w:rPr>
            </w:pPr>
            <w:r>
              <w:rPr>
                <w:rFonts w:ascii="宋体" w:hAnsi="宋体" w:cs="宋体" w:eastAsia="宋体" w:hint="default"/>
                <w:w w:val="95"/>
                <w:sz w:val="20"/>
                <w:szCs w:val="20"/>
              </w:rPr>
              <w:t>一年以内</w:t>
            </w:r>
            <w:r>
              <w:rPr>
                <w:rFonts w:ascii="宋体" w:hAnsi="宋体" w:cs="宋体" w:eastAsia="宋体" w:hint="default"/>
                <w:sz w:val="20"/>
                <w:szCs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hAnsi="宋体" w:cs="宋体" w:eastAsia="宋体" w:hint="default"/>
                <w:w w:val="95"/>
                <w:sz w:val="20"/>
                <w:szCs w:val="20"/>
              </w:rPr>
              <w:t>一到二年</w:t>
            </w:r>
            <w:r>
              <w:rPr>
                <w:rFonts w:ascii="宋体" w:hAnsi="宋体" w:cs="宋体" w:eastAsia="宋体" w:hint="default"/>
                <w:sz w:val="20"/>
                <w:szCs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hAnsi="宋体" w:cs="宋体" w:eastAsia="宋体" w:hint="default"/>
                <w:w w:val="95"/>
                <w:sz w:val="20"/>
                <w:szCs w:val="20"/>
              </w:rPr>
              <w:t>二到五年</w:t>
            </w:r>
            <w:r>
              <w:rPr>
                <w:rFonts w:ascii="宋体" w:hAnsi="宋体" w:cs="宋体" w:eastAsia="宋体" w:hint="default"/>
                <w:sz w:val="20"/>
                <w:szCs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right"/>
              <w:rPr>
                <w:rFonts w:ascii="宋体" w:hAnsi="宋体" w:cs="宋体" w:eastAsia="宋体" w:hint="default"/>
                <w:sz w:val="20"/>
                <w:szCs w:val="20"/>
              </w:rPr>
            </w:pPr>
            <w:r>
              <w:rPr>
                <w:rFonts w:ascii="宋体" w:hAnsi="宋体" w:cs="宋体" w:eastAsia="宋体" w:hint="default"/>
                <w:w w:val="95"/>
                <w:sz w:val="20"/>
                <w:szCs w:val="20"/>
              </w:rPr>
              <w:t>五年以上</w:t>
            </w:r>
            <w:r>
              <w:rPr>
                <w:rFonts w:ascii="宋体" w:hAnsi="宋体" w:cs="宋体" w:eastAsia="宋体" w:hint="default"/>
                <w:sz w:val="20"/>
                <w:szCs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348"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宋体" w:hAnsi="宋体" w:cs="宋体" w:eastAsia="宋体" w:hint="default"/>
                <w:sz w:val="20"/>
                <w:szCs w:val="20"/>
              </w:rPr>
              <w:t> </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11,004,360.65</w:t>
            </w:r>
            <w:r>
              <w:rPr>
                <w:rFonts w:ascii="宋体"/>
                <w:sz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11,004,360.65</w:t>
            </w:r>
            <w:r>
              <w:rPr>
                <w:rFonts w:ascii="宋体"/>
                <w:sz w:val="20"/>
              </w:rPr>
            </w:r>
          </w:p>
        </w:tc>
      </w:tr>
      <w:tr>
        <w:trPr>
          <w:trHeight w:val="348"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宋体" w:hAnsi="宋体" w:cs="宋体" w:eastAsia="宋体" w:hint="default"/>
                <w:sz w:val="20"/>
                <w:szCs w:val="20"/>
              </w:rPr>
              <w:t> </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22,489,371.11</w:t>
            </w:r>
            <w:r>
              <w:rPr>
                <w:rFonts w:ascii="宋体"/>
                <w:sz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22,489,371.11</w:t>
            </w:r>
            <w:r>
              <w:rPr>
                <w:rFonts w:ascii="宋体"/>
                <w:sz w:val="20"/>
              </w:rPr>
            </w:r>
          </w:p>
        </w:tc>
      </w:tr>
      <w:tr>
        <w:trPr>
          <w:trHeight w:val="346"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33,493,731.76</w:t>
            </w:r>
            <w:r>
              <w:rPr>
                <w:rFonts w:ascii="宋体"/>
                <w:sz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w w:val="99"/>
                <w:sz w:val="20"/>
              </w:rPr>
              <w:t> </w:t>
            </w:r>
            <w:r>
              <w:rPr>
                <w:rFonts w:ascii="宋体"/>
                <w:w w:val="95"/>
                <w:sz w:val="20"/>
              </w:rPr>
              <w:t>-</w:t>
            </w:r>
            <w:r>
              <w:rPr>
                <w:rFonts w:ascii="宋体"/>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33,493,731.76</w:t>
            </w:r>
            <w:r>
              <w:rPr>
                <w:rFonts w:ascii="宋体"/>
                <w:sz w:val="20"/>
              </w:rPr>
            </w:r>
          </w:p>
        </w:tc>
      </w:tr>
      <w:tr>
        <w:trPr>
          <w:trHeight w:val="348"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689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7" w:right="0"/>
              <w:jc w:val="center"/>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r>
              <w:rPr>
                <w:rFonts w:ascii="宋体" w:hAnsi="宋体" w:cs="宋体" w:eastAsia="宋体" w:hint="default"/>
                <w:sz w:val="20"/>
                <w:szCs w:val="20"/>
              </w:rPr>
              <w:t> </w:t>
            </w:r>
          </w:p>
        </w:tc>
      </w:tr>
      <w:tr>
        <w:trPr>
          <w:trHeight w:val="346"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
              <w:jc w:val="right"/>
              <w:rPr>
                <w:rFonts w:ascii="宋体" w:hAnsi="宋体" w:cs="宋体" w:eastAsia="宋体" w:hint="default"/>
                <w:sz w:val="20"/>
                <w:szCs w:val="20"/>
              </w:rPr>
            </w:pPr>
            <w:r>
              <w:rPr>
                <w:rFonts w:ascii="宋体" w:hAnsi="宋体" w:cs="宋体" w:eastAsia="宋体" w:hint="default"/>
                <w:w w:val="95"/>
                <w:sz w:val="20"/>
                <w:szCs w:val="20"/>
              </w:rPr>
              <w:t>一年以内</w:t>
            </w:r>
            <w:r>
              <w:rPr>
                <w:rFonts w:ascii="宋体" w:hAnsi="宋体" w:cs="宋体" w:eastAsia="宋体" w:hint="default"/>
                <w:sz w:val="20"/>
                <w:szCs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hAnsi="宋体" w:cs="宋体" w:eastAsia="宋体" w:hint="default"/>
                <w:w w:val="95"/>
                <w:sz w:val="20"/>
                <w:szCs w:val="20"/>
              </w:rPr>
              <w:t>一到二年</w:t>
            </w:r>
            <w:r>
              <w:rPr>
                <w:rFonts w:ascii="宋体" w:hAnsi="宋体" w:cs="宋体" w:eastAsia="宋体" w:hint="default"/>
                <w:sz w:val="20"/>
                <w:szCs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hAnsi="宋体" w:cs="宋体" w:eastAsia="宋体" w:hint="default"/>
                <w:w w:val="95"/>
                <w:sz w:val="20"/>
                <w:szCs w:val="20"/>
              </w:rPr>
              <w:t>二到五年</w:t>
            </w:r>
            <w:r>
              <w:rPr>
                <w:rFonts w:ascii="宋体" w:hAnsi="宋体" w:cs="宋体" w:eastAsia="宋体" w:hint="default"/>
                <w:sz w:val="20"/>
                <w:szCs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right"/>
              <w:rPr>
                <w:rFonts w:ascii="宋体" w:hAnsi="宋体" w:cs="宋体" w:eastAsia="宋体" w:hint="default"/>
                <w:sz w:val="20"/>
                <w:szCs w:val="20"/>
              </w:rPr>
            </w:pPr>
            <w:r>
              <w:rPr>
                <w:rFonts w:ascii="宋体" w:hAnsi="宋体" w:cs="宋体" w:eastAsia="宋体" w:hint="default"/>
                <w:w w:val="95"/>
                <w:sz w:val="20"/>
                <w:szCs w:val="20"/>
              </w:rPr>
              <w:t>五年以上</w:t>
            </w:r>
            <w:r>
              <w:rPr>
                <w:rFonts w:ascii="宋体" w:hAnsi="宋体" w:cs="宋体" w:eastAsia="宋体" w:hint="default"/>
                <w:sz w:val="20"/>
                <w:szCs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348"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宋体" w:hAnsi="宋体" w:cs="宋体" w:eastAsia="宋体" w:hint="default"/>
                <w:sz w:val="20"/>
                <w:szCs w:val="20"/>
              </w:rPr>
              <w:t> </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w w:val="99"/>
                <w:sz w:val="20"/>
              </w:rPr>
              <w:t> </w:t>
            </w:r>
            <w:r>
              <w:rPr>
                <w:rFonts w:ascii="宋体"/>
                <w:w w:val="95"/>
                <w:sz w:val="20"/>
              </w:rPr>
              <w:t>2,795,206.01</w:t>
            </w:r>
            <w:r>
              <w:rPr>
                <w:rFonts w:ascii="宋体"/>
                <w:sz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9"/>
                <w:sz w:val="20"/>
              </w:rPr>
              <w:t>-</w:t>
            </w:r>
            <w:r>
              <w:rPr>
                <w:rFonts w:ascii="宋体"/>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9"/>
                <w:sz w:val="20"/>
              </w:rPr>
              <w:t>-</w:t>
            </w:r>
            <w:r>
              <w:rPr>
                <w:rFonts w:ascii="宋体"/>
                <w:sz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9"/>
                <w:sz w:val="20"/>
              </w:rPr>
              <w:t>-</w:t>
            </w:r>
            <w:r>
              <w:rPr>
                <w:rFonts w:ascii="宋体"/>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w w:val="99"/>
                <w:sz w:val="20"/>
              </w:rPr>
              <w:t> </w:t>
            </w:r>
            <w:r>
              <w:rPr>
                <w:rFonts w:ascii="宋体"/>
                <w:w w:val="95"/>
                <w:sz w:val="20"/>
              </w:rPr>
              <w:t>2,795,206.01</w:t>
            </w:r>
            <w:r>
              <w:rPr>
                <w:rFonts w:ascii="宋体"/>
                <w:sz w:val="20"/>
              </w:rPr>
            </w:r>
          </w:p>
        </w:tc>
      </w:tr>
      <w:tr>
        <w:trPr>
          <w:trHeight w:val="348"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宋体" w:hAnsi="宋体" w:cs="宋体" w:eastAsia="宋体" w:hint="default"/>
                <w:sz w:val="20"/>
                <w:szCs w:val="20"/>
              </w:rPr>
              <w:t> </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
              <w:jc w:val="right"/>
              <w:rPr>
                <w:rFonts w:ascii="宋体" w:hAnsi="宋体" w:cs="宋体" w:eastAsia="宋体" w:hint="default"/>
                <w:sz w:val="20"/>
                <w:szCs w:val="20"/>
              </w:rPr>
            </w:pPr>
            <w:r>
              <w:rPr>
                <w:rFonts w:ascii="宋体"/>
                <w:spacing w:val="1"/>
                <w:w w:val="99"/>
                <w:sz w:val="20"/>
              </w:rPr>
              <w:t> </w:t>
            </w:r>
            <w:r>
              <w:rPr>
                <w:rFonts w:ascii="宋体"/>
                <w:w w:val="95"/>
                <w:sz w:val="20"/>
              </w:rPr>
              <w:t>29,753,296.68</w:t>
            </w:r>
            <w:r>
              <w:rPr>
                <w:rFonts w:ascii="宋体"/>
                <w:sz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9"/>
                <w:sz w:val="20"/>
              </w:rPr>
              <w:t>-</w:t>
            </w:r>
            <w:r>
              <w:rPr>
                <w:rFonts w:ascii="宋体"/>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9"/>
                <w:sz w:val="20"/>
              </w:rPr>
              <w:t>-</w:t>
            </w:r>
            <w:r>
              <w:rPr>
                <w:rFonts w:ascii="宋体"/>
                <w:sz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9"/>
                <w:sz w:val="20"/>
              </w:rPr>
              <w:t>-</w:t>
            </w:r>
            <w:r>
              <w:rPr>
                <w:rFonts w:ascii="宋体"/>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29,753,296.68</w:t>
            </w:r>
            <w:r>
              <w:rPr>
                <w:rFonts w:ascii="宋体"/>
                <w:sz w:val="20"/>
              </w:rPr>
            </w:r>
          </w:p>
        </w:tc>
      </w:tr>
      <w:tr>
        <w:trPr>
          <w:trHeight w:val="346"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w w:val="99"/>
                <w:sz w:val="20"/>
              </w:rPr>
              <w:t> </w:t>
            </w:r>
            <w:r>
              <w:rPr>
                <w:rFonts w:ascii="宋体"/>
                <w:sz w:val="20"/>
              </w:rPr>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3"/>
              <w:jc w:val="right"/>
              <w:rPr>
                <w:rFonts w:ascii="宋体" w:hAnsi="宋体" w:cs="宋体" w:eastAsia="宋体" w:hint="default"/>
                <w:sz w:val="20"/>
                <w:szCs w:val="20"/>
              </w:rPr>
            </w:pPr>
            <w:r>
              <w:rPr>
                <w:rFonts w:ascii="宋体"/>
                <w:spacing w:val="1"/>
                <w:w w:val="99"/>
                <w:sz w:val="20"/>
              </w:rPr>
              <w:t> </w:t>
            </w:r>
            <w:r>
              <w:rPr>
                <w:rFonts w:ascii="宋体"/>
                <w:w w:val="95"/>
                <w:sz w:val="20"/>
              </w:rPr>
              <w:t>32,548,502.69</w:t>
            </w:r>
            <w:r>
              <w:rPr>
                <w:rFonts w:ascii="宋体"/>
                <w:sz w:val="20"/>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
              <w:jc w:val="right"/>
              <w:rPr>
                <w:rFonts w:ascii="宋体" w:hAnsi="宋体" w:cs="宋体" w:eastAsia="宋体" w:hint="default"/>
                <w:sz w:val="20"/>
                <w:szCs w:val="20"/>
              </w:rPr>
            </w:pPr>
            <w:r>
              <w:rPr>
                <w:rFonts w:ascii="宋体"/>
                <w:w w:val="99"/>
                <w:sz w:val="20"/>
              </w:rPr>
              <w:t>-</w:t>
            </w:r>
            <w:r>
              <w:rPr>
                <w:rFonts w:ascii="宋体"/>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
              <w:jc w:val="right"/>
              <w:rPr>
                <w:rFonts w:ascii="宋体" w:hAnsi="宋体" w:cs="宋体" w:eastAsia="宋体" w:hint="default"/>
                <w:sz w:val="20"/>
                <w:szCs w:val="20"/>
              </w:rPr>
            </w:pPr>
            <w:r>
              <w:rPr>
                <w:rFonts w:ascii="宋体"/>
                <w:w w:val="99"/>
                <w:sz w:val="20"/>
              </w:rPr>
              <w:t>-</w:t>
            </w:r>
            <w:r>
              <w:rPr>
                <w:rFonts w:ascii="宋体"/>
                <w:sz w:val="20"/>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
              <w:jc w:val="right"/>
              <w:rPr>
                <w:rFonts w:ascii="宋体" w:hAnsi="宋体" w:cs="宋体" w:eastAsia="宋体" w:hint="default"/>
                <w:sz w:val="20"/>
                <w:szCs w:val="20"/>
              </w:rPr>
            </w:pPr>
            <w:r>
              <w:rPr>
                <w:rFonts w:ascii="宋体"/>
                <w:w w:val="99"/>
                <w:sz w:val="20"/>
              </w:rPr>
              <w:t>-</w:t>
            </w:r>
            <w:r>
              <w:rPr>
                <w:rFonts w:ascii="宋体"/>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
              <w:jc w:val="right"/>
              <w:rPr>
                <w:rFonts w:ascii="宋体" w:hAnsi="宋体" w:cs="宋体" w:eastAsia="宋体" w:hint="default"/>
                <w:sz w:val="20"/>
                <w:szCs w:val="20"/>
              </w:rPr>
            </w:pPr>
            <w:r>
              <w:rPr>
                <w:rFonts w:ascii="宋体"/>
                <w:w w:val="95"/>
                <w:sz w:val="20"/>
              </w:rPr>
              <w:t>32,548,502.69</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367" w:lineRule="exact" w:before="0"/>
        <w:ind w:left="152" w:right="6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十一、公允价值的披露</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13"/>
          <w:szCs w:val="13"/>
        </w:rPr>
      </w:pPr>
    </w:p>
    <w:p>
      <w:pPr>
        <w:spacing w:before="0"/>
        <w:ind w:left="152" w:right="66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pStyle w:val="Heading4"/>
        <w:spacing w:line="240" w:lineRule="auto"/>
        <w:ind w:right="661"/>
        <w:jc w:val="left"/>
        <w:rPr>
          <w:b w:val="0"/>
          <w:bCs w:val="0"/>
        </w:rPr>
      </w:pPr>
      <w:r>
        <w:rPr/>
        <w:t>公允价值估计</w:t>
      </w:r>
      <w:r>
        <w:rPr>
          <w:b w:val="0"/>
          <w:bCs w:val="0"/>
        </w:rPr>
      </w:r>
    </w:p>
    <w:p>
      <w:pPr>
        <w:spacing w:after="0" w:line="240" w:lineRule="auto"/>
        <w:jc w:val="left"/>
        <w:sectPr>
          <w:pgSz w:w="11910" w:h="16840"/>
          <w:pgMar w:header="892" w:footer="956" w:top="1080" w:bottom="1140" w:left="980" w:right="9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9"/>
          <w:szCs w:val="29"/>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BodyText"/>
        <w:spacing w:line="316" w:lineRule="auto" w:before="2"/>
        <w:ind w:left="152" w:right="1494"/>
        <w:jc w:val="left"/>
      </w:pPr>
      <w:r>
        <w:rPr/>
        <w:t>公允价值计量结果所属的层次，由对公允价值计量整体而言具有重要意义的输入值所属的最低层次决定： 第一层次：相同资产或负债在活跃市场上未经调整的报价。 第二层次：除第一层次输入值外相关资产或负债直接或间接可观察的输入值。 第三层次：相关资产或负债的不可观察输入值。</w:t>
      </w:r>
    </w:p>
    <w:p>
      <w:pPr>
        <w:pStyle w:val="BodyText"/>
        <w:spacing w:line="300" w:lineRule="auto" w:before="19"/>
        <w:ind w:left="152" w:right="365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持续的以公允价值计量的资产</w:t>
      </w:r>
      <w:r>
        <w:rPr>
          <w:w w:val="99"/>
        </w:rPr>
        <w:t> </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日，持续的以公允价值计量的资产按上述三个层次列示如下：</w:t>
      </w:r>
    </w:p>
    <w:p>
      <w:pPr>
        <w:spacing w:line="240" w:lineRule="auto" w:before="3"/>
        <w:rPr>
          <w:rFonts w:ascii="宋体" w:hAnsi="宋体" w:cs="宋体" w:eastAsia="宋体" w:hint="default"/>
          <w:sz w:val="24"/>
          <w:szCs w:val="24"/>
        </w:rPr>
      </w:pPr>
    </w:p>
    <w:tbl>
      <w:tblPr>
        <w:tblW w:w="0" w:type="auto"/>
        <w:jc w:val="left"/>
        <w:tblInd w:w="150" w:type="dxa"/>
        <w:tblLayout w:type="fixed"/>
        <w:tblCellMar>
          <w:top w:w="0" w:type="dxa"/>
          <w:left w:w="0" w:type="dxa"/>
          <w:bottom w:w="0" w:type="dxa"/>
          <w:right w:w="0" w:type="dxa"/>
        </w:tblCellMar>
        <w:tblLook w:val="01E0"/>
      </w:tblPr>
      <w:tblGrid>
        <w:gridCol w:w="2439"/>
        <w:gridCol w:w="1337"/>
        <w:gridCol w:w="1313"/>
        <w:gridCol w:w="1604"/>
        <w:gridCol w:w="1606"/>
      </w:tblGrid>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第一层次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第二层次</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金融资产合计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9"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非金融资产</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非金融资产合计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
        <w:ind w:left="152" w:right="0"/>
        <w:jc w:val="left"/>
      </w:pP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日，持续的以公允价值计量的资产按上述三个层次列示如下：</w:t>
      </w:r>
    </w:p>
    <w:p>
      <w:pPr>
        <w:spacing w:line="240" w:lineRule="auto" w:before="0"/>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2439"/>
        <w:gridCol w:w="1337"/>
        <w:gridCol w:w="1313"/>
        <w:gridCol w:w="1604"/>
        <w:gridCol w:w="1606"/>
      </w:tblGrid>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第一层次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第二层次</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第三层次</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 入当期损益的金融资产</w:t>
            </w:r>
            <w:r>
              <w:rPr>
                <w:rFonts w:ascii="Times New Roman" w:hAnsi="Times New Roman" w:cs="Times New Roman" w:eastAsia="Times New Roman" w:hint="default"/>
                <w:sz w:val="18"/>
                <w:szCs w:val="18"/>
              </w:rPr>
              <w:t>—</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44,277,562.00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44,277,562.00</w:t>
            </w: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94,277,562.00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94,277,562.00</w:t>
            </w: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非金融资产</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非金融资产合计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94,277,562.00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94,277,562.00</w:t>
            </w:r>
          </w:p>
        </w:tc>
      </w:tr>
    </w:tbl>
    <w:p>
      <w:pPr>
        <w:pStyle w:val="BodyText"/>
        <w:spacing w:line="316" w:lineRule="auto" w:before="8"/>
        <w:ind w:left="152" w:right="2574"/>
        <w:jc w:val="left"/>
      </w:pPr>
      <w:r>
        <w:rPr/>
        <w:t>对于结构性存款及银行理财产品，本集团按预期收益率进行现金流量折现确定其公允价值。 上述第三层次资产变动如下：</w:t>
      </w:r>
    </w:p>
    <w:tbl>
      <w:tblPr>
        <w:tblW w:w="0" w:type="auto"/>
        <w:jc w:val="left"/>
        <w:tblInd w:w="150" w:type="dxa"/>
        <w:tblLayout w:type="fixed"/>
        <w:tblCellMar>
          <w:top w:w="0" w:type="dxa"/>
          <w:left w:w="0" w:type="dxa"/>
          <w:bottom w:w="0" w:type="dxa"/>
          <w:right w:w="0" w:type="dxa"/>
        </w:tblCellMar>
        <w:tblLook w:val="01E0"/>
      </w:tblPr>
      <w:tblGrid>
        <w:gridCol w:w="2163"/>
        <w:gridCol w:w="1865"/>
        <w:gridCol w:w="2422"/>
        <w:gridCol w:w="1849"/>
      </w:tblGrid>
      <w:tr>
        <w:trPr>
          <w:trHeight w:val="660" w:hRule="exact"/>
        </w:trPr>
        <w:tc>
          <w:tcPr>
            <w:tcW w:w="2163"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p>
          <w:p>
            <w:pPr>
              <w:pStyle w:val="TableParagraph"/>
              <w:spacing w:line="240" w:lineRule="auto" w:before="76"/>
              <w:ind w:left="784" w:right="0"/>
              <w:jc w:val="left"/>
              <w:rPr>
                <w:rFonts w:ascii="宋体" w:hAnsi="宋体" w:cs="宋体" w:eastAsia="宋体" w:hint="default"/>
                <w:sz w:val="18"/>
                <w:szCs w:val="18"/>
              </w:rPr>
            </w:pPr>
            <w:r>
              <w:rPr>
                <w:rFonts w:ascii="宋体" w:hAnsi="宋体" w:cs="宋体" w:eastAsia="宋体" w:hint="default"/>
                <w:sz w:val="18"/>
                <w:szCs w:val="18"/>
              </w:rPr>
              <w:t>当期损益的金融资产</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2163"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right"/>
              <w:rPr>
                <w:rFonts w:ascii="Times New Roman" w:hAnsi="Times New Roman" w:cs="Times New Roman" w:eastAsia="Times New Roman" w:hint="default"/>
                <w:sz w:val="18"/>
                <w:szCs w:val="18"/>
              </w:rPr>
            </w:pPr>
            <w:r>
              <w:rPr>
                <w:rFonts w:ascii="Times New Roman"/>
                <w:spacing w:val="-1"/>
                <w:sz w:val="18"/>
              </w:rPr>
              <w:t>44,277,562.00</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50,000,000.00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
              <w:jc w:val="right"/>
              <w:rPr>
                <w:rFonts w:ascii="Times New Roman" w:hAnsi="Times New Roman" w:cs="Times New Roman" w:eastAsia="Times New Roman" w:hint="default"/>
                <w:sz w:val="18"/>
                <w:szCs w:val="18"/>
              </w:rPr>
            </w:pPr>
            <w:r>
              <w:rPr>
                <w:rFonts w:ascii="Times New Roman"/>
                <w:spacing w:val="-1"/>
                <w:sz w:val="18"/>
              </w:rPr>
              <w:t>94,277,562.00</w:t>
            </w:r>
          </w:p>
        </w:tc>
      </w:tr>
      <w:tr>
        <w:trPr>
          <w:trHeight w:val="348" w:hRule="exact"/>
        </w:trPr>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
              <w:jc w:val="right"/>
              <w:rPr>
                <w:rFonts w:ascii="Times New Roman" w:hAnsi="Times New Roman" w:cs="Times New Roman" w:eastAsia="Times New Roman" w:hint="default"/>
                <w:sz w:val="18"/>
                <w:szCs w:val="18"/>
              </w:rPr>
            </w:pPr>
            <w:r>
              <w:rPr>
                <w:rFonts w:ascii="Times New Roman"/>
                <w:spacing w:val="-1"/>
                <w:sz w:val="18"/>
              </w:rPr>
              <w:t>321,924,880.20</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spacing w:val="-1"/>
                <w:sz w:val="18"/>
              </w:rPr>
              <w:t>40,000,000.00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2"/>
              <w:jc w:val="right"/>
              <w:rPr>
                <w:rFonts w:ascii="Times New Roman" w:hAnsi="Times New Roman" w:cs="Times New Roman" w:eastAsia="Times New Roman" w:hint="default"/>
                <w:sz w:val="18"/>
                <w:szCs w:val="18"/>
              </w:rPr>
            </w:pPr>
            <w:r>
              <w:rPr>
                <w:rFonts w:ascii="Times New Roman"/>
                <w:spacing w:val="-1"/>
                <w:sz w:val="18"/>
              </w:rPr>
              <w:t>361,924,880.20</w:t>
            </w:r>
          </w:p>
        </w:tc>
      </w:tr>
      <w:tr>
        <w:trPr>
          <w:trHeight w:val="346" w:hRule="exact"/>
        </w:trPr>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(367,336,462.42)</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(90,888,369.86)</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(458,224,832.28)</w:t>
            </w:r>
          </w:p>
        </w:tc>
      </w:tr>
      <w:tr>
        <w:trPr>
          <w:trHeight w:val="660" w:hRule="exact"/>
        </w:trPr>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6" w:right="129"/>
              <w:jc w:val="left"/>
              <w:rPr>
                <w:rFonts w:ascii="宋体" w:hAnsi="宋体" w:cs="宋体" w:eastAsia="宋体" w:hint="default"/>
                <w:sz w:val="18"/>
                <w:szCs w:val="18"/>
              </w:rPr>
            </w:pPr>
            <w:r>
              <w:rPr>
                <w:rFonts w:ascii="宋体" w:hAnsi="宋体" w:cs="宋体" w:eastAsia="宋体" w:hint="default"/>
                <w:sz w:val="18"/>
                <w:szCs w:val="18"/>
              </w:rPr>
              <w:t>当期计入损益的利得总 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right"/>
              <w:rPr>
                <w:rFonts w:ascii="Times New Roman" w:hAnsi="Times New Roman" w:cs="Times New Roman" w:eastAsia="Times New Roman" w:hint="default"/>
                <w:sz w:val="18"/>
                <w:szCs w:val="18"/>
              </w:rPr>
            </w:pPr>
            <w:r>
              <w:rPr>
                <w:rFonts w:ascii="Times New Roman"/>
                <w:spacing w:val="-1"/>
                <w:sz w:val="18"/>
              </w:rPr>
              <w:t>1,134,020.22</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888,369.86</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
              <w:jc w:val="right"/>
              <w:rPr>
                <w:rFonts w:ascii="Times New Roman" w:hAnsi="Times New Roman" w:cs="Times New Roman" w:eastAsia="Times New Roman" w:hint="default"/>
                <w:sz w:val="18"/>
                <w:szCs w:val="18"/>
              </w:rPr>
            </w:pPr>
            <w:r>
              <w:rPr>
                <w:rFonts w:ascii="Times New Roman"/>
                <w:spacing w:val="-1"/>
                <w:sz w:val="18"/>
              </w:rPr>
              <w:t>2,022,390.08</w:t>
            </w:r>
          </w:p>
        </w:tc>
      </w:tr>
      <w:tr>
        <w:trPr>
          <w:trHeight w:val="346" w:hRule="exact"/>
        </w:trPr>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0" w:hRule="exact"/>
        </w:trPr>
        <w:tc>
          <w:tcPr>
            <w:tcW w:w="2163"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p>
          <w:p>
            <w:pPr>
              <w:pStyle w:val="TableParagraph"/>
              <w:spacing w:line="240" w:lineRule="auto" w:before="76"/>
              <w:ind w:left="784" w:right="0"/>
              <w:jc w:val="left"/>
              <w:rPr>
                <w:rFonts w:ascii="宋体" w:hAnsi="宋体" w:cs="宋体" w:eastAsia="宋体" w:hint="default"/>
                <w:sz w:val="18"/>
                <w:szCs w:val="18"/>
              </w:rPr>
            </w:pPr>
            <w:r>
              <w:rPr>
                <w:rFonts w:ascii="宋体" w:hAnsi="宋体" w:cs="宋体" w:eastAsia="宋体" w:hint="default"/>
                <w:sz w:val="18"/>
                <w:szCs w:val="18"/>
              </w:rPr>
              <w:t>当期损益的金融资产</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2166"/>
        <w:gridCol w:w="1865"/>
        <w:gridCol w:w="2422"/>
        <w:gridCol w:w="1849"/>
        <w:gridCol w:w="1366"/>
      </w:tblGrid>
      <w:tr>
        <w:trPr>
          <w:trHeight w:val="362" w:hRule="exact"/>
        </w:trPr>
        <w:tc>
          <w:tcPr>
            <w:tcW w:w="21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8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right="31"/>
              <w:jc w:val="right"/>
              <w:rPr>
                <w:rFonts w:ascii="Times New Roman" w:hAnsi="Times New Roman" w:cs="Times New Roman" w:eastAsia="Times New Roman" w:hint="default"/>
                <w:sz w:val="18"/>
                <w:szCs w:val="18"/>
              </w:rPr>
            </w:pPr>
            <w:r>
              <w:rPr>
                <w:rFonts w:ascii="Times New Roman"/>
                <w:spacing w:val="-1"/>
                <w:sz w:val="18"/>
              </w:rPr>
              <w:t>411,316,937.64</w:t>
            </w:r>
          </w:p>
        </w:tc>
        <w:tc>
          <w:tcPr>
            <w:tcW w:w="24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right="29"/>
              <w:jc w:val="right"/>
              <w:rPr>
                <w:rFonts w:ascii="Times New Roman" w:hAnsi="Times New Roman" w:cs="Times New Roman" w:eastAsia="Times New Roman" w:hint="default"/>
                <w:sz w:val="18"/>
                <w:szCs w:val="18"/>
              </w:rPr>
            </w:pPr>
            <w:r>
              <w:rPr>
                <w:rFonts w:ascii="Times New Roman"/>
                <w:spacing w:val="-1"/>
                <w:sz w:val="18"/>
              </w:rPr>
              <w:t>50,000,000.00</w:t>
            </w:r>
          </w:p>
        </w:tc>
        <w:tc>
          <w:tcPr>
            <w:tcW w:w="18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right="32"/>
              <w:jc w:val="right"/>
              <w:rPr>
                <w:rFonts w:ascii="Times New Roman" w:hAnsi="Times New Roman" w:cs="Times New Roman" w:eastAsia="Times New Roman" w:hint="default"/>
                <w:sz w:val="18"/>
                <w:szCs w:val="18"/>
              </w:rPr>
            </w:pPr>
            <w:r>
              <w:rPr>
                <w:rFonts w:ascii="Times New Roman"/>
                <w:spacing w:val="-1"/>
                <w:sz w:val="18"/>
              </w:rPr>
              <w:t>461,316,937.64</w:t>
            </w:r>
          </w:p>
        </w:tc>
        <w:tc>
          <w:tcPr>
            <w:tcW w:w="1366" w:type="dxa"/>
            <w:vMerge w:val="restart"/>
            <w:tcBorders>
              <w:top w:val="single" w:sz="6" w:space="0" w:color="000000"/>
              <w:left w:val="single" w:sz="6" w:space="0" w:color="000000"/>
              <w:right w:val="nil" w:sz="6" w:space="0" w:color="auto"/>
            </w:tcBorders>
          </w:tcPr>
          <w:p>
            <w:pPr/>
          </w:p>
        </w:tc>
      </w:tr>
      <w:tr>
        <w:trPr>
          <w:trHeight w:val="348" w:hRule="exact"/>
        </w:trPr>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(368,636,468.00)</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(368,636,468.00)</w:t>
            </w:r>
          </w:p>
        </w:tc>
        <w:tc>
          <w:tcPr>
            <w:tcW w:w="1366" w:type="dxa"/>
            <w:vMerge/>
            <w:tcBorders>
              <w:left w:val="single" w:sz="6" w:space="0" w:color="000000"/>
              <w:right w:val="nil" w:sz="6" w:space="0" w:color="auto"/>
            </w:tcBorders>
          </w:tcPr>
          <w:p>
            <w:pPr/>
          </w:p>
        </w:tc>
      </w:tr>
      <w:tr>
        <w:trPr>
          <w:trHeight w:val="658" w:hRule="exact"/>
        </w:trPr>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6" w:right="133"/>
              <w:jc w:val="left"/>
              <w:rPr>
                <w:rFonts w:ascii="宋体" w:hAnsi="宋体" w:cs="宋体" w:eastAsia="宋体" w:hint="default"/>
                <w:sz w:val="18"/>
                <w:szCs w:val="18"/>
              </w:rPr>
            </w:pPr>
            <w:r>
              <w:rPr>
                <w:rFonts w:ascii="宋体" w:hAnsi="宋体" w:cs="宋体" w:eastAsia="宋体" w:hint="default"/>
                <w:sz w:val="18"/>
                <w:szCs w:val="18"/>
              </w:rPr>
              <w:t>当期计入损益的利得总 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
              <w:jc w:val="right"/>
              <w:rPr>
                <w:rFonts w:ascii="Times New Roman" w:hAnsi="Times New Roman" w:cs="Times New Roman" w:eastAsia="Times New Roman" w:hint="default"/>
                <w:sz w:val="18"/>
                <w:szCs w:val="18"/>
              </w:rPr>
            </w:pPr>
            <w:r>
              <w:rPr>
                <w:rFonts w:ascii="Times New Roman"/>
                <w:spacing w:val="-1"/>
                <w:sz w:val="18"/>
              </w:rPr>
              <w:t>1,597,092.36</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2"/>
              <w:jc w:val="right"/>
              <w:rPr>
                <w:rFonts w:ascii="Times New Roman" w:hAnsi="Times New Roman" w:cs="Times New Roman" w:eastAsia="Times New Roman" w:hint="default"/>
                <w:sz w:val="18"/>
                <w:szCs w:val="18"/>
              </w:rPr>
            </w:pPr>
            <w:r>
              <w:rPr>
                <w:rFonts w:ascii="Times New Roman"/>
                <w:spacing w:val="-1"/>
                <w:sz w:val="18"/>
              </w:rPr>
              <w:t>1,597,092.36</w:t>
            </w:r>
          </w:p>
        </w:tc>
        <w:tc>
          <w:tcPr>
            <w:tcW w:w="1366" w:type="dxa"/>
            <w:vMerge/>
            <w:tcBorders>
              <w:left w:val="single" w:sz="6" w:space="0" w:color="000000"/>
              <w:right w:val="nil" w:sz="6" w:space="0" w:color="auto"/>
            </w:tcBorders>
          </w:tcPr>
          <w:p>
            <w:pPr/>
          </w:p>
        </w:tc>
      </w:tr>
      <w:tr>
        <w:trPr>
          <w:trHeight w:val="348" w:hRule="exact"/>
        </w:trPr>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right"/>
              <w:rPr>
                <w:rFonts w:ascii="Times New Roman" w:hAnsi="Times New Roman" w:cs="Times New Roman" w:eastAsia="Times New Roman" w:hint="default"/>
                <w:sz w:val="18"/>
                <w:szCs w:val="18"/>
              </w:rPr>
            </w:pPr>
            <w:r>
              <w:rPr>
                <w:rFonts w:ascii="Times New Roman"/>
                <w:spacing w:val="-1"/>
                <w:sz w:val="18"/>
              </w:rPr>
              <w:t>44,277,562.00</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50,000,000.00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
              <w:jc w:val="right"/>
              <w:rPr>
                <w:rFonts w:ascii="Times New Roman" w:hAnsi="Times New Roman" w:cs="Times New Roman" w:eastAsia="Times New Roman" w:hint="default"/>
                <w:sz w:val="18"/>
                <w:szCs w:val="18"/>
              </w:rPr>
            </w:pPr>
            <w:r>
              <w:rPr>
                <w:rFonts w:ascii="Times New Roman"/>
                <w:spacing w:val="-1"/>
                <w:sz w:val="18"/>
              </w:rPr>
              <w:t>94,277,562.00</w:t>
            </w:r>
          </w:p>
        </w:tc>
        <w:tc>
          <w:tcPr>
            <w:tcW w:w="1366" w:type="dxa"/>
            <w:vMerge/>
            <w:tcBorders>
              <w:left w:val="single" w:sz="6" w:space="0" w:color="000000"/>
              <w:bottom w:val="nil" w:sz="6" w:space="0" w:color="auto"/>
              <w:right w:val="nil" w:sz="6" w:space="0" w:color="auto"/>
            </w:tcBorders>
          </w:tcPr>
          <w:p>
            <w:pPr/>
          </w:p>
        </w:tc>
      </w:tr>
    </w:tbl>
    <w:p>
      <w:pPr>
        <w:pStyle w:val="BodyText"/>
        <w:spacing w:line="240" w:lineRule="auto" w:before="8"/>
        <w:ind w:left="152" w:right="0"/>
        <w:jc w:val="left"/>
      </w:pPr>
      <w:r>
        <w:rPr/>
        <w:t>计入损益的利得计入利润表中的投资收益项目。</w:t>
      </w:r>
    </w:p>
    <w:p>
      <w:pPr>
        <w:pStyle w:val="BodyText"/>
        <w:spacing w:line="309" w:lineRule="auto" w:before="76"/>
        <w:ind w:left="152" w:right="36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不以公允价值计量但披露其公允价值的资产和负债</w:t>
      </w:r>
      <w:r>
        <w:rPr>
          <w:w w:val="99"/>
        </w:rPr>
        <w:t> </w:t>
      </w:r>
      <w:r>
        <w:rPr/>
        <w:t>本集团不以公允价值计量的金融资产和负债主要包括：应收款项、应付款项。</w:t>
      </w:r>
      <w:r>
        <w:rPr>
          <w:w w:val="99"/>
        </w:rPr>
        <w:t> </w:t>
      </w:r>
      <w:r>
        <w:rPr/>
        <w:t>未以公允价值计量的金融资产和负债的账面价值与公允价值相差不大。</w:t>
      </w:r>
    </w:p>
    <w:p>
      <w:pPr>
        <w:spacing w:line="240" w:lineRule="auto" w:before="6"/>
        <w:rPr>
          <w:rFonts w:ascii="宋体" w:hAnsi="宋体" w:cs="宋体" w:eastAsia="宋体" w:hint="default"/>
          <w:sz w:val="15"/>
          <w:szCs w:val="15"/>
        </w:rPr>
      </w:pPr>
    </w:p>
    <w:p>
      <w:pPr>
        <w:pStyle w:val="Heading2"/>
        <w:spacing w:line="240" w:lineRule="auto"/>
        <w:ind w:left="152" w:right="0"/>
        <w:jc w:val="left"/>
        <w:rPr>
          <w:b w:val="0"/>
          <w:bCs w:val="0"/>
        </w:rPr>
      </w:pPr>
      <w:r>
        <w:rPr/>
        <w:t>十二、关联方及关联交易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北京达安世纪投资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384"/>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41.56%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41.56%</w:t>
            </w:r>
          </w:p>
        </w:tc>
      </w:tr>
    </w:tbl>
    <w:p>
      <w:pPr>
        <w:pStyle w:val="BodyText"/>
        <w:spacing w:line="240" w:lineRule="auto" w:before="49"/>
        <w:ind w:left="152" w:right="0"/>
        <w:jc w:val="left"/>
      </w:pPr>
      <w:r>
        <w:rPr/>
        <w:t>本企业的母公司情况的说明</w:t>
      </w:r>
    </w:p>
    <w:p>
      <w:pPr>
        <w:pStyle w:val="BodyText"/>
        <w:spacing w:line="300" w:lineRule="auto" w:before="117"/>
        <w:ind w:left="152" w:right="142"/>
        <w:jc w:val="left"/>
      </w:pPr>
      <w:r>
        <w:rPr>
          <w:spacing w:val="-1"/>
        </w:rPr>
        <w:t>北京达安世纪投资管理有限公司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月成立，主营业务是投资管理、投资咨询，刘铁峰持有达安世纪</w:t>
      </w:r>
      <w:r>
        <w:rPr>
          <w:rFonts w:ascii="Times New Roman" w:hAnsi="Times New Roman" w:cs="Times New Roman" w:eastAsia="Times New Roman" w:hint="default"/>
          <w:spacing w:val="-1"/>
        </w:rPr>
        <w:t>100%</w:t>
      </w:r>
      <w:r>
        <w:rPr>
          <w:spacing w:val="-1"/>
        </w:rPr>
        <w:t>股权，为达安</w:t>
      </w:r>
      <w:r>
        <w:rPr/>
        <w:t> 世纪的控股股东、实际控制人。</w:t>
      </w:r>
    </w:p>
    <w:p>
      <w:pPr>
        <w:pStyle w:val="BodyText"/>
        <w:spacing w:line="240" w:lineRule="auto" w:before="72"/>
        <w:ind w:left="152" w:right="0"/>
        <w:jc w:val="left"/>
      </w:pPr>
      <w:r>
        <w:rPr/>
        <w:t>本企业最终控制方是刘铁峰。</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left"/>
      </w:pPr>
      <w:r>
        <w:rPr/>
        <w:t>本企业子公司的情况详见附注九。</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常都喜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董事、监事、高级管理人员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240" w:lineRule="auto" w:before="49"/>
        <w:ind w:left="152" w:right="0"/>
        <w:jc w:val="left"/>
      </w:pPr>
      <w:r>
        <w:rPr/>
        <w:t>其他说明</w:t>
      </w:r>
    </w:p>
    <w:p>
      <w:pPr>
        <w:spacing w:after="0" w:line="240" w:lineRule="auto"/>
        <w:jc w:val="left"/>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spacing w:line="281" w:lineRule="exact"/>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）关联租赁情况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52" w:right="0"/>
        <w:jc w:val="left"/>
      </w:pPr>
      <w:r>
        <w:rPr/>
        <w:t>本公司作为承租方：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244,835.59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239,736.96</w:t>
            </w:r>
          </w:p>
        </w:tc>
      </w:tr>
    </w:tbl>
    <w:p>
      <w:pPr>
        <w:pStyle w:val="BodyText"/>
        <w:spacing w:line="357" w:lineRule="auto" w:before="49"/>
        <w:ind w:left="152" w:right="6534"/>
        <w:jc w:val="left"/>
      </w:pPr>
      <w:r>
        <w:rPr/>
        <w:t>关联租赁情况说明 公司租赁赵新宇房产用于门店实际经营。</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52"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38" w:lineRule="auto" w:before="49"/>
        <w:ind w:left="152" w:right="0"/>
        <w:jc w:val="left"/>
      </w:pPr>
      <w:r>
        <w:rPr/>
        <w:t>关联担保情况说明 </w:t>
      </w:r>
      <w:r>
        <w:rPr>
          <w:spacing w:val="-2"/>
        </w:rPr>
        <w:t>以上关联担保均为公司向银行申请综合授信额度，由刘铁峰提供无限连带责任担保，是为支持公司发展，补充流动资金用于</w:t>
      </w:r>
      <w:r>
        <w:rPr>
          <w:spacing w:val="-63"/>
        </w:rPr>
        <w:t> </w:t>
      </w:r>
      <w:r>
        <w:rPr>
          <w:spacing w:val="-63"/>
        </w:rPr>
      </w:r>
      <w:r>
        <w:rPr/>
        <w:t>公司的经营和发展需要。</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3,751,540.59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5,102,793.53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、关联方承诺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left="152" w:right="1854"/>
        <w:jc w:val="left"/>
        <w:rPr>
          <w:rFonts w:ascii="宋体" w:hAnsi="宋体" w:cs="宋体" w:eastAsia="宋体" w:hint="default"/>
        </w:rPr>
      </w:pPr>
      <w:r>
        <w:rPr/>
        <w:t>以下为本集团于资产负债表日，已签约而尚不必在资产负债表上列示的与关联方有关的承诺事项：</w:t>
      </w:r>
      <w:r>
        <w:rPr>
          <w:rFonts w:ascii="宋体" w:hAnsi="宋体" w:cs="宋体" w:eastAsia="宋体" w:hint="default"/>
        </w:rPr>
        <w:t> </w:t>
      </w:r>
      <w:r>
        <w:rPr/>
        <w:t>租赁</w:t>
      </w:r>
      <w:r>
        <w:rPr>
          <w:rFonts w:ascii="宋体" w:hAnsi="宋体" w:cs="宋体" w:eastAsia="宋体" w:hint="default"/>
        </w:rPr>
        <w:t> </w:t>
      </w:r>
    </w:p>
    <w:p>
      <w:pPr>
        <w:pStyle w:val="BodyText"/>
        <w:spacing w:line="240" w:lineRule="auto" w:before="19"/>
        <w:ind w:left="152"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9"/>
        </w:rPr>
        <w:t> </w:t>
      </w:r>
      <w:r>
        <w:rPr/>
        <w:t>单位：元</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959"/>
        <w:gridCol w:w="2348"/>
        <w:gridCol w:w="2547"/>
      </w:tblGrid>
      <w:tr>
        <w:trPr>
          <w:trHeight w:val="348" w:hRule="exact"/>
        </w:trPr>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w w:val="95"/>
                <w:sz w:val="18"/>
                <w:szCs w:val="18"/>
              </w:rPr>
              <w:t>2016</w:t>
            </w:r>
            <w:r>
              <w:rPr>
                <w:rFonts w:ascii="宋体" w:hAnsi="宋体" w:cs="宋体" w:eastAsia="宋体" w:hint="default"/>
                <w:w w:val="95"/>
                <w:sz w:val="18"/>
                <w:szCs w:val="18"/>
              </w:rPr>
              <w:t>年</w:t>
            </w:r>
            <w:r>
              <w:rPr>
                <w:rFonts w:ascii="宋体" w:hAnsi="宋体" w:cs="宋体" w:eastAsia="宋体" w:hint="default"/>
                <w:w w:val="95"/>
                <w:sz w:val="18"/>
                <w:szCs w:val="18"/>
              </w:rPr>
              <w:t>12</w:t>
            </w:r>
            <w:r>
              <w:rPr>
                <w:rFonts w:ascii="宋体" w:hAnsi="宋体" w:cs="宋体" w:eastAsia="宋体" w:hint="default"/>
                <w:w w:val="95"/>
                <w:sz w:val="18"/>
                <w:szCs w:val="18"/>
              </w:rPr>
              <w:t>月</w:t>
            </w:r>
            <w:r>
              <w:rPr>
                <w:rFonts w:ascii="宋体" w:hAnsi="宋体" w:cs="宋体" w:eastAsia="宋体" w:hint="default"/>
                <w:w w:val="95"/>
                <w:sz w:val="18"/>
                <w:szCs w:val="18"/>
              </w:rPr>
              <w:t>31</w:t>
            </w:r>
            <w:r>
              <w:rPr>
                <w:rFonts w:ascii="宋体" w:hAnsi="宋体" w:cs="宋体" w:eastAsia="宋体" w:hint="default"/>
                <w:w w:val="95"/>
                <w:sz w:val="18"/>
                <w:szCs w:val="18"/>
              </w:rPr>
              <w:t>日</w:t>
            </w:r>
          </w:p>
        </w:tc>
      </w:tr>
      <w:tr>
        <w:trPr>
          <w:trHeight w:val="346" w:hRule="exact"/>
        </w:trPr>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租入</w:t>
            </w:r>
            <w:r>
              <w:rPr>
                <w:rFonts w:ascii="宋体" w:hAnsi="宋体" w:cs="宋体" w:eastAsia="宋体" w:hint="default"/>
                <w:sz w:val="18"/>
                <w:szCs w:val="18"/>
              </w:rPr>
              <w:t>- </w:t>
            </w:r>
          </w:p>
        </w:tc>
        <w:tc>
          <w:tcPr>
            <w:tcW w:w="2348" w:type="dxa"/>
            <w:tcBorders>
              <w:top w:val="single" w:sz="6" w:space="0" w:color="000000"/>
              <w:left w:val="single" w:sz="6" w:space="0" w:color="000000"/>
              <w:bottom w:val="single" w:sz="6" w:space="0" w:color="000000"/>
              <w:right w:val="single" w:sz="6" w:space="0" w:color="000000"/>
            </w:tcBorders>
          </w:tcPr>
          <w:p>
            <w:pPr/>
          </w:p>
        </w:tc>
        <w:tc>
          <w:tcPr>
            <w:tcW w:w="254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3" w:right="0"/>
              <w:jc w:val="left"/>
              <w:rPr>
                <w:rFonts w:ascii="宋体" w:hAnsi="宋体" w:cs="宋体" w:eastAsia="宋体" w:hint="default"/>
                <w:sz w:val="18"/>
                <w:szCs w:val="18"/>
              </w:rPr>
            </w:pPr>
            <w:r>
              <w:rPr>
                <w:rFonts w:ascii="宋体" w:hAnsi="宋体" w:cs="宋体" w:eastAsia="宋体" w:hint="default"/>
                <w:sz w:val="18"/>
                <w:szCs w:val="18"/>
              </w:rPr>
              <w:t>赵新宇</w:t>
            </w:r>
            <w:r>
              <w:rPr>
                <w:rFonts w:ascii="宋体" w:hAnsi="宋体" w:cs="宋体" w:eastAsia="宋体" w:hint="default"/>
                <w:sz w:val="18"/>
                <w:szCs w:val="18"/>
              </w:rPr>
              <w:t>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275,843.79</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219,758.88</w:t>
            </w:r>
          </w:p>
        </w:tc>
      </w:tr>
    </w:tbl>
    <w:p>
      <w:pPr>
        <w:spacing w:after="0" w:line="240" w:lineRule="auto"/>
        <w:jc w:val="right"/>
        <w:rPr>
          <w:rFonts w:ascii="宋体" w:hAnsi="宋体" w:cs="宋体" w:eastAsia="宋体" w:hint="default"/>
          <w:sz w:val="18"/>
          <w:szCs w:val="18"/>
        </w:rPr>
        <w:sectPr>
          <w:pgSz w:w="11910" w:h="16840"/>
          <w:pgMar w:header="892" w:footer="956" w:top="1080" w:bottom="1140" w:left="980" w:right="980"/>
        </w:sectPr>
      </w:pPr>
    </w:p>
    <w:p>
      <w:pPr>
        <w:pStyle w:val="Heading2"/>
        <w:spacing w:line="303" w:lineRule="exact"/>
        <w:ind w:left="152" w:right="0"/>
        <w:jc w:val="left"/>
        <w:rPr>
          <w:b w:val="0"/>
          <w:bCs w:val="0"/>
        </w:rPr>
      </w:pPr>
      <w:r>
        <w:rPr/>
        <w:t>十三、承诺及或有事项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headerReference w:type="default" r:id="rId60"/>
          <w:pgSz w:w="11910" w:h="16840"/>
          <w:pgMar w:header="1078" w:footer="956" w:top="1960" w:bottom="1140" w:left="980" w:right="980"/>
        </w:sectPr>
      </w:pPr>
    </w:p>
    <w:p>
      <w:pPr>
        <w:pStyle w:val="BodyText"/>
        <w:spacing w:line="240" w:lineRule="auto" w:before="44"/>
        <w:ind w:left="152" w:right="-19"/>
        <w:jc w:val="left"/>
      </w:pPr>
      <w:r>
        <w:rPr/>
        <w:t>资产负债表日存在的重要承诺</w:t>
      </w:r>
    </w:p>
    <w:p>
      <w:pPr>
        <w:pStyle w:val="BodyText"/>
        <w:spacing w:line="300" w:lineRule="auto" w:before="117"/>
        <w:ind w:left="152" w:right="-19"/>
        <w:jc w:val="left"/>
      </w:pPr>
      <w:r>
        <w:rPr>
          <w:rFonts w:ascii="Times New Roman" w:hAnsi="Times New Roman" w:cs="Times New Roman" w:eastAsia="Times New Roman" w:hint="default"/>
        </w:rPr>
        <w:t>(1) </w:t>
      </w:r>
      <w:r>
        <w:rPr/>
        <w:t>资本性支出承诺事项</w:t>
      </w:r>
      <w:r>
        <w:rPr>
          <w:w w:val="99"/>
        </w:rPr>
        <w:t> </w:t>
      </w:r>
      <w:r>
        <w:rPr/>
        <w:t>以下为本集团于资产负债表日，已签约而尚不必在资产负债表上列示的资本性支出承诺：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pStyle w:val="BodyText"/>
        <w:spacing w:line="240" w:lineRule="auto"/>
        <w:ind w:left="152" w:right="0"/>
        <w:jc w:val="left"/>
      </w:pPr>
      <w:r>
        <w:rPr/>
        <w:t>单位：元</w:t>
      </w:r>
    </w:p>
    <w:p>
      <w:pPr>
        <w:spacing w:after="0" w:line="240" w:lineRule="auto"/>
        <w:jc w:val="left"/>
        <w:sectPr>
          <w:type w:val="continuous"/>
          <w:pgSz w:w="11910" w:h="16840"/>
          <w:pgMar w:top="1060" w:bottom="1160" w:left="980" w:right="980"/>
          <w:cols w:num="2" w:equalWidth="0">
            <w:col w:w="7174" w:space="1748"/>
            <w:col w:w="1028"/>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925"/>
        <w:gridCol w:w="2936"/>
        <w:gridCol w:w="2799"/>
      </w:tblGrid>
      <w:tr>
        <w:trPr>
          <w:trHeight w:val="348" w:hRule="exact"/>
        </w:trPr>
        <w:tc>
          <w:tcPr>
            <w:tcW w:w="3925" w:type="dxa"/>
            <w:tcBorders>
              <w:top w:val="single" w:sz="6" w:space="0" w:color="000000"/>
              <w:left w:val="single" w:sz="6" w:space="0" w:color="000000"/>
              <w:bottom w:val="single" w:sz="6" w:space="0" w:color="000000"/>
              <w:right w:val="single" w:sz="6" w:space="0" w:color="000000"/>
            </w:tcBorders>
          </w:tcPr>
          <w:p>
            <w:pP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r>
      <w:tr>
        <w:trPr>
          <w:trHeight w:val="348"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1,964,544.09</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1,059,564.00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300" w:lineRule="auto" w:before="8"/>
        <w:ind w:left="152" w:right="-20"/>
        <w:jc w:val="left"/>
      </w:pPr>
      <w:r>
        <w:rPr>
          <w:rFonts w:ascii="Times New Roman" w:hAnsi="Times New Roman" w:cs="Times New Roman" w:eastAsia="Times New Roman" w:hint="default"/>
        </w:rPr>
        <w:t>(2) </w:t>
      </w:r>
      <w:r>
        <w:rPr/>
        <w:t>经营租赁承诺事项</w:t>
      </w:r>
      <w:r>
        <w:rPr>
          <w:w w:val="99"/>
        </w:rPr>
        <w:t> </w:t>
      </w:r>
      <w:r>
        <w:rPr/>
        <w:t>根据已签订的不可撤销的经营性租赁合同，本集团未来最低应支付租金汇总如下：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61"/>
        <w:ind w:left="152" w:right="0"/>
        <w:jc w:val="left"/>
      </w:pPr>
      <w:r>
        <w:rPr/>
        <w:t>单位：元</w:t>
      </w:r>
    </w:p>
    <w:p>
      <w:pPr>
        <w:spacing w:after="0" w:line="240" w:lineRule="auto"/>
        <w:jc w:val="left"/>
        <w:sectPr>
          <w:type w:val="continuous"/>
          <w:pgSz w:w="11910" w:h="16840"/>
          <w:pgMar w:top="1060" w:bottom="1160" w:left="980" w:right="980"/>
          <w:cols w:num="2" w:equalWidth="0">
            <w:col w:w="6633" w:space="2289"/>
            <w:col w:w="1028"/>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963"/>
        <w:gridCol w:w="2907"/>
        <w:gridCol w:w="2789"/>
      </w:tblGrid>
      <w:tr>
        <w:trPr>
          <w:trHeight w:val="346" w:hRule="exact"/>
        </w:trPr>
        <w:tc>
          <w:tcPr>
            <w:tcW w:w="3963" w:type="dxa"/>
            <w:tcBorders>
              <w:top w:val="single" w:sz="6" w:space="0" w:color="000000"/>
              <w:left w:val="single" w:sz="6" w:space="0" w:color="000000"/>
              <w:bottom w:val="single" w:sz="6" w:space="0" w:color="000000"/>
              <w:right w:val="single" w:sz="6" w:space="0" w:color="000000"/>
            </w:tcBorders>
          </w:tcPr>
          <w:p>
            <w:pP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r>
      <w:tr>
        <w:trPr>
          <w:trHeight w:val="348" w:hRule="exact"/>
        </w:trPr>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33,935,192.04</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20,451,544.32</w:t>
            </w:r>
          </w:p>
        </w:tc>
      </w:tr>
      <w:tr>
        <w:trPr>
          <w:trHeight w:val="346" w:hRule="exact"/>
        </w:trPr>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13,595,992.07</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9,626,163.85</w:t>
            </w:r>
          </w:p>
        </w:tc>
      </w:tr>
      <w:tr>
        <w:trPr>
          <w:trHeight w:val="348" w:hRule="exact"/>
        </w:trPr>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2,873,700.39</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3,498,201.17</w:t>
            </w:r>
          </w:p>
        </w:tc>
      </w:tr>
      <w:tr>
        <w:trPr>
          <w:trHeight w:val="346" w:hRule="exact"/>
        </w:trPr>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266,947.66</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2,849,517.52</w:t>
            </w:r>
          </w:p>
        </w:tc>
      </w:tr>
      <w:tr>
        <w:trPr>
          <w:trHeight w:val="348" w:hRule="exact"/>
        </w:trPr>
        <w:tc>
          <w:tcPr>
            <w:tcW w:w="3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50,671,832.16</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36,425,426.86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152" w:right="158"/>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月本集团因与高云峰等离职员工就离职补偿等问题产生法律纠纷，除部分案件已经和解外，还有部分案件尚未开庭 或暂由劳动仲裁委员会裁决本集团支付相关员工人民币总计</w:t>
      </w:r>
      <w:r>
        <w:rPr>
          <w:rFonts w:ascii="Times New Roman" w:hAnsi="Times New Roman" w:cs="Times New Roman" w:eastAsia="Times New Roman" w:hint="default"/>
        </w:rPr>
        <w:t>410,563.91</w:t>
      </w:r>
      <w:r>
        <w:rPr/>
        <w:t>元。争议双方均已就上述裁决向法院提起诉讼和反诉 讼，案件正在进一步审理中。截止本报告批准报出日，该类案件未形成明确的处理结果。</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52" w:right="0"/>
        <w:jc w:val="both"/>
      </w:pPr>
      <w:r>
        <w:rPr/>
        <w:t>公司不存在需要披露的重要或有事项。</w:t>
      </w:r>
    </w:p>
    <w:p>
      <w:pPr>
        <w:spacing w:line="240" w:lineRule="auto" w:before="5"/>
        <w:rPr>
          <w:rFonts w:ascii="宋体" w:hAnsi="宋体" w:cs="宋体" w:eastAsia="宋体" w:hint="default"/>
          <w:sz w:val="19"/>
          <w:szCs w:val="19"/>
        </w:rPr>
      </w:pPr>
    </w:p>
    <w:p>
      <w:pPr>
        <w:pStyle w:val="Heading2"/>
        <w:spacing w:line="240" w:lineRule="auto"/>
        <w:ind w:left="152" w:right="0"/>
        <w:jc w:val="both"/>
        <w:rPr>
          <w:b w:val="0"/>
          <w:bCs w:val="0"/>
        </w:rPr>
      </w:pPr>
      <w:r>
        <w:rPr/>
        <w:t>十四、资产负债表日后事项</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307"/>
        <w:gridCol w:w="2368"/>
        <w:gridCol w:w="2402"/>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998" w:right="99"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4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内容</w:t>
            </w:r>
          </w:p>
        </w:tc>
        <w:tc>
          <w:tcPr>
            <w:tcW w:w="2368" w:type="dxa"/>
            <w:vMerge/>
            <w:tcBorders>
              <w:left w:val="single" w:sz="4" w:space="0" w:color="000000"/>
              <w:right w:val="single" w:sz="4" w:space="0" w:color="000000"/>
            </w:tcBorders>
            <w:shd w:val="clear" w:color="auto" w:fill="D2D2D2"/>
          </w:tcPr>
          <w:p>
            <w:pPr/>
          </w:p>
        </w:tc>
        <w:tc>
          <w:tcPr>
            <w:tcW w:w="2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8" w:type="dxa"/>
            <w:vMerge/>
            <w:tcBorders>
              <w:left w:val="single" w:sz="4" w:space="0" w:color="000000"/>
              <w:bottom w:val="single" w:sz="4" w:space="0" w:color="000000"/>
              <w:right w:val="single" w:sz="4" w:space="0" w:color="000000"/>
            </w:tcBorders>
            <w:shd w:val="clear" w:color="auto" w:fill="D2D2D2"/>
          </w:tcPr>
          <w:p>
            <w:pPr/>
          </w:p>
        </w:tc>
        <w:tc>
          <w:tcPr>
            <w:tcW w:w="24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0"/>
              <w:ind w:right="93"/>
              <w:jc w:val="center"/>
              <w:rPr>
                <w:rFonts w:ascii="宋体" w:hAnsi="宋体" w:cs="宋体" w:eastAsia="宋体" w:hint="default"/>
                <w:sz w:val="18"/>
                <w:szCs w:val="18"/>
              </w:rPr>
            </w:pPr>
            <w:r>
              <w:rPr>
                <w:rFonts w:ascii="宋体" w:hAnsi="宋体" w:cs="宋体" w:eastAsia="宋体" w:hint="default"/>
                <w:sz w:val="18"/>
                <w:szCs w:val="18"/>
              </w:rPr>
              <w:t>根据中国证券监督管理委员</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9" w:right="0"/>
              <w:jc w:val="left"/>
              <w:rPr>
                <w:rFonts w:ascii="Times New Roman" w:hAnsi="Times New Roman" w:cs="Times New Roman" w:eastAsia="Times New Roman" w:hint="default"/>
                <w:sz w:val="18"/>
                <w:szCs w:val="18"/>
              </w:rPr>
            </w:pPr>
            <w:r>
              <w:rPr>
                <w:rFonts w:ascii="Times New Roman"/>
                <w:sz w:val="18"/>
              </w:rPr>
              <w:t>209,719,175.73</w:t>
            </w:r>
          </w:p>
        </w:tc>
        <w:tc>
          <w:tcPr>
            <w:tcW w:w="24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263.329987pt;margin-top:99.029984pt;width:152.1pt;height:204.75pt;mso-position-horizontal-relative:page;mso-position-vertical-relative:page;z-index:-828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8"/>
                    <w:ind w:left="0" w:right="0"/>
                    <w:jc w:val="left"/>
                  </w:pPr>
                  <w:r>
                    <w:rPr/>
                    <w:t>日到位，</w:t>
                  </w:r>
                </w:p>
              </w:txbxContent>
            </v:textbox>
            <w10:wrap type="none"/>
          </v:shape>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334" w:hRule="exact"/>
        </w:trPr>
        <w:tc>
          <w:tcPr>
            <w:tcW w:w="2493" w:type="dxa"/>
            <w:vMerge w:val="restart"/>
            <w:tcBorders>
              <w:top w:val="single" w:sz="10" w:space="0" w:color="000000"/>
              <w:left w:val="single" w:sz="4" w:space="0" w:color="000000"/>
              <w:right w:val="single" w:sz="4" w:space="0" w:color="000000"/>
            </w:tcBorders>
            <w:shd w:val="clear" w:color="auto" w:fill="D2D2D2"/>
          </w:tcPr>
          <w:p>
            <w:pPr/>
          </w:p>
        </w:tc>
        <w:tc>
          <w:tcPr>
            <w:tcW w:w="229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会于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日签发</w:t>
            </w:r>
          </w:p>
        </w:tc>
        <w:tc>
          <w:tcPr>
            <w:tcW w:w="2391" w:type="dxa"/>
            <w:vMerge w:val="restart"/>
            <w:tcBorders>
              <w:top w:val="single" w:sz="10" w:space="0" w:color="000000"/>
              <w:left w:val="single" w:sz="4" w:space="0" w:color="000000"/>
              <w:right w:val="single" w:sz="4" w:space="0" w:color="000000"/>
            </w:tcBorders>
          </w:tcPr>
          <w:p>
            <w:pPr>
              <w:pStyle w:val="TableParagraph"/>
              <w:spacing w:line="4094" w:lineRule="exact"/>
              <w:ind w:left="2" w:right="-51"/>
              <w:jc w:val="left"/>
              <w:rPr>
                <w:rFonts w:ascii="宋体" w:hAnsi="宋体" w:cs="宋体" w:eastAsia="宋体" w:hint="default"/>
                <w:sz w:val="20"/>
                <w:szCs w:val="20"/>
              </w:rPr>
            </w:pPr>
            <w:r>
              <w:rPr>
                <w:rFonts w:ascii="宋体" w:hAnsi="宋体" w:cs="宋体" w:eastAsia="宋体" w:hint="default"/>
                <w:position w:val="-81"/>
                <w:sz w:val="20"/>
                <w:szCs w:val="20"/>
              </w:rPr>
              <w:pict>
                <v:group style="width:118.95pt;height:204.75pt;mso-position-horizontal-relative:char;mso-position-vertical-relative:line" coordorigin="0,0" coordsize="2379,4095">
                  <v:group style="position:absolute;left:0;top:0;width:2379;height:4095" coordorigin="0,0" coordsize="2379,4095">
                    <v:shape style="position:absolute;left:0;top:0;width:2379;height:4095" coordorigin="0,0" coordsize="2379,4095" path="m0,4095l2379,4095,2379,0,0,0,0,4095xe" filled="true" fillcolor="#ffffff" stroked="false">
                      <v:path arrowok="t"/>
                      <v:fill type="solid"/>
                    </v:shape>
                  </v:group>
                </v:group>
              </w:pict>
            </w:r>
            <w:r>
              <w:rPr>
                <w:rFonts w:ascii="宋体" w:hAnsi="宋体" w:cs="宋体" w:eastAsia="宋体" w:hint="default"/>
                <w:position w:val="-81"/>
                <w:sz w:val="20"/>
                <w:szCs w:val="20"/>
              </w:rPr>
            </w:r>
          </w:p>
        </w:tc>
        <w:tc>
          <w:tcPr>
            <w:tcW w:w="2391" w:type="dxa"/>
            <w:vMerge w:val="restart"/>
            <w:tcBorders>
              <w:top w:val="single" w:sz="10" w:space="0" w:color="000000"/>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的证监许可</w:t>
            </w:r>
            <w:r>
              <w:rPr>
                <w:rFonts w:ascii="Times New Roman" w:hAnsi="Times New Roman" w:cs="Times New Roman" w:eastAsia="Times New Roman" w:hint="default"/>
                <w:sz w:val="18"/>
                <w:szCs w:val="18"/>
              </w:rPr>
              <w:t>[2017]2375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《关于核准北京百华悦邦科</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技股份有限公司首次公开发</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行股票的批复</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本集团获准</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向社会公众发行人民币普通</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13,577,200 </w:t>
            </w:r>
            <w:r>
              <w:rPr>
                <w:rFonts w:ascii="宋体" w:hAnsi="宋体" w:cs="宋体" w:eastAsia="宋体" w:hint="default"/>
                <w:sz w:val="18"/>
                <w:szCs w:val="18"/>
              </w:rPr>
              <w:t>股，每股发行</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19.18</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元。上述</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业经中准会计师事务所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予以验证并出具中</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准验字</w:t>
            </w:r>
            <w:r>
              <w:rPr>
                <w:rFonts w:ascii="Times New Roman" w:hAnsi="Times New Roman" w:cs="Times New Roman" w:eastAsia="Times New Roman" w:hint="default"/>
                <w:sz w:val="18"/>
                <w:szCs w:val="18"/>
              </w:rPr>
              <w:t>[2018]1001 </w:t>
            </w:r>
            <w:r>
              <w:rPr>
                <w:rFonts w:ascii="宋体" w:hAnsi="宋体" w:cs="宋体" w:eastAsia="宋体" w:hint="default"/>
                <w:sz w:val="18"/>
                <w:szCs w:val="18"/>
              </w:rPr>
              <w:t>号验资报</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5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360"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日，本集团以</w:t>
            </w:r>
          </w:p>
        </w:tc>
        <w:tc>
          <w:tcPr>
            <w:tcW w:w="2391" w:type="dxa"/>
            <w:tcBorders>
              <w:top w:val="single" w:sz="4" w:space="0" w:color="000000"/>
              <w:left w:val="single" w:sz="4" w:space="0" w:color="000000"/>
              <w:bottom w:val="nil" w:sz="6" w:space="0" w:color="auto"/>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自有资金收购山西凯特通讯</w:t>
            </w:r>
          </w:p>
        </w:tc>
        <w:tc>
          <w:tcPr>
            <w:tcW w:w="2391" w:type="dxa"/>
            <w:tcBorders>
              <w:top w:val="nil" w:sz="6" w:space="0" w:color="auto"/>
              <w:left w:val="single" w:sz="4" w:space="0" w:color="000000"/>
              <w:bottom w:val="nil" w:sz="6" w:space="0" w:color="auto"/>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信息技术有限公司的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tc>
        <w:tc>
          <w:tcPr>
            <w:tcW w:w="2391" w:type="dxa"/>
            <w:tcBorders>
              <w:top w:val="nil" w:sz="6" w:space="0" w:color="auto"/>
              <w:left w:val="single" w:sz="4" w:space="0" w:color="000000"/>
              <w:bottom w:val="nil" w:sz="6" w:space="0" w:color="auto"/>
              <w:right w:val="single" w:sz="4" w:space="0" w:color="000000"/>
            </w:tcBorders>
          </w:tcPr>
          <w:p>
            <w:pPr/>
          </w:p>
        </w:tc>
        <w:tc>
          <w:tcPr>
            <w:tcW w:w="2391" w:type="dxa"/>
            <w:vMerge/>
            <w:tcBorders>
              <w:left w:val="single" w:sz="4" w:space="0" w:color="000000"/>
              <w:right w:val="single" w:sz="4" w:space="0" w:color="000000"/>
            </w:tcBorders>
          </w:tcPr>
          <w:p>
            <w:pPr/>
          </w:p>
        </w:tc>
      </w:tr>
      <w:tr>
        <w:trPr>
          <w:trHeight w:val="624"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的股权，由北京卓信大华资 产评估有限公司以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22" w:right="0"/>
              <w:jc w:val="left"/>
              <w:rPr>
                <w:rFonts w:ascii="Times New Roman" w:hAnsi="Times New Roman" w:cs="Times New Roman" w:eastAsia="Times New Roman" w:hint="default"/>
                <w:sz w:val="18"/>
                <w:szCs w:val="18"/>
              </w:rPr>
            </w:pPr>
            <w:r>
              <w:rPr>
                <w:rFonts w:ascii="Times New Roman"/>
                <w:sz w:val="18"/>
              </w:rPr>
              <w:t>26,756,400.00</w:t>
            </w:r>
          </w:p>
        </w:tc>
        <w:tc>
          <w:tcPr>
            <w:tcW w:w="2391"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日为评估基准日按照收</w:t>
            </w:r>
          </w:p>
        </w:tc>
        <w:tc>
          <w:tcPr>
            <w:tcW w:w="2391" w:type="dxa"/>
            <w:tcBorders>
              <w:top w:val="nil" w:sz="6" w:space="0" w:color="auto"/>
              <w:left w:val="single" w:sz="4" w:space="0" w:color="000000"/>
              <w:bottom w:val="nil" w:sz="6" w:space="0" w:color="auto"/>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益法对其进行了评估，评估</w:t>
            </w:r>
          </w:p>
        </w:tc>
        <w:tc>
          <w:tcPr>
            <w:tcW w:w="2391" w:type="dxa"/>
            <w:tcBorders>
              <w:top w:val="nil" w:sz="6" w:space="0" w:color="auto"/>
              <w:left w:val="single" w:sz="4" w:space="0" w:color="000000"/>
              <w:bottom w:val="nil" w:sz="6" w:space="0" w:color="auto"/>
              <w:right w:val="single" w:sz="4" w:space="0" w:color="000000"/>
            </w:tcBorders>
          </w:tcPr>
          <w:p>
            <w:pPr/>
          </w:p>
        </w:tc>
        <w:tc>
          <w:tcPr>
            <w:tcW w:w="2391" w:type="dxa"/>
            <w:vMerge/>
            <w:tcBorders>
              <w:left w:val="single" w:sz="4" w:space="0" w:color="000000"/>
              <w:right w:val="single" w:sz="4" w:space="0" w:color="000000"/>
            </w:tcBorders>
          </w:tcPr>
          <w:p>
            <w:pPr/>
          </w:p>
        </w:tc>
      </w:tr>
      <w:tr>
        <w:trPr>
          <w:trHeight w:val="360"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26,756,400.00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391" w:type="dxa"/>
            <w:tcBorders>
              <w:top w:val="nil" w:sz="6" w:space="0" w:color="auto"/>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661"/>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661"/>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52" w:right="661"/>
        <w:jc w:val="left"/>
      </w:pPr>
      <w:r>
        <w:rPr/>
        <w:t>利润分配情况说明</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880"/>
        <w:gridCol w:w="4307"/>
      </w:tblGrid>
      <w:tr>
        <w:trPr>
          <w:trHeight w:val="427" w:hRule="exact"/>
        </w:trPr>
        <w:tc>
          <w:tcPr>
            <w:tcW w:w="4880" w:type="dxa"/>
            <w:tcBorders>
              <w:top w:val="single" w:sz="6" w:space="0" w:color="000000"/>
              <w:left w:val="single" w:sz="6" w:space="0" w:color="000000"/>
              <w:bottom w:val="single" w:sz="6" w:space="0" w:color="000000"/>
              <w:right w:val="single" w:sz="6" w:space="0" w:color="000000"/>
            </w:tcBorders>
          </w:tcPr>
          <w:p>
            <w:pPr/>
          </w:p>
        </w:tc>
        <w:tc>
          <w:tcPr>
            <w:tcW w:w="4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金额</w:t>
            </w:r>
          </w:p>
        </w:tc>
      </w:tr>
      <w:tr>
        <w:trPr>
          <w:trHeight w:val="427"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经审议批准宣告发放的股利</w:t>
            </w:r>
          </w:p>
        </w:tc>
        <w:tc>
          <w:tcPr>
            <w:tcW w:w="4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36,929,916.00</w:t>
            </w:r>
          </w:p>
        </w:tc>
      </w:tr>
    </w:tbl>
    <w:p>
      <w:pPr>
        <w:pStyle w:val="BodyText"/>
        <w:spacing w:line="240" w:lineRule="auto" w:before="8"/>
        <w:ind w:left="152" w:right="0"/>
        <w:jc w:val="left"/>
      </w:pP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 </w:t>
      </w:r>
      <w:r>
        <w:rPr>
          <w:w w:val="99"/>
        </w:rPr>
        <w:t>根据</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18</w:t>
      </w:r>
      <w:r>
        <w:rPr>
          <w:spacing w:val="-3"/>
          <w:w w:val="99"/>
        </w:rPr>
        <w:t>年</w:t>
      </w:r>
      <w:r>
        <w:rPr>
          <w:rFonts w:ascii="Times New Roman" w:hAnsi="Times New Roman" w:cs="Times New Roman" w:eastAsia="Times New Roman" w:hint="default"/>
          <w:spacing w:val="1"/>
          <w:w w:val="99"/>
        </w:rPr>
        <w:t>4</w:t>
      </w:r>
      <w:r>
        <w:rPr>
          <w:w w:val="99"/>
        </w:rPr>
        <w:t>月</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2</w:t>
      </w:r>
      <w:r>
        <w:rPr>
          <w:w w:val="99"/>
        </w:rPr>
        <w:t>日董事</w:t>
      </w:r>
      <w:r>
        <w:rPr>
          <w:spacing w:val="-3"/>
          <w:w w:val="99"/>
        </w:rPr>
        <w:t>会</w:t>
      </w:r>
      <w:r>
        <w:rPr>
          <w:w w:val="99"/>
        </w:rPr>
        <w:t>决议</w:t>
      </w:r>
      <w:r>
        <w:rPr>
          <w:spacing w:val="-75"/>
          <w:w w:val="99"/>
        </w:rPr>
        <w:t>，</w:t>
      </w:r>
      <w:r>
        <w:rPr>
          <w:w w:val="99"/>
        </w:rPr>
        <w:t>董事会提议本公司向全</w:t>
      </w:r>
      <w:r>
        <w:rPr>
          <w:spacing w:val="2"/>
          <w:w w:val="99"/>
        </w:rPr>
        <w:t>体</w:t>
      </w:r>
      <w:r>
        <w:rPr>
          <w:w w:val="99"/>
        </w:rPr>
        <w:t>股东分配股</w:t>
      </w:r>
      <w:r>
        <w:rPr>
          <w:spacing w:val="1"/>
          <w:w w:val="99"/>
        </w:rPr>
        <w:t>利</w:t>
      </w:r>
      <w:r>
        <w:rPr>
          <w:rFonts w:ascii="Times New Roman" w:hAnsi="Times New Roman" w:cs="Times New Roman" w:eastAsia="Times New Roman" w:hint="default"/>
          <w:spacing w:val="1"/>
          <w:w w:val="99"/>
        </w:rPr>
        <w:t>36</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9</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2"/>
          <w:w w:val="99"/>
        </w:rPr>
        <w:t>0</w:t>
      </w:r>
      <w:r>
        <w:rPr>
          <w:w w:val="99"/>
        </w:rPr>
        <w:t>元</w:t>
      </w:r>
      <w:r>
        <w:rPr>
          <w:spacing w:val="-75"/>
          <w:w w:val="99"/>
        </w:rPr>
        <w:t>，</w:t>
      </w:r>
      <w:r>
        <w:rPr>
          <w:w w:val="99"/>
        </w:rPr>
        <w:t>未在本财务报表中确认为负债。</w:t>
      </w:r>
      <w:r>
        <w:rPr/>
      </w:r>
    </w:p>
    <w:p>
      <w:pPr>
        <w:spacing w:after="0" w:line="240" w:lineRule="auto"/>
        <w:jc w:val="left"/>
        <w:sectPr>
          <w:headerReference w:type="default" r:id="rId61"/>
          <w:pgSz w:w="11910" w:h="16840"/>
          <w:pgMar w:header="892" w:footer="956" w:top="1080" w:bottom="1140" w:left="980" w:right="940"/>
        </w:sectPr>
      </w:pPr>
    </w:p>
    <w:p>
      <w:pPr>
        <w:pStyle w:val="BodyText"/>
        <w:spacing w:line="240" w:lineRule="auto" w:before="8"/>
        <w:ind w:left="152" w:right="661"/>
        <w:jc w:val="left"/>
      </w:pPr>
      <w:r>
        <w:rPr/>
        <w:t>资本公积转增股本情况说明</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880"/>
        <w:gridCol w:w="4307"/>
      </w:tblGrid>
      <w:tr>
        <w:trPr>
          <w:trHeight w:val="427" w:hRule="exact"/>
        </w:trPr>
        <w:tc>
          <w:tcPr>
            <w:tcW w:w="4880" w:type="dxa"/>
            <w:tcBorders>
              <w:top w:val="single" w:sz="6" w:space="0" w:color="000000"/>
              <w:left w:val="single" w:sz="6" w:space="0" w:color="000000"/>
              <w:bottom w:val="single" w:sz="6" w:space="0" w:color="000000"/>
              <w:right w:val="single" w:sz="6" w:space="0" w:color="000000"/>
            </w:tcBorders>
          </w:tcPr>
          <w:p>
            <w:pPr/>
          </w:p>
        </w:tc>
        <w:tc>
          <w:tcPr>
            <w:tcW w:w="4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股数</w:t>
            </w:r>
          </w:p>
        </w:tc>
      </w:tr>
      <w:tr>
        <w:trPr>
          <w:trHeight w:val="427"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经审议批准资本公积转增股本</w:t>
            </w:r>
          </w:p>
        </w:tc>
        <w:tc>
          <w:tcPr>
            <w:tcW w:w="4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27,154,350.00</w:t>
            </w:r>
          </w:p>
        </w:tc>
      </w:tr>
    </w:tbl>
    <w:p>
      <w:pPr>
        <w:pStyle w:val="BodyText"/>
        <w:spacing w:line="300" w:lineRule="auto" w:before="49"/>
        <w:ind w:left="152" w:right="187"/>
        <w:jc w:val="left"/>
      </w:pPr>
      <w:r>
        <w:rPr>
          <w:rFonts w:ascii="Times New Roman" w:hAnsi="Times New Roman" w:cs="Times New Roman" w:eastAsia="Times New Roman" w:hint="default"/>
          <w:spacing w:val="-1"/>
        </w:rPr>
        <w:t>(a)</w:t>
      </w:r>
      <w:r>
        <w:rPr>
          <w:spacing w:val="-1"/>
        </w:rPr>
        <w:t>根据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日董事会决议，董事会提议以资本公积金向全体股东每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股，共计转增</w:t>
      </w:r>
      <w:r>
        <w:rPr>
          <w:rFonts w:ascii="Times New Roman" w:hAnsi="Times New Roman" w:cs="Times New Roman" w:eastAsia="Times New Roman" w:hint="default"/>
          <w:spacing w:val="-1"/>
        </w:rPr>
        <w:t>27,154,350.00</w:t>
      </w:r>
      <w:r>
        <w:rPr>
          <w:spacing w:val="-1"/>
        </w:rPr>
        <w:t>股，未在本</w:t>
      </w:r>
      <w:r>
        <w:rPr>
          <w:spacing w:val="-88"/>
        </w:rPr>
        <w:t> </w:t>
      </w:r>
      <w:r>
        <w:rPr>
          <w:spacing w:val="-88"/>
        </w:rPr>
      </w:r>
      <w:r>
        <w:rPr/>
        <w:t>财务报表中确认为负债。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2"/>
        <w:spacing w:line="240" w:lineRule="auto"/>
        <w:ind w:left="152" w:right="661"/>
        <w:jc w:val="left"/>
        <w:rPr>
          <w:b w:val="0"/>
          <w:bCs w:val="0"/>
        </w:rPr>
      </w:pPr>
      <w:r>
        <w:rPr/>
        <w:t>十五、其他重要事项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152" w:right="661"/>
        <w:jc w:val="left"/>
      </w:pPr>
      <w:r>
        <w:rPr>
          <w:rFonts w:ascii="Times New Roman" w:hAnsi="Times New Roman" w:cs="Times New Roman" w:eastAsia="Times New Roman" w:hint="default"/>
        </w:rPr>
        <w:t>1</w:t>
      </w:r>
      <w:r>
        <w:rPr/>
        <w:t>、分部信息</w:t>
      </w:r>
    </w:p>
    <w:p>
      <w:pPr>
        <w:spacing w:line="240" w:lineRule="auto" w:before="0"/>
        <w:rPr>
          <w:rFonts w:ascii="宋体" w:hAnsi="宋体" w:cs="宋体" w:eastAsia="宋体" w:hint="default"/>
          <w:sz w:val="18"/>
          <w:szCs w:val="18"/>
        </w:rPr>
      </w:pPr>
    </w:p>
    <w:p>
      <w:pPr>
        <w:pStyle w:val="BodyText"/>
        <w:spacing w:line="240" w:lineRule="auto" w:before="130"/>
        <w:ind w:left="152" w:right="661"/>
        <w:jc w:val="left"/>
      </w:pPr>
      <w:r>
        <w:rPr/>
        <w:t>（</w:t>
      </w:r>
      <w:r>
        <w:rPr>
          <w:rFonts w:ascii="Times New Roman" w:hAnsi="Times New Roman" w:cs="Times New Roman" w:eastAsia="Times New Roman" w:hint="default"/>
        </w:rPr>
        <w:t>1</w:t>
      </w:r>
      <w:r>
        <w:rPr/>
        <w:t>）报告分部的确定依据与会计政策</w:t>
      </w:r>
    </w:p>
    <w:p>
      <w:pPr>
        <w:spacing w:line="240" w:lineRule="auto" w:before="0"/>
        <w:rPr>
          <w:rFonts w:ascii="宋体" w:hAnsi="宋体" w:cs="宋体" w:eastAsia="宋体" w:hint="default"/>
          <w:sz w:val="18"/>
          <w:szCs w:val="18"/>
        </w:rPr>
      </w:pPr>
    </w:p>
    <w:p>
      <w:pPr>
        <w:pStyle w:val="BodyText"/>
        <w:spacing w:line="316" w:lineRule="auto" w:before="125"/>
        <w:ind w:left="152" w:right="94"/>
        <w:jc w:val="left"/>
      </w:pPr>
      <w:r>
        <w:rPr>
          <w:spacing w:val="-4"/>
        </w:rPr>
        <w:t>本集团的报告分部是提供不同产品或服务、或在不同地区经营的业务单元。由于各种业务或地区需要不同的技术和市场战略，</w:t>
      </w:r>
      <w:r>
        <w:rPr>
          <w:spacing w:val="-44"/>
        </w:rPr>
        <w:t> </w:t>
      </w:r>
      <w:r>
        <w:rPr>
          <w:spacing w:val="-44"/>
        </w:rPr>
      </w:r>
      <w:r>
        <w:rPr/>
        <w:t>因此，本集团分别独立管理各个报告分部的生产经营活动，分别评价其经营成果，以决定向其配置资源并评价其业绩。 本集团有两个报告分部，分别为：</w:t>
      </w:r>
    </w:p>
    <w:p>
      <w:pPr>
        <w:spacing w:line="240" w:lineRule="auto" w:before="4"/>
        <w:rPr>
          <w:rFonts w:ascii="宋体" w:hAnsi="宋体" w:cs="宋体" w:eastAsia="宋体" w:hint="default"/>
          <w:sz w:val="25"/>
          <w:szCs w:val="25"/>
        </w:rPr>
      </w:pPr>
    </w:p>
    <w:p>
      <w:pPr>
        <w:pStyle w:val="BodyText"/>
        <w:spacing w:line="240" w:lineRule="auto"/>
        <w:ind w:left="152" w:right="661"/>
        <w:jc w:val="left"/>
      </w:pPr>
      <w:r>
        <w:rPr/>
        <w:t>手机维修业务分部，负责在全国地区实体店提供手机维修、手机配件销售及增值服务。</w:t>
      </w:r>
    </w:p>
    <w:p>
      <w:pPr>
        <w:spacing w:line="240" w:lineRule="auto" w:before="0"/>
        <w:rPr>
          <w:rFonts w:ascii="宋体" w:hAnsi="宋体" w:cs="宋体" w:eastAsia="宋体" w:hint="default"/>
          <w:sz w:val="18"/>
          <w:szCs w:val="18"/>
        </w:rPr>
      </w:pPr>
    </w:p>
    <w:p>
      <w:pPr>
        <w:pStyle w:val="BodyText"/>
        <w:spacing w:line="316" w:lineRule="auto" w:before="153"/>
        <w:ind w:left="152" w:right="94"/>
        <w:jc w:val="left"/>
      </w:pPr>
      <w:r>
        <w:rPr>
          <w:spacing w:val="-2"/>
        </w:rPr>
        <w:t>电子商务业务分部，负责在全国地区通过电子商务平台和线下实体店以及手机运营商营业厅、合作零售商门店等体系回收及</w:t>
      </w:r>
      <w:r>
        <w:rPr>
          <w:spacing w:val="-63"/>
        </w:rPr>
        <w:t> </w:t>
      </w:r>
      <w:r>
        <w:rPr>
          <w:spacing w:val="-63"/>
        </w:rPr>
      </w:r>
      <w:r>
        <w:rPr/>
        <w:t>销售二手机，以及通过电子商务平台提供配件销售及增值服务。</w:t>
      </w:r>
    </w:p>
    <w:p>
      <w:pPr>
        <w:spacing w:line="240" w:lineRule="auto" w:before="4"/>
        <w:rPr>
          <w:rFonts w:ascii="宋体" w:hAnsi="宋体" w:cs="宋体" w:eastAsia="宋体" w:hint="default"/>
          <w:sz w:val="25"/>
          <w:szCs w:val="25"/>
        </w:rPr>
      </w:pPr>
    </w:p>
    <w:p>
      <w:pPr>
        <w:pStyle w:val="BodyText"/>
        <w:spacing w:line="240" w:lineRule="auto"/>
        <w:ind w:left="152" w:right="661"/>
        <w:jc w:val="left"/>
      </w:pPr>
      <w:r>
        <w:rPr/>
        <w:t>分部间转移价格参照向第三方销售所采用的价格确定。</w:t>
      </w:r>
    </w:p>
    <w:p>
      <w:pPr>
        <w:spacing w:line="240" w:lineRule="auto" w:before="0"/>
        <w:rPr>
          <w:rFonts w:ascii="宋体" w:hAnsi="宋体" w:cs="宋体" w:eastAsia="宋体" w:hint="default"/>
          <w:sz w:val="18"/>
          <w:szCs w:val="18"/>
        </w:rPr>
      </w:pPr>
    </w:p>
    <w:p>
      <w:pPr>
        <w:pStyle w:val="BodyText"/>
        <w:spacing w:line="316" w:lineRule="auto" w:before="153"/>
        <w:ind w:left="152" w:right="94"/>
        <w:jc w:val="left"/>
      </w:pPr>
      <w:r>
        <w:rPr>
          <w:spacing w:val="-2"/>
        </w:rPr>
        <w:t>资产根据分部的经营以及资产的所在位置进行分配，负债根据分部的经营进行分配，间接归属于各分部的费用按照收入比例</w:t>
      </w:r>
      <w:r>
        <w:rPr>
          <w:spacing w:val="-64"/>
        </w:rPr>
        <w:t> </w:t>
      </w:r>
      <w:r>
        <w:rPr>
          <w:spacing w:val="-64"/>
        </w:rPr>
      </w:r>
      <w:r>
        <w:rPr/>
        <w:t>在分部之间进行分配。</w:t>
      </w:r>
    </w:p>
    <w:p>
      <w:pPr>
        <w:spacing w:line="240" w:lineRule="auto" w:before="7"/>
        <w:rPr>
          <w:rFonts w:ascii="宋体" w:hAnsi="宋体" w:cs="宋体" w:eastAsia="宋体" w:hint="default"/>
          <w:sz w:val="24"/>
          <w:szCs w:val="24"/>
        </w:rPr>
      </w:pPr>
    </w:p>
    <w:p>
      <w:pPr>
        <w:pStyle w:val="BodyText"/>
        <w:spacing w:line="240" w:lineRule="auto"/>
        <w:ind w:left="152" w:right="661"/>
        <w:jc w:val="left"/>
      </w:pPr>
      <w:r>
        <w:rPr/>
        <w:t>（</w:t>
      </w:r>
      <w:r>
        <w:rPr>
          <w:rFonts w:ascii="Times New Roman" w:hAnsi="Times New Roman" w:cs="Times New Roman" w:eastAsia="Times New Roman" w:hint="default"/>
        </w:rPr>
        <w:t>2</w:t>
      </w:r>
      <w:r>
        <w:rPr/>
        <w:t>）报告分部的财务信息</w:t>
      </w:r>
    </w:p>
    <w:p>
      <w:pPr>
        <w:spacing w:line="240" w:lineRule="auto" w:before="0"/>
        <w:rPr>
          <w:rFonts w:ascii="宋体" w:hAnsi="宋体" w:cs="宋体" w:eastAsia="宋体" w:hint="default"/>
          <w:sz w:val="18"/>
          <w:szCs w:val="18"/>
        </w:rPr>
      </w:pPr>
    </w:p>
    <w:p>
      <w:pPr>
        <w:pStyle w:val="BodyText"/>
        <w:spacing w:line="240" w:lineRule="auto" w:before="127"/>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手机维修业务</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191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537,767,521.29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137,356,018.74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675,123,540.03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13,234,778.85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1,537,294.99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-14,772,073.84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-375,867,584.26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-96,613,259.61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14,772,073.84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-457,708,770.03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5,885.41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102,979.12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-3,976.97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-16,608,322.19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-2,394,465.33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-19,002,787.52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25,120,027.74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28,923,501.83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54,043,529.57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-7,177,145.15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-7,231,188.96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-14,408,334.11</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960" w:bottom="114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15" w:hRule="exact"/>
        </w:trPr>
        <w:tc>
          <w:tcPr>
            <w:tcW w:w="1914" w:type="dxa"/>
            <w:tcBorders>
              <w:top w:val="single" w:sz="10"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17,942,882.59</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21,692,312.87</w:t>
            </w:r>
          </w:p>
        </w:tc>
        <w:tc>
          <w:tcPr>
            <w:tcW w:w="1913" w:type="dxa"/>
            <w:tcBorders>
              <w:top w:val="single" w:sz="10" w:space="0" w:color="000000"/>
              <w:left w:val="single" w:sz="4" w:space="0" w:color="000000"/>
              <w:bottom w:val="single" w:sz="4" w:space="0" w:color="000000"/>
              <w:right w:val="single" w:sz="4" w:space="0" w:color="000000"/>
            </w:tcBorders>
          </w:tcPr>
          <w:p>
            <w:pP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223,933,231.66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51,641,929.50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-1,104,962.98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274,470,198.18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41,475,594.88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22,995,342.09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7,224,239.00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71,695,175.97</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折旧费用和摊销费用以 外的其他非现金费用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2,664,629.71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19,741.78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2,684,371.49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非流动资产增加额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23,075,683.12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862,499.79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23,938,182.91</w:t>
            </w:r>
          </w:p>
        </w:tc>
      </w:tr>
    </w:tbl>
    <w:p>
      <w:pPr>
        <w:spacing w:line="240" w:lineRule="auto" w:before="1"/>
        <w:rPr>
          <w:rFonts w:ascii="宋体" w:hAnsi="宋体" w:cs="宋体" w:eastAsia="宋体" w:hint="default"/>
          <w:sz w:val="18"/>
          <w:szCs w:val="18"/>
        </w:rPr>
      </w:pPr>
    </w:p>
    <w:p>
      <w:pPr>
        <w:pStyle w:val="Heading2"/>
        <w:spacing w:line="367" w:lineRule="exact"/>
        <w:ind w:left="152" w:right="0"/>
        <w:jc w:val="left"/>
        <w:rPr>
          <w:b w:val="0"/>
          <w:bCs w:val="0"/>
        </w:rPr>
      </w:pPr>
      <w:r>
        <w:rPr/>
        <w:t>十六、母公司财务报表主要项目注释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259,440.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8,575.50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2,226,1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52.41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5,278.68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2,220,873.7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259,440.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8,575.50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3.31%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2,226,1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52.41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5,278.68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0.24%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2,220,873.7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headerReference w:type="default" r:id="rId62"/>
          <w:pgSz w:w="11910" w:h="16840"/>
          <w:pgMar w:header="892" w:footer="956" w:top="1080" w:bottom="1140" w:left="980" w:right="980"/>
        </w:sectPr>
      </w:pPr>
    </w:p>
    <w:p>
      <w:pPr>
        <w:pStyle w:val="BodyText"/>
        <w:spacing w:line="240" w:lineRule="auto" w:before="49"/>
        <w:ind w:left="152" w:right="-19"/>
        <w:jc w:val="left"/>
      </w:pPr>
      <w:r>
        <w:rPr/>
        <w:t>期末单项金额重大并单项计提坏账准备的应收账款：</w:t>
      </w:r>
    </w:p>
    <w:p>
      <w:pPr>
        <w:pStyle w:val="BodyText"/>
        <w:spacing w:line="340" w:lineRule="auto" w:before="115"/>
        <w:ind w:left="152"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2"/>
        <w:ind w:left="152"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2"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15" w:hRule="exact"/>
        </w:trPr>
        <w:tc>
          <w:tcPr>
            <w:tcW w:w="24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三个月以内</w:t>
            </w:r>
          </w:p>
        </w:tc>
        <w:tc>
          <w:tcPr>
            <w:tcW w:w="22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173,812.42</w:t>
            </w:r>
          </w:p>
        </w:tc>
        <w:tc>
          <w:tcPr>
            <w:tcW w:w="2391" w:type="dxa"/>
            <w:tcBorders>
              <w:top w:val="single" w:sz="10" w:space="0" w:color="000000"/>
              <w:left w:val="single" w:sz="4" w:space="0" w:color="000000"/>
              <w:bottom w:val="single" w:sz="4" w:space="0" w:color="000000"/>
              <w:right w:val="single" w:sz="4" w:space="0" w:color="000000"/>
            </w:tcBorders>
          </w:tcPr>
          <w:p>
            <w:pPr/>
          </w:p>
        </w:tc>
        <w:tc>
          <w:tcPr>
            <w:tcW w:w="2391"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四个月到一年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3,470.07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243,213.78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3,470.07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1.43%</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259,440.95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8,575.50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w:t>
            </w:r>
          </w:p>
        </w:tc>
      </w:tr>
    </w:tbl>
    <w:p>
      <w:pPr>
        <w:pStyle w:val="BodyText"/>
        <w:spacing w:line="240" w:lineRule="auto" w:before="49"/>
        <w:ind w:left="152" w:right="675"/>
        <w:jc w:val="left"/>
      </w:pPr>
      <w:r>
        <w:rPr/>
        <w:t>组合中，采用余额百分比法计提坏账准备的应收账款：</w:t>
      </w:r>
    </w:p>
    <w:p>
      <w:pPr>
        <w:pStyle w:val="BodyText"/>
        <w:spacing w:line="240" w:lineRule="auto" w:before="115"/>
        <w:ind w:left="152" w:right="6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67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152" w:right="675"/>
        <w:jc w:val="left"/>
      </w:pPr>
      <w:r>
        <w:rPr/>
        <w:t>本期计提坏账准备金额</w:t>
      </w:r>
      <w:r>
        <w:rPr>
          <w:spacing w:val="-47"/>
        </w:rPr>
        <w:t> </w:t>
      </w:r>
      <w:r>
        <w:rPr>
          <w:rFonts w:ascii="Times New Roman" w:hAnsi="Times New Roman" w:cs="Times New Roman" w:eastAsia="Times New Roman" w:hint="default"/>
        </w:rPr>
        <w:t>6,834.14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3,537.32</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675"/>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50" w:type="dxa"/>
        <w:tblLayout w:type="fixed"/>
        <w:tblCellMar>
          <w:top w:w="0" w:type="dxa"/>
          <w:left w:w="0" w:type="dxa"/>
          <w:bottom w:w="0" w:type="dxa"/>
          <w:right w:w="0" w:type="dxa"/>
        </w:tblCellMar>
        <w:tblLook w:val="01E0"/>
      </w:tblPr>
      <w:tblGrid>
        <w:gridCol w:w="1095"/>
        <w:gridCol w:w="1640"/>
        <w:gridCol w:w="1973"/>
        <w:gridCol w:w="1366"/>
        <w:gridCol w:w="2276"/>
        <w:gridCol w:w="1368"/>
      </w:tblGrid>
      <w:tr>
        <w:trPr>
          <w:trHeight w:val="348" w:hRule="exact"/>
        </w:trPr>
        <w:tc>
          <w:tcPr>
            <w:tcW w:w="1095"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0"/>
              <w:jc w:val="center"/>
              <w:rPr>
                <w:rFonts w:ascii="宋体" w:hAnsi="宋体" w:cs="宋体" w:eastAsia="宋体" w:hint="default"/>
                <w:sz w:val="18"/>
                <w:szCs w:val="18"/>
              </w:rPr>
            </w:pPr>
            <w:r>
              <w:rPr>
                <w:rFonts w:ascii="宋体" w:hAnsi="宋体" w:cs="宋体" w:eastAsia="宋体" w:hint="default"/>
                <w:sz w:val="18"/>
                <w:szCs w:val="18"/>
              </w:rPr>
              <w:t>与本集团关系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占应收账款总额比例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55"/>
              <w:jc w:val="right"/>
              <w:rPr>
                <w:rFonts w:ascii="Times New Roman" w:hAnsi="Times New Roman" w:cs="Times New Roman" w:eastAsia="Times New Roman" w:hint="default"/>
                <w:sz w:val="18"/>
                <w:szCs w:val="18"/>
              </w:rPr>
            </w:pPr>
            <w:r>
              <w:rPr>
                <w:rFonts w:ascii="Times New Roman"/>
                <w:spacing w:val="-1"/>
                <w:sz w:val="18"/>
              </w:rPr>
              <w:t>68,901.36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9"/>
              <w:jc w:val="center"/>
              <w:rPr>
                <w:rFonts w:ascii="Times New Roman" w:hAnsi="Times New Roman" w:cs="Times New Roman" w:eastAsia="Times New Roman" w:hint="default"/>
                <w:sz w:val="18"/>
                <w:szCs w:val="18"/>
              </w:rPr>
            </w:pPr>
            <w:r>
              <w:rPr>
                <w:rFonts w:ascii="Times New Roman"/>
                <w:sz w:val="18"/>
              </w:rPr>
              <w:t>26.56%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1"/>
              <w:jc w:val="center"/>
              <w:rPr>
                <w:rFonts w:ascii="Times New Roman" w:hAnsi="Times New Roman" w:cs="Times New Roman" w:eastAsia="Times New Roman" w:hint="default"/>
                <w:sz w:val="18"/>
                <w:szCs w:val="18"/>
              </w:rPr>
            </w:pPr>
            <w:r>
              <w:rPr>
                <w:rFonts w:ascii="Times New Roman"/>
                <w:sz w:val="18"/>
              </w:rPr>
              <w:t>3,445.07</w:t>
            </w:r>
          </w:p>
        </w:tc>
      </w:tr>
      <w:tr>
        <w:trPr>
          <w:trHeight w:val="348" w:hRule="exact"/>
        </w:trPr>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55"/>
              <w:jc w:val="right"/>
              <w:rPr>
                <w:rFonts w:ascii="Times New Roman" w:hAnsi="Times New Roman" w:cs="Times New Roman" w:eastAsia="Times New Roman" w:hint="default"/>
                <w:sz w:val="18"/>
                <w:szCs w:val="18"/>
              </w:rPr>
            </w:pPr>
            <w:r>
              <w:rPr>
                <w:rFonts w:ascii="Times New Roman"/>
                <w:spacing w:val="-1"/>
                <w:sz w:val="18"/>
              </w:rPr>
              <w:t>18,814.42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1"/>
              <w:jc w:val="center"/>
              <w:rPr>
                <w:rFonts w:ascii="Times New Roman" w:hAnsi="Times New Roman" w:cs="Times New Roman" w:eastAsia="Times New Roman" w:hint="default"/>
                <w:sz w:val="18"/>
                <w:szCs w:val="18"/>
              </w:rPr>
            </w:pPr>
            <w:r>
              <w:rPr>
                <w:rFonts w:ascii="Times New Roman"/>
                <w:sz w:val="18"/>
              </w:rPr>
              <w:t>7.25%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55"/>
              <w:jc w:val="right"/>
              <w:rPr>
                <w:rFonts w:ascii="Times New Roman" w:hAnsi="Times New Roman" w:cs="Times New Roman" w:eastAsia="Times New Roman" w:hint="default"/>
                <w:sz w:val="18"/>
                <w:szCs w:val="18"/>
              </w:rPr>
            </w:pPr>
            <w:r>
              <w:rPr>
                <w:rFonts w:ascii="Times New Roman"/>
                <w:spacing w:val="-1"/>
                <w:sz w:val="18"/>
              </w:rPr>
              <w:t>10,735.00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1"/>
              <w:jc w:val="center"/>
              <w:rPr>
                <w:rFonts w:ascii="Times New Roman" w:hAnsi="Times New Roman" w:cs="Times New Roman" w:eastAsia="Times New Roman" w:hint="default"/>
                <w:sz w:val="18"/>
                <w:szCs w:val="18"/>
              </w:rPr>
            </w:pPr>
            <w:r>
              <w:rPr>
                <w:rFonts w:ascii="Times New Roman"/>
                <w:sz w:val="18"/>
              </w:rPr>
              <w:t>4.14%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55"/>
              <w:jc w:val="right"/>
              <w:rPr>
                <w:rFonts w:ascii="Times New Roman" w:hAnsi="Times New Roman" w:cs="Times New Roman" w:eastAsia="Times New Roman" w:hint="default"/>
                <w:sz w:val="18"/>
                <w:szCs w:val="18"/>
              </w:rPr>
            </w:pPr>
            <w:r>
              <w:rPr>
                <w:rFonts w:ascii="Times New Roman"/>
                <w:spacing w:val="-1"/>
                <w:sz w:val="18"/>
              </w:rPr>
              <w:t>10,027.17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一到两年</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1"/>
              <w:jc w:val="center"/>
              <w:rPr>
                <w:rFonts w:ascii="Times New Roman" w:hAnsi="Times New Roman" w:cs="Times New Roman" w:eastAsia="Times New Roman" w:hint="default"/>
                <w:sz w:val="18"/>
                <w:szCs w:val="18"/>
              </w:rPr>
            </w:pPr>
            <w:r>
              <w:rPr>
                <w:rFonts w:ascii="Times New Roman"/>
                <w:sz w:val="18"/>
              </w:rPr>
              <w:t>3.86%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1"/>
              <w:jc w:val="center"/>
              <w:rPr>
                <w:rFonts w:ascii="Times New Roman" w:hAnsi="Times New Roman" w:cs="Times New Roman" w:eastAsia="Times New Roman" w:hint="default"/>
                <w:sz w:val="18"/>
                <w:szCs w:val="18"/>
              </w:rPr>
            </w:pPr>
            <w:r>
              <w:rPr>
                <w:rFonts w:ascii="Times New Roman"/>
                <w:sz w:val="18"/>
              </w:rPr>
              <w:t>2,005.43</w:t>
            </w:r>
          </w:p>
        </w:tc>
      </w:tr>
      <w:tr>
        <w:trPr>
          <w:trHeight w:val="346" w:hRule="exact"/>
        </w:trPr>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26" w:right="0"/>
              <w:jc w:val="left"/>
              <w:rPr>
                <w:rFonts w:ascii="Times New Roman" w:hAnsi="Times New Roman" w:cs="Times New Roman" w:eastAsia="Times New Roman" w:hint="default"/>
                <w:sz w:val="18"/>
                <w:szCs w:val="18"/>
              </w:rPr>
            </w:pPr>
            <w:r>
              <w:rPr>
                <w:rFonts w:ascii="Times New Roman"/>
                <w:sz w:val="18"/>
              </w:rPr>
              <w:t>6,200.00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二到三年</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1"/>
              <w:jc w:val="center"/>
              <w:rPr>
                <w:rFonts w:ascii="Times New Roman" w:hAnsi="Times New Roman" w:cs="Times New Roman" w:eastAsia="Times New Roman" w:hint="default"/>
                <w:sz w:val="18"/>
                <w:szCs w:val="18"/>
              </w:rPr>
            </w:pPr>
            <w:r>
              <w:rPr>
                <w:rFonts w:ascii="Times New Roman"/>
                <w:sz w:val="18"/>
              </w:rPr>
              <w:t>2.39%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1"/>
              <w:jc w:val="center"/>
              <w:rPr>
                <w:rFonts w:ascii="Times New Roman" w:hAnsi="Times New Roman" w:cs="Times New Roman" w:eastAsia="Times New Roman" w:hint="default"/>
                <w:sz w:val="18"/>
                <w:szCs w:val="18"/>
              </w:rPr>
            </w:pPr>
            <w:r>
              <w:rPr>
                <w:rFonts w:ascii="Times New Roman"/>
                <w:sz w:val="18"/>
              </w:rPr>
              <w:t>3,100.00</w:t>
            </w:r>
          </w:p>
        </w:tc>
      </w:tr>
      <w:tr>
        <w:trPr>
          <w:trHeight w:val="348" w:hRule="exact"/>
        </w:trPr>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0"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11"/>
              <w:jc w:val="right"/>
              <w:rPr>
                <w:rFonts w:ascii="Times New Roman" w:hAnsi="Times New Roman" w:cs="Times New Roman" w:eastAsia="Times New Roman" w:hint="default"/>
                <w:sz w:val="18"/>
                <w:szCs w:val="18"/>
              </w:rPr>
            </w:pPr>
            <w:r>
              <w:rPr>
                <w:rFonts w:ascii="Times New Roman"/>
                <w:spacing w:val="-1"/>
                <w:sz w:val="18"/>
              </w:rPr>
              <w:t>114,677.95</w:t>
            </w:r>
          </w:p>
        </w:tc>
        <w:tc>
          <w:tcPr>
            <w:tcW w:w="1366"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9"/>
              <w:jc w:val="center"/>
              <w:rPr>
                <w:rFonts w:ascii="Times New Roman" w:hAnsi="Times New Roman" w:cs="Times New Roman" w:eastAsia="Times New Roman" w:hint="default"/>
                <w:sz w:val="18"/>
                <w:szCs w:val="18"/>
              </w:rPr>
            </w:pPr>
            <w:r>
              <w:rPr>
                <w:rFonts w:ascii="Times New Roman"/>
                <w:sz w:val="18"/>
              </w:rPr>
              <w:t>44.20%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1"/>
              <w:jc w:val="center"/>
              <w:rPr>
                <w:rFonts w:ascii="Times New Roman" w:hAnsi="Times New Roman" w:cs="Times New Roman" w:eastAsia="Times New Roman" w:hint="default"/>
                <w:sz w:val="18"/>
                <w:szCs w:val="18"/>
              </w:rPr>
            </w:pPr>
            <w:r>
              <w:rPr>
                <w:rFonts w:ascii="Times New Roman"/>
                <w:sz w:val="18"/>
              </w:rPr>
              <w:t>8,550.50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spacing w:line="335" w:lineRule="exact" w:before="0"/>
        <w:ind w:left="152" w:right="67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67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63"/>
          <w:pgSz w:w="11910" w:h="16840"/>
          <w:pgMar w:header="892" w:footer="956" w:top="1080" w:bottom="114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39" w:hRule="exact"/>
        </w:trPr>
        <w:tc>
          <w:tcPr>
            <w:tcW w:w="163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10" w:space="0" w:color="000000"/>
              <w:left w:val="single" w:sz="4" w:space="0" w:color="000000"/>
              <w:bottom w:val="single" w:sz="4" w:space="0" w:color="000000"/>
              <w:right w:val="single" w:sz="4" w:space="0" w:color="000000"/>
            </w:tcBorders>
          </w:tcPr>
          <w:p>
            <w:pPr/>
          </w:p>
        </w:tc>
        <w:tc>
          <w:tcPr>
            <w:tcW w:w="761"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88" w:type="dxa"/>
            <w:tcBorders>
              <w:top w:val="single" w:sz="10" w:space="0" w:color="000000"/>
              <w:left w:val="single" w:sz="4" w:space="0" w:color="000000"/>
              <w:bottom w:val="single" w:sz="4" w:space="0" w:color="000000"/>
              <w:right w:val="single" w:sz="4" w:space="0" w:color="000000"/>
            </w:tcBorders>
          </w:tcPr>
          <w:p>
            <w:pPr/>
          </w:p>
        </w:tc>
        <w:tc>
          <w:tcPr>
            <w:tcW w:w="655" w:type="dxa"/>
            <w:tcBorders>
              <w:top w:val="single" w:sz="10" w:space="0" w:color="000000"/>
              <w:left w:val="single" w:sz="4" w:space="0" w:color="000000"/>
              <w:bottom w:val="single" w:sz="4" w:space="0" w:color="000000"/>
              <w:right w:val="single" w:sz="4" w:space="0" w:color="000000"/>
            </w:tcBorders>
          </w:tcPr>
          <w:p>
            <w:pPr/>
          </w:p>
        </w:tc>
        <w:tc>
          <w:tcPr>
            <w:tcW w:w="761" w:type="dxa"/>
            <w:tcBorders>
              <w:top w:val="single" w:sz="10" w:space="0" w:color="000000"/>
              <w:left w:val="single" w:sz="4" w:space="0" w:color="000000"/>
              <w:bottom w:val="single" w:sz="4" w:space="0" w:color="000000"/>
              <w:right w:val="single" w:sz="4" w:space="0" w:color="000000"/>
            </w:tcBorders>
          </w:tcPr>
          <w:p>
            <w:pPr/>
          </w:p>
        </w:tc>
        <w:tc>
          <w:tcPr>
            <w:tcW w:w="814" w:type="dxa"/>
            <w:tcBorders>
              <w:top w:val="single" w:sz="10" w:space="0" w:color="000000"/>
              <w:left w:val="single" w:sz="4" w:space="0" w:color="000000"/>
              <w:bottom w:val="single" w:sz="4" w:space="0" w:color="000000"/>
              <w:right w:val="single" w:sz="4" w:space="0" w:color="000000"/>
            </w:tcBorders>
          </w:tcPr>
          <w:p>
            <w:pPr/>
          </w:p>
        </w:tc>
        <w:tc>
          <w:tcPr>
            <w:tcW w:w="934" w:type="dxa"/>
            <w:tcBorders>
              <w:top w:val="single" w:sz="10" w:space="0" w:color="000000"/>
              <w:left w:val="single" w:sz="4" w:space="0" w:color="000000"/>
              <w:bottom w:val="single" w:sz="4" w:space="0" w:color="000000"/>
              <w:right w:val="single" w:sz="4" w:space="0" w:color="000000"/>
            </w:tcBorders>
          </w:tcPr>
          <w:p>
            <w:pPr/>
          </w:p>
        </w:tc>
        <w:tc>
          <w:tcPr>
            <w:tcW w:w="931" w:type="dxa"/>
            <w:tcBorders>
              <w:top w:val="single" w:sz="10"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7,628,72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7,628,723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5,564,9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66.28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5,564,966.2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7,628,72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5,564,9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66.28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5,564,966.2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956" w:top="1080" w:bottom="1140" w:left="980" w:right="980"/>
        </w:sectPr>
      </w:pPr>
    </w:p>
    <w:p>
      <w:pPr>
        <w:pStyle w:val="BodyText"/>
        <w:spacing w:line="240" w:lineRule="auto" w:before="49"/>
        <w:ind w:left="152" w:right="-20"/>
        <w:jc w:val="left"/>
      </w:pPr>
      <w:r>
        <w:rPr/>
        <w:t>期末单项金额重大并单项计提坏账准备的其他应收款：</w:t>
      </w:r>
    </w:p>
    <w:p>
      <w:pPr>
        <w:pStyle w:val="BodyText"/>
        <w:spacing w:line="340" w:lineRule="auto" w:before="115"/>
        <w:ind w:left="15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left="1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2"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22,906.55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22,906.55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22,906.55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52" w:right="0"/>
        <w:jc w:val="left"/>
      </w:pPr>
      <w:r>
        <w:rPr/>
        <w:t>组合中，采用余额百分比法计提坏账准备的其他应收款：</w:t>
      </w:r>
    </w:p>
    <w:p>
      <w:pPr>
        <w:pStyle w:val="BodyText"/>
        <w:spacing w:line="340" w:lineRule="auto" w:before="115"/>
        <w:ind w:left="152"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9" w:hRule="exact"/>
        </w:trPr>
        <w:tc>
          <w:tcPr>
            <w:tcW w:w="336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应收子公司往来款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6,971,816.99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3,818,698.68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80,072.19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22,906.55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1,596,209.93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69,985.48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7,628,723.54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5,564,966.28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6,971,393.99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91.38%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7,516,393.99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98.52%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91,406,885.00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431,879.66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90,975,005.34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87,806,885.00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87,806,885.00</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91,406,885.00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431,879.66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90,975,005.34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87,806,885.00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87,806,885.00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石家庄市百华悦 邦电子科技有限</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74" w:hRule="exact"/>
        </w:trPr>
        <w:tc>
          <w:tcPr>
            <w:tcW w:w="14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7" w:type="dxa"/>
            <w:tcBorders>
              <w:top w:val="single" w:sz="10" w:space="0" w:color="000000"/>
              <w:left w:val="single" w:sz="4" w:space="0" w:color="000000"/>
              <w:bottom w:val="single" w:sz="4" w:space="0" w:color="000000"/>
              <w:right w:val="single" w:sz="4" w:space="0" w:color="000000"/>
            </w:tcBorders>
          </w:tcPr>
          <w:p>
            <w:pPr/>
          </w:p>
        </w:tc>
        <w:tc>
          <w:tcPr>
            <w:tcW w:w="1334" w:type="dxa"/>
            <w:tcBorders>
              <w:top w:val="single" w:sz="10" w:space="0" w:color="000000"/>
              <w:left w:val="single" w:sz="4" w:space="0" w:color="000000"/>
              <w:bottom w:val="single" w:sz="4" w:space="0" w:color="000000"/>
              <w:right w:val="single" w:sz="4" w:space="0" w:color="000000"/>
            </w:tcBorders>
          </w:tcPr>
          <w:p>
            <w:pPr/>
          </w:p>
        </w:tc>
        <w:tc>
          <w:tcPr>
            <w:tcW w:w="1335" w:type="dxa"/>
            <w:tcBorders>
              <w:top w:val="single" w:sz="10" w:space="0" w:color="000000"/>
              <w:left w:val="single" w:sz="4" w:space="0" w:color="000000"/>
              <w:bottom w:val="single" w:sz="4" w:space="0" w:color="000000"/>
              <w:right w:val="single" w:sz="4" w:space="0" w:color="000000"/>
            </w:tcBorders>
          </w:tcPr>
          <w:p>
            <w:pPr/>
          </w:p>
        </w:tc>
        <w:tc>
          <w:tcPr>
            <w:tcW w:w="1334" w:type="dxa"/>
            <w:tcBorders>
              <w:top w:val="single" w:sz="10" w:space="0" w:color="000000"/>
              <w:left w:val="single" w:sz="4" w:space="0" w:color="000000"/>
              <w:bottom w:val="single" w:sz="4" w:space="0" w:color="000000"/>
              <w:right w:val="single" w:sz="4" w:space="0" w:color="000000"/>
            </w:tcBorders>
          </w:tcPr>
          <w:p>
            <w:pPr/>
          </w:p>
        </w:tc>
        <w:tc>
          <w:tcPr>
            <w:tcW w:w="1390" w:type="dxa"/>
            <w:tcBorders>
              <w:top w:val="single" w:sz="10" w:space="0" w:color="000000"/>
              <w:left w:val="single" w:sz="4" w:space="0" w:color="000000"/>
              <w:bottom w:val="single" w:sz="4" w:space="0" w:color="000000"/>
              <w:right w:val="single" w:sz="4" w:space="0" w:color="000000"/>
            </w:tcBorders>
          </w:tcPr>
          <w:p>
            <w:pPr/>
          </w:p>
        </w:tc>
        <w:tc>
          <w:tcPr>
            <w:tcW w:w="1390"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北京百邦优保电 子科技有限责任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山东百邦电子科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杭州百华悦邦电 子技术有限公司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福州百邦电子科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431,879.66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431,879.66</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上海百华悦邦电 子科技有限公司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南京百嘉翰邦电 子科技有限公司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天津百华悦邦科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上海闪电蜂电子 商务有限公司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8"/>
              <w:jc w:val="left"/>
              <w:rPr>
                <w:rFonts w:ascii="Times New Roman" w:hAnsi="Times New Roman" w:cs="Times New Roman" w:eastAsia="Times New Roman" w:hint="default"/>
                <w:sz w:val="18"/>
                <w:szCs w:val="18"/>
              </w:rPr>
            </w:pPr>
            <w:r>
              <w:rPr>
                <w:rFonts w:ascii="Times New Roman"/>
                <w:sz w:val="18"/>
              </w:rPr>
              <w:t>Bybon</w:t>
            </w:r>
            <w:r>
              <w:rPr>
                <w:rFonts w:ascii="Times New Roman"/>
                <w:spacing w:val="-4"/>
                <w:sz w:val="18"/>
              </w:rPr>
              <w:t> </w:t>
            </w:r>
            <w:r>
              <w:rPr>
                <w:rFonts w:ascii="Times New Roman"/>
                <w:sz w:val="18"/>
              </w:rPr>
              <w:t>Investment</w:t>
            </w:r>
            <w:r>
              <w:rPr>
                <w:rFonts w:ascii="Times New Roman"/>
                <w:sz w:val="18"/>
              </w:rPr>
              <w:t> Company</w:t>
            </w:r>
            <w:r>
              <w:rPr>
                <w:rFonts w:ascii="Times New Roman"/>
                <w:spacing w:val="-10"/>
                <w:sz w:val="18"/>
              </w:rPr>
              <w:t> </w:t>
            </w:r>
            <w:r>
              <w:rPr>
                <w:rFonts w:ascii="Times New Roman"/>
                <w:sz w:val="18"/>
              </w:rPr>
              <w:t>Limited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306,885.00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306,885.00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87,806,885.00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91,406,885.00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431,879.66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431,879.66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4"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101,524,488.53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51,664,670.54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89,482,952.70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31,104,755.05</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101,524,488.53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51,664,670.54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89,482,952.70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31,104,755.05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97" w:right="0"/>
              <w:jc w:val="left"/>
              <w:rPr>
                <w:rFonts w:ascii="Times New Roman" w:hAnsi="Times New Roman" w:cs="Times New Roman" w:eastAsia="Times New Roman" w:hint="default"/>
                <w:sz w:val="18"/>
                <w:szCs w:val="18"/>
              </w:rPr>
            </w:pPr>
            <w:r>
              <w:rPr>
                <w:rFonts w:ascii="Times New Roman"/>
                <w:sz w:val="18"/>
              </w:rPr>
              <w:t>15,000,000.00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4"/>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15" w:hRule="exact"/>
        </w:trPr>
        <w:tc>
          <w:tcPr>
            <w:tcW w:w="33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1,099,477.81</w:t>
            </w:r>
          </w:p>
        </w:tc>
        <w:tc>
          <w:tcPr>
            <w:tcW w:w="318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-524,371.99</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888,369.86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1,133,232.14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1,597,092.36</w:t>
            </w:r>
          </w:p>
        </w:tc>
      </w:tr>
      <w:tr>
        <w:trPr>
          <w:trHeight w:val="71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18,121,079.81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49,472,720.37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Heading4"/>
        <w:spacing w:line="240" w:lineRule="auto"/>
        <w:ind w:right="0"/>
        <w:jc w:val="left"/>
        <w:rPr>
          <w:b w:val="0"/>
          <w:bCs w:val="0"/>
        </w:rPr>
      </w:pPr>
      <w:r>
        <w:rPr/>
        <w:t>现金流量表补充资料</w:t>
      </w:r>
      <w:r>
        <w:rPr>
          <w:b w:val="0"/>
          <w:bCs w:val="0"/>
        </w:rPr>
      </w:r>
    </w:p>
    <w:p>
      <w:pPr>
        <w:pStyle w:val="BodyText"/>
        <w:spacing w:line="240" w:lineRule="auto" w:before="56"/>
        <w:ind w:left="152"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7"/>
        </w:rPr>
        <w:t> </w:t>
      </w:r>
      <w:r>
        <w:rPr/>
        <w:t>将净利润调节为经营活动现金流量</w:t>
      </w:r>
    </w:p>
    <w:p>
      <w:pPr>
        <w:spacing w:line="240" w:lineRule="auto" w:before="2"/>
        <w:rPr>
          <w:rFonts w:ascii="宋体" w:hAnsi="宋体" w:cs="宋体" w:eastAsia="宋体" w:hint="default"/>
          <w:sz w:val="4"/>
          <w:szCs w:val="4"/>
        </w:rPr>
      </w:pPr>
    </w:p>
    <w:tbl>
      <w:tblPr>
        <w:tblW w:w="0" w:type="auto"/>
        <w:jc w:val="left"/>
        <w:tblInd w:w="174" w:type="dxa"/>
        <w:tblLayout w:type="fixed"/>
        <w:tblCellMar>
          <w:top w:w="0" w:type="dxa"/>
          <w:left w:w="0" w:type="dxa"/>
          <w:bottom w:w="0" w:type="dxa"/>
          <w:right w:w="0" w:type="dxa"/>
        </w:tblCellMar>
        <w:tblLook w:val="01E0"/>
      </w:tblPr>
      <w:tblGrid>
        <w:gridCol w:w="4710"/>
        <w:gridCol w:w="2067"/>
        <w:gridCol w:w="2206"/>
      </w:tblGrid>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w:t>
            </w:r>
            <w:r>
              <w:rPr>
                <w:rFonts w:ascii="宋体" w:hAnsi="宋体" w:cs="宋体" w:eastAsia="宋体" w:hint="default"/>
                <w:sz w:val="18"/>
                <w:szCs w:val="18"/>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pacing w:val="1"/>
                <w:sz w:val="18"/>
              </w:rPr>
              <w:t> </w:t>
            </w:r>
            <w:r>
              <w:rPr>
                <w:rFonts w:ascii="宋体"/>
                <w:sz w:val="18"/>
              </w:rPr>
              <w:t>14,767,107.37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44,637,545.83 </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加：资产减值准备的计提</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435,176.48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5,278.68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固定资产折旧</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pacing w:val="1"/>
                <w:sz w:val="18"/>
              </w:rPr>
              <w:t> </w:t>
            </w:r>
            <w:r>
              <w:rPr>
                <w:rFonts w:ascii="宋体"/>
                <w:sz w:val="18"/>
              </w:rPr>
              <w:t>709,555.18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1,343,688.18 </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2,023,457.31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1,938,403.91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pacing w:val="1"/>
                <w:sz w:val="18"/>
              </w:rPr>
              <w:t> </w:t>
            </w:r>
            <w:r>
              <w:rPr>
                <w:rFonts w:ascii="宋体"/>
                <w:sz w:val="18"/>
              </w:rPr>
              <w:t>63,938.88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518,170.64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w:t>
            </w:r>
            <w:r>
              <w:rPr>
                <w:rFonts w:ascii="宋体" w:hAnsi="宋体" w:cs="宋体" w:eastAsia="宋体" w:hint="default"/>
                <w:sz w:val="18"/>
                <w:szCs w:val="18"/>
              </w:rPr>
              <w:t>(</w:t>
            </w:r>
            <w:r>
              <w:rPr>
                <w:rFonts w:ascii="宋体" w:hAnsi="宋体" w:cs="宋体" w:eastAsia="宋体" w:hint="default"/>
                <w:sz w:val="18"/>
                <w:szCs w:val="18"/>
              </w:rPr>
              <w:t>收益</w:t>
            </w:r>
            <w:r>
              <w:rPr>
                <w:rFonts w:ascii="宋体" w:hAnsi="宋体" w:cs="宋体" w:eastAsia="宋体" w:hint="default"/>
                <w:sz w:val="18"/>
                <w:szCs w:val="18"/>
              </w:rPr>
              <w:t>)/</w:t>
            </w:r>
            <w:r>
              <w:rPr>
                <w:rFonts w:ascii="宋体" w:hAnsi="宋体" w:cs="宋体" w:eastAsia="宋体" w:hint="default"/>
                <w:sz w:val="18"/>
                <w:szCs w:val="18"/>
              </w:rPr>
              <w:t>损失</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(1,438.23)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38,459.12 </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w:t>
            </w:r>
            <w:r>
              <w:rPr>
                <w:rFonts w:ascii="宋体"/>
                <w:spacing w:val="-2"/>
                <w:sz w:val="18"/>
              </w:rPr>
              <w:t> </w:t>
            </w:r>
            <w:r>
              <w:rPr>
                <w:rFonts w:ascii="宋体"/>
                <w:spacing w:val="1"/>
                <w:sz w:val="18"/>
              </w:rPr>
              <w:t> </w:t>
            </w:r>
            <w:r>
              <w:rPr>
                <w:rFonts w:ascii="宋体"/>
                <w:spacing w:val="-1"/>
                <w:sz w:val="18"/>
              </w:rPr>
              <w:t> </w:t>
            </w:r>
            <w:r>
              <w:rPr>
                <w:rFonts w:ascii="宋体"/>
                <w:sz w:val="18"/>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股份支付费用</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pacing w:val="1"/>
                <w:sz w:val="18"/>
              </w:rPr>
              <w:t> </w:t>
            </w:r>
            <w:r>
              <w:rPr>
                <w:rFonts w:ascii="宋体"/>
                <w:sz w:val="18"/>
              </w:rPr>
              <w:t>-</w:t>
            </w:r>
            <w:r>
              <w:rPr>
                <w:rFonts w:ascii="宋体"/>
                <w:spacing w:val="-2"/>
                <w:sz w:val="18"/>
              </w:rPr>
              <w:t> </w:t>
            </w:r>
            <w:r>
              <w:rPr>
                <w:rFonts w:ascii="宋体"/>
                <w:spacing w:val="1"/>
                <w:sz w:val="18"/>
              </w:rPr>
              <w:t> </w:t>
            </w:r>
            <w:r>
              <w:rPr>
                <w:rFonts w:ascii="宋体"/>
                <w:spacing w:val="-1"/>
                <w:sz w:val="18"/>
              </w:rPr>
              <w:t> </w:t>
            </w:r>
            <w:r>
              <w:rPr>
                <w:rFonts w:ascii="宋体"/>
                <w:sz w:val="18"/>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903,037.86 </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(18,121,079.81)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(49,472,720.37)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pacing w:val="1"/>
                <w:sz w:val="18"/>
              </w:rPr>
              <w:t> </w:t>
            </w:r>
            <w:r>
              <w:rPr>
                <w:rFonts w:ascii="宋体"/>
                <w:sz w:val="18"/>
              </w:rPr>
              <w:t>(1,424,074.98)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377,260.14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存货的</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(2,297,243.66)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2,128,499.85 </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14,690,779.09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72,954,352.20 </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经营性应付项目的减少</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(10,148,726.33)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(12,517,813.09) </w:t>
            </w:r>
          </w:p>
        </w:tc>
      </w:tr>
      <w:tr>
        <w:trPr>
          <w:trHeight w:val="349"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pacing w:val="1"/>
                <w:sz w:val="18"/>
              </w:rPr>
              <w:t> </w:t>
            </w:r>
            <w:r>
              <w:rPr>
                <w:rFonts w:ascii="宋体"/>
                <w:sz w:val="18"/>
              </w:rPr>
              <w:t>697,451.30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sz w:val="18"/>
              </w:rPr>
              <w:t>62,854,162.95 </w:t>
            </w:r>
          </w:p>
        </w:tc>
      </w:tr>
    </w:tbl>
    <w:p>
      <w:pPr>
        <w:pStyle w:val="BodyText"/>
        <w:spacing w:line="316" w:lineRule="auto" w:before="8"/>
        <w:ind w:left="152" w:right="0"/>
        <w:jc w:val="left"/>
        <w:rPr>
          <w:rFonts w:ascii="宋体" w:hAnsi="宋体" w:cs="宋体" w:eastAsia="宋体" w:hint="default"/>
        </w:rPr>
      </w:pPr>
      <w:r>
        <w:rPr>
          <w:rFonts w:ascii="宋体" w:hAnsi="宋体" w:cs="宋体" w:eastAsia="宋体" w:hint="default"/>
        </w:rPr>
        <w:t>  </w:t>
      </w:r>
      <w:r>
        <w:rPr/>
        <w:t>不涉及现金收支的重大投资和筹资活</w:t>
      </w:r>
      <w:r>
        <w:rPr>
          <w:spacing w:val="1"/>
        </w:rPr>
        <w:t>动</w:t>
      </w:r>
      <w:r>
        <w:rPr>
          <w:rFonts w:ascii="宋体" w:hAnsi="宋体" w:cs="宋体" w:eastAsia="宋体" w:hint="default"/>
        </w:rPr>
        <w:t> </w:t>
      </w:r>
    </w:p>
    <w:tbl>
      <w:tblPr>
        <w:tblW w:w="0" w:type="auto"/>
        <w:jc w:val="left"/>
        <w:tblInd w:w="174" w:type="dxa"/>
        <w:tblLayout w:type="fixed"/>
        <w:tblCellMar>
          <w:top w:w="0" w:type="dxa"/>
          <w:left w:w="0" w:type="dxa"/>
          <w:bottom w:w="0" w:type="dxa"/>
          <w:right w:w="0" w:type="dxa"/>
        </w:tblCellMar>
        <w:tblLook w:val="01E0"/>
      </w:tblPr>
      <w:tblGrid>
        <w:gridCol w:w="4700"/>
        <w:gridCol w:w="2081"/>
        <w:gridCol w:w="2201"/>
      </w:tblGrid>
      <w:tr>
        <w:trPr>
          <w:trHeight w:val="346"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w:t>
            </w:r>
            <w:r>
              <w:rPr>
                <w:rFonts w:ascii="宋体" w:hAnsi="宋体" w:cs="宋体" w:eastAsia="宋体" w:hint="default"/>
                <w:sz w:val="18"/>
                <w:szCs w:val="18"/>
              </w:rPr>
              <w:t> </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8"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将子公司分配股利与应付子公司往来款相抵</w:t>
            </w:r>
            <w:r>
              <w:rPr>
                <w:rFonts w:ascii="宋体" w:hAnsi="宋体" w:cs="宋体" w:eastAsia="宋体" w:hint="default"/>
                <w:sz w:val="18"/>
                <w:szCs w:val="18"/>
              </w:rPr>
              <w:t> </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15,000,000.00</w:t>
            </w:r>
            <w:r>
              <w:rPr>
                <w:rFonts w:ascii="宋体"/>
                <w:spacing w:val="1"/>
                <w:sz w:val="18"/>
              </w:rPr>
              <w:t> </w:t>
            </w:r>
            <w:r>
              <w:rPr>
                <w:rFonts w:ascii="宋体"/>
                <w:sz w:val="18"/>
              </w:rPr>
              <w:t>  </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48,400,000.00 </w:t>
            </w:r>
          </w:p>
        </w:tc>
      </w:tr>
    </w:tbl>
    <w:p>
      <w:pPr>
        <w:pStyle w:val="BodyText"/>
        <w:spacing w:line="240" w:lineRule="auto" w:before="18"/>
        <w:ind w:left="152" w:right="0"/>
        <w:jc w:val="left"/>
        <w:rPr>
          <w:rFonts w:ascii="宋体" w:hAnsi="宋体" w:cs="宋体" w:eastAsia="宋体" w:hint="default"/>
        </w:rPr>
      </w:pPr>
      <w:r>
        <w:rPr>
          <w:rFonts w:ascii="宋体"/>
        </w:rPr>
        <w:t> </w:t>
      </w:r>
    </w:p>
    <w:p>
      <w:pPr>
        <w:pStyle w:val="BodyText"/>
        <w:spacing w:line="240" w:lineRule="auto" w:before="76"/>
        <w:ind w:left="152" w:right="0"/>
        <w:jc w:val="left"/>
        <w:rPr>
          <w:rFonts w:ascii="宋体" w:hAnsi="宋体" w:cs="宋体" w:eastAsia="宋体" w:hint="default"/>
        </w:rPr>
      </w:pPr>
      <w:r>
        <w:rPr>
          <w:rFonts w:ascii="宋体" w:hAnsi="宋体" w:cs="宋体" w:eastAsia="宋体" w:hint="default"/>
        </w:rPr>
        <w:t>(b)  </w:t>
      </w:r>
      <w:r>
        <w:rPr/>
        <w:t>现金及现金等价物的净变动情况</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70" w:type="dxa"/>
        <w:tblLayout w:type="fixed"/>
        <w:tblCellMar>
          <w:top w:w="0" w:type="dxa"/>
          <w:left w:w="0" w:type="dxa"/>
          <w:bottom w:w="0" w:type="dxa"/>
          <w:right w:w="0" w:type="dxa"/>
        </w:tblCellMar>
        <w:tblLook w:val="01E0"/>
      </w:tblPr>
      <w:tblGrid>
        <w:gridCol w:w="4704"/>
        <w:gridCol w:w="2081"/>
        <w:gridCol w:w="2201"/>
        <w:gridCol w:w="658"/>
      </w:tblGrid>
      <w:tr>
        <w:trPr>
          <w:trHeight w:val="362" w:hRule="exact"/>
        </w:trPr>
        <w:tc>
          <w:tcPr>
            <w:tcW w:w="4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sz w:val="18"/>
              </w:rPr>
              <w:t> </w:t>
            </w:r>
          </w:p>
        </w:tc>
        <w:tc>
          <w:tcPr>
            <w:tcW w:w="20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w:t>
            </w:r>
            <w:r>
              <w:rPr>
                <w:rFonts w:ascii="宋体" w:hAnsi="宋体" w:cs="宋体" w:eastAsia="宋体" w:hint="default"/>
                <w:sz w:val="18"/>
                <w:szCs w:val="18"/>
              </w:rPr>
              <w:t> </w:t>
            </w:r>
          </w:p>
        </w:tc>
        <w:tc>
          <w:tcPr>
            <w:tcW w:w="22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w:t>
            </w:r>
            <w:r>
              <w:rPr>
                <w:rFonts w:ascii="宋体" w:hAnsi="宋体" w:cs="宋体" w:eastAsia="宋体" w:hint="default"/>
                <w:sz w:val="18"/>
                <w:szCs w:val="18"/>
              </w:rPr>
              <w:t> </w:t>
            </w:r>
          </w:p>
        </w:tc>
        <w:tc>
          <w:tcPr>
            <w:tcW w:w="658" w:type="dxa"/>
            <w:vMerge w:val="restart"/>
            <w:tcBorders>
              <w:top w:val="single" w:sz="6" w:space="0" w:color="000000"/>
              <w:left w:val="single" w:sz="6" w:space="0" w:color="000000"/>
              <w:right w:val="nil" w:sz="6" w:space="0" w:color="auto"/>
            </w:tcBorders>
          </w:tcPr>
          <w:p>
            <w:pPr/>
          </w:p>
        </w:tc>
      </w:tr>
      <w:tr>
        <w:trPr>
          <w:trHeight w:val="348" w:hRule="exact"/>
        </w:trPr>
        <w:tc>
          <w:tcPr>
            <w:tcW w:w="4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现金的年末余额</w:t>
            </w:r>
            <w:r>
              <w:rPr>
                <w:rFonts w:ascii="宋体" w:hAnsi="宋体" w:cs="宋体" w:eastAsia="宋体" w:hint="default"/>
                <w:sz w:val="18"/>
                <w:szCs w:val="18"/>
              </w:rPr>
              <w:t> </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60,512,92.54  </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4,292,454.56 </w:t>
            </w:r>
          </w:p>
        </w:tc>
        <w:tc>
          <w:tcPr>
            <w:tcW w:w="658" w:type="dxa"/>
            <w:vMerge/>
            <w:tcBorders>
              <w:left w:val="single" w:sz="6" w:space="0" w:color="000000"/>
              <w:right w:val="nil" w:sz="6" w:space="0" w:color="auto"/>
            </w:tcBorders>
          </w:tcPr>
          <w:p>
            <w:pPr/>
          </w:p>
        </w:tc>
      </w:tr>
      <w:tr>
        <w:trPr>
          <w:trHeight w:val="346" w:hRule="exact"/>
        </w:trPr>
        <w:tc>
          <w:tcPr>
            <w:tcW w:w="4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减：现金的年初余额</w:t>
            </w:r>
            <w:r>
              <w:rPr>
                <w:rFonts w:ascii="宋体" w:hAnsi="宋体" w:cs="宋体" w:eastAsia="宋体" w:hint="default"/>
                <w:sz w:val="18"/>
                <w:szCs w:val="18"/>
              </w:rPr>
              <w:t> </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pacing w:val="1"/>
                <w:sz w:val="18"/>
              </w:rPr>
              <w:t> </w:t>
            </w:r>
            <w:r>
              <w:rPr>
                <w:rFonts w:ascii="宋体"/>
                <w:sz w:val="18"/>
              </w:rPr>
              <w:t>(4,292,454.56) </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(59,053,176.89) </w:t>
            </w:r>
          </w:p>
        </w:tc>
        <w:tc>
          <w:tcPr>
            <w:tcW w:w="658" w:type="dxa"/>
            <w:vMerge/>
            <w:tcBorders>
              <w:left w:val="single" w:sz="6" w:space="0" w:color="000000"/>
              <w:right w:val="nil" w:sz="6" w:space="0" w:color="auto"/>
            </w:tcBorders>
          </w:tcPr>
          <w:p>
            <w:pPr/>
          </w:p>
        </w:tc>
      </w:tr>
      <w:tr>
        <w:trPr>
          <w:trHeight w:val="352" w:hRule="exact"/>
        </w:trPr>
        <w:tc>
          <w:tcPr>
            <w:tcW w:w="4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r>
              <w:rPr>
                <w:rFonts w:ascii="宋体" w:hAnsi="宋体" w:cs="宋体" w:eastAsia="宋体" w:hint="default"/>
                <w:sz w:val="18"/>
                <w:szCs w:val="18"/>
              </w:rPr>
              <w:t>额</w:t>
            </w:r>
            <w:r>
              <w:rPr>
                <w:rFonts w:ascii="宋体" w:hAnsi="宋体" w:cs="宋体" w:eastAsia="宋体" w:hint="default"/>
                <w:sz w:val="18"/>
                <w:szCs w:val="18"/>
              </w:rPr>
              <w:t> </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pacing w:val="1"/>
                <w:sz w:val="18"/>
              </w:rPr>
              <w:t> </w:t>
            </w:r>
            <w:r>
              <w:rPr>
                <w:rFonts w:ascii="宋体"/>
                <w:sz w:val="18"/>
              </w:rPr>
              <w:t>56,220,237.98  </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(54,760,722.33) </w:t>
            </w:r>
          </w:p>
        </w:tc>
        <w:tc>
          <w:tcPr>
            <w:tcW w:w="658" w:type="dxa"/>
            <w:vMerge/>
            <w:tcBorders>
              <w:left w:val="single" w:sz="6" w:space="0" w:color="000000"/>
              <w:bottom w:val="nil" w:sz="6" w:space="0" w:color="auto"/>
              <w:right w:val="nil" w:sz="6" w:space="0" w:color="auto"/>
            </w:tcBorders>
          </w:tcPr>
          <w:p>
            <w:pPr/>
          </w:p>
        </w:tc>
      </w:tr>
    </w:tbl>
    <w:p>
      <w:pPr>
        <w:spacing w:line="240" w:lineRule="auto" w:before="10"/>
        <w:rPr>
          <w:rFonts w:ascii="宋体" w:hAnsi="宋体" w:cs="宋体" w:eastAsia="宋体" w:hint="default"/>
          <w:sz w:val="17"/>
          <w:szCs w:val="17"/>
        </w:rPr>
      </w:pPr>
    </w:p>
    <w:p>
      <w:pPr>
        <w:pStyle w:val="Heading2"/>
        <w:spacing w:line="367" w:lineRule="exact"/>
        <w:ind w:left="152" w:right="0"/>
        <w:jc w:val="left"/>
        <w:rPr>
          <w:b w:val="0"/>
          <w:bCs w:val="0"/>
        </w:rPr>
      </w:pPr>
      <w:r>
        <w:rPr/>
        <w:t>十七、补充资料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1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-618,543.13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3,016,600.00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2,022,390.08</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2" w:footer="956" w:top="108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998" w:hRule="exact"/>
        </w:trPr>
        <w:tc>
          <w:tcPr>
            <w:tcW w:w="33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
              <w:ind w:left="22" w:right="49"/>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3060" w:type="dxa"/>
            <w:tcBorders>
              <w:top w:val="single" w:sz="10" w:space="0" w:color="000000"/>
              <w:left w:val="single" w:sz="4" w:space="0" w:color="000000"/>
              <w:bottom w:val="single" w:sz="4" w:space="0" w:color="000000"/>
              <w:right w:val="single" w:sz="4" w:space="0" w:color="000000"/>
            </w:tcBorders>
          </w:tcPr>
          <w:p>
            <w:pPr/>
          </w:p>
        </w:tc>
        <w:tc>
          <w:tcPr>
            <w:tcW w:w="3185"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185,115.13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1,151,390.52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3,454,171.56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52" w:right="9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left="152" w:right="1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2" w:right="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661"/>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0.97</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0.89</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66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pStyle w:val="BodyText"/>
        <w:spacing w:line="312" w:lineRule="exact"/>
        <w:ind w:left="152" w:right="94"/>
        <w:jc w:val="left"/>
        <w:rPr>
          <w:rFonts w:ascii="Times New Roman" w:hAnsi="Times New Roman" w:cs="Times New Roman" w:eastAsia="Times New Roman" w:hint="default"/>
        </w:rPr>
      </w:pPr>
      <w:r>
        <w:rPr>
          <w:rFonts w:ascii="Microsoft JhengHei" w:hAnsi="Microsoft JhengHei" w:cs="Microsoft JhengHei" w:eastAsia="Microsoft JhengHei" w:hint="default"/>
          <w:b/>
          <w:bCs/>
        </w:rPr>
        <w:t>资本管理 </w:t>
      </w:r>
      <w:r>
        <w:rPr>
          <w:spacing w:val="-2"/>
        </w:rPr>
        <w:t>本集团资本管理政策的目标是为了保障本集团能够持续经营，从而为股东提供回报，并使其他利益相关者获益，同时维持最</w:t>
      </w:r>
      <w:r>
        <w:rPr>
          <w:spacing w:val="-65"/>
        </w:rPr>
        <w:t> </w:t>
      </w:r>
      <w:r>
        <w:rPr>
          <w:spacing w:val="-65"/>
        </w:rPr>
      </w:r>
      <w:r>
        <w:rPr/>
        <w:t>佳的资本结构以降低资本成本 为了维持或调整资本结构，本集团可能会调整支付给股东的股利金额、向股东返还资本、发行新股或出售资产以减低债务。 本集团的总资本为合并资产负债表中所列示的股东权益。本集团不受制于外部强制性资本要求，利用资产负债率监控资本。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日，本集团的资产负债率列示如下</w:t>
      </w:r>
      <w:r>
        <w:rPr>
          <w:rFonts w:ascii="Times New Roman" w:hAnsi="Times New Roman" w:cs="Times New Roman" w:eastAsia="Times New Roman" w:hint="default"/>
        </w:rPr>
        <w:t>:</w:t>
      </w:r>
    </w:p>
    <w:p>
      <w:pPr>
        <w:spacing w:after="0" w:line="312" w:lineRule="exact"/>
        <w:jc w:val="left"/>
        <w:rPr>
          <w:rFonts w:ascii="Times New Roman" w:hAnsi="Times New Roman" w:cs="Times New Roman" w:eastAsia="Times New Roman" w:hint="default"/>
        </w:rPr>
        <w:sectPr>
          <w:headerReference w:type="default" r:id="rId65"/>
          <w:pgSz w:w="11910" w:h="16840"/>
          <w:pgMar w:header="892" w:footer="956" w:top="1080" w:bottom="114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3528"/>
        <w:gridCol w:w="2316"/>
        <w:gridCol w:w="2458"/>
        <w:gridCol w:w="1366"/>
      </w:tblGrid>
      <w:tr>
        <w:trPr>
          <w:trHeight w:val="362" w:hRule="exact"/>
        </w:trPr>
        <w:tc>
          <w:tcPr>
            <w:tcW w:w="3528" w:type="dxa"/>
            <w:tcBorders>
              <w:top w:val="single" w:sz="12" w:space="0" w:color="000000"/>
              <w:left w:val="single" w:sz="6" w:space="0" w:color="000000"/>
              <w:bottom w:val="single" w:sz="6" w:space="0" w:color="000000"/>
              <w:right w:val="single" w:sz="6" w:space="0" w:color="000000"/>
            </w:tcBorders>
          </w:tcPr>
          <w:p>
            <w:pPr/>
          </w:p>
        </w:tc>
        <w:tc>
          <w:tcPr>
            <w:tcW w:w="23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1366" w:type="dxa"/>
            <w:vMerge w:val="restart"/>
            <w:tcBorders>
              <w:top w:val="single" w:sz="6" w:space="0" w:color="000000"/>
              <w:left w:val="single" w:sz="6" w:space="0" w:color="000000"/>
              <w:right w:val="nil" w:sz="6" w:space="0" w:color="auto"/>
            </w:tcBorders>
          </w:tcPr>
          <w:p>
            <w:pPr/>
          </w:p>
        </w:tc>
      </w:tr>
      <w:tr>
        <w:trPr>
          <w:trHeight w:val="348" w:hRule="exact"/>
        </w:trPr>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26.12%</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30.52%</w:t>
            </w:r>
          </w:p>
        </w:tc>
        <w:tc>
          <w:tcPr>
            <w:tcW w:w="1366" w:type="dxa"/>
            <w:vMerge/>
            <w:tcBorders>
              <w:left w:val="single" w:sz="6" w:space="0" w:color="000000"/>
              <w:bottom w:val="nil" w:sz="6" w:space="0" w:color="auto"/>
              <w:right w:val="nil" w:sz="6" w:space="0" w:color="auto"/>
            </w:tcBorders>
          </w:tcPr>
          <w:p>
            <w:pPr/>
          </w:p>
        </w:tc>
      </w:tr>
    </w:tbl>
    <w:p>
      <w:pPr>
        <w:spacing w:after="0"/>
        <w:sectPr>
          <w:pgSz w:w="11910" w:h="16840"/>
          <w:pgMar w:header="892" w:footer="956"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Heading1"/>
        <w:spacing w:line="456" w:lineRule="exact"/>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240" w:lineRule="auto"/>
        <w:ind w:left="152" w:right="0"/>
        <w:jc w:val="left"/>
      </w:pPr>
      <w:r>
        <w:rPr/>
        <w:t>（一）载有公司负责人、主管会计工作负责人、会计机构负责人（会计主管人员）签名并盖章的财务报表。</w:t>
      </w:r>
    </w:p>
    <w:p>
      <w:pPr>
        <w:pStyle w:val="BodyText"/>
        <w:spacing w:line="240" w:lineRule="auto" w:before="115"/>
        <w:ind w:left="152" w:right="0"/>
        <w:jc w:val="left"/>
      </w:pPr>
      <w:r>
        <w:rPr/>
        <w:t>（二）载有会计师事务所盖章、注册会计师签名并盖章的审计报告原件。</w:t>
      </w:r>
    </w:p>
    <w:p>
      <w:pPr>
        <w:pStyle w:val="BodyText"/>
        <w:spacing w:line="240" w:lineRule="auto" w:before="117"/>
        <w:ind w:left="152" w:right="0"/>
        <w:jc w:val="left"/>
      </w:pPr>
      <w:r>
        <w:rPr/>
        <w:t>（三）报告期内在中国证监会指定网站上公开披露过的所有公司文件的正本及公告的原稿。</w:t>
      </w:r>
    </w:p>
    <w:p>
      <w:pPr>
        <w:pStyle w:val="BodyText"/>
        <w:spacing w:line="240" w:lineRule="auto" w:before="117"/>
        <w:ind w:left="152" w:right="0"/>
        <w:jc w:val="left"/>
      </w:pPr>
      <w:r>
        <w:rPr/>
        <w:t>（四）载有董事长签名的</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年年度报告文本原件。</w:t>
      </w:r>
    </w:p>
    <w:sectPr>
      <w:pgSz w:w="11910" w:h="16840"/>
      <w:pgMar w:header="892" w:footer="956" w:top="1080" w:bottom="11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829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089996pt;margin-top:782.123169pt;width:19.150pt;height:11pt;mso-position-horizontal-relative:page;mso-position-vertical-relative:page;z-index:-828808" type="#_x0000_t202" filled="false" stroked="false">
          <v:textbox inset="0,0,0,0">
            <w:txbxContent>
              <w:p>
                <w:pPr>
                  <w:pStyle w:val="BodyText"/>
                  <w:spacing w:line="20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50012pt;margin-top:782.123169pt;width:18.4pt;height:11pt;mso-position-horizontal-relative:page;mso-position-vertical-relative:page;z-index:-828688" type="#_x0000_t202" filled="false" stroked="false">
          <v:textbox inset="0,0,0,0">
            <w:txbxContent>
              <w:p>
                <w:pPr>
                  <w:pStyle w:val="BodyText"/>
                  <w:spacing w:line="20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089996pt;margin-top:782.123169pt;width:19.150pt;height:11pt;mso-position-horizontal-relative:page;mso-position-vertical-relative:page;z-index:-828568" type="#_x0000_t202" filled="false" stroked="false">
          <v:textbox inset="0,0,0,0">
            <w:txbxContent>
              <w:p>
                <w:pPr>
                  <w:pStyle w:val="BodyText"/>
                  <w:spacing w:line="20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126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099976pt;margin-top:781.933899pt;width:8.5pt;height:11pt;mso-position-horizontal-relative:page;mso-position-vertical-relative:page;z-index:-829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 style="position:absolute;margin-left:313.109985pt;margin-top:831.803162pt;width:23.15pt;height:11pt;mso-position-horizontal-relative:page;mso-position-vertical-relative:page;z-index:-829720" type="#_x0000_t202" filled="false" stroked="false">
          <v:textbox inset="0,0,0,0">
            <w:txbxContent>
              <w:p>
                <w:pPr>
                  <w:pStyle w:val="BodyText"/>
                  <w:spacing w:line="204" w:lineRule="exact"/>
                  <w:ind w:left="20" w:right="0"/>
                  <w:jc w:val="left"/>
                  <w:rPr>
                    <w:rFonts w:ascii="Arial" w:hAnsi="Arial" w:cs="Arial" w:eastAsia="Arial" w:hint="default"/>
                  </w:rPr>
                </w:pPr>
                <w:r>
                  <w:rPr>
                    <w:rFonts w:ascii="Arial"/>
                  </w:rPr>
                  <w:t>- </w:t>
                </w:r>
                <w:r>
                  <w:rPr/>
                  <w:fldChar w:fldCharType="begin"/>
                </w:r>
                <w:r>
                  <w:rPr>
                    <w:rFonts w:ascii="Arial"/>
                  </w:rPr>
                  <w:instrText> PAGE </w:instrText>
                </w:r>
                <w:r>
                  <w:rPr/>
                  <w:fldChar w:fldCharType="separate"/>
                </w:r>
                <w:r>
                  <w:rPr/>
                  <w:t>25</w:t>
                </w:r>
                <w:r>
                  <w:rPr/>
                  <w:fldChar w:fldCharType="end"/>
                </w:r>
                <w:r>
                  <w:rPr>
                    <w:rFonts w:ascii="Arial"/>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0.609985pt;margin-top:782.123169pt;width:14.1pt;height:11pt;mso-position-horizontal-relative:page;mso-position-vertical-relative:page;z-index:-829192" type="#_x0000_t202" filled="false" stroked="false">
          <v:textbox inset="0,0,0,0">
            <w:txbxContent>
              <w:p>
                <w:pPr>
                  <w:pStyle w:val="BodyText"/>
                  <w:spacing w:line="20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23169pt;width:14.1pt;height:11pt;mso-position-horizontal-relative:page;mso-position-vertical-relative:page;z-index:-829048" type="#_x0000_t202" filled="false" stroked="false">
          <v:textbox inset="0,0,0,0">
            <w:txbxContent>
              <w:p>
                <w:pPr>
                  <w:pStyle w:val="BodyText"/>
                  <w:spacing w:line="20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79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23169pt;width:14.1pt;height:11pt;mso-position-horizontal-relative:page;mso-position-vertical-relative:page;z-index:-828976" type="#_x0000_t202" filled="false" stroked="false">
          <v:textbox inset="0,0,0,0">
            <w:txbxContent>
              <w:p>
                <w:pPr>
                  <w:pStyle w:val="BodyText"/>
                  <w:spacing w:line="20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81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0.609985pt;margin-top:782.123169pt;width:14.1pt;height:11pt;mso-position-horizontal-relative:page;mso-position-vertical-relative:page;z-index:-828952" type="#_x0000_t202" filled="false" stroked="false">
          <v:textbox inset="0,0,0,0">
            <w:txbxContent>
              <w:p>
                <w:pPr>
                  <w:pStyle w:val="BodyText"/>
                  <w:spacing w:line="20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89996pt;margin-top:782.123169pt;width:17.150pt;height:11pt;mso-position-horizontal-relative:page;mso-position-vertical-relative:page;z-index:-828880" type="#_x0000_t202" filled="false" stroked="false">
          <v:textbox inset="0,0,0,0">
            <w:txbxContent>
              <w:p>
                <w:pPr>
                  <w:pStyle w:val="BodyText"/>
                  <w:spacing w:line="204" w:lineRule="exact"/>
                  <w:ind w:left="20" w:right="0"/>
                  <w:jc w:val="left"/>
                  <w:rPr>
                    <w:rFonts w:ascii="Arial" w:hAnsi="Arial" w:cs="Arial" w:eastAsia="Arial" w:hint="default"/>
                  </w:rPr>
                </w:pPr>
                <w:r>
                  <w:rPr>
                    <w:rFonts w:ascii="Arial"/>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829816" type="#_x0000_t202" filled="false" stroked="false">
          <v:textbox inset="0,0,0,0">
            <w:txbxContent>
              <w:p>
                <w:pPr>
                  <w:pStyle w:val="BodyText"/>
                  <w:spacing w:line="214" w:lineRule="exact"/>
                  <w:ind w:left="20" w:right="0"/>
                  <w:jc w:val="left"/>
                </w:pPr>
                <w:r>
                  <w:rPr/>
                  <w:t>北京百华悦邦科技股份有限公司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360"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336"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312"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288"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264"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240"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9216"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9168" coordorigin="1104,1085" coordsize="9698,2">
          <v:shape style="position:absolute;left:1104;top:1085;width:9698;height:2" coordorigin="1104,1085" coordsize="9698,0" path="m1104,1085l10802,1085e" filled="false" stroked="true" strokeweight=".72pt" strokecolor="#000000">
            <v:path arrowok="t"/>
          </v:shape>
          <w10:wrap type="none"/>
        </v:group>
      </w:pict>
    </w:r>
    <w:r>
      <w:rPr/>
      <w:pict>
        <v:group style="position:absolute;margin-left:55.200001pt;margin-top:98.059982pt;width:484.9pt;height:.1pt;mso-position-horizontal-relative:page;mso-position-vertical-relative:page;z-index:-829144" coordorigin="1104,1961" coordsize="9698,2">
          <v:shape style="position:absolute;left:1104;top:1961;width:9698;height:2" coordorigin="1104,1961" coordsize="9698,0" path="m1104,1961l10802,1961e" filled="false" stroked="true" strokeweight=".72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9120"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9096"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9072"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9024" coordorigin="1104,1085" coordsize="9698,2">
          <v:shape style="position:absolute;left:1104;top:1085;width:9698;height:2" coordorigin="1104,1085" coordsize="9698,0" path="m1104,1085l10802,1085e" filled="false" stroked="true" strokeweight=".72pt" strokecolor="#000000">
            <v:path arrowok="t"/>
          </v:shape>
          <w10:wrap type="none"/>
        </v:group>
      </w:pict>
    </w:r>
    <w:r>
      <w:rPr/>
      <w:pict>
        <v:group style="position:absolute;margin-left:55.200001pt;margin-top:98.059982pt;width:484.9pt;height:.1pt;mso-position-horizontal-relative:page;mso-position-vertical-relative:page;z-index:-829000" coordorigin="1104,1961" coordsize="9698,2">
          <v:shape style="position:absolute;left:1104;top:1961;width:9698;height:2" coordorigin="1104,1961" coordsize="9698,0" path="m1104,1961l10802,1961e" filled="false" stroked="true" strokeweight=".72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928"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744" coordorigin="1956,235" coordsize="9074,2">
          <v:shape style="position:absolute;left:1956;top:235;width:9074;height:2" coordorigin="1956,235" coordsize="9074,0" path="m1956,235l11030,235e" filled="false" stroked="true" strokeweight=".72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904"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856" coordorigin="1104,1085" coordsize="9698,2">
          <v:shape style="position:absolute;left:1104;top:1085;width:9698;height:2" coordorigin="1104,1085" coordsize="9698,0" path="m1104,1085l10802,1085e" filled="false" stroked="true" strokeweight=".72pt" strokecolor="#000000">
            <v:path arrowok="t"/>
          </v:shape>
          <w10:wrap type="none"/>
        </v:group>
      </w:pict>
    </w:r>
    <w:r>
      <w:rPr/>
      <w:pict>
        <v:group style="position:absolute;margin-left:55.200001pt;margin-top:98.059982pt;width:484.9pt;height:.1pt;mso-position-horizontal-relative:page;mso-position-vertical-relative:page;z-index:-828832" coordorigin="1104,1961" coordsize="9698,2">
          <v:shape style="position:absolute;left:1104;top:1961;width:9698;height:2" coordorigin="1104,1961" coordsize="9698,0" path="m1104,1961l10802,1961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784"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760"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736"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712"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664"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640" coordorigin="1104,1085" coordsize="9698,2">
          <v:shape style="position:absolute;left:1104;top:1085;width:9698;height:2" coordorigin="1104,1085" coordsize="9698,0" path="m1104,1085l10802,1085e" filled="false" stroked="true" strokeweight=".72pt" strokecolor="#000000">
            <v:path arrowok="t"/>
          </v:shape>
          <w10:wrap type="none"/>
        </v:group>
      </w:pict>
    </w:r>
    <w:r>
      <w:rPr/>
      <w:pict>
        <v:group style="position:absolute;margin-left:55.200001pt;margin-top:98.059982pt;width:484.9pt;height:.1pt;mso-position-horizontal-relative:page;mso-position-vertical-relative:page;z-index:-828616" coordorigin="1104,1961" coordsize="9698,2">
          <v:shape style="position:absolute;left:1104;top:1961;width:9698;height:2" coordorigin="1104,1961" coordsize="9698,0" path="m1104,1961l10802,1961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592"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544"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696"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672"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520"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496" coordorigin="1104,1085" coordsize="9698,2">
          <v:shape style="position:absolute;left:1104;top:1085;width:9698;height:2" coordorigin="1104,1085" coordsize="9698,0" path="m1104,1085l10802,1085e" filled="false" stroked="true" strokeweight=".72pt" strokecolor="#000000">
            <v:path arrowok="t"/>
          </v:shape>
          <w10:wrap type="none"/>
        </v:group>
      </w:pict>
    </w:r>
    <w:r>
      <w:rPr/>
      <w:pict>
        <v:group style="position:absolute;margin-left:55.200001pt;margin-top:98.059982pt;width:484.9pt;height:.1pt;mso-position-horizontal-relative:page;mso-position-vertical-relative:page;z-index:-828472" coordorigin="1104,1961" coordsize="9698,2">
          <v:shape style="position:absolute;left:1104;top:1961;width:9698;height:2" coordorigin="1104,1961" coordsize="9698,0" path="m1104,1961l10802,1961e" filled="false" stroked="true" strokeweight=".72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448"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424"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400"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376"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239983pt;width:484.9pt;height:.1pt;mso-position-horizontal-relative:page;mso-position-vertical-relative:page;z-index:-828352" coordorigin="1104,1085" coordsize="9698,2">
          <v:shape style="position:absolute;left:1104;top:1085;width:9698;height:2" coordorigin="1104,1085" coordsize="9698,0" path="m1104,1085l10802,1085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648"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624"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600"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576"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552"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528"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504"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480"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456"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432"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11.759983pt;width:453.7pt;height:.1pt;mso-position-horizontal-relative:page;mso-position-vertical-relative:page;z-index:-829408" coordorigin="1956,235" coordsize="9074,2">
          <v:shape style="position:absolute;left:1956;top:235;width:9074;height:2" coordorigin="1956,235" coordsize="9074,0" path="m1956,235l11030,235e" filled="false" stroked="true" strokeweight=".72pt" strokecolor="#000000">
            <v:path arrowok="t"/>
          </v:shape>
          <w10:wrap type="none"/>
        </v:group>
      </w:pict>
    </w:r>
    <w:r>
      <w:rPr/>
      <w:pict>
        <v:group style="position:absolute;margin-left:97.823997pt;margin-top:55.559982pt;width:453.7pt;height:.1pt;mso-position-horizontal-relative:page;mso-position-vertical-relative:page;z-index:-829384" coordorigin="1956,1111" coordsize="9074,2">
          <v:shape style="position:absolute;left:1956;top:1111;width:9074;height:2" coordorigin="1956,1111" coordsize="9074,0" path="m1956,1111l11030,1111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305"/>
    </w:pPr>
    <w:rPr>
      <w:rFonts w:ascii="宋体" w:hAnsi="宋体" w:eastAsia="宋体"/>
      <w:sz w:val="18"/>
      <w:szCs w:val="18"/>
    </w:rPr>
  </w:style>
  <w:style w:styleId="Heading1" w:type="paragraph">
    <w:name w:val="Heading 1"/>
    <w:basedOn w:val="Normal"/>
    <w:uiPriority w:val="1"/>
    <w:qFormat/>
    <w:pPr>
      <w:ind w:left="2785"/>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305"/>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152"/>
      <w:outlineLvl w:val="4"/>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dfeng.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yperlink" Target="http://www.bybon.com/" TargetMode="External"/><Relationship Id="rId13" Type="http://schemas.openxmlformats.org/officeDocument/2006/relationships/hyperlink" Target="mailto:zhengquan@bybon.cn" TargetMode="External"/><Relationship Id="rId14" Type="http://schemas.openxmlformats.org/officeDocument/2006/relationships/hyperlink" Target="http://www.cninfo.com.cn/" TargetMode="Externa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2.png"/><Relationship Id="rId19" Type="http://schemas.openxmlformats.org/officeDocument/2006/relationships/header" Target="header5.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hyperlink" Target="http://www.neeq.cc/" TargetMode="Externa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image" Target="media/image7.jpeg"/><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hyperlink" Target="http://www.neeq.com.cn/" TargetMode="External"/><Relationship Id="rId34" Type="http://schemas.openxmlformats.org/officeDocument/2006/relationships/header" Target="header13.xml"/><Relationship Id="rId35" Type="http://schemas.openxmlformats.org/officeDocument/2006/relationships/footer" Target="footer5.xml"/><Relationship Id="rId36" Type="http://schemas.openxmlformats.org/officeDocument/2006/relationships/header" Target="header14.xml"/><Relationship Id="rId37" Type="http://schemas.openxmlformats.org/officeDocument/2006/relationships/header" Target="header15.xml"/><Relationship Id="rId38" Type="http://schemas.openxmlformats.org/officeDocument/2006/relationships/header" Target="header16.xml"/><Relationship Id="rId39" Type="http://schemas.openxmlformats.org/officeDocument/2006/relationships/header" Target="header17.xml"/><Relationship Id="rId40" Type="http://schemas.openxmlformats.org/officeDocument/2006/relationships/footer" Target="footer6.xml"/><Relationship Id="rId41" Type="http://schemas.openxmlformats.org/officeDocument/2006/relationships/header" Target="header18.xml"/><Relationship Id="rId42" Type="http://schemas.openxmlformats.org/officeDocument/2006/relationships/footer" Target="footer7.xml"/><Relationship Id="rId43" Type="http://schemas.openxmlformats.org/officeDocument/2006/relationships/footer" Target="footer8.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9.xml"/><Relationship Id="rId47" Type="http://schemas.openxmlformats.org/officeDocument/2006/relationships/header" Target="header21.xml"/><Relationship Id="rId48" Type="http://schemas.openxmlformats.org/officeDocument/2006/relationships/footer" Target="footer10.xml"/><Relationship Id="rId49" Type="http://schemas.openxmlformats.org/officeDocument/2006/relationships/header" Target="header22.xml"/><Relationship Id="rId50" Type="http://schemas.openxmlformats.org/officeDocument/2006/relationships/header" Target="header23.xml"/><Relationship Id="rId51" Type="http://schemas.openxmlformats.org/officeDocument/2006/relationships/header" Target="header24.xml"/><Relationship Id="rId52" Type="http://schemas.openxmlformats.org/officeDocument/2006/relationships/header" Target="header25.xml"/><Relationship Id="rId53" Type="http://schemas.openxmlformats.org/officeDocument/2006/relationships/footer" Target="footer11.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header" Target="header28.xml"/><Relationship Id="rId57" Type="http://schemas.openxmlformats.org/officeDocument/2006/relationships/footer" Target="footer12.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header" Target="header31.xml"/><Relationship Id="rId61" Type="http://schemas.openxmlformats.org/officeDocument/2006/relationships/header" Target="header32.xml"/><Relationship Id="rId62" Type="http://schemas.openxmlformats.org/officeDocument/2006/relationships/header" Target="header33.xml"/><Relationship Id="rId63" Type="http://schemas.openxmlformats.org/officeDocument/2006/relationships/header" Target="header34.xml"/><Relationship Id="rId64" Type="http://schemas.openxmlformats.org/officeDocument/2006/relationships/header" Target="header35.xml"/><Relationship Id="rId65" Type="http://schemas.openxmlformats.org/officeDocument/2006/relationships/header" Target="head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北京百华悦邦科技股份有限公司</dc:creator>
  <dc:title>北京百华悦邦科技股份有限公司2017年年度报告</dc:title>
  <dcterms:created xsi:type="dcterms:W3CDTF">2020-05-03T01:29:51Z</dcterms:created>
  <dcterms:modified xsi:type="dcterms:W3CDTF">2020-05-03T01:29:51Z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2020-05-02T00:00:00Z</vt:filetime>
  </property>
</Properties>
</file>